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5" w:rsidRPr="008C3795" w:rsidRDefault="00B66AFC" w:rsidP="00B66AFC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B5E4AC0930B4EA0B11BBF2C19D06E17" style="width:450.75pt;height:339pt">
            <v:imagedata r:id="rId9" o:title=""/>
          </v:shape>
        </w:pict>
      </w:r>
    </w:p>
    <w:p w:rsidR="00472F1B" w:rsidRPr="00FB0CBA" w:rsidRDefault="00472F1B" w:rsidP="00472F1B">
      <w:pPr>
        <w:sectPr w:rsidR="00472F1B" w:rsidRPr="00FB0CBA" w:rsidSect="00B66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472F1B" w:rsidRPr="00FB0CBA" w:rsidRDefault="00472F1B" w:rsidP="00D97A8A">
      <w:pPr>
        <w:pStyle w:val="Exposdesmotifstitre"/>
      </w:pPr>
      <w:bookmarkStart w:id="0" w:name="_GoBack"/>
      <w:bookmarkEnd w:id="0"/>
      <w:r w:rsidRPr="00FB0CBA">
        <w:lastRenderedPageBreak/>
        <w:t>MEMORANDUM TA' SPJEGAZZJONI</w:t>
      </w:r>
    </w:p>
    <w:p w:rsidR="00472F1B" w:rsidRPr="00FB0CBA" w:rsidRDefault="00472F1B" w:rsidP="006D770D">
      <w:pPr>
        <w:pStyle w:val="Heading1"/>
        <w:numPr>
          <w:ilvl w:val="0"/>
          <w:numId w:val="11"/>
        </w:numPr>
      </w:pPr>
      <w:r w:rsidRPr="00FB0CBA">
        <w:t>IL-KUNTEST TAL-PROPOSTA</w:t>
      </w:r>
    </w:p>
    <w:p w:rsidR="009002CE" w:rsidRPr="00FB0CBA" w:rsidRDefault="00472F1B" w:rsidP="00472F1B">
      <w:pPr>
        <w:autoSpaceDE w:val="0"/>
        <w:autoSpaceDN w:val="0"/>
        <w:adjustRightInd w:val="0"/>
        <w:spacing w:before="0" w:after="0"/>
        <w:rPr>
          <w:color w:val="000000"/>
          <w:u w:val="single"/>
        </w:rPr>
      </w:pPr>
      <w:r w:rsidRPr="00FB0CBA">
        <w:rPr>
          <w:color w:val="000000"/>
          <w:u w:val="single"/>
        </w:rPr>
        <w:t>SFOND</w:t>
      </w:r>
    </w:p>
    <w:p w:rsidR="00472F1B" w:rsidRPr="00FB0CBA" w:rsidRDefault="009002CE" w:rsidP="00472F1B">
      <w:pPr>
        <w:autoSpaceDE w:val="0"/>
        <w:autoSpaceDN w:val="0"/>
        <w:adjustRightInd w:val="0"/>
        <w:spacing w:before="0" w:after="0"/>
        <w:rPr>
          <w:color w:val="000000"/>
        </w:rPr>
      </w:pPr>
      <w:r w:rsidRPr="00FB0CBA">
        <w:rPr>
          <w:color w:val="000000"/>
          <w:u w:val="single"/>
        </w:rPr>
        <w:br/>
      </w:r>
      <w:r w:rsidRPr="00FB0CBA">
        <w:rPr>
          <w:color w:val="000000"/>
        </w:rPr>
        <w:t xml:space="preserve">Is-Summit Soċjali Tripartitiku għat-Tkabbir u l-Impjiegi (SST) twaqqaf bid-Deċiżjoni tal-Kunsill tas-6 ta' Marzu 2003 ((2003/174/KE), li fformalizzat il-prattika li ilha mill-1997, li jsiru laqgħat ta' livell għoli informali fill-qafas tal-Istrateġija Ewropea dwar l-Impjiegi, u sussegwentement l-Istrateġija ta' Lisbona. </w:t>
      </w:r>
      <w:r w:rsidRPr="00FB0CBA">
        <w:rPr>
          <w:color w:val="000000"/>
        </w:rPr>
        <w:br/>
        <w:t xml:space="preserve"> Il-Kummissjoni pproponiet id-Deċiżjoni tal-2003 biex tistituzzjonalizza l-prattika ta' konsultazzjonijiet ta' livell għoli bejn l-Istituzzjonijiet tal-UE u l-imsieħba soċjali tal-UE. Il-proposta involviet l-abolizzjoni tal-Kumitat Permanenti dwar l-Impjiegi preċedenti, li kien twaqqaf fl-1970 u ġie riformat fl-1999, iżda li nstab li kien wisq peżanti biex ikun forum xieraq għall-konsultazzjoni tal-UE mal-imsieħba soċjali—, b'mod partikolari minħabba t-tkabbir, u f'dak iż-żmien, minħabba l-prospett ta' format tal-UE b'27 stat membru. Kien ukoll wisq limitat biex jippermetti lill-imsieħba soċjali jkunu involuti fl-istrateġija tal-impjiegi tal-UE u l-istrateġija integrata ekonomika u soċjali tal-UE li ħarġet mit-Trattat ta' Amsterdam u l-Kunsill Ewropew ta' Lisbona tal-2000.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  <w:rPr>
          <w:color w:val="000000"/>
        </w:rPr>
      </w:pPr>
      <w:r w:rsidRPr="00FB0CBA">
        <w:rPr>
          <w:color w:val="000000"/>
        </w:rPr>
        <w:t>Sa mill-2003, l-SST kien avveniment separat mil-laqgħat tal-Kunsill Ewropew, u b'mod ġenerali laħaq l-għan tiegħu li jiffaċilita l-iskambju ta' ideat fl-ogħla livell bejn il-Kummissjoni, il-Presidenza tal-UE u l-imsieħba soċjali tal-UE dwar l-impjiegi u l-aspetti soċjali tal-Istrateġija ta' Lisbona (mill-2010, u mbagħad tal-Istrateġija Ewropea 2020). Sakemm daħal fis-seħħ it-Trattat ta' Lisbona, il-laqgħat kienu kopreseduti mill-Presidenza tal-Kunsill u l-President tal-Kummissjoni. Id-Deċiżjoni tal-2003 tat-rwol ukoll liż-żewġ Presidenzi sossegwenti.</w:t>
      </w:r>
    </w:p>
    <w:p w:rsidR="003D4CBE" w:rsidRPr="00FB0CBA" w:rsidRDefault="003D4CBE" w:rsidP="00472F1B">
      <w:pPr>
        <w:autoSpaceDE w:val="0"/>
        <w:autoSpaceDN w:val="0"/>
        <w:adjustRightInd w:val="0"/>
        <w:spacing w:before="0" w:after="0"/>
        <w:rPr>
          <w:color w:val="000000"/>
        </w:rPr>
      </w:pPr>
      <w:r w:rsidRPr="00FB0CBA">
        <w:rPr>
          <w:color w:val="000000"/>
        </w:rPr>
        <w:t>Fil-Komunikazzjoni tagħha (COM(2013)690) tat-2 ta' Ottubru 2013 dwar id-dimensjoni soċjali tal-UEM, il-Kummissjoni ħabbret li se tippreżenta proposta għal reviżjoni tad-Deċiżjoni tal-Kunsill tal-2003.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  <w:rPr>
          <w:color w:val="000000"/>
          <w:u w:val="single"/>
        </w:rPr>
      </w:pPr>
      <w:r w:rsidRPr="00FB0CBA">
        <w:rPr>
          <w:color w:val="000000"/>
        </w:rPr>
        <w:br/>
        <w:t>GĦALIEX JEĦTIEĠ LI D-DEĊIŻJONI TIĠI RIVEDUTA?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rPr>
          <w:color w:val="000000"/>
        </w:rPr>
        <w:br/>
      </w:r>
      <w:r w:rsidRPr="00FB0CBA">
        <w:t>It-Trattat ta' Lisbona introduċa bidliet istituzzjonali sinifikanti, li jiġġustifikaw reviżjoni tad-Deċiżjoni tal-Kunsill tal-2003:</w:t>
      </w:r>
    </w:p>
    <w:p w:rsidR="00472F1B" w:rsidRPr="00FB0CBA" w:rsidRDefault="00472F1B" w:rsidP="006D770D">
      <w:pPr>
        <w:pStyle w:val="Tiret0"/>
        <w:numPr>
          <w:ilvl w:val="0"/>
          <w:numId w:val="12"/>
        </w:numPr>
      </w:pPr>
      <w:r w:rsidRPr="00FB0CBA">
        <w:t>Huwa istituzzjonalizza lill-Kunsill Ewropew u ħoloq ir-rwol tal-President tal-Kunsill Ewropew (l-Artikolu 15 tat-TUE);</w:t>
      </w:r>
    </w:p>
    <w:p w:rsidR="00472F1B" w:rsidRPr="00FB0CBA" w:rsidRDefault="00472F1B" w:rsidP="00472F1B">
      <w:pPr>
        <w:pStyle w:val="Tiret0"/>
      </w:pPr>
      <w:r w:rsidRPr="00FB0CBA">
        <w:t>Huwa għaraf ir-rwol tal-SST bħala parti mid-djalogu soċjali tal-UE (l-Artikolu 152 tat-TFUE);</w:t>
      </w:r>
    </w:p>
    <w:p w:rsidR="00472F1B" w:rsidRPr="00FB0CBA" w:rsidRDefault="00472F1B" w:rsidP="00472F1B">
      <w:pPr>
        <w:pStyle w:val="Tiret0"/>
      </w:pPr>
      <w:r w:rsidRPr="00FB0CBA">
        <w:t>Huwa ħassar l-Artikolu 202 tat-Trattat dwar il-Karta tal-Enerġija, li kien il-bażi legali użata biex tiġi adottata d-Deċiżjoni tal-200</w:t>
      </w:r>
      <w:r w:rsidR="00643830">
        <w:t>3</w:t>
      </w:r>
      <w:r w:rsidRPr="00FB0CBA">
        <w:t xml:space="preserve"> (il-funzjonijiet tal-Kunsill issa huma stabbiliti fl-Artikolu 16 tat-TUE, u l-prinċipji tal-komitoloġija jinsabu fl-Artikoli 290 u 291 tat-TFUE).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t>Wara l-bidla istituzzjonali li introduċa t-Trattat ta' Lisbona biex tinħoloq il-funzjoni tal-President tal-Kunsill Ewropew, id-Deċiżjoni tal-Kunsill tal-2003 li tistabbilixxi Summit Tripartit Soċjali għandha bżonn reviżjoni. Biex tinżamm il-loġika tat-Trattat u tal-kuntest istituzzjonali tal-SST, ir-rwol u r-responsabbiltajiet li ġew attribwiti lill-Presidenza ta' rotazzjoni tal-Kunsill bid-Deċiżjoni tal-Kunsill tal-2003, għandhom jiġu ttrasferiti fuq il-funzjoni ġdida li għadha kif inħolqot tal-President tal-Kunsill Ewropew.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lastRenderedPageBreak/>
        <w:t>Barra minn hekk, il-qafas ġenerali politiku jeħtieġ reviżjoni biex ikun jispeċifika kif l-SST għat-Tkabbir u l-Impjiegi tikkontribwixxi għall-governanza ġenerali u biex l-Istrateġija Ewropa 2020 tieħu post l-Istrateġija ta' Lisbona.</w:t>
      </w:r>
    </w:p>
    <w:p w:rsidR="00472F1B" w:rsidRPr="00FB0CBA" w:rsidRDefault="00472F1B" w:rsidP="002A498F">
      <w:pPr>
        <w:pStyle w:val="Heading1"/>
      </w:pPr>
      <w:r w:rsidRPr="00FB0CBA">
        <w:t>IR-RIŻULTATI TAL-KONSULTAZZJONIJIET MAL-PARTIJIET INTERESSATI U L-VALUTAZZJONIJIET TAL-IMPATTI</w:t>
      </w:r>
    </w:p>
    <w:p w:rsidR="00472F1B" w:rsidRPr="00FB0CBA" w:rsidRDefault="00BD4CBF" w:rsidP="00472F1B">
      <w:r w:rsidRPr="00FB0CBA">
        <w:t>Minħabba l-bażi legali li ntgħażlet (ara taħt), mhijiex meħtieġa konsultazzjoni formali tal-imsieħba soċjali, iżda l-imsieħba soċjali transindustrijali tal-UE ġew ikkonsultati b'mod informali dwar is-sustanza ta' din ir-reviżjoni. L-idea ta' reviżjoni limitata/teknika biex jitwettqu t-tibdiliet tekniċi meħtieġa bħala riżultat tal-bidliet istituzzjonali li introduċa t-Trattat ta' Lisbona, sabet appoġġ mifrux.</w:t>
      </w:r>
    </w:p>
    <w:p w:rsidR="00472F1B" w:rsidRPr="00FB0CBA" w:rsidRDefault="00472F1B" w:rsidP="002A498F">
      <w:pPr>
        <w:pStyle w:val="Heading1"/>
      </w:pPr>
      <w:r w:rsidRPr="00FB0CBA">
        <w:t>L-ELEMENTI LEGALI TAL-PROPOSTA</w:t>
      </w:r>
    </w:p>
    <w:p w:rsidR="00472F1B" w:rsidRPr="00FB0CBA" w:rsidRDefault="00472F1B" w:rsidP="00472F1B">
      <w:pPr>
        <w:rPr>
          <w:u w:val="single"/>
        </w:rPr>
      </w:pPr>
      <w:r w:rsidRPr="00FB0CBA">
        <w:rPr>
          <w:u w:val="single"/>
        </w:rPr>
        <w:t>IL-BAŻI LEGALI</w:t>
      </w:r>
    </w:p>
    <w:p w:rsidR="00472F1B" w:rsidRPr="00FB0CBA" w:rsidRDefault="00472F1B" w:rsidP="00472F1B">
      <w:r w:rsidRPr="00FB0CBA">
        <w:t xml:space="preserve">Il-bażi legali għall-adozzjoni tad-Deċiżjoni tal-Kunsill għandha tkun l-Artikolu 352 tat-TFUE. </w:t>
      </w:r>
    </w:p>
    <w:p w:rsidR="00472F1B" w:rsidRPr="00FB0CBA" w:rsidRDefault="00472F1B" w:rsidP="00472F1B">
      <w:pPr>
        <w:rPr>
          <w:u w:val="single"/>
        </w:rPr>
      </w:pPr>
      <w:r w:rsidRPr="00FB0CBA">
        <w:rPr>
          <w:u w:val="single"/>
        </w:rPr>
        <w:t>L-ASPETTI INTERISTITUZZJONALI TAR-REVIŻJONI</w:t>
      </w:r>
    </w:p>
    <w:p w:rsidR="00472F1B" w:rsidRPr="00FB0CBA" w:rsidRDefault="00D92DDF" w:rsidP="00472F1B">
      <w:pPr>
        <w:autoSpaceDE w:val="0"/>
        <w:autoSpaceDN w:val="0"/>
        <w:adjustRightInd w:val="0"/>
        <w:spacing w:before="0" w:after="0"/>
      </w:pPr>
      <w:r w:rsidRPr="00FB0CBA">
        <w:t>Aspett speċifiku tar-reviżjoni tikkonċerna r-rappreżentazzjoni tal-Kunsill. Fil-format kurrenti tal-laqgħat tal-SST, jipparteċipaw il-Presidenza tal-Kunsill u ż-żewġ presidenzi sussegwenti.</w:t>
      </w:r>
    </w:p>
    <w:p w:rsidR="00472F1B" w:rsidRPr="00FB0CBA" w:rsidRDefault="00B91623" w:rsidP="00472F1B">
      <w:pPr>
        <w:autoSpaceDE w:val="0"/>
        <w:autoSpaceDN w:val="0"/>
        <w:adjustRightInd w:val="0"/>
        <w:spacing w:before="0" w:after="0"/>
      </w:pPr>
      <w:r w:rsidRPr="00FB0CBA">
        <w:t>B'mod speċifiku, il-prattika attwali li ilha sseħħ mill-2010 tinvolvi l-arranġamenti li ġejjin:</w:t>
      </w:r>
    </w:p>
    <w:p w:rsidR="00472F1B" w:rsidRPr="00FB0CBA" w:rsidRDefault="00472F1B" w:rsidP="00472F1B">
      <w:pPr>
        <w:pStyle w:val="Tiret0"/>
      </w:pPr>
      <w:r w:rsidRPr="00FB0CBA">
        <w:t>l-inviti uffiċjali jiġu ffirmati mill-President tal-Kunsill Ewropew, mill-President tal-Kummissjoni u mill-Kap ta' Stat jew ta' Gvern tal-Istat Membru li jkollu l-Presidenza tal-UE;</w:t>
      </w:r>
    </w:p>
    <w:p w:rsidR="00472F1B" w:rsidRPr="00FB0CBA" w:rsidRDefault="00472F1B" w:rsidP="00472F1B">
      <w:pPr>
        <w:pStyle w:val="Tiret0"/>
      </w:pPr>
      <w:r w:rsidRPr="00FB0CBA">
        <w:t>il-laqgħa tkun kopreseduta mill-President tal-Kummissjoni u mill-President tal-Kunsill Ewropew, li rispettivament jagħmlu l-ftuħ u l-għeluq tagħha. Il-Kap ta' Stat jew ta' Gvern tal-Istat Membru li jkollu l-Presidenza jindirizza l-laqgħa darba;</w:t>
      </w:r>
    </w:p>
    <w:p w:rsidR="00472F1B" w:rsidRPr="00FB0CBA" w:rsidRDefault="00472F1B" w:rsidP="00472F1B">
      <w:pPr>
        <w:pStyle w:val="Tiret0"/>
      </w:pPr>
      <w:r w:rsidRPr="00FB0CBA">
        <w:t>il-Presidenza tal-Kunsill u ż-żewġ presidenzi sussegwenti jipparteċipaw fil-livell tal-Kapijiet ta' Stat jew ta' Gvern u tal-ministri għall-impjieg.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t>B'interpretazzjoni legalment stretta tal-Artikolu 15 tat-TUE, wieħed jista' jirraġuna li l-kontinwità tal-parteċipazzjoni tal-Kunsill tista' ssir bil-parteċipazzjoni tal-President tal-Kunsill Ewropew waħdu. U għaldaqstant ma għadx hemm bżonn li jipparteċipaw it-tliet presidenzi suċċessivi.</w:t>
      </w:r>
    </w:p>
    <w:p w:rsidR="00472F1B" w:rsidRPr="00FB0CBA" w:rsidRDefault="00CC3D8B" w:rsidP="00472F1B">
      <w:pPr>
        <w:autoSpaceDE w:val="0"/>
        <w:autoSpaceDN w:val="0"/>
        <w:adjustRightInd w:val="0"/>
        <w:spacing w:before="0" w:after="0"/>
      </w:pPr>
      <w:r w:rsidRPr="00FB0CBA">
        <w:t>Iżda bis-saħħa tal-esperjenza pożittiva li ta dan il-format, li ilhu segwit sa mill-2010, u tal-approvazzjoni li ntlaqa' biha, il-Kummissjoni hija favur soluzzjoni prammatika li tkompli tibni fuq il-prattika attwali. Dan ifisser li l-parteċipazzjoni tat-tliet presidenzi suċċessivi, fil-livell tal-Kapijiet ta' Stat jew ta' Gvern, u fil-livell tal-ministri għall-impjieg, għadha ġġustifikata minħabba l-kontinwità tal-kompiti tal-Kunsill taħt ir-responsabbiltà tal-presidenzi ta' rotazzjoni.</w:t>
      </w:r>
    </w:p>
    <w:p w:rsidR="00472F1B" w:rsidRPr="00FB0CBA" w:rsidRDefault="00CC5D5D" w:rsidP="00D92DDF">
      <w:pPr>
        <w:rPr>
          <w:u w:val="single"/>
        </w:rPr>
      </w:pPr>
      <w:r w:rsidRPr="00FB0CBA">
        <w:rPr>
          <w:u w:val="single"/>
        </w:rPr>
        <w:t>IL-FREKWENZA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t>Id-Deċiżjoni tal-Kunsill attwali tistipula li l-SST għandu jiltaqa' mill-inqas darba fis-sena, qabel il-Kunsill Ewropew tar-rebbiegħa. Fil-prattika, l-SST iltaqa' darbtejn fis-sena, bl-involviment interattiv tal-presidenzi attwali sa mill-2003, qabel il-laqgħat tar-rebbiegħa u tal-ħarifa tal-Kunsill Ewropew.</w:t>
      </w:r>
    </w:p>
    <w:p w:rsidR="00472F1B" w:rsidRPr="00FB0CBA" w:rsidRDefault="0086361F" w:rsidP="00472F1B">
      <w:pPr>
        <w:autoSpaceDE w:val="0"/>
        <w:autoSpaceDN w:val="0"/>
        <w:adjustRightInd w:val="0"/>
        <w:spacing w:before="0" w:after="0"/>
      </w:pPr>
      <w:r w:rsidRPr="00FB0CBA">
        <w:t xml:space="preserve">Il-Kummissjoni tqis li, għal darba oħra, l-esperjenza tal-prattika attwali hija pożittiva u li l-ħtieġa ta' konkordanza effiċjenti u viżibbli u f'livell għoli, bejn l-istituzzjonijiet tal-UE u l-imsieħba soċjali tal-UE tiġġustifika li jsiru żewġ laqgħat fis-sena tal-SST. Ir-reviżjoni </w:t>
      </w:r>
      <w:r w:rsidRPr="00FB0CBA">
        <w:lastRenderedPageBreak/>
        <w:t>tikkonferma l-prattika ta’ laqgħat tal-SST qabel il-laqgħat tar-rebbiegħa u tal-ħarifa tal-Kunsill Ewropew.</w:t>
      </w:r>
    </w:p>
    <w:p w:rsidR="00472F1B" w:rsidRPr="00FB0CBA" w:rsidRDefault="00472F1B" w:rsidP="002A498F">
      <w:pPr>
        <w:pStyle w:val="Heading1"/>
      </w:pPr>
      <w:r w:rsidRPr="00FB0CBA">
        <w:t>IMPLIKAZZJONI BAĠITARJA</w:t>
      </w:r>
    </w:p>
    <w:p w:rsidR="00472F1B" w:rsidRPr="00FB0CBA" w:rsidRDefault="00472F1B" w:rsidP="00D97A8A">
      <w:r w:rsidRPr="00FB0CBA">
        <w:t>Mhux applikabbli</w:t>
      </w:r>
    </w:p>
    <w:p w:rsidR="00472F1B" w:rsidRPr="00FB0CBA" w:rsidRDefault="00472F1B" w:rsidP="002A498F">
      <w:pPr>
        <w:pStyle w:val="Heading1"/>
      </w:pPr>
      <w:r w:rsidRPr="00FB0CBA">
        <w:t>ELEMENTI FAKULTATTIVI</w:t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  <w:rPr>
          <w:u w:val="single"/>
        </w:rPr>
      </w:pPr>
      <w:r w:rsidRPr="00FB0CBA">
        <w:rPr>
          <w:u w:val="single"/>
        </w:rPr>
        <w:t>L-ARGUMENTI FAVUR REVIŻJONI LIMITATA/ĦAFIFA</w:t>
      </w:r>
      <w:r w:rsidRPr="00FB0CBA">
        <w:tab/>
      </w:r>
      <w:r w:rsidRPr="00FB0CBA">
        <w:rPr>
          <w:u w:val="single"/>
        </w:rPr>
        <w:br/>
      </w:r>
    </w:p>
    <w:p w:rsidR="00472F1B" w:rsidRPr="00FB0CBA" w:rsidRDefault="00472F1B" w:rsidP="00472F1B">
      <w:pPr>
        <w:autoSpaceDE w:val="0"/>
        <w:autoSpaceDN w:val="0"/>
        <w:adjustRightInd w:val="0"/>
        <w:spacing w:before="0" w:after="0"/>
      </w:pPr>
      <w:r w:rsidRPr="00FB0CBA">
        <w:t>F'dan l-istadju, il-Kummissjoni mhijiex biħsiebha tutilizza l-opportunità li tagħti din ir-reviżjoni biex twettaq studju fil-fond tal-funzjonament tas-Summit Soċjali Tripartitiku. L-imsieħba soċjali dejjem qiesu lis-Summit bħala forum privileġġat fejn jiddiskutu kwistjonijiet soċjali u dwar l-impjieg fl-ogħla livell, qabel il-Kunsill Ewropew tar-rebbiegħa u tal-ħarifa, fil-preżenza tal-Kapijiet ta' Stat u ta' Gvern u tal-ministri tal-impjiegi u l-affarijiet soċjali tal-presidenzi ta' rotazzjoni. Dan jipprovdi wkoll opportunità għar-rappreżentanti tal-istituzzjonijiet tal-UE li jattendu l-SST biex jisimgħu l-fehmiet u l-proposti miż-żewġ naħat tas-sħubija tad-djalogu soċjali, u dan jippermettilhom li sussegwentement jgħaddu dawn il-fehmiet lill-membri tal-Kunsill Ewropew.</w:t>
      </w:r>
    </w:p>
    <w:p w:rsidR="00472F1B" w:rsidRPr="00FB0CBA" w:rsidRDefault="009002CE" w:rsidP="00472F1B">
      <w:pPr>
        <w:autoSpaceDE w:val="0"/>
        <w:autoSpaceDN w:val="0"/>
        <w:adjustRightInd w:val="0"/>
        <w:spacing w:before="0" w:after="0"/>
      </w:pPr>
      <w:r w:rsidRPr="00FB0CBA">
        <w:br/>
        <w:t>Il-Kummissjoni hija favur proposta li taddatta d-Deċiżjoni attwali għal mat-tibdiliet istituzzjonali li rriżultaw mit-Trattat ta' Lisbona, filwaqt li tirrifletti r-riżultati pożittivi tal-esperjenza prattika riċenti tal-SST. Iddaħħlu wkoll ftit aġġustamenti tal-editjar biex itejbu l-kwalità teknika tat-test. Dan se jiżgura proċess ta' reviżjoni b'ħeffa.</w:t>
      </w:r>
    </w:p>
    <w:p w:rsidR="00472F1B" w:rsidRPr="00FB0CBA" w:rsidRDefault="00472F1B" w:rsidP="00D97A8A">
      <w:pPr>
        <w:sectPr w:rsidR="00472F1B" w:rsidRPr="00FB0CBA" w:rsidSect="00B66AFC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397CA7" w:rsidRDefault="00B66AFC" w:rsidP="00B66AFC">
      <w:pPr>
        <w:pStyle w:val="Rfrenceinterinstitutionnelle"/>
        <w:rPr>
          <w:noProof/>
        </w:rPr>
      </w:pPr>
      <w:r w:rsidRPr="00B66AFC">
        <w:lastRenderedPageBreak/>
        <w:t>2013/0361 (APP)</w:t>
      </w:r>
    </w:p>
    <w:p w:rsidR="00472F1B" w:rsidRPr="00FB0CBA" w:rsidRDefault="00B66AFC" w:rsidP="00B66AFC">
      <w:pPr>
        <w:pStyle w:val="Statut"/>
      </w:pPr>
      <w:r w:rsidRPr="00B66AFC">
        <w:t>Proposta għal</w:t>
      </w:r>
    </w:p>
    <w:p w:rsidR="00472F1B" w:rsidRPr="00FB0CBA" w:rsidRDefault="00B66AFC" w:rsidP="00B66AFC">
      <w:pPr>
        <w:pStyle w:val="Typedudocument"/>
      </w:pPr>
      <w:r w:rsidRPr="00B66AFC">
        <w:t>DEĊIŻJONI TAL-KUNSILL</w:t>
      </w:r>
    </w:p>
    <w:p w:rsidR="00472F1B" w:rsidRPr="00FB0CBA" w:rsidRDefault="00B66AFC" w:rsidP="00B66AFC">
      <w:pPr>
        <w:pStyle w:val="Titreobjet"/>
      </w:pPr>
      <w:r w:rsidRPr="00B66AFC">
        <w:t>dwar Summit Soċjali Tripartitiku għat-Tkabbir u l-Impjiegi</w:t>
      </w:r>
    </w:p>
    <w:p w:rsidR="00472F1B" w:rsidRPr="00FB0CBA" w:rsidRDefault="00472F1B" w:rsidP="00D97A8A">
      <w:pPr>
        <w:pStyle w:val="Institutionquiagit"/>
      </w:pPr>
      <w:r w:rsidRPr="00FB0CBA">
        <w:t>IL-KUNSILL TAL-UNJONI EWROPEA,</w:t>
      </w:r>
    </w:p>
    <w:p w:rsidR="00472F1B" w:rsidRPr="00FB0CBA" w:rsidRDefault="00472F1B" w:rsidP="00472F1B">
      <w:r w:rsidRPr="00FB0CBA">
        <w:t>Wara li kkunsidra t-Trattat dwar il-funzjonament tal-Unjoni Ewropea, u b'mod partikulari l-Artikolu 352,</w:t>
      </w:r>
    </w:p>
    <w:p w:rsidR="00472F1B" w:rsidRPr="00FB0CBA" w:rsidRDefault="00472F1B" w:rsidP="00472F1B">
      <w:r w:rsidRPr="00FB0CBA">
        <w:t>Wara li kkunsidra l-proposta tal-Kummissjoni,</w:t>
      </w:r>
    </w:p>
    <w:p w:rsidR="00231C63" w:rsidRPr="00FB0CBA" w:rsidRDefault="00231C63" w:rsidP="00472F1B">
      <w:r w:rsidRPr="00FB0CBA">
        <w:t>Wara li kkunsidra l-kunsens tal-Parlament Ewropew</w:t>
      </w:r>
      <w:r w:rsidRPr="00FB0CBA">
        <w:rPr>
          <w:rStyle w:val="FootnoteReference"/>
        </w:rPr>
        <w:footnoteReference w:id="1"/>
      </w:r>
      <w:r w:rsidRPr="00FB0CBA">
        <w:t>,</w:t>
      </w:r>
    </w:p>
    <w:p w:rsidR="008334BA" w:rsidRPr="00FB0CBA" w:rsidRDefault="008334BA" w:rsidP="008334BA">
      <w:pPr>
        <w:rPr>
          <w:noProof/>
        </w:rPr>
      </w:pPr>
      <w:r w:rsidRPr="00FB0CBA">
        <w:t>Wara t-trasmissjoni tal-abbozz tal-att leġislattiv lill-Parlamenti nazzjonali,</w:t>
      </w:r>
    </w:p>
    <w:p w:rsidR="008334BA" w:rsidRPr="00FB0CBA" w:rsidRDefault="008334BA" w:rsidP="008334BA">
      <w:pPr>
        <w:rPr>
          <w:noProof/>
        </w:rPr>
      </w:pPr>
      <w:r w:rsidRPr="00FB0CBA">
        <w:t>Filwaqt li jaġixxi skont proċedura leġislattiva speċjali,</w:t>
      </w:r>
    </w:p>
    <w:p w:rsidR="00472F1B" w:rsidRPr="00FB0CBA" w:rsidRDefault="00472F1B" w:rsidP="00472F1B">
      <w:r w:rsidRPr="00FB0CBA">
        <w:t>Billi:</w:t>
      </w:r>
    </w:p>
    <w:p w:rsidR="00472F1B" w:rsidRPr="00FB0CBA" w:rsidRDefault="00D44438" w:rsidP="006D770D">
      <w:pPr>
        <w:pStyle w:val="Considrant"/>
        <w:numPr>
          <w:ilvl w:val="0"/>
          <w:numId w:val="13"/>
        </w:numPr>
      </w:pPr>
      <w:r w:rsidRPr="00FB0CBA">
        <w:t xml:space="preserve">L-Artikolu 3 tat-TUE jistipula li wieħed mill-għanijiet tal-Unjoni Ewropea huwa li tiġi żviluppata ekonomija tas-suq soċjali kompetittiva ħafna, bil-mira li jkun hemm okkupazzjoni sħiħa u progress soċjali. </w:t>
      </w:r>
    </w:p>
    <w:p w:rsidR="00472F1B" w:rsidRPr="00FB0CBA" w:rsidRDefault="00472F1B" w:rsidP="00323305">
      <w:pPr>
        <w:pStyle w:val="Considrant"/>
      </w:pPr>
      <w:r w:rsidRPr="00FB0CBA">
        <w:t>Meta tkun qiegħda tiddefinixxi u timplimenta l-politiki u l-attivitajiet, l-Unjoni trid tqis id-dimensjoni soċjali tagħhom, b'mod speċifiku r-rekwiżiti marbuta mal-promozzjoni ta' livell għoli ta' impjiegi, mal-garanzija ta' protezzjoni soċjali xierqa, mal-ġlieda kontra l-esklużjoni soċjali, u ma' livell għoli ta' edukazzjoni, taħriġ u protezzjoni tas-saħħa tal-bniedem, b'konformità mal-Artikolu 9 tat-TFUE.</w:t>
      </w:r>
    </w:p>
    <w:p w:rsidR="00472F1B" w:rsidRPr="00FB0CBA" w:rsidRDefault="00472F1B" w:rsidP="00323305">
      <w:pPr>
        <w:pStyle w:val="Considrant"/>
      </w:pPr>
      <w:r w:rsidRPr="00FB0CBA">
        <w:t>L-Unjoni tirrikonoxxi u tippromwovi lir-rwol tal-imsieħba soċjali fil-livell tagħha, u tiffaċilita d-djalogu bejniethom filwaqt li tirrispetta l-awtonomija tagħhom, b'konformità mal-Artikolu 152 tat-TFUE.</w:t>
      </w:r>
    </w:p>
    <w:p w:rsidR="00472F1B" w:rsidRPr="00FB0CBA" w:rsidRDefault="00472F1B" w:rsidP="00323305">
      <w:pPr>
        <w:pStyle w:val="Considrant"/>
      </w:pPr>
      <w:r w:rsidRPr="00FB0CBA">
        <w:t>Biex tippromwovi l-konkordanza f'livell għoli mal-imsieħba soċjali tal-UE dwar l-istrateġija ġenerali stabbilita mill-Kunsill Ewropew ta' Lisbona tat-23 u l-24 ta' Marzu 2000, l-Unjoni waqqfet Summit Soċjali Tripartitiku għat-Tkabbir u l-Impjiegi, li issa ġie rikonoxxut fl-Artikolu 152 tat-TFUE bħala komponent integrali tad-djalogu soċjali fil-livell tal-UE.</w:t>
      </w:r>
    </w:p>
    <w:p w:rsidR="00472F1B" w:rsidRPr="00FB0CBA" w:rsidRDefault="00472F1B" w:rsidP="00323305">
      <w:pPr>
        <w:pStyle w:val="Considrant"/>
      </w:pPr>
      <w:r w:rsidRPr="00FB0CBA">
        <w:t>L-Unjoni u l-Istati Membri huma impenjati li jikkooperaw fil-qafas ta' strateġija integrata maħsuba biex tagħti spinta lill-potenzjal tal-UE għat-tkabbir u għall-impjiegi tul l-għaxar snin mill-2010 sal-2020, l-Istrateġija Ewropa 2020. Hija qed timmira lejn koordinazzjoni miżjuda bejn il-politiki nazzjonali u dawk Ewropej.</w:t>
      </w:r>
    </w:p>
    <w:p w:rsidR="00481912" w:rsidRPr="00FB0CBA" w:rsidRDefault="00472F1B" w:rsidP="00323305">
      <w:pPr>
        <w:pStyle w:val="Considrant"/>
      </w:pPr>
      <w:r w:rsidRPr="00FB0CBA">
        <w:t>L-Unjoni rrikonoxxiet il-ħtieġa li ttejjeb is-sjieda u l-involviment tal-imsieħba soċjali fl-Istrateġija Ewropa 2020 biex dan jippermettilhom jikkontribwixxu attivament għall-implimentazzjoni tal-oġġettivi tal-istrateġija.</w:t>
      </w:r>
    </w:p>
    <w:p w:rsidR="0019114A" w:rsidRPr="00FB0CBA" w:rsidRDefault="0019114A" w:rsidP="00323305">
      <w:pPr>
        <w:pStyle w:val="Considrant"/>
      </w:pPr>
      <w:r w:rsidRPr="00FB0CBA">
        <w:t xml:space="preserve">Ir-Regolament 1175/2011 dwar it-tisħiħ tas-sorveljanza ta’ pożizzjonijiet ta’ budget u s-sorveljanza u l-koordinazzjoni ta’ politika ekonomika jenfasizza li l-imsieħba soċjali </w:t>
      </w:r>
      <w:r w:rsidRPr="00FB0CBA">
        <w:lastRenderedPageBreak/>
        <w:t>għandhom ikunu involuti fil-qafas tas-Simestru Ewropew, fil-kwistjonijiet ta’ politika ewlenija, fejn rilevanti, b’konformità mad-dispożizzjonijiet tat-TFUE u l-arranġamenti legali u politiċi nazzjonali.</w:t>
      </w:r>
    </w:p>
    <w:p w:rsidR="0019114A" w:rsidRPr="00FB0CBA" w:rsidRDefault="0019114A" w:rsidP="00323305">
      <w:pPr>
        <w:pStyle w:val="Considrant"/>
      </w:pPr>
      <w:r w:rsidRPr="00FB0CBA">
        <w:t>Fil-konklużjonijiet tiegħu tat-28 ta’ Ġunju 2013, il-Kunsill Ewropew innota li d-dimensjoni soċjali tal-UEM għandha tissaħħaħ, u f’dan il-kuntest enfasizza r-rwol ewlieni tal-imsieħba soċjali u tad-djalogu soċjali. Għaldaqstant, il-Kummissjoni fil-Komunikazzjoni tagħha (COM (2013) 690) tat-2 ta’ Ottubru 2013 dwar id-dimensjoni soċjali tal-UEM, indirizzat il-kwistjoni li jiġi promoss id-djalogu soċjali fil-livelli nazzjonali u tal-UE u ħabbret proposta biex issir reviżjoni tad-Deċiżjoni tal-Kunsill tal-2003.</w:t>
      </w:r>
    </w:p>
    <w:p w:rsidR="00472F1B" w:rsidRPr="00FB0CBA" w:rsidRDefault="00472F1B" w:rsidP="00323305">
      <w:pPr>
        <w:pStyle w:val="Considrant"/>
      </w:pPr>
      <w:r w:rsidRPr="00FB0CBA">
        <w:t>Mit-twaqqif tiegħu bid-Deċiżjoni tal-Kunsill fl-2003, is-Summit Soċjali Tripartitiku laħaq l-għan ewlieni tiegħu li jippermetti konkordanza ta' livell għoli. Huwa kkontribwixxa b'mod pożittiv għall-iżvilupp tad-djalogu soċjali f'livell tal-UE skont l-Istrateġija ta' Lisbona tul l-għaxar snin mill-2000 sal-2010 u skont l-Istrateġija attwali Ewropa 2020.</w:t>
      </w:r>
    </w:p>
    <w:p w:rsidR="00472F1B" w:rsidRPr="00FB0CBA" w:rsidRDefault="00472F1B" w:rsidP="00323305">
      <w:pPr>
        <w:pStyle w:val="Considrant"/>
      </w:pPr>
      <w:r w:rsidRPr="00FB0CBA">
        <w:t>Il-kompiti u l-isħubija tas-Summit Soċjali Tripartitiku għandhom jiġu addattati biex iqisu t-tibdiliet istituzzjonali li saru minħabba t-Trattat ta' Lisbona, b'mod partikolari l-ħolqien tal-funzjoni ta' President tal-Kunsill Ewropew, kif stipulat fl-Artikolu 15 tat-TUE.</w:t>
      </w:r>
    </w:p>
    <w:p w:rsidR="00472F1B" w:rsidRPr="00FB0CBA" w:rsidRDefault="00472F1B" w:rsidP="00323305">
      <w:pPr>
        <w:pStyle w:val="Considrant"/>
      </w:pPr>
      <w:r w:rsidRPr="00FB0CBA">
        <w:t>Din id-Deċiżjoni hija mingħajr ħsara għall-organizzazzjoni u t-tħaddim tas-sistemi nazzjonali ta' relazzjonijiet industrijali u djalogu soċjali.</w:t>
      </w:r>
    </w:p>
    <w:p w:rsidR="00472F1B" w:rsidRPr="00FB0CBA" w:rsidRDefault="00DA538E" w:rsidP="00472F1B">
      <w:pPr>
        <w:pStyle w:val="Formuledadoption"/>
      </w:pPr>
      <w:r w:rsidRPr="00FB0CBA">
        <w:t>ADOTTA DIN ID-DEĊIŻJONI:</w:t>
      </w:r>
    </w:p>
    <w:p w:rsidR="00472F1B" w:rsidRPr="00FB0CBA" w:rsidRDefault="00472F1B" w:rsidP="00472F1B">
      <w:pPr>
        <w:pStyle w:val="Titrearticle"/>
        <w:rPr>
          <w:b/>
        </w:rPr>
      </w:pPr>
      <w:r w:rsidRPr="00FB0CBA">
        <w:t>Artikolu 1</w:t>
      </w:r>
      <w:r w:rsidRPr="00FB0CBA">
        <w:br/>
      </w:r>
      <w:r w:rsidRPr="00FB0CBA">
        <w:rPr>
          <w:b/>
        </w:rPr>
        <w:t>Il-Kompitu</w:t>
      </w:r>
    </w:p>
    <w:p w:rsidR="00472F1B" w:rsidRPr="00FB0CBA" w:rsidRDefault="00472F1B" w:rsidP="00472F1B">
      <w:r w:rsidRPr="00FB0CBA">
        <w:t>Il-kompitu tas-Summit Soċjali Tripartitiku għat-Tkabbir u l-Impjiegi, b'konformità mat-Trattat u b'attenzjoni xierqa għall-poteri tal-istituzzjonijiet u l-korpi tal-Unjoni, għandu jkun li jiżgura li jkun hemm konkordanza kontinwa bejn il-Kunsill, il-Kummissjoni u l-imsieħba soċjali. Huwa se jippermetti lill-imsieħba soċjali li jikkontribwixxu, f'livell Ewropew, fil-kuntest tad-djalogu soċjali tagħhom, għall-komponenti diversi tal-istrateġija tal-Unjoni għat-tkabbir u l-impjiegi. Għal dak il-għan, għandu jħejji x-xogħol tal-bidu u d-diskussjonijiet bejn il-Kunsill, il-Kummissjoni u l-imsieħba soċjali fil-forums differenti tal-konċentrazzjoni dwar materji ekonomiċi, soċjali u ta' xogħol.</w:t>
      </w:r>
    </w:p>
    <w:p w:rsidR="00472F1B" w:rsidRPr="00FB0CBA" w:rsidRDefault="00472F1B" w:rsidP="00472F1B">
      <w:pPr>
        <w:pStyle w:val="Titrearticle"/>
        <w:rPr>
          <w:b/>
        </w:rPr>
      </w:pPr>
      <w:r w:rsidRPr="00FB0CBA">
        <w:t>Artikolu 2</w:t>
      </w:r>
      <w:r w:rsidRPr="00FB0CBA">
        <w:br/>
      </w:r>
      <w:r w:rsidRPr="00FB0CBA">
        <w:rPr>
          <w:b/>
        </w:rPr>
        <w:t>Is-Sħubija</w:t>
      </w:r>
    </w:p>
    <w:p w:rsidR="00472F1B" w:rsidRPr="00FB0CBA" w:rsidRDefault="00472F1B" w:rsidP="006D770D">
      <w:pPr>
        <w:pStyle w:val="NumPar1"/>
        <w:numPr>
          <w:ilvl w:val="0"/>
          <w:numId w:val="14"/>
        </w:numPr>
      </w:pPr>
      <w:r w:rsidRPr="00FB0CBA">
        <w:t>Is-Summit għandu jikkonsisti mill-President tal-Kunsill Ewropew, mill-Presidenza tal-Kunsill u ż-żewġ presidenzi sussegwenti, mill-Kummissjoni u mill-imsieħba soċjali, irrappreżentati fl-għola livell. Għandhom ikunu preżenti wkoll il-ministri minn dawk it-tliet presidenzi u l-Kummissarju responsabbli mill-impjiegi u l-affarijiet soċjali. Skont l-aġenda, jistgħu wkoll jiġu mistiedna biex jieħdu sehem ministri oħrajn minn dawn it-tliet presidenzi u Kummissarji oħrajn.</w:t>
      </w:r>
    </w:p>
    <w:p w:rsidR="00472F1B" w:rsidRPr="00FB0CBA" w:rsidRDefault="00472F1B" w:rsidP="002A498F">
      <w:pPr>
        <w:pStyle w:val="NumPar1"/>
      </w:pPr>
      <w:r w:rsidRPr="00FB0CBA">
        <w:t>Ir-rappreżentanti tal-imsieħba soċjali se jiġu maqsumin f'żewġ delegazzjonijiet indaqs li jkun fihom 10 rappreżentanti tal-ħaddiema u 10 rappreżentanti ta' min iħaddem, filwaqt li titqies il-ħtieġa li tkun żgurata parteċipazzjoni bilanċjata bejn l-irġiel u n-nisa.</w:t>
      </w:r>
    </w:p>
    <w:p w:rsidR="00472F1B" w:rsidRPr="00FB0CBA" w:rsidRDefault="00472F1B" w:rsidP="002A498F">
      <w:pPr>
        <w:pStyle w:val="NumPar1"/>
      </w:pPr>
      <w:r w:rsidRPr="00FB0CBA">
        <w:lastRenderedPageBreak/>
        <w:t>Kull delegazzjoni għandha tikkonsisti minn rappreżentanti tal-organizzazzjonijiet transindustrijali Ewropej, jew li jirrappreżentaw l-interessi ġenerali jew l-interessi aktar speċifiċi tal-persunal ta' superviżjoni u maniġerjali u ta' intrapriżi żgħar u ta' daqs medju fil-livell Ewropew.</w:t>
      </w:r>
      <w:r w:rsidRPr="00FB0CBA">
        <w:tab/>
      </w:r>
      <w:r w:rsidRPr="00FB0CBA">
        <w:br/>
      </w:r>
      <w:r w:rsidRPr="00FB0CBA">
        <w:br/>
        <w:t>Il-koordinazzjoni teknika għandha tingħata lid-delegazzjoni tal-ħaddiema mill-Konfederazzjoni Ewropea tat-Trejd Unjins (ETUC) u lid-delegazzjoni ta' min iħaddem mill-Konfederazzjoni tan-Negozji Ewropej (BUSINESSEUROPE). L-ETUC u l-BUSINESSEUROPE għandhom jassiguraw li l-fehmiet espressi mill-organizzazzjonijiet speċifiċi u settorjali jkunu meqjusa bis-sħiħ fil-kontribuzzjonijiet tagħhom u għandhom, fejn jixraq, jinkludu r-rappreżentanti ta' wħud minn dawk l-organizzazzjonijiet fid-delegazzjonijiet tagħhom.</w:t>
      </w:r>
    </w:p>
    <w:p w:rsidR="00472F1B" w:rsidRPr="00FB0CBA" w:rsidRDefault="00472F1B" w:rsidP="00472F1B">
      <w:pPr>
        <w:pStyle w:val="Titrearticle"/>
      </w:pPr>
      <w:r w:rsidRPr="00FB0CBA">
        <w:t>Artikolu 3</w:t>
      </w:r>
      <w:r w:rsidRPr="00FB0CBA">
        <w:br/>
      </w:r>
      <w:r w:rsidRPr="00FB0CBA">
        <w:rPr>
          <w:b/>
        </w:rPr>
        <w:t>Tħejija</w:t>
      </w:r>
    </w:p>
    <w:p w:rsidR="00472F1B" w:rsidRPr="00FB0CBA" w:rsidRDefault="00472F1B" w:rsidP="0036573C">
      <w:pPr>
        <w:pStyle w:val="NumPar1"/>
        <w:numPr>
          <w:ilvl w:val="0"/>
          <w:numId w:val="10"/>
        </w:numPr>
      </w:pPr>
      <w:r w:rsidRPr="00FB0CBA">
        <w:t>L-aġenda tas-Summit għandha tkun iddeterminata b'mod konġunt mill-Kunsill, mill-Kummissjoni u mill-organizzazzjonijiet transindustrijali li jirrapreżentaw lill-ħaddiema u lil min iħaddem li jkunu qed jieħdu sehem fix-xogħol tas-Summit. Għal dan il-għan, isiru għadd ta' laqgħat preparatorji bejn is-servizzi tal-Kunsill, il-Kummissjoni, l-ETUC u l-BUSINESSEUROPE.</w:t>
      </w:r>
    </w:p>
    <w:p w:rsidR="00472F1B" w:rsidRPr="00FB0CBA" w:rsidRDefault="00472F1B" w:rsidP="002A498F">
      <w:pPr>
        <w:pStyle w:val="NumPar1"/>
      </w:pPr>
      <w:r w:rsidRPr="00FB0CBA">
        <w:t>Is-suġġetti fl-aġenda għandhom ikunu diskussi mill-laqgħa tal-Kunsill fil-formazzjoni tiegħu ta' Impjiegi, Politika Soċjali, Saħħa u Affarijiet tal-Konsumatur.</w:t>
      </w:r>
    </w:p>
    <w:p w:rsidR="00472F1B" w:rsidRPr="00FB0CBA" w:rsidRDefault="00472F1B" w:rsidP="002A498F">
      <w:pPr>
        <w:pStyle w:val="NumPar1"/>
      </w:pPr>
      <w:r w:rsidRPr="00FB0CBA">
        <w:t>Il-Kummissjoni għandha tipprovdi s-segretarjat tas-Summit. Is-segretarjat se jiżgura b'mod partikolari li d-dokumenti jitqassmu fil-ħin. Biex iħejji u jorganizza l-laqgħat, is-segretarjat tas-Summit għandu jistabbilixxi l-kuntatti xierqa mal-ETUC u l-BUSINESSEUROPE, li se jkunu responsabbli mill-koordinazzjoni tad-delegazzjonijiet rispettivi tagħhom.</w:t>
      </w:r>
    </w:p>
    <w:p w:rsidR="00472F1B" w:rsidRPr="00FB0CBA" w:rsidRDefault="00472F1B" w:rsidP="00472F1B">
      <w:pPr>
        <w:pStyle w:val="Titrearticle"/>
        <w:rPr>
          <w:b/>
        </w:rPr>
      </w:pPr>
      <w:r w:rsidRPr="00FB0CBA">
        <w:t>Artikolu 4</w:t>
      </w:r>
      <w:r w:rsidRPr="00FB0CBA">
        <w:br/>
      </w:r>
      <w:r w:rsidRPr="00FB0CBA">
        <w:rPr>
          <w:b/>
        </w:rPr>
        <w:t>Tħaddim</w:t>
      </w:r>
    </w:p>
    <w:p w:rsidR="00472F1B" w:rsidRPr="00FB0CBA" w:rsidRDefault="00472F1B" w:rsidP="0036573C">
      <w:pPr>
        <w:pStyle w:val="NumPar1"/>
        <w:numPr>
          <w:ilvl w:val="0"/>
          <w:numId w:val="9"/>
        </w:numPr>
      </w:pPr>
      <w:r w:rsidRPr="00FB0CBA">
        <w:t>Is-Summit għandu jiltaqa' mill-inqas darbtejn fis-sena. Il-laqgħat għandhom isiru qabel is-seduti rispettivi tar-rebbiegħa u tal-ħarifa tal-Kunsill Ewropew.</w:t>
      </w:r>
    </w:p>
    <w:p w:rsidR="00472F1B" w:rsidRPr="00FB0CBA" w:rsidRDefault="00472F1B" w:rsidP="002A498F">
      <w:pPr>
        <w:pStyle w:val="NumPar1"/>
      </w:pPr>
      <w:r w:rsidRPr="00FB0CBA">
        <w:t>Is-Summit għandu jkun ippresedut b'mod konġunt mill-President tal-Kunsill Ewropew u mill-President tal-Kummissjoni.</w:t>
      </w:r>
    </w:p>
    <w:p w:rsidR="00472F1B" w:rsidRPr="00FB0CBA" w:rsidRDefault="00472F1B" w:rsidP="002A498F">
      <w:pPr>
        <w:pStyle w:val="NumPar1"/>
      </w:pPr>
      <w:r w:rsidRPr="00FB0CBA">
        <w:t>Il-laqgħat tas-Summit għandhom jissejħu mill-presidenti konġunti bl-inizjattiva tagħhom stess, b'konsultazzjoni mal-imsieħba soċjali.</w:t>
      </w:r>
    </w:p>
    <w:p w:rsidR="00472F1B" w:rsidRPr="00FB0CBA" w:rsidRDefault="00472F1B" w:rsidP="00472F1B">
      <w:pPr>
        <w:pStyle w:val="Titrearticle"/>
        <w:rPr>
          <w:b/>
        </w:rPr>
      </w:pPr>
      <w:r w:rsidRPr="00FB0CBA">
        <w:lastRenderedPageBreak/>
        <w:t>Artikolu 5</w:t>
      </w:r>
      <w:r w:rsidRPr="00FB0CBA">
        <w:br/>
      </w:r>
      <w:r w:rsidRPr="00FB0CBA">
        <w:rPr>
          <w:b/>
        </w:rPr>
        <w:t>Informazzjoni</w:t>
      </w:r>
    </w:p>
    <w:p w:rsidR="00472F1B" w:rsidRPr="00FB0CBA" w:rsidRDefault="00472F1B" w:rsidP="00472F1B">
      <w:pPr>
        <w:keepNext/>
        <w:spacing w:before="360"/>
      </w:pPr>
      <w:r w:rsidRPr="00FB0CBA">
        <w:t>Il-presidenti konġunti għandhom iħejju sommarju tad-diskussjonijiet tas-Summit biex jinfurmaw lill-formazzjonijiet rilevanti tal-Kunsill u lill-pubbliku ġenerali.</w:t>
      </w:r>
    </w:p>
    <w:p w:rsidR="00472F1B" w:rsidRPr="00FB0CBA" w:rsidRDefault="00472F1B" w:rsidP="00472F1B">
      <w:pPr>
        <w:pStyle w:val="Titrearticle"/>
        <w:rPr>
          <w:b/>
        </w:rPr>
      </w:pPr>
      <w:r w:rsidRPr="00FB0CBA">
        <w:t>Artikolu 6</w:t>
      </w:r>
      <w:r w:rsidRPr="00FB0CBA">
        <w:br/>
      </w:r>
      <w:r w:rsidRPr="00FB0CBA">
        <w:rPr>
          <w:b/>
        </w:rPr>
        <w:t>Tħassir</w:t>
      </w:r>
    </w:p>
    <w:p w:rsidR="00472F1B" w:rsidRPr="00FB0CBA" w:rsidRDefault="00472F1B" w:rsidP="00472F1B">
      <w:pPr>
        <w:keepNext/>
        <w:spacing w:before="360"/>
      </w:pPr>
      <w:r w:rsidRPr="00FB0CBA">
        <w:t>Id-Deċiżjoni 2003/174/KE hija b'dan imħassra b'effett mid-data tad-dħul fis-seħħ tad-Deċiżjoni l-ġdida.</w:t>
      </w:r>
    </w:p>
    <w:p w:rsidR="00472F1B" w:rsidRPr="00FB0CBA" w:rsidRDefault="00472F1B" w:rsidP="00472F1B">
      <w:pPr>
        <w:pStyle w:val="Titrearticle"/>
      </w:pPr>
      <w:r w:rsidRPr="00FB0CBA">
        <w:t>Artikolu 7</w:t>
      </w:r>
    </w:p>
    <w:p w:rsidR="00472F1B" w:rsidRPr="00FB0CBA" w:rsidRDefault="00472F1B" w:rsidP="00472F1B">
      <w:pPr>
        <w:keepNext/>
        <w:spacing w:before="360"/>
        <w:jc w:val="center"/>
        <w:rPr>
          <w:b/>
        </w:rPr>
      </w:pPr>
      <w:r w:rsidRPr="00FB0CBA">
        <w:rPr>
          <w:b/>
        </w:rPr>
        <w:t>Dħul fis-seħħ</w:t>
      </w:r>
    </w:p>
    <w:p w:rsidR="00472F1B" w:rsidRPr="00FB0CBA" w:rsidRDefault="00472F1B" w:rsidP="00D97A8A">
      <w:pPr>
        <w:keepLines/>
      </w:pPr>
      <w:r w:rsidRPr="00FB0CBA">
        <w:t xml:space="preserve">Din id-Deċiżjoni għandha tidħol fis-seħħ l-għada tal-jum tal-pubblikazzjoni tagħha f' </w:t>
      </w:r>
      <w:r w:rsidRPr="00FB0CBA">
        <w:rPr>
          <w:i/>
        </w:rPr>
        <w:t>Il-Ġurnal Uffiċjali tal-Unjoni Ewropea</w:t>
      </w:r>
      <w:r w:rsidRPr="00FB0CBA">
        <w:t>.</w:t>
      </w:r>
    </w:p>
    <w:p w:rsidR="00472F1B" w:rsidRPr="00FB0CBA" w:rsidRDefault="00B66AFC" w:rsidP="00B66AFC">
      <w:pPr>
        <w:pStyle w:val="Fait"/>
      </w:pPr>
      <w:r w:rsidRPr="00B66AFC">
        <w:t>Magħmul fi Brussell,</w:t>
      </w:r>
    </w:p>
    <w:p w:rsidR="00472F1B" w:rsidRPr="00FB0CBA" w:rsidRDefault="00472F1B" w:rsidP="00472F1B">
      <w:pPr>
        <w:pStyle w:val="Institutionquisigne"/>
      </w:pPr>
      <w:r w:rsidRPr="00FB0CBA">
        <w:tab/>
        <w:t>Għall-Kunsill</w:t>
      </w:r>
    </w:p>
    <w:p w:rsidR="00472F1B" w:rsidRPr="00F503A8" w:rsidRDefault="00472F1B" w:rsidP="00472F1B">
      <w:pPr>
        <w:pStyle w:val="Personnequisigne"/>
      </w:pPr>
      <w:r w:rsidRPr="00FB0CBA">
        <w:tab/>
        <w:t>Il-President</w:t>
      </w:r>
    </w:p>
    <w:sectPr w:rsidR="00472F1B" w:rsidRPr="00F503A8" w:rsidSect="00B66AFC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8" w:rsidRPr="00790CB4" w:rsidRDefault="002A51C8" w:rsidP="00472F1B">
      <w:pPr>
        <w:spacing w:before="0" w:after="0"/>
      </w:pPr>
      <w:r w:rsidRPr="00790CB4">
        <w:separator/>
      </w:r>
    </w:p>
  </w:endnote>
  <w:endnote w:type="continuationSeparator" w:id="0">
    <w:p w:rsidR="002A51C8" w:rsidRPr="00790CB4" w:rsidRDefault="002A51C8" w:rsidP="00472F1B">
      <w:pPr>
        <w:spacing w:before="0" w:after="0"/>
      </w:pPr>
      <w:r w:rsidRPr="00790C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Pr="00B66AFC" w:rsidRDefault="00F503A8" w:rsidP="00B66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A" w:rsidRPr="00B66AFC" w:rsidRDefault="00B66AFC" w:rsidP="00B66AFC">
    <w:pPr>
      <w:pStyle w:val="Footer"/>
      <w:rPr>
        <w:rFonts w:ascii="Arial" w:hAnsi="Arial" w:cs="Arial"/>
        <w:b/>
        <w:sz w:val="48"/>
      </w:rPr>
    </w:pPr>
    <w:r w:rsidRPr="00B66AFC">
      <w:rPr>
        <w:rFonts w:ascii="Arial" w:hAnsi="Arial" w:cs="Arial"/>
        <w:b/>
        <w:sz w:val="48"/>
      </w:rPr>
      <w:t>MT</w:t>
    </w:r>
    <w:r w:rsidRPr="00B66AFC">
      <w:rPr>
        <w:rFonts w:ascii="Arial" w:hAnsi="Arial" w:cs="Arial"/>
        <w:b/>
        <w:sz w:val="48"/>
      </w:rPr>
      <w:tab/>
    </w:r>
    <w:r w:rsidRPr="00B66AF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66AFC">
      <w:tab/>
    </w:r>
    <w:r w:rsidRPr="00B66AFC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Pr="00B66AFC" w:rsidRDefault="00F503A8" w:rsidP="00B66A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BA" w:rsidRPr="00B66AFC" w:rsidRDefault="00B66AFC" w:rsidP="00B66AFC">
    <w:pPr>
      <w:pStyle w:val="Footer"/>
      <w:rPr>
        <w:rFonts w:ascii="Arial" w:hAnsi="Arial" w:cs="Arial"/>
        <w:b/>
        <w:sz w:val="48"/>
      </w:rPr>
    </w:pPr>
    <w:r w:rsidRPr="00B66AFC">
      <w:rPr>
        <w:rFonts w:ascii="Arial" w:hAnsi="Arial" w:cs="Arial"/>
        <w:b/>
        <w:sz w:val="48"/>
      </w:rPr>
      <w:t>MT</w:t>
    </w:r>
    <w:r w:rsidRPr="00B66AF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66AFC">
      <w:tab/>
    </w:r>
    <w:r w:rsidRPr="00B66AFC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FC" w:rsidRPr="00B66AFC" w:rsidRDefault="00B66AFC" w:rsidP="00B66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8" w:rsidRPr="00790CB4" w:rsidRDefault="002A51C8" w:rsidP="00472F1B">
      <w:pPr>
        <w:spacing w:before="0" w:after="0"/>
      </w:pPr>
      <w:r w:rsidRPr="00790CB4">
        <w:separator/>
      </w:r>
    </w:p>
  </w:footnote>
  <w:footnote w:type="continuationSeparator" w:id="0">
    <w:p w:rsidR="002A51C8" w:rsidRPr="00790CB4" w:rsidRDefault="002A51C8" w:rsidP="00472F1B">
      <w:pPr>
        <w:spacing w:before="0" w:after="0"/>
      </w:pPr>
      <w:r w:rsidRPr="00790CB4">
        <w:continuationSeparator/>
      </w:r>
    </w:p>
  </w:footnote>
  <w:footnote w:id="1">
    <w:p w:rsidR="00231C63" w:rsidRPr="00DD74D3" w:rsidRDefault="00231C63" w:rsidP="00231C63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C , , p.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Pr="00B66AFC" w:rsidRDefault="00F503A8" w:rsidP="00B66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Pr="00B66AFC" w:rsidRDefault="00F503A8" w:rsidP="00B66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Pr="00B66AFC" w:rsidRDefault="00F503A8" w:rsidP="00B66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3E5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33621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5EA82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D56F4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14E77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7068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8A22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1EC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PAGE_EXISTS" w:val="True"/>
    <w:docVar w:name="DQCDateTime" w:val="2013-10-24 09:47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4B5E4AC0930B4EA0B11BBF2C19D06E17"/>
    <w:docVar w:name="LW_CROSSREFERENCE" w:val="&lt;UNUSED&gt;"/>
    <w:docVar w:name="LW_DocType" w:val="COM"/>
    <w:docVar w:name="LW_EMISSION" w:val="31.10.2013"/>
    <w:docVar w:name="LW_EMISSION_ISODATE" w:val="2013-10-31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APP"/>
    <w:docVar w:name="LW_REF.II.NEW.CP_NUMBER" w:val="0361"/>
    <w:docVar w:name="LW_REF.II.NEW.CP_YEAR" w:val="2013"/>
    <w:docVar w:name="LW_REF.INST.NEW" w:val="COM"/>
    <w:docVar w:name="LW_REF.INST.NEW_ADOPTED" w:val="final"/>
    <w:docVar w:name="LW_REF.INST.NEW_TEXT" w:val="(2013) 740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Summit So\u267?jali Tripartitiku g\u295?at-Tkabbir u l-Impjiegi"/>
    <w:docVar w:name="LW_TYPE.DOC.CP" w:val="DE\u266?I\u379?JONI TAL-KUNSILL"/>
    <w:docVar w:name="Stamp" w:val="\\dossiers.dgt.cec.eu.int\dossiers\EMPL\EMPL-2012-02136\EMPL-2012-02136-00-00-EN-REV-00.DOC"/>
  </w:docVars>
  <w:rsids>
    <w:rsidRoot w:val="00472F1B"/>
    <w:rsid w:val="00003B06"/>
    <w:rsid w:val="00094199"/>
    <w:rsid w:val="00103004"/>
    <w:rsid w:val="00103CF4"/>
    <w:rsid w:val="0011726B"/>
    <w:rsid w:val="00122173"/>
    <w:rsid w:val="00133418"/>
    <w:rsid w:val="00157671"/>
    <w:rsid w:val="0017715E"/>
    <w:rsid w:val="001843D3"/>
    <w:rsid w:val="0019114A"/>
    <w:rsid w:val="00194CBD"/>
    <w:rsid w:val="001A5BE0"/>
    <w:rsid w:val="001C44C7"/>
    <w:rsid w:val="001E7B1B"/>
    <w:rsid w:val="00212814"/>
    <w:rsid w:val="00231C63"/>
    <w:rsid w:val="0023368A"/>
    <w:rsid w:val="00262F01"/>
    <w:rsid w:val="00267CC5"/>
    <w:rsid w:val="002860E6"/>
    <w:rsid w:val="00297140"/>
    <w:rsid w:val="002A498F"/>
    <w:rsid w:val="002A51C8"/>
    <w:rsid w:val="002A7770"/>
    <w:rsid w:val="002D28D2"/>
    <w:rsid w:val="002D54C8"/>
    <w:rsid w:val="002E5462"/>
    <w:rsid w:val="002F1019"/>
    <w:rsid w:val="003038A8"/>
    <w:rsid w:val="00323305"/>
    <w:rsid w:val="00324168"/>
    <w:rsid w:val="00343B1F"/>
    <w:rsid w:val="003528E6"/>
    <w:rsid w:val="00353B7C"/>
    <w:rsid w:val="0036573C"/>
    <w:rsid w:val="003925F6"/>
    <w:rsid w:val="003942EC"/>
    <w:rsid w:val="00397CA7"/>
    <w:rsid w:val="003C7855"/>
    <w:rsid w:val="003D4CBE"/>
    <w:rsid w:val="0041481C"/>
    <w:rsid w:val="004255B7"/>
    <w:rsid w:val="004413D3"/>
    <w:rsid w:val="0046216F"/>
    <w:rsid w:val="00472F1B"/>
    <w:rsid w:val="00481912"/>
    <w:rsid w:val="004951B1"/>
    <w:rsid w:val="004C3DA3"/>
    <w:rsid w:val="004E25DB"/>
    <w:rsid w:val="004E6CDC"/>
    <w:rsid w:val="00530ECF"/>
    <w:rsid w:val="005563A8"/>
    <w:rsid w:val="00576577"/>
    <w:rsid w:val="005778E4"/>
    <w:rsid w:val="00587A18"/>
    <w:rsid w:val="005B1B6B"/>
    <w:rsid w:val="005D46E3"/>
    <w:rsid w:val="005F57F1"/>
    <w:rsid w:val="00610465"/>
    <w:rsid w:val="0061068C"/>
    <w:rsid w:val="00612E12"/>
    <w:rsid w:val="00615488"/>
    <w:rsid w:val="00643830"/>
    <w:rsid w:val="006722B7"/>
    <w:rsid w:val="00686851"/>
    <w:rsid w:val="006945BE"/>
    <w:rsid w:val="006C5D42"/>
    <w:rsid w:val="006D770D"/>
    <w:rsid w:val="006E6886"/>
    <w:rsid w:val="00703D0F"/>
    <w:rsid w:val="00724CB1"/>
    <w:rsid w:val="007462FB"/>
    <w:rsid w:val="00770399"/>
    <w:rsid w:val="00790CB4"/>
    <w:rsid w:val="007B1574"/>
    <w:rsid w:val="007C1422"/>
    <w:rsid w:val="007C181E"/>
    <w:rsid w:val="007E1990"/>
    <w:rsid w:val="0080583E"/>
    <w:rsid w:val="00810E45"/>
    <w:rsid w:val="00811EEF"/>
    <w:rsid w:val="008322EE"/>
    <w:rsid w:val="008334BA"/>
    <w:rsid w:val="00843978"/>
    <w:rsid w:val="00860E2B"/>
    <w:rsid w:val="0086361F"/>
    <w:rsid w:val="008C3795"/>
    <w:rsid w:val="008D37D8"/>
    <w:rsid w:val="009002CE"/>
    <w:rsid w:val="009026C6"/>
    <w:rsid w:val="0091237C"/>
    <w:rsid w:val="00935033"/>
    <w:rsid w:val="00935E46"/>
    <w:rsid w:val="00955E2D"/>
    <w:rsid w:val="00976F68"/>
    <w:rsid w:val="009F72E9"/>
    <w:rsid w:val="00A06A7D"/>
    <w:rsid w:val="00A1332B"/>
    <w:rsid w:val="00A53864"/>
    <w:rsid w:val="00A86F56"/>
    <w:rsid w:val="00AB43B9"/>
    <w:rsid w:val="00B32299"/>
    <w:rsid w:val="00B33BBA"/>
    <w:rsid w:val="00B512A5"/>
    <w:rsid w:val="00B52B22"/>
    <w:rsid w:val="00B6031F"/>
    <w:rsid w:val="00B66AFC"/>
    <w:rsid w:val="00B74E84"/>
    <w:rsid w:val="00B91623"/>
    <w:rsid w:val="00BC0365"/>
    <w:rsid w:val="00BD4CBF"/>
    <w:rsid w:val="00BE3BE5"/>
    <w:rsid w:val="00C61D0D"/>
    <w:rsid w:val="00C83612"/>
    <w:rsid w:val="00C94A66"/>
    <w:rsid w:val="00CA49AB"/>
    <w:rsid w:val="00CB33C0"/>
    <w:rsid w:val="00CC3D8B"/>
    <w:rsid w:val="00CC5D5D"/>
    <w:rsid w:val="00D13385"/>
    <w:rsid w:val="00D14403"/>
    <w:rsid w:val="00D151BE"/>
    <w:rsid w:val="00D44438"/>
    <w:rsid w:val="00D44A3E"/>
    <w:rsid w:val="00D4549A"/>
    <w:rsid w:val="00D7073F"/>
    <w:rsid w:val="00D90269"/>
    <w:rsid w:val="00D92DDF"/>
    <w:rsid w:val="00D97A8A"/>
    <w:rsid w:val="00DA0F86"/>
    <w:rsid w:val="00DA538E"/>
    <w:rsid w:val="00DE779A"/>
    <w:rsid w:val="00DF4983"/>
    <w:rsid w:val="00E1460B"/>
    <w:rsid w:val="00E4078A"/>
    <w:rsid w:val="00E41598"/>
    <w:rsid w:val="00E41B74"/>
    <w:rsid w:val="00E6460A"/>
    <w:rsid w:val="00E72BAB"/>
    <w:rsid w:val="00E73661"/>
    <w:rsid w:val="00E85D54"/>
    <w:rsid w:val="00EC1F02"/>
    <w:rsid w:val="00ED7DDB"/>
    <w:rsid w:val="00F114F5"/>
    <w:rsid w:val="00F1406C"/>
    <w:rsid w:val="00F33926"/>
    <w:rsid w:val="00F42F6E"/>
    <w:rsid w:val="00F503A8"/>
    <w:rsid w:val="00F54376"/>
    <w:rsid w:val="00F571E0"/>
    <w:rsid w:val="00F645E0"/>
    <w:rsid w:val="00F665BA"/>
    <w:rsid w:val="00F81DCF"/>
    <w:rsid w:val="00F83321"/>
    <w:rsid w:val="00FB0CBA"/>
    <w:rsid w:val="00FB4995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D53B6"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73661"/>
    <w:rPr>
      <w:b/>
      <w:bCs/>
      <w:sz w:val="20"/>
    </w:rPr>
  </w:style>
  <w:style w:type="paragraph" w:styleId="TableofFigures">
    <w:name w:val="table of figures"/>
    <w:basedOn w:val="Normal"/>
    <w:next w:val="Normal"/>
    <w:rsid w:val="00E73661"/>
  </w:style>
  <w:style w:type="paragraph" w:styleId="ListBullet">
    <w:name w:val="List Bullet"/>
    <w:basedOn w:val="Normal"/>
    <w:rsid w:val="00E73661"/>
    <w:pPr>
      <w:numPr>
        <w:numId w:val="1"/>
      </w:numPr>
      <w:contextualSpacing/>
    </w:pPr>
  </w:style>
  <w:style w:type="paragraph" w:styleId="ListBullet2">
    <w:name w:val="List Bullet 2"/>
    <w:basedOn w:val="Normal"/>
    <w:rsid w:val="00E73661"/>
    <w:pPr>
      <w:numPr>
        <w:numId w:val="2"/>
      </w:numPr>
      <w:contextualSpacing/>
    </w:pPr>
  </w:style>
  <w:style w:type="paragraph" w:styleId="ListBullet3">
    <w:name w:val="List Bullet 3"/>
    <w:basedOn w:val="Normal"/>
    <w:rsid w:val="00E73661"/>
    <w:pPr>
      <w:numPr>
        <w:numId w:val="3"/>
      </w:numPr>
      <w:contextualSpacing/>
    </w:pPr>
  </w:style>
  <w:style w:type="paragraph" w:styleId="ListBullet4">
    <w:name w:val="List Bullet 4"/>
    <w:basedOn w:val="Normal"/>
    <w:rsid w:val="00E73661"/>
    <w:pPr>
      <w:numPr>
        <w:numId w:val="4"/>
      </w:numPr>
      <w:contextualSpacing/>
    </w:pPr>
  </w:style>
  <w:style w:type="paragraph" w:styleId="ListNumber">
    <w:name w:val="List Number"/>
    <w:basedOn w:val="Normal"/>
    <w:rsid w:val="00E73661"/>
    <w:pPr>
      <w:numPr>
        <w:numId w:val="5"/>
      </w:numPr>
      <w:contextualSpacing/>
    </w:pPr>
  </w:style>
  <w:style w:type="paragraph" w:styleId="ListNumber2">
    <w:name w:val="List Number 2"/>
    <w:basedOn w:val="Normal"/>
    <w:rsid w:val="00E73661"/>
    <w:pPr>
      <w:numPr>
        <w:numId w:val="6"/>
      </w:numPr>
      <w:contextualSpacing/>
    </w:pPr>
  </w:style>
  <w:style w:type="paragraph" w:styleId="ListNumber3">
    <w:name w:val="List Number 3"/>
    <w:basedOn w:val="Normal"/>
    <w:rsid w:val="00E73661"/>
    <w:pPr>
      <w:numPr>
        <w:numId w:val="7"/>
      </w:numPr>
      <w:contextualSpacing/>
    </w:pPr>
  </w:style>
  <w:style w:type="paragraph" w:styleId="ListNumber4">
    <w:name w:val="List Number 4"/>
    <w:basedOn w:val="Normal"/>
    <w:rsid w:val="00E73661"/>
    <w:pPr>
      <w:numPr>
        <w:numId w:val="8"/>
      </w:numPr>
      <w:contextualSpacing/>
    </w:pPr>
  </w:style>
  <w:style w:type="character" w:styleId="CommentReference">
    <w:name w:val="annotation reference"/>
    <w:rsid w:val="009002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2CE"/>
    <w:rPr>
      <w:sz w:val="20"/>
    </w:rPr>
  </w:style>
  <w:style w:type="character" w:customStyle="1" w:styleId="CommentTextChar">
    <w:name w:val="Comment Text Char"/>
    <w:link w:val="CommentText"/>
    <w:rsid w:val="009002CE"/>
    <w:rPr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9002CE"/>
    <w:rPr>
      <w:b/>
      <w:bCs/>
    </w:rPr>
  </w:style>
  <w:style w:type="character" w:customStyle="1" w:styleId="CommentSubjectChar">
    <w:name w:val="Comment Subject Char"/>
    <w:link w:val="CommentSubject"/>
    <w:rsid w:val="009002CE"/>
    <w:rPr>
      <w:b/>
      <w:bCs/>
      <w:lang w:eastAsia="mt-MT"/>
    </w:rPr>
  </w:style>
  <w:style w:type="character" w:styleId="Hyperlink">
    <w:name w:val="Hyperlink"/>
    <w:rsid w:val="009002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02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02CE"/>
    <w:rPr>
      <w:rFonts w:ascii="Tahoma" w:hAnsi="Tahoma" w:cs="Tahoma"/>
      <w:sz w:val="16"/>
      <w:szCs w:val="16"/>
      <w:lang w:eastAsia="mt-MT"/>
    </w:rPr>
  </w:style>
  <w:style w:type="paragraph" w:styleId="Header">
    <w:name w:val="header"/>
    <w:basedOn w:val="Normal"/>
    <w:link w:val="HeaderChar"/>
    <w:uiPriority w:val="99"/>
    <w:unhideWhenUsed/>
    <w:rsid w:val="00B66AFC"/>
    <w:pPr>
      <w:tabs>
        <w:tab w:val="center" w:pos="4535"/>
        <w:tab w:val="right" w:pos="9071"/>
      </w:tabs>
      <w:spacing w:before="0"/>
    </w:pPr>
    <w:rPr>
      <w:rFonts w:eastAsia="Calibri"/>
      <w:szCs w:val="22"/>
      <w:lang w:eastAsia="en-US" w:bidi="ar-SA"/>
    </w:rPr>
  </w:style>
  <w:style w:type="character" w:customStyle="1" w:styleId="HeaderChar">
    <w:name w:val="Header Char"/>
    <w:link w:val="Header"/>
    <w:uiPriority w:val="99"/>
    <w:rsid w:val="00B66AFC"/>
    <w:rPr>
      <w:rFonts w:eastAsia="Calibri"/>
      <w:sz w:val="24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53B6"/>
    <w:rPr>
      <w:rFonts w:eastAsiaTheme="majorEastAsia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B6"/>
    <w:rPr>
      <w:rFonts w:eastAsiaTheme="majorEastAsia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B6"/>
    <w:rPr>
      <w:rFonts w:eastAsiaTheme="majorEastAsia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B6"/>
    <w:rPr>
      <w:rFonts w:eastAsiaTheme="majorEastAsia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66AFC"/>
    <w:pPr>
      <w:tabs>
        <w:tab w:val="center" w:pos="7285"/>
        <w:tab w:val="right" w:pos="14003"/>
      </w:tabs>
      <w:spacing w:before="0"/>
    </w:pPr>
    <w:rPr>
      <w:rFonts w:eastAsia="Calibri"/>
      <w:szCs w:val="22"/>
      <w:lang w:eastAsia="en-US" w:bidi="ar-SA"/>
    </w:r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D53B6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53B6"/>
    <w:pPr>
      <w:ind w:left="850"/>
    </w:p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15"/>
      </w:numPr>
    </w:pPr>
  </w:style>
  <w:style w:type="paragraph" w:customStyle="1" w:styleId="Tiret1">
    <w:name w:val="Tiret 1"/>
    <w:basedOn w:val="Point1"/>
    <w:rsid w:val="007D53B6"/>
    <w:pPr>
      <w:numPr>
        <w:numId w:val="16"/>
      </w:numPr>
    </w:pPr>
  </w:style>
  <w:style w:type="paragraph" w:customStyle="1" w:styleId="Tiret2">
    <w:name w:val="Tiret 2"/>
    <w:basedOn w:val="Point2"/>
    <w:rsid w:val="007D53B6"/>
    <w:pPr>
      <w:numPr>
        <w:numId w:val="17"/>
      </w:numPr>
    </w:pPr>
  </w:style>
  <w:style w:type="paragraph" w:customStyle="1" w:styleId="Tiret3">
    <w:name w:val="Tiret 3"/>
    <w:basedOn w:val="Point3"/>
    <w:rsid w:val="007D53B6"/>
    <w:pPr>
      <w:numPr>
        <w:numId w:val="18"/>
      </w:numPr>
    </w:pPr>
  </w:style>
  <w:style w:type="paragraph" w:customStyle="1" w:styleId="Tiret4">
    <w:name w:val="Tiret 4"/>
    <w:basedOn w:val="Point4"/>
    <w:rsid w:val="007D53B6"/>
    <w:pPr>
      <w:numPr>
        <w:numId w:val="19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basedOn w:val="DefaultParagraphFont"/>
    <w:rsid w:val="007D53B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D53B6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22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D53B6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D53B6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D53B6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D53B6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D53B6"/>
    <w:pPr>
      <w:numPr>
        <w:numId w:val="23"/>
      </w:numPr>
    </w:pPr>
  </w:style>
  <w:style w:type="paragraph" w:customStyle="1" w:styleId="Bullet1">
    <w:name w:val="Bullet 1"/>
    <w:basedOn w:val="Normal"/>
    <w:rsid w:val="007D53B6"/>
    <w:pPr>
      <w:numPr>
        <w:numId w:val="24"/>
      </w:numPr>
    </w:pPr>
  </w:style>
  <w:style w:type="paragraph" w:customStyle="1" w:styleId="Bullet2">
    <w:name w:val="Bullet 2"/>
    <w:basedOn w:val="Normal"/>
    <w:rsid w:val="007D53B6"/>
    <w:pPr>
      <w:numPr>
        <w:numId w:val="25"/>
      </w:numPr>
    </w:pPr>
  </w:style>
  <w:style w:type="paragraph" w:customStyle="1" w:styleId="Bullet3">
    <w:name w:val="Bullet 3"/>
    <w:basedOn w:val="Normal"/>
    <w:rsid w:val="007D53B6"/>
    <w:pPr>
      <w:numPr>
        <w:numId w:val="26"/>
      </w:numPr>
    </w:pPr>
  </w:style>
  <w:style w:type="paragraph" w:customStyle="1" w:styleId="Bullet4">
    <w:name w:val="Bullet 4"/>
    <w:basedOn w:val="Normal"/>
    <w:rsid w:val="007D53B6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D53B6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7D53B6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D394-E9D0-4AFF-B29A-FA5DA3E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8</Pages>
  <Words>1799</Words>
  <Characters>13893</Characters>
  <Application>Microsoft Office Word</Application>
  <DocSecurity>0</DocSecurity>
  <Lines>243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CONTEXT OF THE PROPOSAL</vt:lpstr>
      <vt:lpstr>RESULTS OF CONSULTATIONS WITH THE INTERESTED PARTIES AND IMPACT ASSESSMENTS</vt:lpstr>
      <vt:lpstr>LEGAL ELEMENTS OF THE PROPOSAL</vt:lpstr>
      <vt:lpstr>BUDGETARY IMPLICATION</vt:lpstr>
      <vt:lpstr>OPTIONAL ELEMENTS</vt:lpstr>
    </vt:vector>
  </TitlesOfParts>
  <Manager/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KITRIMI Efstathia (SG)</cp:lastModifiedBy>
  <cp:revision>7</cp:revision>
  <cp:lastPrinted>2013-10-08T10:11:00Z</cp:lastPrinted>
  <dcterms:created xsi:type="dcterms:W3CDTF">2013-10-24T07:47:00Z</dcterms:created>
  <dcterms:modified xsi:type="dcterms:W3CDTF">2013-10-31T10:27:00Z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5.8.64.0</vt:lpwstr>
  </property>
  <property fmtid="{D5CDD505-2E9C-101B-9397-08002B2CF9AE}" pid="5" name="Last edited using">
    <vt:lpwstr>LW 5.8.3, Build 20130911</vt:lpwstr>
  </property>
  <property fmtid="{D5CDD505-2E9C-101B-9397-08002B2CF9AE}" pid="6" name="Created using">
    <vt:lpwstr>LW 5.8.2, Build 20120919</vt:lpwstr>
  </property>
  <property fmtid="{D5CDD505-2E9C-101B-9397-08002B2CF9AE}" pid="7" name="LWTemplateID">
    <vt:lpwstr>SJ-019</vt:lpwstr>
  </property>
  <property fmtid="{D5CDD505-2E9C-101B-9397-08002B2CF9AE}" pid="8" name="_NewReviewCycle">
    <vt:lpwstr/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DQCStatus">
    <vt:lpwstr>Yellow (DQC version 03)</vt:lpwstr>
  </property>
</Properties>
</file>