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5A3B0D3D6DBC4B0986306DB7D567ED18" style="width:450.75pt;height:389.2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1"/>
          <w:cols w:space="720"/>
          <w:docGrid w:linePitch="360"/>
        </w:sectPr>
      </w:pPr>
    </w:p>
    <w:p>
      <w:pPr>
        <w:pStyle w:val="Rfrenceinterinstitutionnelle"/>
        <w:rPr>
          <w:noProof/>
        </w:rPr>
      </w:pPr>
      <w:bookmarkStart w:id="0" w:name="_GoBack"/>
      <w:bookmarkEnd w:id="0"/>
      <w:r>
        <w:rPr>
          <w:noProof/>
        </w:rPr>
        <w:lastRenderedPageBreak/>
        <w:t>2013/0165 (COD)</w:t>
      </w:r>
    </w:p>
    <w:p>
      <w:pPr>
        <w:pStyle w:val="Typedudocument"/>
        <w:rPr>
          <w:noProof/>
        </w:rPr>
      </w:pPr>
      <w:r>
        <w:rPr>
          <w:noProof/>
        </w:rPr>
        <w:t>MEDDELANDE FRÅN KOMMISSIONEN TILL EUROPAPARLAMENTET</w:t>
      </w:r>
      <w:r>
        <w:rPr>
          <w:noProof/>
        </w:rPr>
        <w:br/>
      </w:r>
      <w:r>
        <w:rPr>
          <w:noProof/>
        </w:rPr>
        <w:br/>
        <w:t>enligt artikel 294.6 i fördraget om Europeiska unionens funktionssätt</w:t>
      </w:r>
      <w:r>
        <w:rPr>
          <w:noProof/>
        </w:rPr>
        <w:br/>
      </w:r>
      <w:r>
        <w:rPr>
          <w:noProof/>
        </w:rPr>
        <w:br/>
        <w:t>om</w:t>
      </w:r>
    </w:p>
    <w:p>
      <w:pPr>
        <w:pStyle w:val="Titreobjet"/>
        <w:rPr>
          <w:noProof/>
        </w:rPr>
      </w:pPr>
      <w:r>
        <w:rPr>
          <w:noProof/>
        </w:rPr>
        <w:t>rådets ståndpunkt inför antagandet av Europaparlamentets och rådets förordning om typgodkännandekrav för montering av fordonsbaserade e-callsystem och om ändring av direktiv 2007/46/EG</w:t>
      </w:r>
    </w:p>
    <w:p>
      <w:pPr>
        <w:pStyle w:val="ManualHeading1"/>
        <w:rPr>
          <w:noProof/>
          <w:sz w:val="22"/>
        </w:rPr>
      </w:pPr>
      <w:r>
        <w:rPr>
          <w:noProof/>
        </w:rPr>
        <w:t>1.</w:t>
      </w:r>
      <w:r>
        <w:rPr>
          <w:noProof/>
        </w:rPr>
        <w:tab/>
        <w:t>BAKGRUND</w:t>
      </w:r>
    </w:p>
    <w:tbl>
      <w:tblPr>
        <w:tblW w:w="0" w:type="auto"/>
        <w:tblLayout w:type="fixed"/>
        <w:tblLook w:val="0000" w:firstRow="0" w:lastRow="0" w:firstColumn="0" w:lastColumn="0" w:noHBand="0" w:noVBand="0"/>
      </w:tblPr>
      <w:tblGrid>
        <w:gridCol w:w="6804"/>
        <w:gridCol w:w="2483"/>
      </w:tblGrid>
      <w:tr>
        <w:tc>
          <w:tcPr>
            <w:tcW w:w="6804" w:type="dxa"/>
          </w:tcPr>
          <w:p>
            <w:pPr>
              <w:jc w:val="left"/>
              <w:rPr>
                <w:noProof/>
              </w:rPr>
            </w:pPr>
            <w:r>
              <w:rPr>
                <w:noProof/>
              </w:rPr>
              <w:t>Överlämnande av förslaget till Europaparlamentet och rådet (dokument KOM(2013) 316 slutlig – 2013/0165 COD):</w:t>
            </w:r>
          </w:p>
        </w:tc>
        <w:tc>
          <w:tcPr>
            <w:tcW w:w="2483" w:type="dxa"/>
          </w:tcPr>
          <w:p>
            <w:pPr>
              <w:jc w:val="left"/>
              <w:rPr>
                <w:noProof/>
              </w:rPr>
            </w:pPr>
            <w:r>
              <w:rPr>
                <w:noProof/>
                <w:color w:val="000000"/>
              </w:rPr>
              <w:t>13 juni 2013</w:t>
            </w:r>
          </w:p>
        </w:tc>
      </w:tr>
      <w:tr>
        <w:tc>
          <w:tcPr>
            <w:tcW w:w="6804" w:type="dxa"/>
          </w:tcPr>
          <w:p>
            <w:pPr>
              <w:rPr>
                <w:noProof/>
              </w:rPr>
            </w:pPr>
            <w:r>
              <w:rPr>
                <w:noProof/>
              </w:rPr>
              <w:t>Europeiska ekonomiska och sociala kommitténs yttrande:</w:t>
            </w:r>
          </w:p>
        </w:tc>
        <w:tc>
          <w:tcPr>
            <w:tcW w:w="2483" w:type="dxa"/>
          </w:tcPr>
          <w:p>
            <w:pPr>
              <w:jc w:val="left"/>
              <w:rPr>
                <w:noProof/>
              </w:rPr>
            </w:pPr>
            <w:r>
              <w:rPr>
                <w:noProof/>
              </w:rPr>
              <w:t>19 september 2013</w:t>
            </w:r>
          </w:p>
        </w:tc>
      </w:tr>
      <w:tr>
        <w:tc>
          <w:tcPr>
            <w:tcW w:w="6804" w:type="dxa"/>
          </w:tcPr>
          <w:p>
            <w:pPr>
              <w:rPr>
                <w:noProof/>
              </w:rPr>
            </w:pPr>
            <w:r>
              <w:rPr>
                <w:noProof/>
              </w:rPr>
              <w:t>Datum för Europeiska datatillsynsmannens yttrande:</w:t>
            </w:r>
          </w:p>
          <w:p>
            <w:pPr>
              <w:rPr>
                <w:noProof/>
              </w:rPr>
            </w:pPr>
            <w:r>
              <w:rPr>
                <w:noProof/>
              </w:rPr>
              <w:t>Europaparlamentets yttrande vid första behandlingen:</w:t>
            </w:r>
          </w:p>
        </w:tc>
        <w:tc>
          <w:tcPr>
            <w:tcW w:w="2483" w:type="dxa"/>
          </w:tcPr>
          <w:p>
            <w:pPr>
              <w:jc w:val="left"/>
              <w:rPr>
                <w:noProof/>
              </w:rPr>
            </w:pPr>
            <w:r>
              <w:rPr>
                <w:noProof/>
              </w:rPr>
              <w:t>29 oktober 2013</w:t>
            </w:r>
          </w:p>
          <w:p>
            <w:pPr>
              <w:jc w:val="left"/>
              <w:rPr>
                <w:noProof/>
              </w:rPr>
            </w:pPr>
            <w:r>
              <w:rPr>
                <w:noProof/>
              </w:rPr>
              <w:t>26 februari 2014</w:t>
            </w:r>
          </w:p>
        </w:tc>
      </w:tr>
      <w:tr>
        <w:tc>
          <w:tcPr>
            <w:tcW w:w="6804" w:type="dxa"/>
          </w:tcPr>
          <w:p>
            <w:pPr>
              <w:rPr>
                <w:noProof/>
              </w:rPr>
            </w:pPr>
            <w:r>
              <w:rPr>
                <w:noProof/>
              </w:rPr>
              <w:t>Antagande av rådets ståndpunkt:</w:t>
            </w:r>
          </w:p>
        </w:tc>
        <w:tc>
          <w:tcPr>
            <w:tcW w:w="2483" w:type="dxa"/>
          </w:tcPr>
          <w:p>
            <w:pPr>
              <w:jc w:val="left"/>
              <w:rPr>
                <w:noProof/>
                <w:highlight w:val="yellow"/>
              </w:rPr>
            </w:pPr>
            <w:r>
              <w:rPr>
                <w:noProof/>
              </w:rPr>
              <w:t>2 mars 2015</w:t>
            </w:r>
          </w:p>
        </w:tc>
      </w:tr>
    </w:tbl>
    <w:p>
      <w:pPr>
        <w:pStyle w:val="ManualHeading1"/>
        <w:rPr>
          <w:noProof/>
        </w:rPr>
      </w:pPr>
      <w:r>
        <w:rPr>
          <w:noProof/>
        </w:rPr>
        <w:t>2.</w:t>
      </w:r>
      <w:r>
        <w:rPr>
          <w:noProof/>
        </w:rPr>
        <w:tab/>
        <w:t>SYFTE MED KOMMISSIONENS FÖRSLAG</w:t>
      </w:r>
    </w:p>
    <w:p>
      <w:pPr>
        <w:rPr>
          <w:noProof/>
        </w:rPr>
      </w:pPr>
      <w:r>
        <w:rPr>
          <w:noProof/>
        </w:rPr>
        <w:t>Syftet med kommissionens förslag är att föreskriva om fordonsbaserade e-callsystem för nya typer av bilar och skåpbilar inom typgodkännandeförfarandet för fordon, så att fordonen måste utrustas med ett system som automatiskt sänder en nödsignal till EU:s gemensamma larmnummer 112 i händelse av en allvarlig trafikolycka. Detta kommer att bidra väsentligt till att minska antalet skadade och omkomna i sådana olyckor.</w:t>
      </w:r>
    </w:p>
    <w:p>
      <w:pPr>
        <w:pStyle w:val="ManualHeading1"/>
        <w:rPr>
          <w:noProof/>
        </w:rPr>
      </w:pPr>
      <w:r>
        <w:rPr>
          <w:noProof/>
        </w:rPr>
        <w:t>3.</w:t>
      </w:r>
      <w:r>
        <w:rPr>
          <w:noProof/>
        </w:rPr>
        <w:tab/>
        <w:t>KOMMENTARER TILL RÅDETS STÅNDPUNKT</w:t>
      </w:r>
    </w:p>
    <w:p>
      <w:pPr>
        <w:tabs>
          <w:tab w:val="left" w:pos="851"/>
        </w:tabs>
        <w:rPr>
          <w:noProof/>
        </w:rPr>
      </w:pPr>
      <w:r>
        <w:rPr>
          <w:b/>
          <w:noProof/>
        </w:rPr>
        <w:t>3.1</w:t>
      </w:r>
      <w:r>
        <w:rPr>
          <w:noProof/>
        </w:rPr>
        <w:tab/>
      </w:r>
      <w:r>
        <w:rPr>
          <w:b/>
          <w:noProof/>
        </w:rPr>
        <w:t>Allmänna kommentarer</w:t>
      </w:r>
    </w:p>
    <w:p>
      <w:pPr>
        <w:widowControl w:val="0"/>
        <w:rPr>
          <w:noProof/>
        </w:rPr>
      </w:pPr>
      <w:r>
        <w:rPr>
          <w:noProof/>
        </w:rPr>
        <w:t xml:space="preserve">Kommissionen välkomnar den politiska överenskommelse om en kompromisstext som rådet och parlamentets utskott för den inre marknaden och konsumentskydd nådde den 1 december 2014. Antagandet av rådets ståndpunkt vid första behandlingen och plenaromröstningen i parlamentet i april eller maj 2015 bör leda till att texten slutgiltigt antas. Ur kommissionens synvinkel är den kompromiss som nåddes rimlig och kan stödjas. </w:t>
      </w:r>
    </w:p>
    <w:p>
      <w:pPr>
        <w:widowControl w:val="0"/>
        <w:tabs>
          <w:tab w:val="left" w:pos="851"/>
        </w:tabs>
        <w:rPr>
          <w:b/>
          <w:noProof/>
        </w:rPr>
      </w:pPr>
      <w:r>
        <w:rPr>
          <w:b/>
          <w:noProof/>
        </w:rPr>
        <w:t>3.2</w:t>
      </w:r>
      <w:r>
        <w:rPr>
          <w:noProof/>
        </w:rPr>
        <w:tab/>
      </w:r>
      <w:r>
        <w:rPr>
          <w:b/>
          <w:noProof/>
        </w:rPr>
        <w:t>Kommentarer till Europaparlamentets ändringar</w:t>
      </w:r>
    </w:p>
    <w:p>
      <w:pPr>
        <w:widowControl w:val="0"/>
        <w:tabs>
          <w:tab w:val="left" w:pos="851"/>
        </w:tabs>
        <w:ind w:left="851" w:hanging="851"/>
        <w:rPr>
          <w:i/>
          <w:noProof/>
        </w:rPr>
      </w:pPr>
      <w:r>
        <w:rPr>
          <w:i/>
          <w:noProof/>
        </w:rPr>
        <w:t>3.2.1</w:t>
      </w:r>
      <w:r>
        <w:rPr>
          <w:noProof/>
        </w:rPr>
        <w:tab/>
      </w:r>
      <w:r>
        <w:rPr>
          <w:i/>
          <w:noProof/>
        </w:rPr>
        <w:t>Europaparlamentets ändringar som rådet tagit med helt, delvis eller i princip i sin ståndpunkt vid den första behandlingen</w:t>
      </w:r>
    </w:p>
    <w:p>
      <w:pPr>
        <w:widowControl w:val="0"/>
        <w:rPr>
          <w:noProof/>
        </w:rPr>
      </w:pPr>
      <w:r>
        <w:rPr>
          <w:noProof/>
        </w:rPr>
        <w:t xml:space="preserve">Rådets ståndpunkt vid den första behandlingen integrerar största delen av Europaparlamentets ändringar, särskilt de flesta av de föreslagna nya skälen, den uttryckliga hänvisningen till det 112-baserade e-callsystemet, kravet att e-callsystemet ska vara en fast del av fordonet och att det ska varna personerna i fordonet om ett kritiskt systemfel inträffar. </w:t>
      </w:r>
    </w:p>
    <w:p>
      <w:pPr>
        <w:widowControl w:val="0"/>
        <w:rPr>
          <w:bCs/>
          <w:noProof/>
          <w:szCs w:val="24"/>
        </w:rPr>
      </w:pPr>
      <w:r>
        <w:rPr>
          <w:noProof/>
        </w:rPr>
        <w:t xml:space="preserve">På området skydd av integritet och personuppgifter tillade rådet vidare krav på att </w:t>
      </w:r>
      <w:r>
        <w:rPr>
          <w:noProof/>
        </w:rPr>
        <w:lastRenderedPageBreak/>
        <w:t xml:space="preserve">personuppgifterna inte får användas till något annat och att de inte får sparas mer än vad som är absolut nödvändigt för att e-callsystemet ska fungera. Bestämmelserna blev mer detaljerade efter att en stor del av Europaparlamentets ändringar på området hade tagits ombord (t.ex. personuppgifter måste avlägsnas automatiskt och fortlöpande, de får inte sändas utanför fordonet innan e-callsystemet aktiveras, de får inte utväxlas mellan fordon utrustade med e-callsystem, etc.). På grundval av en bedömning av varje enskilt krav lyckades man hitta en rimlig kompromiss för samstämmig användning av både delegerade akter och genomförandeakter. Detta kan stödjas av kommissionen. </w:t>
      </w:r>
    </w:p>
    <w:p>
      <w:pPr>
        <w:widowControl w:val="0"/>
        <w:rPr>
          <w:noProof/>
        </w:rPr>
      </w:pPr>
      <w:r>
        <w:rPr>
          <w:noProof/>
          <w:color w:val="000000"/>
        </w:rPr>
        <w:t xml:space="preserve">Vidare begränsade rådet delegeringen till 5 år från det att förordningen träder i kraft utan möjlighet till förlängning genom tyst medgivande. Därefter godtog rådet kompromissen att tillåta förlängning genom tyst medgivande. Kommissionen kan, trots att den hade föredragit en obegränsad delegeringsperiod, stödja denna lösning som en del av en samlad uppgörelse. </w:t>
      </w:r>
    </w:p>
    <w:p>
      <w:pPr>
        <w:widowControl w:val="0"/>
        <w:rPr>
          <w:noProof/>
        </w:rPr>
      </w:pPr>
      <w:r>
        <w:rPr>
          <w:noProof/>
        </w:rPr>
        <w:t xml:space="preserve">När det gäller oberoende aktörers åtkomst till e-callsystemet för reparation och underhåll, införde rådet en koppling till förordning (EG) nr 715/2007 och till möjligheten för tillverkarna att ta ut en avgift, medan man samtidigt godtog Europaparlamentets förslag till extra precisering att en sådan avgift måste vara rimlig och inte får överstiga ett nominellt belopp. Eftersom denna lösning inte avviker från gällande EU-regler om åtkomst för oberoende aktörer, kan kommissionen stödja den som en del av en samlad uppgörelse. </w:t>
      </w:r>
    </w:p>
    <w:p>
      <w:pPr>
        <w:widowControl w:val="0"/>
        <w:rPr>
          <w:noProof/>
          <w:highlight w:val="yellow"/>
        </w:rPr>
      </w:pPr>
      <w:r>
        <w:rPr>
          <w:noProof/>
        </w:rPr>
        <w:t>Rådet godtog Europaparlamentets förslag att låta kommissionen, efter en undersökning av kostnaderna och fördelarna och ett brett rådslag med de berörda parterna, bedöma om det behövs en driftskompatibel, standardiserad och säker plattform med öppen åtkomst samt, om det befinns lämpligt, anta ett lagstiftningsinitiativ baserat på behoven. Denna aspekt var inte med i kommissionens ursprungliga förslag, men den kan stödjas av kommissionen som en del av en samlad uppgörelse.</w:t>
      </w:r>
    </w:p>
    <w:p>
      <w:pPr>
        <w:spacing w:after="0"/>
        <w:rPr>
          <w:noProof/>
        </w:rPr>
      </w:pPr>
      <w:r>
        <w:rPr>
          <w:noProof/>
        </w:rPr>
        <w:t xml:space="preserve">Rådet stödde också Europaparlamentets förslag att kommissionen ska undersöka om det går att bredda förordningens tillämpningsområde till att omfatta andra fordonstyper, t.ex. motordrivna tvåhjulingar, tunga lastbilar, bussar, turistbussar och jordbrukstraktorer och, om det är lämpligt, lägga fram ett förslag för detta ändamål. Detta kan stödjas av kommissionen. </w:t>
      </w:r>
    </w:p>
    <w:p>
      <w:pPr>
        <w:rPr>
          <w:b/>
          <w:noProof/>
        </w:rPr>
      </w:pPr>
      <w:r>
        <w:rPr>
          <w:noProof/>
        </w:rPr>
        <w:t>De klargöranden som rådet och parlamentet gjort av skrivningen i kommissionens text kan också stödjas.</w:t>
      </w:r>
      <w:r>
        <w:rPr>
          <w:b/>
          <w:noProof/>
        </w:rPr>
        <w:t xml:space="preserve"> </w:t>
      </w:r>
    </w:p>
    <w:p>
      <w:pPr>
        <w:widowControl w:val="0"/>
        <w:tabs>
          <w:tab w:val="left" w:pos="851"/>
        </w:tabs>
        <w:rPr>
          <w:i/>
          <w:noProof/>
        </w:rPr>
      </w:pPr>
      <w:r>
        <w:rPr>
          <w:i/>
          <w:noProof/>
        </w:rPr>
        <w:t>3.2.2</w:t>
      </w:r>
      <w:r>
        <w:rPr>
          <w:noProof/>
        </w:rPr>
        <w:tab/>
      </w:r>
      <w:r>
        <w:rPr>
          <w:i/>
          <w:noProof/>
        </w:rPr>
        <w:t>Europaparlamentets ändringar som rådet inte tagit med i sin ståndpunkt vid den första behandlingen</w:t>
      </w:r>
    </w:p>
    <w:p>
      <w:pPr>
        <w:widowControl w:val="0"/>
        <w:rPr>
          <w:noProof/>
        </w:rPr>
      </w:pPr>
      <w:r>
        <w:rPr>
          <w:noProof/>
        </w:rPr>
        <w:t>Rådet ansåg att Europaparlamentets ändringar om krav på att medlemsstaterna ska rapportera när e-callsystemet är operationellt och att kommissionen ska vidta lämpliga åtgärder för att säkra att systemen tas i bruk i tid inte hörde hemma i en artikel i en förordning som handlar om krav för typgodkännande. Men rådet erkände vikten av att i förväg tillhandahålla den samordnade uppgradering av infrastrukturen i de allmänna trådlösa mobiltelenäten som krävs för överföring av nödsamtal och för larmcentraler så att de kan ta emot och hantera nödsamtalen och införlivade en lämplig skrivning i skälen. Detta stöds av kommissionen. Samma infallsvinkel tillämpades på Europaparlamentets förslag att 112-baserade e-callsystem ska underkastas regelbunden teknisk besiktning.</w:t>
      </w:r>
    </w:p>
    <w:p>
      <w:pPr>
        <w:keepNext/>
        <w:widowControl w:val="0"/>
        <w:tabs>
          <w:tab w:val="left" w:pos="851"/>
        </w:tabs>
        <w:rPr>
          <w:noProof/>
        </w:rPr>
      </w:pPr>
      <w:r>
        <w:rPr>
          <w:b/>
          <w:noProof/>
        </w:rPr>
        <w:t>3.3</w:t>
      </w:r>
      <w:r>
        <w:rPr>
          <w:noProof/>
        </w:rPr>
        <w:tab/>
      </w:r>
      <w:r>
        <w:rPr>
          <w:b/>
          <w:noProof/>
        </w:rPr>
        <w:t>Nya bestämmelser som rådet infört samt kommissionens synpunkter på dessa</w:t>
      </w:r>
    </w:p>
    <w:p>
      <w:pPr>
        <w:widowControl w:val="0"/>
        <w:rPr>
          <w:noProof/>
        </w:rPr>
      </w:pPr>
      <w:r>
        <w:rPr>
          <w:noProof/>
        </w:rPr>
        <w:t>Rådet införde ett antal tekniska ändringar, särskilt i syfte att klargöra hur fordon som tillverkas i små serier, fordon som godkänts i enlighet med förfarandet för enskilda godkännanden och fordon som av tekniska skäl inte kan förses med ett e-callsystem får undantas från förordningens tillämpningsområde. Rådet gav också kommissionen befogenhet att anta delegerade rättsakter om undantag för angivna fordonstyper. Detta kan stödjas.</w:t>
      </w:r>
    </w:p>
    <w:p>
      <w:pPr>
        <w:widowControl w:val="0"/>
        <w:rPr>
          <w:noProof/>
        </w:rPr>
      </w:pPr>
      <w:r>
        <w:rPr>
          <w:noProof/>
        </w:rPr>
        <w:lastRenderedPageBreak/>
        <w:t>Rådet tillade vidare särskilda bestämmelser om e-callsystem i tredje parts regi (TPS-eCall-system) som drivs parallellt med det 112-baserade e-callsystemet. Bestämmelserna innebär en skyldighet för alla fordon att ha det 112-baserade e-callsystemet, som ska aktiveras automatiskt om TPS-systemet fallerar. Den lösning som rådet föreslår kan stödjas av kommissionen.</w:t>
      </w:r>
    </w:p>
    <w:p>
      <w:pPr>
        <w:widowControl w:val="0"/>
        <w:rPr>
          <w:noProof/>
        </w:rPr>
      </w:pPr>
      <w:r>
        <w:rPr>
          <w:noProof/>
        </w:rPr>
        <w:t>Vidare införde rådet bestämmelser om hur genomförandeakter ska användas och om genom vilket kommitteeförfarande de ska antas. Eftersom bestämmelserna har förhållandevis begränsad räckvidd och mot bakgrund av kompromissen om integritet och personuppgifter kan kommissionen stödja även detta. När det gäller kommitteebestämmelserna beklagar kommissionen att klausulen om ”inget yttrande” tillgrips, eftersom den innebär ett undantag från förordning 182/2011, men i god kompromissanda kommer kommissionen inte att protestera.</w:t>
      </w:r>
    </w:p>
    <w:p>
      <w:pPr>
        <w:spacing w:after="0"/>
        <w:rPr>
          <w:noProof/>
        </w:rPr>
      </w:pPr>
      <w:r>
        <w:rPr>
          <w:noProof/>
        </w:rPr>
        <w:t xml:space="preserve">Slutligen begärde rådet att näringslivet beviljas mer tid för att efterkomma de nya kraven. Europaparlamentet hade inte ändrat tillämpningsdatum i kommissionens förslag, men kunde tänka sig en framflyttning och accepterade till slut att förordningen börjar tillämpas från den 31 mars 2018. Kommissionen håller med om att det behövs tillräcklig framförhållning och kan stödja kompromissdatumet förutsatt att det stämmer med tidsramarna för installationen av infrastukturen för e-callsystemet enligt vad som anges i beslut nr 585/2014/EU.   </w:t>
      </w:r>
    </w:p>
    <w:p>
      <w:pPr>
        <w:pStyle w:val="ManualHeading1"/>
        <w:rPr>
          <w:noProof/>
        </w:rPr>
      </w:pPr>
      <w:r>
        <w:rPr>
          <w:noProof/>
        </w:rPr>
        <w:t>4.</w:t>
      </w:r>
      <w:r>
        <w:rPr>
          <w:noProof/>
        </w:rPr>
        <w:tab/>
        <w:t>SLUTSATS</w:t>
      </w:r>
    </w:p>
    <w:p>
      <w:pPr>
        <w:rPr>
          <w:noProof/>
          <w:spacing w:val="-2"/>
        </w:rPr>
      </w:pPr>
      <w:r>
        <w:rPr>
          <w:noProof/>
        </w:rPr>
        <w:t>Även om kommissionen beklagar att rådet av praktiska skäl beslutat att begränsa delegeringen av befogenheter till kommissionen till 5 år och att införliva klausulen om ”inget yttrande” med kommitteeförfarandet för antagande av genomförandeakter kommer kommissionen inte att protestera.</w:t>
      </w:r>
    </w:p>
    <w:p>
      <w:pPr>
        <w:rPr>
          <w:noProof/>
        </w:rPr>
      </w:pPr>
      <w:r>
        <w:rPr>
          <w:noProof/>
        </w:rPr>
        <w:t>Rådet fattade sitt beslut med kvalificerad majoritet.</w:t>
      </w:r>
    </w:p>
    <w:p>
      <w:pPr>
        <w:rPr>
          <w:noProof/>
        </w:rPr>
      </w:pPr>
      <w:r>
        <w:rPr>
          <w:noProof/>
        </w:rPr>
        <w:t xml:space="preserve">Sammanfattningsvis stöder kommissionen, som en kompromiss, den ståndpunkt som rådet antagit. </w:t>
      </w:r>
    </w:p>
    <w:sectPr>
      <w:footerReference w:type="default" r:id="rId16"/>
      <w:footerReference w:type="first" r:id="rId17"/>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SV</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SV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SV</w:t>
    </w:r>
    <w:r>
      <w:rPr>
        <w:rFonts w:ascii="Arial" w:hAnsi="Arial" w:cs="Arial"/>
        <w:b/>
        <w:sz w:val="48"/>
      </w:rPr>
      <w:tab/>
    </w:r>
    <w:r>
      <w:fldChar w:fldCharType="begin"/>
    </w:r>
    <w:r>
      <w:instrText xml:space="preserve"> PAGE  \* MERGEFORMAT </w:instrText>
    </w:r>
    <w:r>
      <w:fldChar w:fldCharType="separate"/>
    </w:r>
    <w:r>
      <w:rPr>
        <w:noProof/>
      </w:rPr>
      <w:t>4</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SV</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8BD25AF4"/>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A59E3836"/>
    <w:lvl w:ilvl="0">
      <w:start w:val="1"/>
      <w:numFmt w:val="decimal"/>
      <w:pStyle w:val="ListNumber3"/>
      <w:lvlText w:val="%1."/>
      <w:lvlJc w:val="left"/>
      <w:pPr>
        <w:tabs>
          <w:tab w:val="num" w:pos="926"/>
        </w:tabs>
        <w:ind w:left="926" w:hanging="360"/>
      </w:pPr>
    </w:lvl>
  </w:abstractNum>
  <w:abstractNum w:abstractNumId="2">
    <w:nsid w:val="FFFFFF7F"/>
    <w:multiLevelType w:val="singleLevel"/>
    <w:tmpl w:val="5BCE419A"/>
    <w:lvl w:ilvl="0">
      <w:start w:val="1"/>
      <w:numFmt w:val="decimal"/>
      <w:pStyle w:val="ListNumber2"/>
      <w:lvlText w:val="%1."/>
      <w:lvlJc w:val="left"/>
      <w:pPr>
        <w:tabs>
          <w:tab w:val="num" w:pos="643"/>
        </w:tabs>
        <w:ind w:left="643" w:hanging="360"/>
      </w:pPr>
    </w:lvl>
  </w:abstractNum>
  <w:abstractNum w:abstractNumId="3">
    <w:nsid w:val="FFFFFF81"/>
    <w:multiLevelType w:val="singleLevel"/>
    <w:tmpl w:val="2806B386"/>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3EA6CC22"/>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8EDE7688"/>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7166E298"/>
    <w:lvl w:ilvl="0">
      <w:start w:val="1"/>
      <w:numFmt w:val="decimal"/>
      <w:pStyle w:val="ListNumber"/>
      <w:lvlText w:val="%1."/>
      <w:lvlJc w:val="left"/>
      <w:pPr>
        <w:tabs>
          <w:tab w:val="num" w:pos="360"/>
        </w:tabs>
        <w:ind w:left="360" w:hanging="360"/>
      </w:pPr>
    </w:lvl>
  </w:abstractNum>
  <w:abstractNum w:abstractNumId="7">
    <w:nsid w:val="FFFFFF89"/>
    <w:multiLevelType w:val="singleLevel"/>
    <w:tmpl w:val="1476527E"/>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8"/>
  </w:num>
  <w:num w:numId="10">
    <w:abstractNumId w:val="12"/>
  </w:num>
  <w:num w:numId="11">
    <w:abstractNumId w:val="20"/>
  </w:num>
  <w:num w:numId="12">
    <w:abstractNumId w:val="11"/>
  </w:num>
  <w:num w:numId="13">
    <w:abstractNumId w:val="13"/>
  </w:num>
  <w:num w:numId="14">
    <w:abstractNumId w:val="9"/>
  </w:num>
  <w:num w:numId="15">
    <w:abstractNumId w:val="19"/>
  </w:num>
  <w:num w:numId="16">
    <w:abstractNumId w:val="8"/>
  </w:num>
  <w:num w:numId="17">
    <w:abstractNumId w:val="14"/>
  </w:num>
  <w:num w:numId="18">
    <w:abstractNumId w:val="16"/>
  </w:num>
  <w:num w:numId="19">
    <w:abstractNumId w:val="17"/>
  </w:num>
  <w:num w:numId="20">
    <w:abstractNumId w:val="10"/>
  </w:num>
  <w:num w:numId="21">
    <w:abstractNumId w:val="15"/>
  </w:num>
  <w:num w:numId="22">
    <w:abstractNumId w:val="21"/>
  </w:num>
  <w:num w:numId="23">
    <w:abstractNumId w:val="18"/>
  </w:num>
  <w:num w:numId="24">
    <w:abstractNumId w:val="12"/>
  </w:num>
  <w:num w:numId="25">
    <w:abstractNumId w:val="20"/>
  </w:num>
  <w:num w:numId="26">
    <w:abstractNumId w:val="11"/>
  </w:num>
  <w:num w:numId="27">
    <w:abstractNumId w:val="13"/>
  </w:num>
  <w:num w:numId="28">
    <w:abstractNumId w:val="9"/>
  </w:num>
  <w:num w:numId="29">
    <w:abstractNumId w:val="19"/>
  </w:num>
  <w:num w:numId="30">
    <w:abstractNumId w:val="8"/>
  </w:num>
  <w:num w:numId="31">
    <w:abstractNumId w:val="14"/>
  </w:num>
  <w:num w:numId="32">
    <w:abstractNumId w:val="16"/>
  </w:num>
  <w:num w:numId="33">
    <w:abstractNumId w:val="17"/>
  </w:num>
  <w:num w:numId="34">
    <w:abstractNumId w:val="10"/>
  </w:num>
  <w:num w:numId="35">
    <w:abstractNumId w:val="15"/>
  </w:num>
  <w:num w:numId="36">
    <w:abstractNumId w:val="21"/>
  </w:num>
  <w:num w:numId="37">
    <w:abstractNumId w:val="18"/>
  </w:num>
  <w:num w:numId="38">
    <w:abstractNumId w:val="12"/>
  </w:num>
  <w:num w:numId="39">
    <w:abstractNumId w:val="20"/>
  </w:num>
  <w:num w:numId="40">
    <w:abstractNumId w:val="11"/>
  </w:num>
  <w:num w:numId="41">
    <w:abstractNumId w:val="13"/>
  </w:num>
  <w:num w:numId="42">
    <w:abstractNumId w:val="9"/>
  </w:num>
  <w:num w:numId="43">
    <w:abstractNumId w:val="19"/>
  </w:num>
  <w:num w:numId="44">
    <w:abstractNumId w:val="8"/>
  </w:num>
  <w:num w:numId="45">
    <w:abstractNumId w:val="14"/>
  </w:num>
  <w:num w:numId="46">
    <w:abstractNumId w:val="16"/>
  </w:num>
  <w:num w:numId="47">
    <w:abstractNumId w:val="17"/>
  </w:num>
  <w:num w:numId="48">
    <w:abstractNumId w:val="10"/>
  </w:num>
  <w:num w:numId="49">
    <w:abstractNumId w:val="15"/>
  </w:num>
  <w:num w:numId="50">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oNotTrackMoves/>
  <w:defaultTabStop w:val="720"/>
  <w:hyphenationZone w:val="425"/>
  <w:drawingGridHorizontalSpacing w:val="120"/>
  <w:displayHorizontalDrawingGridEvery w:val="2"/>
  <w:characterSpacingControl w:val="doNotCompress"/>
  <w:hdrShapeDefaults>
    <o:shapedefaults v:ext="edit" spidmax="1536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
  <w:docVars>
    <w:docVar w:name="COVERPAGE_EXISTS" w:val="True"/>
    <w:docVar w:name="DQCDateTime" w:val="2015-03-09 10:15:20"/>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1"/>
    <w:docVar w:name="DQCResult_ModifiedMarkers" w:val="0;0"/>
    <w:docVar w:name="DQCResult_ModifiedNumbering" w:val="0;0"/>
    <w:docVar w:name="DQCResult_Objects" w:val="0;0"/>
    <w:docVar w:name="DQCResult_Sections" w:val="0;0"/>
    <w:docVar w:name="DQCResult_StructureCheck" w:val="0;0"/>
    <w:docVar w:name="DQCResult_SuperfluousWhitespace" w:val="0;1"/>
    <w:docVar w:name="DQCResult_UnknownFonts" w:val="0;0"/>
    <w:docVar w:name="DQCResult_UnknownStyles" w:val="0;0"/>
    <w:docVar w:name="DQCStatus" w:val="Green"/>
    <w:docVar w:name="DQCVersion" w:val="2"/>
    <w:docVar w:name="DQCWithWarnings" w:val="0"/>
    <w:docVar w:name="LW_CONFIDENCE" w:val=" "/>
    <w:docVar w:name="LW_CONST_RESTREINT_UE" w:val="RESTREINT UE"/>
    <w:docVar w:name="LW_CORRIGENDUM" w:val="&lt;UNUSED&gt;"/>
    <w:docVar w:name="LW_COVERPAGE_GUID" w:val="5A3B0D3D6DBC4B0986306DB7D567ED18"/>
    <w:docVar w:name="LW_CROSSREFERENCE" w:val="&lt;UNUSED&gt;"/>
    <w:docVar w:name="LW_DocType" w:val="COM"/>
    <w:docVar w:name="LW_EMISSION" w:val="10.3.2015"/>
    <w:docVar w:name="LW_EMISSION_ISODATE" w:val="2015-03-10"/>
    <w:docVar w:name="LW_EMISSION_LOCATION" w:val="BRX"/>
    <w:docVar w:name="LW_EMISSION_PREFIX" w:val="Bryssel den "/>
    <w:docVar w:name="LW_EMISSION_SUFFIX" w:val=" "/>
    <w:docVar w:name="LW_ID_DOCMODEL" w:val="SJ-028"/>
    <w:docVar w:name="LW_ID_DOCSTRUCTURE" w:val="COM/PL/CODEC"/>
    <w:docVar w:name="LW_ID_DOCTYPE" w:val="SJ-028"/>
    <w:docVar w:name="LW_INTERETEEE.CP" w:val="&lt;UNUSED&gt;"/>
    <w:docVar w:name="LW_LANGUE" w:val="SV"/>
    <w:docVar w:name="LW_MARKING" w:val="&lt;UNUSED&gt;"/>
    <w:docVar w:name="LW_NOM.INST" w:val="EUROPEISKA KOMMISSIONEN"/>
    <w:docVar w:name="LW_NOM.INST_JOINTDOC" w:val="&lt;EMPTY&gt;"/>
    <w:docVar w:name="LW_PART_NBR" w:val="1"/>
    <w:docVar w:name="LW_PART_NBR_TOTAL" w:val="1"/>
    <w:docVar w:name="LW_REF.II.NEW.CP" w:val="COD"/>
    <w:docVar w:name="LW_REF.II.NEW.CP_NUMBER" w:val="0165"/>
    <w:docVar w:name="LW_REF.II.NEW.CP_YEAR" w:val="2013"/>
    <w:docVar w:name="LW_REF.INST.NEW" w:val="COM"/>
    <w:docVar w:name="LW_REF.INST.NEW_ADOPTED" w:val="final"/>
    <w:docVar w:name="LW_REF.INST.NEW_TEXT" w:val="(2015) 126"/>
    <w:docVar w:name="LW_REF.INTERNE" w:val="&lt;UNUSED&gt;"/>
    <w:docVar w:name="LW_SOUS.TITRE.OBJ.CP" w:val="&lt;UNUSED&gt;"/>
    <w:docVar w:name="LW_SUPERTITRE" w:val="&lt;UNUSED&gt;"/>
    <w:docVar w:name="LW_TITRE.OBJ.CP" w:val="rådets ståndpunkt inför antagandet av Europaparlamentets och rådets förordning om typgodkännandekrav för montering av fordonsbaserade e-callsystem och om ändring av direktiv 2007/46/EG"/>
    <w:docVar w:name="LW_TYPE.DOC.CP" w:val="MEDDELANDE FRÅN KOMMISSIONEN TILL EUROPAPARLAMENTET_x000b__x000b_enligt artikel 294.6 i fördraget om Europeiska unionens funktionssätt_x000b__x000b_om"/>
  </w:docVar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sv-SE" w:eastAsia="sv-SE" w:bidi="sv-S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pPr>
      <w:spacing w:before="120" w:after="120" w:line="240" w:lineRule="auto"/>
      <w:jc w:val="both"/>
    </w:pPr>
    <w:rPr>
      <w:rFonts w:ascii="Times New Roman" w:hAnsi="Times New Roman"/>
      <w:sz w:val="24"/>
    </w:rPr>
  </w:style>
  <w:style w:type="paragraph" w:styleId="Heading1">
    <w:name w:val="heading 1"/>
    <w:basedOn w:val="Normal"/>
    <w:next w:val="Text1"/>
    <w:link w:val="Heading1Char"/>
    <w:uiPriority w:val="9"/>
    <w:qFormat/>
    <w:pPr>
      <w:keepNext/>
      <w:numPr>
        <w:numId w:val="4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qFormat/>
    <w:rPr>
      <w:b/>
      <w:bCs/>
      <w:sz w:val="20"/>
    </w:rPr>
  </w:style>
  <w:style w:type="paragraph" w:styleId="TableofFigures">
    <w:name w:val="table of figures"/>
    <w:basedOn w:val="Normal"/>
    <w:next w:val="Normal"/>
    <w:uiPriority w:val="99"/>
    <w:semiHidden/>
    <w:unhideWhenUsed/>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link w:val="CommentText"/>
    <w:uiPriority w:val="99"/>
    <w:semiHidden/>
    <w:rPr>
      <w:rFonts w:ascii="Times New Roman" w:hAnsi="Times New Roman"/>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ascii="Times New Roman" w:hAnsi="Times New Roman"/>
      <w:b/>
      <w:bCs/>
    </w:rPr>
  </w:style>
  <w:style w:type="character" w:styleId="Hyperlink">
    <w:name w:val="Hyperlink"/>
    <w:uiPriority w:val="99"/>
    <w:unhideWhenUsed/>
    <w:rPr>
      <w:color w:val="0000FF"/>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paragraph" w:styleId="Revision">
    <w:name w:val="Revision"/>
    <w:hidden/>
    <w:uiPriority w:val="99"/>
    <w:semiHidden/>
    <w:rPr>
      <w:rFonts w:ascii="Times New Roman" w:hAnsi="Times New Roman"/>
      <w:sz w:val="24"/>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link w:val="Header"/>
    <w:uiPriority w:val="99"/>
    <w:rPr>
      <w:rFonts w:ascii="Times New Roman" w:hAnsi="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rFonts w:eastAsiaTheme="minorHAnsi"/>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7"/>
      </w:numPr>
    </w:pPr>
  </w:style>
  <w:style w:type="paragraph" w:customStyle="1" w:styleId="Tiret1">
    <w:name w:val="Tiret 1"/>
    <w:basedOn w:val="Point1"/>
    <w:pPr>
      <w:numPr>
        <w:numId w:val="38"/>
      </w:numPr>
    </w:pPr>
  </w:style>
  <w:style w:type="paragraph" w:customStyle="1" w:styleId="Tiret2">
    <w:name w:val="Tiret 2"/>
    <w:basedOn w:val="Point2"/>
    <w:pPr>
      <w:numPr>
        <w:numId w:val="39"/>
      </w:numPr>
    </w:pPr>
  </w:style>
  <w:style w:type="paragraph" w:customStyle="1" w:styleId="Tiret3">
    <w:name w:val="Tiret 3"/>
    <w:basedOn w:val="Point3"/>
    <w:pPr>
      <w:numPr>
        <w:numId w:val="40"/>
      </w:numPr>
    </w:pPr>
  </w:style>
  <w:style w:type="paragraph" w:customStyle="1" w:styleId="Tiret4">
    <w:name w:val="Tiret 4"/>
    <w:basedOn w:val="Point4"/>
    <w:pPr>
      <w:numPr>
        <w:numId w:val="4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2"/>
      </w:numPr>
    </w:pPr>
  </w:style>
  <w:style w:type="paragraph" w:customStyle="1" w:styleId="NumPar2">
    <w:name w:val="NumPar 2"/>
    <w:basedOn w:val="Normal"/>
    <w:next w:val="Text1"/>
    <w:pPr>
      <w:numPr>
        <w:ilvl w:val="1"/>
        <w:numId w:val="42"/>
      </w:numPr>
    </w:pPr>
  </w:style>
  <w:style w:type="paragraph" w:customStyle="1" w:styleId="NumPar3">
    <w:name w:val="NumPar 3"/>
    <w:basedOn w:val="Normal"/>
    <w:next w:val="Text1"/>
    <w:pPr>
      <w:numPr>
        <w:ilvl w:val="2"/>
        <w:numId w:val="42"/>
      </w:numPr>
    </w:pPr>
  </w:style>
  <w:style w:type="paragraph" w:customStyle="1" w:styleId="NumPar4">
    <w:name w:val="NumPar 4"/>
    <w:basedOn w:val="Normal"/>
    <w:next w:val="Text1"/>
    <w:pPr>
      <w:numPr>
        <w:ilvl w:val="3"/>
        <w:numId w:val="4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4"/>
      </w:numPr>
    </w:pPr>
  </w:style>
  <w:style w:type="paragraph" w:customStyle="1" w:styleId="Point1number">
    <w:name w:val="Point 1 (number)"/>
    <w:basedOn w:val="Normal"/>
    <w:pPr>
      <w:numPr>
        <w:ilvl w:val="2"/>
        <w:numId w:val="44"/>
      </w:numPr>
    </w:pPr>
  </w:style>
  <w:style w:type="paragraph" w:customStyle="1" w:styleId="Point2number">
    <w:name w:val="Point 2 (number)"/>
    <w:basedOn w:val="Normal"/>
    <w:pPr>
      <w:numPr>
        <w:ilvl w:val="4"/>
        <w:numId w:val="44"/>
      </w:numPr>
    </w:pPr>
  </w:style>
  <w:style w:type="paragraph" w:customStyle="1" w:styleId="Point3number">
    <w:name w:val="Point 3 (number)"/>
    <w:basedOn w:val="Normal"/>
    <w:pPr>
      <w:numPr>
        <w:ilvl w:val="6"/>
        <w:numId w:val="44"/>
      </w:numPr>
    </w:pPr>
  </w:style>
  <w:style w:type="paragraph" w:customStyle="1" w:styleId="Point0letter">
    <w:name w:val="Point 0 (letter)"/>
    <w:basedOn w:val="Normal"/>
    <w:pPr>
      <w:numPr>
        <w:ilvl w:val="1"/>
        <w:numId w:val="44"/>
      </w:numPr>
    </w:pPr>
  </w:style>
  <w:style w:type="paragraph" w:customStyle="1" w:styleId="Point1letter">
    <w:name w:val="Point 1 (letter)"/>
    <w:basedOn w:val="Normal"/>
    <w:pPr>
      <w:numPr>
        <w:ilvl w:val="3"/>
        <w:numId w:val="44"/>
      </w:numPr>
    </w:pPr>
  </w:style>
  <w:style w:type="paragraph" w:customStyle="1" w:styleId="Point2letter">
    <w:name w:val="Point 2 (letter)"/>
    <w:basedOn w:val="Normal"/>
    <w:pPr>
      <w:numPr>
        <w:ilvl w:val="5"/>
        <w:numId w:val="44"/>
      </w:numPr>
    </w:pPr>
  </w:style>
  <w:style w:type="paragraph" w:customStyle="1" w:styleId="Point3letter">
    <w:name w:val="Point 3 (letter)"/>
    <w:basedOn w:val="Normal"/>
    <w:pPr>
      <w:numPr>
        <w:ilvl w:val="7"/>
        <w:numId w:val="44"/>
      </w:numPr>
    </w:pPr>
  </w:style>
  <w:style w:type="paragraph" w:customStyle="1" w:styleId="Point4letter">
    <w:name w:val="Point 4 (letter)"/>
    <w:basedOn w:val="Normal"/>
    <w:pPr>
      <w:numPr>
        <w:ilvl w:val="8"/>
        <w:numId w:val="44"/>
      </w:numPr>
    </w:pPr>
  </w:style>
  <w:style w:type="paragraph" w:customStyle="1" w:styleId="Bullet0">
    <w:name w:val="Bullet 0"/>
    <w:basedOn w:val="Normal"/>
    <w:pPr>
      <w:numPr>
        <w:numId w:val="45"/>
      </w:numPr>
    </w:pPr>
  </w:style>
  <w:style w:type="paragraph" w:customStyle="1" w:styleId="Bullet1">
    <w:name w:val="Bullet 1"/>
    <w:basedOn w:val="Normal"/>
    <w:pPr>
      <w:numPr>
        <w:numId w:val="46"/>
      </w:numPr>
    </w:pPr>
  </w:style>
  <w:style w:type="paragraph" w:customStyle="1" w:styleId="Bullet2">
    <w:name w:val="Bullet 2"/>
    <w:basedOn w:val="Normal"/>
    <w:pPr>
      <w:numPr>
        <w:numId w:val="47"/>
      </w:numPr>
    </w:pPr>
  </w:style>
  <w:style w:type="paragraph" w:customStyle="1" w:styleId="Bullet3">
    <w:name w:val="Bullet 3"/>
    <w:basedOn w:val="Normal"/>
    <w:pPr>
      <w:numPr>
        <w:numId w:val="48"/>
      </w:numPr>
    </w:pPr>
  </w:style>
  <w:style w:type="paragraph" w:customStyle="1" w:styleId="Bullet4">
    <w:name w:val="Bullet 4"/>
    <w:basedOn w:val="Normal"/>
    <w:pPr>
      <w:numPr>
        <w:numId w:val="49"/>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5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B36377-2F0B-4C63-B841-C830AD67B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4</Pages>
  <Words>1110</Words>
  <Characters>6950</Characters>
  <Application>Microsoft Office Word</Application>
  <DocSecurity>0</DocSecurity>
  <Lines>117</Lines>
  <Paragraphs>45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DIGIT/A3</cp:lastModifiedBy>
  <cp:revision>16</cp:revision>
  <dcterms:created xsi:type="dcterms:W3CDTF">2015-03-05T08:49:00Z</dcterms:created>
  <dcterms:modified xsi:type="dcterms:W3CDTF">2015-03-09T09:15:00Z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COM/PL/CODEC</vt:lpwstr>
  </property>
  <property fmtid="{D5CDD505-2E9C-101B-9397-08002B2CF9AE}" pid="3" name="Classification">
    <vt:lpwstr> </vt:lpwstr>
  </property>
  <property fmtid="{D5CDD505-2E9C-101B-9397-08002B2CF9AE}" pid="4" name="Version">
    <vt:lpwstr>5.8.86.0</vt:lpwstr>
  </property>
  <property fmtid="{D5CDD505-2E9C-101B-9397-08002B2CF9AE}" pid="5" name="Last edited using">
    <vt:lpwstr>LW 5.8.4, Build 20141001</vt:lpwstr>
  </property>
  <property fmtid="{D5CDD505-2E9C-101B-9397-08002B2CF9AE}" pid="6" name="Created using">
    <vt:lpwstr>LW 5.8.3, Build 20130911</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SJ-028</vt:lpwstr>
  </property>
  <property fmtid="{D5CDD505-2E9C-101B-9397-08002B2CF9AE}" pid="10" name="DQCStatus">
    <vt:lpwstr>Green (DQC version 02)</vt:lpwstr>
  </property>
</Properties>
</file>