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A0F0820F92A48E397AA0820A46DFCA7" style="width:450.35pt;height:445.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2013/0025 (COD)</w:t>
      </w:r>
    </w:p>
    <w:p>
      <w:pPr>
        <w:pStyle w:val="Typedudocument"/>
        <w:rPr>
          <w:noProof/>
        </w:rPr>
      </w:pPr>
      <w:r>
        <w:rPr>
          <w:noProof/>
        </w:rPr>
        <w:t>COMUNICAÇÃO DA COMISSÃO AO PARLAMENTO EUROPEU</w:t>
      </w:r>
      <w:r>
        <w:rPr>
          <w:noProof/>
        </w:rPr>
        <w:br/>
      </w:r>
      <w:r>
        <w:rPr>
          <w:noProof/>
        </w:rPr>
        <w:br/>
        <w:t>em conformidade com o artigo 294.º, n.º 6, do Tratado sobre o Funcionamento da</w:t>
      </w:r>
      <w:r>
        <w:rPr>
          <w:noProof/>
        </w:rPr>
        <w:br/>
        <w:t>União Europeia</w:t>
      </w:r>
      <w:r>
        <w:rPr>
          <w:noProof/>
        </w:rPr>
        <w:br/>
      </w:r>
      <w:r>
        <w:rPr>
          <w:noProof/>
        </w:rPr>
        <w:br/>
        <w:t>relativa à</w:t>
      </w:r>
    </w:p>
    <w:p>
      <w:pPr>
        <w:pStyle w:val="Titreobjet"/>
        <w:rPr>
          <w:noProof/>
        </w:rPr>
      </w:pPr>
      <w:r>
        <w:rPr>
          <w:noProof/>
        </w:rPr>
        <w:t xml:space="preserve">Posição do Conselho sobre a adoção de uma diretiva do Parlamento Europeu e do Conselho relativa à prevenção da utilização do sistema financeiro para efeitos de branqueamento de capitais e de financiamento do terrorismo </w:t>
      </w:r>
    </w:p>
    <w:p>
      <w:pPr>
        <w:pStyle w:val="IntrtEEE"/>
        <w:rPr>
          <w:noProof/>
        </w:rPr>
      </w:pPr>
      <w:r>
        <w:rPr>
          <w:noProof/>
        </w:rPr>
        <w:t>(Texto relevante para efeitos do EEE)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Contexto: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Data de transmissão da proposta ao Parlamento Europeu e ao Conselho</w:t>
            </w:r>
            <w:r>
              <w:rPr>
                <w:noProof/>
              </w:rPr>
              <w:br/>
              <w:t>[documento COM(2013) 45 final – 2013/0025 COD]: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 de fevereiro de 2013.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do parecer do Comité Económico e Social Europeu: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 de maio de 2013.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da posição do Parlamento Europeu em primeira leitura: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 de março de 2014.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de transmissão da proposta alterada: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Não aplicável.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de adoção da posição do Conselho: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 de abril de 2015.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Objetivo da proposta da Comissão</w:t>
      </w:r>
    </w:p>
    <w:p>
      <w:pPr>
        <w:rPr>
          <w:noProof/>
        </w:rPr>
      </w:pPr>
      <w:r>
        <w:rPr>
          <w:noProof/>
        </w:rPr>
        <w:t>Os principais objetivos da proposta de revisão da Diretiva 2005/60/CE, de 26 de outubro de 2005, relativa à prevenção da utilização do sistema financeiro para efeitos de branqueamento de capitais e de financiamento do terrorismo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consistem em:</w:t>
      </w: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reforçar o mercado interno simplificando as operações transfronteiriças, salvaguardando os interesses da sociedade em matéria de luta contra a criminalidade e os atos terroristas, contribuindo para a estabilidade financeira mediante a proteção da solidez, do bom funcionamento e da integridade do sistema financeiro, e preservando a prosperidade económica da União Europeia mediante a garantia de um ambiente empresarial eficiente;</w:t>
      </w:r>
    </w:p>
    <w:p>
      <w:pPr>
        <w:pStyle w:val="Tiret0"/>
        <w:rPr>
          <w:noProof/>
        </w:rPr>
      </w:pPr>
      <w:r>
        <w:rPr>
          <w:noProof/>
        </w:rPr>
        <w:t xml:space="preserve">harmonizar, sempre que tal se afigure adequado, as normas da União pelas normas internacionais em matéria de luta contra o branqueamento de capitais e o </w:t>
      </w:r>
      <w:r>
        <w:rPr>
          <w:noProof/>
        </w:rPr>
        <w:lastRenderedPageBreak/>
        <w:t>financiamento do terrorismo, adotadas pelo Grupo de Ação Financeira (GAFI)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em fevereiro de 2012.</w:t>
      </w:r>
    </w:p>
    <w:p>
      <w:pPr>
        <w:rPr>
          <w:noProof/>
        </w:rPr>
      </w:pPr>
      <w:r>
        <w:rPr>
          <w:noProof/>
        </w:rPr>
        <w:t>Os Estados-Membros, as autoridades nacionais de supervisão e as entidades competentes na matéria devem avaliar os riscos e adotar medidas de atenuação adequadas e proporcionais a esses mesmos riscos.</w:t>
      </w:r>
    </w:p>
    <w:p>
      <w:pPr>
        <w:rPr>
          <w:noProof/>
        </w:rPr>
      </w:pPr>
      <w:r>
        <w:rPr>
          <w:noProof/>
        </w:rPr>
        <w:t>Em paralelo, após ter procedido à análise do quadro comum da UE, a Comissão propôs igualmente a revisão do Regulamento (CE) n.º 1781/2006, relativo às informações sobre o ordenante que acompanham as transferências de fundos</w:t>
      </w:r>
      <w:r>
        <w:rPr>
          <w:rStyle w:val="FootnoteReference"/>
          <w:noProof/>
        </w:rPr>
        <w:footnoteReference w:id="3"/>
      </w:r>
      <w:r>
        <w:rPr>
          <w:noProof/>
        </w:rPr>
        <w:t>, tendo em conta as recomendações atualizadas sobre as transferências eletrónicas, adotadas pelo GAFI.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Observações sobre a posição do Conselho</w:t>
      </w:r>
    </w:p>
    <w:p>
      <w:pPr>
        <w:widowControl w:val="0"/>
        <w:rPr>
          <w:noProof/>
        </w:rPr>
      </w:pPr>
      <w:r>
        <w:rPr>
          <w:noProof/>
        </w:rPr>
        <w:t>A posição do Conselho reflete o acordo político concluído entre o Parlamento Europeu e o Conselho em 16 de dezembro de 2014, e inclui elementos propostos por ambas as instituições, A Comissão apoia esse acordo.</w:t>
      </w:r>
    </w:p>
    <w:p>
      <w:pPr>
        <w:widowControl w:val="0"/>
        <w:rPr>
          <w:noProof/>
        </w:rPr>
      </w:pPr>
      <w:r>
        <w:rPr>
          <w:noProof/>
        </w:rPr>
        <w:t>A Comissão aceita a introdução de elementos adicionais na posição do Conselho, nomeadamente: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t>Todos os prestadores de serviços de jogo - casinos e outros - são obrigados a aplicar as devidas medidas de diligência relativamente à clientela para as transações de montante igual ou superior a 2 000 EUR. Em circunstâncias estritamente limitadas e justificadas, e com base num risco comprovadamente reduzido de branqueamento de capitais ou de financiamento do terrorismo, os Estados-Membros serão autorizados a estabelecer algumas derrogações.</w:t>
      </w:r>
    </w:p>
    <w:p>
      <w:pPr>
        <w:pStyle w:val="Bullet0"/>
        <w:rPr>
          <w:noProof/>
        </w:rPr>
      </w:pPr>
      <w:r>
        <w:rPr>
          <w:noProof/>
        </w:rPr>
        <w:t>A disposição relativa à definição de «beneficiário efetivo» constitui um resultado equilibrado, que permitirá uma compreensão global deste conceito;</w:t>
      </w:r>
    </w:p>
    <w:p>
      <w:pPr>
        <w:pStyle w:val="Bullet0"/>
        <w:rPr>
          <w:noProof/>
        </w:rPr>
      </w:pPr>
      <w:r>
        <w:rPr>
          <w:noProof/>
        </w:rPr>
        <w:t>Tendo em conta a necessidade de coerência entre o quadro da UE aplicável ao numerário, a Comissão concorda que o limite aplicável às pessoas singulares ou coletivas que comercializem bens ou serviços seja elevado [?] de 7 500 EUR para 10 000 EUR;</w:t>
      </w:r>
    </w:p>
    <w:p>
      <w:pPr>
        <w:pStyle w:val="Bullet0"/>
        <w:rPr>
          <w:noProof/>
        </w:rPr>
      </w:pPr>
      <w:r>
        <w:rPr>
          <w:noProof/>
        </w:rPr>
        <w:t>A supressão da distinção, para as pessoas expostas politicamente (PEP), entre «estrangeiros» e «nacionais», que implica o reforço [?] das medidas de diligência requeridas para toda e qualquer PEP, independentemente do seu local de  origem, corresponde a um justo equilíbrio entre as preocupações do Conselho, as reservas do Parlamento Europeu e as recomendações do GAFI; -</w:t>
      </w:r>
    </w:p>
    <w:p>
      <w:pPr>
        <w:pStyle w:val="Bullet0"/>
        <w:rPr>
          <w:noProof/>
        </w:rPr>
      </w:pPr>
      <w:r>
        <w:rPr>
          <w:noProof/>
        </w:rPr>
        <w:t xml:space="preserve">A incumbência atribuída à Comissão de proceder a uma avaliação supranacional dos riscos de branqueamento de capitais e de financiamento do terrorismo, suscetíveis de afetar o mercado interno, relacionados com fenómenos transfronteiriços, permitirá uma abordagem coerente, ao nível europeu dos requisitos aplicáveis à luta contra o branqueamento de capitais e contra o financiamento do terrorismo. </w:t>
      </w:r>
    </w:p>
    <w:p>
      <w:pPr>
        <w:rPr>
          <w:noProof/>
        </w:rPr>
      </w:pPr>
      <w:r>
        <w:rPr>
          <w:noProof/>
        </w:rPr>
        <w:lastRenderedPageBreak/>
        <w:t>A Comissão considera que o texto reflete o acordo político concluído entre o Parlamento Europeu e o Conselho, representando um equilíbrio delicado, mas aceitável, no âmbito do pacote de compromisso global,  no que se refere:</w:t>
      </w:r>
    </w:p>
    <w:p>
      <w:pPr>
        <w:pStyle w:val="Bullet0"/>
        <w:rPr>
          <w:noProof/>
        </w:rPr>
      </w:pPr>
      <w:r>
        <w:rPr>
          <w:noProof/>
        </w:rPr>
        <w:t xml:space="preserve">às disposições relacionadas com a informação sobre os beneficiários efetivos: esta informação será conservada num registo central em cada Estado-Membro, o que constitui um aumento da transparência, em conformidade com as políticas da Comissão de âmbito mais geral. Não obstante, no que se refere às disposições específicas sobre o acesso a essas informações, a Comissão considera que a noção de «interesse legítimo» deve ser interpretada e entendida à luz dos requisitos decorrentes dos artigos 7.º e 8.º da Carta dos Direitos Fundamentais, no pleno respeito das normas em matéria de proteção de dados pessoais e do direito à privacidade. Ao transporem a diretiva, os Estados-Membros devem  prestar especial atenção a estes requisitos, a fim de assegurar que o acesso de terceiros prossegue um objetivo de interesse geral e que a necessidade e a proporcionalidade, suscetíveis de justificar a restrição da proteção dos dados pessoais e o direito à privacidade, estão plenamente contemplados; </w:t>
      </w:r>
    </w:p>
    <w:p>
      <w:pPr>
        <w:pStyle w:val="Bullet0"/>
        <w:rPr>
          <w:noProof/>
        </w:rPr>
      </w:pPr>
      <w:r>
        <w:rPr>
          <w:noProof/>
        </w:rPr>
        <w:t>às disposições relativas ao nível das sanções pecuniárias administrativas aplicáveis às instituições financeiras e às instituições não financeiras: no caso das instituições financeiras, no que respeita às pessoas coletivas, o nível máximo das sanções pecuniárias é de, pelo menos, 5 milhões de EUR ou 10 % do volume de negócios anual total, e, no que respeita às pessoas singulares, o montante máximo das sanções pecuniárias é de, pelo menos, 5 milhões de EUR; no caso das instituições não financeiras, estão previstas coimas máximas correspondentes, no mínimo, ao dobro do montante do benefício resultante da infração, ou pelo menos a 1 milhão de EUR; -</w:t>
      </w:r>
    </w:p>
    <w:p>
      <w:pPr>
        <w:pStyle w:val="Bullet0"/>
        <w:widowControl w:val="0"/>
        <w:rPr>
          <w:noProof/>
        </w:rPr>
      </w:pPr>
      <w:r>
        <w:rPr>
          <w:noProof/>
        </w:rPr>
        <w:t>à utilização de atos delegados, e não de atos de execução, para identificar as jurisdições de países terceiros com deficiências estratégicas nos seus regimes de luta contra o branqueamento de capitais/financiamento do terrorismo.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Conclusão</w:t>
      </w:r>
    </w:p>
    <w:p>
      <w:pPr>
        <w:rPr>
          <w:noProof/>
        </w:rPr>
      </w:pPr>
      <w:r>
        <w:rPr>
          <w:noProof/>
        </w:rPr>
        <w:t>A Comissão congratula-se com os resultados das negociações interinstitucionais, pelo que aceita a posição do Conselho em primeira leitura.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214 de 4.8.2006, p. 29.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GAFI é o organismo internacional, instituído pela Cimeira do G7 realizada em Paris em 1989, tendo por atribuição a elaboração de uma norma internacional em matéria de luta contra o branqueamento de capitais e o financiamento do terrorismo.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COM(2013) 44 final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DB4D0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AAC83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2A67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0964F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187F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B47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8AEE0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CC7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4-24 14:43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EA0F0820F92A48E397AA0820A46DFCA7"/>
    <w:docVar w:name="LW_CROSSREFERENCE" w:val="&lt;UNUSED&gt;"/>
    <w:docVar w:name="LW_DocType" w:val="COM"/>
    <w:docVar w:name="LW_EMISSION" w:val="27.4.2015"/>
    <w:docVar w:name="LW_EMISSION_ISODATE" w:val="2015-04-27"/>
    <w:docVar w:name="LW_EMISSION_LOCATION" w:val="BRX"/>
    <w:docVar w:name="LW_EMISSION_PREFIX" w:val="Bruxelas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xto relevante para efeitos do EEE)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25"/>
    <w:docVar w:name="LW_REF.II.NEW.CP_YEAR" w:val="2013"/>
    <w:docVar w:name="LW_REF.INST.NEW" w:val="COM"/>
    <w:docVar w:name="LW_REF.INST.NEW_ADOPTED" w:val="final"/>
    <w:docVar w:name="LW_REF.INST.NEW_TEXT" w:val="(2015) 188"/>
    <w:docVar w:name="LW_REF.INTERNE" w:val="&lt;UNUSED&gt;"/>
    <w:docVar w:name="LW_SOUS.TITRE.OBJ.CP" w:val="&lt;UNUSED&gt;"/>
    <w:docVar w:name="LW_SUPERTITRE" w:val="&lt;UNUSED&gt;"/>
    <w:docVar w:name="LW_TITRE.OBJ.CP" w:val="Posição do Conselho sobre a adoção de uma diretiva do Parlamento Europeu e do Conselho relativa à prevenção da utilização do sistema financeiro para efeitos de branqueamento de capitais e de financiamento do terrorismo "/>
    <w:docVar w:name="LW_TYPE.DOC.CP" w:val="COMUNICAÇÃO DA COMISSÃO AO PARLAMENTO EUROPEU_x000b__x000b_em conformidade com o artigo 294.º, n.º 6, do Tratado sobre o Funcionamento da_x000b_União Europeia_x000b__x000b_relativa à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98F1-E9B7-4F43-8D21-BE802B9D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997</Words>
  <Characters>5567</Characters>
  <Application>Microsoft Office Word</Application>
  <DocSecurity>0</DocSecurity>
  <Lines>107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2015-04-17T11:17:00Z</cp:lastPrinted>
  <dcterms:created xsi:type="dcterms:W3CDTF">2015-04-22T07:56:00Z</dcterms:created>
  <dcterms:modified xsi:type="dcterms:W3CDTF">2015-04-24T12:43:00Z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_NewReviewCycle">
    <vt:lpwstr/>
  </property>
  <property fmtid="{D5CDD505-2E9C-101B-9397-08002B2CF9AE}" pid="11" name="DQCStatus">
    <vt:lpwstr>Green (DQC version 02)</vt:lpwstr>
  </property>
</Properties>
</file>