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391307A52384CB3B9702EBA3A109FAE" style="width:450.15pt;height:446.1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2013/0025 (COD)</w:t>
      </w:r>
    </w:p>
    <w:p>
      <w:pPr>
        <w:pStyle w:val="Typedudocument"/>
        <w:rPr>
          <w:noProof/>
        </w:rPr>
      </w:pPr>
      <w:r>
        <w:rPr>
          <w:noProof/>
        </w:rPr>
        <w:t>СЪОБЩЕНИЕ НА КОМИСИЯТА ДО ЕВРОПЕЙСКИЯ ПАРЛАМЕНТ</w:t>
      </w:r>
      <w:r>
        <w:rPr>
          <w:noProof/>
        </w:rPr>
        <w:br/>
      </w:r>
      <w:r>
        <w:rPr>
          <w:noProof/>
        </w:rPr>
        <w:br/>
        <w:t>съгласно член 294, параграф 6 от Договора за функционирането на Европейския съюз</w:t>
      </w:r>
      <w:r>
        <w:rPr>
          <w:noProof/>
        </w:rPr>
        <w:br/>
      </w:r>
      <w:r>
        <w:rPr>
          <w:noProof/>
        </w:rPr>
        <w:br/>
        <w:t>относно</w:t>
      </w:r>
    </w:p>
    <w:p>
      <w:pPr>
        <w:pStyle w:val="Titreobjet"/>
        <w:rPr>
          <w:noProof/>
        </w:rPr>
      </w:pPr>
      <w:r>
        <w:rPr>
          <w:noProof/>
        </w:rPr>
        <w:t>позицията на Съвета във връзка с приемането на Директива на Европейския парламент и на Съвета за предотвратяване използването на финансовата система за целите на изпирането на пари и финансирането на тероризма</w:t>
      </w:r>
    </w:p>
    <w:p>
      <w:pPr>
        <w:pStyle w:val="IntrtEEE"/>
        <w:rPr>
          <w:noProof/>
        </w:rPr>
      </w:pPr>
      <w:r>
        <w:rPr>
          <w:noProof/>
        </w:rPr>
        <w:t>(текст от значение за ЕИП)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Хронология на преписката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Дата на предаване на предложението на Европейския парламент и на Съвета</w:t>
            </w:r>
            <w:r>
              <w:rPr>
                <w:noProof/>
              </w:rPr>
              <w:br/>
              <w:t>(документ COM(2013) 45 final – 2013/0025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 февруари 2013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становището на Европейския икономически и социален комитет: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 май 2013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позицията на Европейския парламент на първо четене: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 март 2014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предаване на измененото предложение: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Не се прилага.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приемане на позицията на Съвета: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 април 2015 г.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Цел на предложението на Комисията</w:t>
      </w:r>
    </w:p>
    <w:p>
      <w:pPr>
        <w:rPr>
          <w:noProof/>
        </w:rPr>
      </w:pPr>
      <w:r>
        <w:rPr>
          <w:noProof/>
        </w:rPr>
        <w:t>Основните цели на предложението за преразглеждане на Директива 2005/60/ЕО от 26 октомври 2005 г. за предотвратяване използването на финансовата система за целите на изпирането на пари и финансирането на тероризъм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са: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да се укрепи вътрешния пазар чрез опростяване на процедурите при трансгранични операции, защита на интересите на обществеността от престъпна дейност и терористични актове, допринасяне за финансовата стабилност чрез защитата на надеждността, правилното функциониране и целостта на финансовата система, и запазване на икономическия просперитет на Европейския съюз чрез осигуряване на ефикасна стопанска среда, и</w:t>
      </w:r>
    </w:p>
    <w:p>
      <w:pPr>
        <w:pStyle w:val="Tiret0"/>
        <w:rPr>
          <w:noProof/>
        </w:rPr>
      </w:pPr>
      <w:r>
        <w:rPr>
          <w:noProof/>
        </w:rPr>
        <w:t xml:space="preserve">нейните разпоредби да се приведат в съответствие, когато е целесъобразно, с международните стандарти за борба с изпирането на пари и финансирането на </w:t>
      </w:r>
      <w:r>
        <w:rPr>
          <w:noProof/>
        </w:rPr>
        <w:lastRenderedPageBreak/>
        <w:t>тероризма, приети от Специалната група за финансови действия (FATF)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през февруари 2012 г.</w:t>
      </w:r>
    </w:p>
    <w:p>
      <w:pPr>
        <w:rPr>
          <w:noProof/>
        </w:rPr>
      </w:pPr>
      <w:r>
        <w:rPr>
          <w:noProof/>
        </w:rPr>
        <w:t>С предложението от държавите членки, надзорните органи и задължените субекти се изисква да оценяват риска и да предприемат подходящи и пропорционални на този риск мерки за неговото смекчаване.</w:t>
      </w:r>
    </w:p>
    <w:p>
      <w:pPr>
        <w:rPr>
          <w:noProof/>
        </w:rPr>
      </w:pPr>
      <w:r>
        <w:rPr>
          <w:noProof/>
        </w:rPr>
        <w:t>Успоредно с това, след като извърши преглед на рамката на ЕС, Комисията предложи и преразглеждане на Регламент (ЕО) № 1781/2006 относно информацията за платеца, придружаваща парични преводи</w:t>
      </w:r>
      <w:r>
        <w:rPr>
          <w:rStyle w:val="FootnoteReference"/>
          <w:noProof/>
        </w:rPr>
        <w:footnoteReference w:id="3"/>
      </w:r>
      <w:r>
        <w:rPr>
          <w:noProof/>
        </w:rPr>
        <w:t>, като се имат предвид актуализираните препоръки относно електронните преводи, приети от FATF.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Коментари относно позицията на Съвета</w:t>
      </w:r>
    </w:p>
    <w:p>
      <w:pPr>
        <w:widowControl w:val="0"/>
        <w:rPr>
          <w:noProof/>
        </w:rPr>
      </w:pPr>
      <w:r>
        <w:rPr>
          <w:noProof/>
        </w:rPr>
        <w:t>Позицията на Съвета отразява политическото споразумение, постигнато между него и Европейския парламент на 16 декември 2014 г., и включва елементи, предложени от двете институции. Комисията подкрепя това споразумение.</w:t>
      </w:r>
    </w:p>
    <w:p>
      <w:pPr>
        <w:widowControl w:val="0"/>
        <w:rPr>
          <w:noProof/>
        </w:rPr>
      </w:pPr>
      <w:r>
        <w:rPr>
          <w:noProof/>
        </w:rPr>
        <w:t>Комисията може да приеме допълнителните елементи, включени в позицията на Съвета, а именно: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>от всички доставчици на услуги в областта на хазарта, а не само от казината, се изисква да прилагат мерки за комплексна проверка на клиента при всяка сделка в размер на 2 000 EUR или повече; При строго ограничени и обосновани обстоятелства и въз основа на доказан нисък риск от изпиране на пари или финансиране на тероризма, на държавите членки ще бъде разрешено да предвиждат някои възможности за освобождаване.</w:t>
      </w:r>
    </w:p>
    <w:p>
      <w:pPr>
        <w:pStyle w:val="Bullet0"/>
        <w:rPr>
          <w:noProof/>
        </w:rPr>
      </w:pPr>
      <w:r>
        <w:rPr>
          <w:noProof/>
        </w:rPr>
        <w:t>разпоредбата относно определението за действителен собственик е добре балансиран резултат, който ще позволи да се постигне цялостно разбиране за това какво означава действителен собственик;</w:t>
      </w:r>
    </w:p>
    <w:p>
      <w:pPr>
        <w:pStyle w:val="Bullet0"/>
        <w:rPr>
          <w:noProof/>
        </w:rPr>
      </w:pPr>
      <w:r>
        <w:rPr>
          <w:noProof/>
        </w:rPr>
        <w:t>като се има предвид необходимостта от последователност на рамката на ЕС, приложима за плащанията в брой, Комисията подкрепя увеличаването на прага, приложим по отношение на физическите или юридическите лица, търгуващи със стоки или услуги, от 7 500 EUR на 10 000 EUR;</w:t>
      </w:r>
    </w:p>
    <w:p>
      <w:pPr>
        <w:pStyle w:val="Bullet0"/>
        <w:rPr>
          <w:noProof/>
        </w:rPr>
      </w:pPr>
      <w:r>
        <w:rPr>
          <w:noProof/>
        </w:rPr>
        <w:t>премахването на разграничението между „чуждестранни“ и „местни“ видни политически личности, водещо до изискване за автоматично прилагане на мерки за задълбочена комплексна проверка за всяка видна политическа личност, независимо откъде е тя, представлява разумен баланс между загрижеността на Съвета, резервите на Европейския парламент и съществуващите препоръки на FATF; и</w:t>
      </w:r>
    </w:p>
    <w:p>
      <w:pPr>
        <w:pStyle w:val="Bullet0"/>
        <w:rPr>
          <w:noProof/>
        </w:rPr>
      </w:pPr>
      <w:r>
        <w:rPr>
          <w:noProof/>
        </w:rPr>
        <w:t xml:space="preserve">възложената на Комисията роля да извърши наднационална оценка на риска във връзка с рисковете от изпиране на пари и финансиране на тероризма, които биха могли да засегнат вътрешния пазар и са свързани с трансгранични феномени, ще доведе до съгласуван подход спрямо изискванията за борбата с изпирането на пари и финансирането на тероризма на европейско равнище. </w:t>
      </w:r>
    </w:p>
    <w:p>
      <w:pPr>
        <w:rPr>
          <w:noProof/>
        </w:rPr>
      </w:pPr>
      <w:r>
        <w:rPr>
          <w:noProof/>
        </w:rPr>
        <w:lastRenderedPageBreak/>
        <w:t>Комисията признава, че текстът отразява политическото споразумение, постигнато между Европейския парламент и Съвета, което представлява деликатен, но приемлив баланс, като част от цялостния компромис, по отношение на:</w:t>
      </w:r>
    </w:p>
    <w:p>
      <w:pPr>
        <w:pStyle w:val="Bullet0"/>
        <w:rPr>
          <w:noProof/>
        </w:rPr>
      </w:pPr>
      <w:r>
        <w:rPr>
          <w:noProof/>
        </w:rPr>
        <w:t xml:space="preserve">разпоредбите, свързани с информацията относно действителните собственици: Тази информация ще се съхранява в централен регистър във всяка държава членка, което представлява повишаване на прозрачността, в съответствие с по-общите политики на Комисията. Що се отнася обаче до конкретните разпоредби относно достъпа до тази информация, Комисията счита, че понятието „законен интерес“ следва да се тълкува и разбира в контекста на изискванията, произтичащи от членове 7 и 8 от Хартата на основните права, при пълно зачитане на правилата за защита на личните данни и правото на неприкосновеност на личния живот. При транспонирането на директивата държавите членки ще трябва да обръщат особено внимание на такива изисквания, за да гарантират, че с достъпа на трети лица се преследва цел от общ интерес и че изискванията за необходимост и пропорционалност, които биха могли да оправдаят ограничаването на защитата на личните данни и на правото на неприкосновеност на личния живот, са напълно спазени; </w:t>
      </w:r>
    </w:p>
    <w:p>
      <w:pPr>
        <w:pStyle w:val="Bullet0"/>
        <w:rPr>
          <w:noProof/>
        </w:rPr>
      </w:pPr>
      <w:r>
        <w:rPr>
          <w:noProof/>
        </w:rPr>
        <w:t>разпоредбите, свързани с размера на административните имуществени санкции, приложими спрямо финансовите и нефинансовите институции: в случай на финансови институции размерът на максималните имуществени санкции за юридически лица следва да възлиза най-малко на 5 милиона EUR или 10% от общия годишен оборот, а максималните имуществени санкции за физически лица ще възлизат най-малко на 5 милиона EUR; в случай на нефинансови институции максималните имуществени санкции следва да възлизат най-малко на двойния размер на ползата, извлечена вследствие на нарушението, или най-малко 1 милион EUR; и</w:t>
      </w:r>
    </w:p>
    <w:p>
      <w:pPr>
        <w:pStyle w:val="Bullet0"/>
        <w:widowControl w:val="0"/>
        <w:rPr>
          <w:noProof/>
        </w:rPr>
      </w:pPr>
      <w:r>
        <w:rPr>
          <w:noProof/>
        </w:rPr>
        <w:t>използването на делегирани актове, вместо актове за изпълнение, за установяване на юрисдикциите на трети държави, които имат стратегически слабости в своите режими за борба с изпирането на пари/финансирането на тероризма.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Заключение</w:t>
      </w:r>
    </w:p>
    <w:p>
      <w:pPr>
        <w:rPr>
          <w:noProof/>
        </w:rPr>
      </w:pPr>
      <w:r>
        <w:rPr>
          <w:noProof/>
        </w:rPr>
        <w:t>Комисията подкрепя резултатите от междуинституционалните преговори и следователно може да приеме позицията на Съвета на първо четене.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ОВ L 214, 4.8.2006 г., стр. 29.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FATF е международният орган, създаден на срещата на върха на Г-7 в Париж през 1989 г., на който е възложено изготвянето на международни стандарти в борбата с изпирането на пари и финансирането на тероризма.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COM(2013) 44 final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DB4D0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AAC83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2A67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0964F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187F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B47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8AEE0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CC7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24 14:46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F391307A52384CB3B9702EBA3A109FAE"/>
    <w:docVar w:name="LW_CROSSREFERENCE" w:val="&lt;UNUSED&gt;"/>
    <w:docVar w:name="LW_DocType" w:val="COM"/>
    <w:docVar w:name="LW_EMISSION" w:val="27.4.2015"/>
    <w:docVar w:name="LW_EMISSION_ISODATE" w:val="2015-04-27"/>
    <w:docVar w:name="LW_EMISSION_LOCATION" w:val="BRX"/>
    <w:docVar w:name="LW_EMISSION_PREFIX" w:val="\u1041?\u1088?\u1102?\u1082?\u1089?\u1077?\u1083?, "/>
    <w:docVar w:name="LW_EMISSION_SUFFIX" w:val=" \u1075?."/>
    <w:docVar w:name="LW_ID_DOCMODEL" w:val="SJ-028"/>
    <w:docVar w:name="LW_ID_DOCSTRUCTURE" w:val="COM/PL/CODEC"/>
    <w:docVar w:name="LW_ID_DOCTYPE" w:val="SJ-028"/>
    <w:docVar w:name="LW_INTERETEEE.CP" w:val="(\u1090?\u1077?\u1082?\u1089?\u1090? \u1086?\u1090? \u1079?\u1085?\u1072?\u1095?\u1077?\u1085?\u1080?\u1077? \u1079?\u1072? \u1045?\u1048?\u1055?)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25"/>
    <w:docVar w:name="LW_REF.II.NEW.CP_YEAR" w:val="2013"/>
    <w:docVar w:name="LW_REF.INST.NEW" w:val="COM"/>
    <w:docVar w:name="LW_REF.INST.NEW_ADOPTED" w:val="final"/>
    <w:docVar w:name="LW_REF.INST.NEW_TEXT" w:val="(2015) 188"/>
    <w:docVar w:name="LW_REF.INTERNE" w:val="&lt;UNUSED&gt;"/>
    <w:docVar w:name="LW_SOUS.TITRE.OBJ.CP" w:val="&lt;UNUSED&gt;"/>
    <w:docVar w:name="LW_SUPERTITRE" w:val="&lt;UNUSED&gt;"/>
    <w:docVar w:name="LW_TITRE.OBJ.CP" w:val="\u1087?\u1086?\u1079?\u1080?\u1094?\u1080?\u1103?\u1090?\u1072? \u1085?\u1072? \u1057?\u1098?\u1074?\u1077?\u1090?\u1072? \u1074?\u1098?\u1074? \u1074?\u1088?\u1098?\u1079?\u1082?\u1072? \u1089? \u1087?\u1088?\u1080?\u1077?\u1084?\u1072?\u1085?\u1077?\u1090?\u1086? \u1085?\u1072? \u1044?\u1080?\u1088?\u1077?\u1082?\u1090?\u1080?\u1074?\u1072? \u1085?\u1072? \u1045?\u1074?\u1088?\u1086?\u1087?\u1077?\u1081?\u1089?\u1082?\u1080?\u1103? \u1087?\u1072?\u1088?\u1083?\u1072?\u1084?\u1077?\u1085?\u1090? \u1080? \u1085?\u1072? \u1057?\u1098?\u1074?\u1077?\u1090?\u1072? \u1079?\u1072? \u1087?\u1088?\u1077?\u1076?\u1086?\u1090?\u1074?\u1088?\u1072?\u1090?\u1103?\u1074?\u1072?\u1085?\u1077? \u1080?\u1079?\u1087?\u1086?\u1083?\u1079?\u1074?\u1072?\u1085?\u1077?\u1090?\u1086? \u1085?\u1072? \u1092?\u1080?\u1085?\u1072?\u1085?\u1089?\u1086?\u1074?\u1072?\u1090?\u1072? \u1089?\u1080?\u1089?\u1090?\u1077?\u1084?\u1072? \u1079?\u1072? \u1094?\u1077?\u1083?\u1080?\u1090?\u1077? \u1085?\u1072? \u1080?\u1079?\u1087?\u1080?\u1088?\u1072?\u1085?\u1077?\u1090?\u1086? \u1085?\u1072? \u1087?\u1072?\u1088?\u1080? \u1080? \u1092?\u1080?\u1085?\u1072?\u1085?\u1089?\u1080?\u1088?\u1072?\u1085?\u1077?\u1090?\u1086? \u1085?\u1072? \u1090?\u1077?\u1088?\u1086?\u1088?\u1080?\u1079?\u1084?\u1072?"/>
    <w:docVar w:name="LW_TYPE.DOC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_x000b__x000b_\u1089?\u1098?\u1075?\u1083?\u1072?\u1089?\u1085?\u1086? \u1095?\u1083?\u1077?\u1085? 294, \u1087?\u1072?\u1088?\u1072?\u1075?\u1088?\u1072?\u1092? 6 \u1086?\u1090? \u1044?\u1086?\u1075?\u1086?\u1074?\u1086?\u1088?\u1072? \u1079?\u1072? \u1092?\u1091?\u1085?\u1082?\u1094?\u1080?\u1086?\u1085?\u1080?\u1088?\u1072?\u1085?\u1077?\u1090?\u1086? \u1085?\u1072? \u1045?\u1074?\u1088?\u1086?\u1087?\u1077?\u1081?\u1089?\u1082?\u1080?\u1103? \u1089?\u1098?\u1102?\u1079?_x000b__x000b_\u1086?\u1090?\u1085?\u1086?\u1089?\u1085?\u1086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CBB5-616D-4BD1-9333-5B43459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909</Words>
  <Characters>5451</Characters>
  <Application>Microsoft Office Word</Application>
  <DocSecurity>0</DocSecurity>
  <Lines>111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2015-04-17T11:17:00Z</cp:lastPrinted>
  <dcterms:created xsi:type="dcterms:W3CDTF">2015-04-23T17:10:00Z</dcterms:created>
  <dcterms:modified xsi:type="dcterms:W3CDTF">2015-04-24T12:46:00Z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_NewReviewCycle">
    <vt:lpwstr/>
  </property>
  <property fmtid="{D5CDD505-2E9C-101B-9397-08002B2CF9AE}" pid="11" name="DQCStatus">
    <vt:lpwstr>Green (DQC version 02)</vt:lpwstr>
  </property>
</Properties>
</file>