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E4E7E74BFD5D480A9124389BC2A9A3DA" style="width:451.25pt;height:416.1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2013/0410 (COD)</w:t>
      </w:r>
    </w:p>
    <w:p>
      <w:pPr>
        <w:pStyle w:val="Typedudocument"/>
        <w:rPr>
          <w:noProof/>
        </w:rPr>
      </w:pPr>
      <w:r>
        <w:rPr>
          <w:noProof/>
        </w:rPr>
        <w:t>SPOROČILO KOMISIJE</w:t>
      </w:r>
      <w:r>
        <w:rPr>
          <w:noProof/>
        </w:rPr>
        <w:br/>
        <w:t>EVROPSKEMU PARLAMENTU</w:t>
      </w:r>
      <w:r>
        <w:rPr>
          <w:noProof/>
        </w:rPr>
        <w:br/>
      </w:r>
      <w:r>
        <w:rPr>
          <w:noProof/>
        </w:rPr>
        <w:br/>
        <w:t xml:space="preserve">v skladu s členom 294(6) Pogodbe o delovanju Evropske unije </w:t>
      </w:r>
      <w:r>
        <w:rPr>
          <w:noProof/>
        </w:rPr>
        <w:br/>
      </w:r>
      <w:r>
        <w:rPr>
          <w:noProof/>
        </w:rPr>
        <w:br/>
        <w:t>v zvezi s</w:t>
      </w:r>
    </w:p>
    <w:p>
      <w:pPr>
        <w:pStyle w:val="Titreobjet"/>
        <w:rPr>
          <w:noProof/>
        </w:rPr>
      </w:pPr>
      <w:r>
        <w:rPr>
          <w:noProof/>
        </w:rPr>
        <w:t>stališčem Sveta o sprejetju Uredbe Evropskega parlamenta in Sveta o spremembi Uredbe Sveta (ES) št. 515/97 o medsebojni pomoči med upravnimi organi držav članic in o sodelovanju med njimi in Komisijo zaradi zagotavljanja pravilnega izvajanja carinske in kmetijske zakonodaje</w:t>
      </w:r>
    </w:p>
    <w:p>
      <w:pPr>
        <w:pStyle w:val="ManualHeading1"/>
        <w:rPr>
          <w:noProof/>
          <w:sz w:val="22"/>
        </w:rPr>
      </w:pPr>
      <w:r>
        <w:rPr>
          <w:noProof/>
        </w:rPr>
        <w:t>1.</w:t>
      </w:r>
      <w:r>
        <w:rPr>
          <w:noProof/>
        </w:rPr>
        <w:tab/>
        <w:t>Ozadje</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Datum predložitve predloga Evropskemu parlamentu in Svetu</w:t>
            </w:r>
            <w:r>
              <w:rPr>
                <w:noProof/>
              </w:rPr>
              <w:br/>
              <w:t>(dokument COM(2013) 0796 final – 2013/0410 COD):</w:t>
            </w:r>
          </w:p>
        </w:tc>
        <w:tc>
          <w:tcPr>
            <w:tcW w:w="2483" w:type="dxa"/>
          </w:tcPr>
          <w:p>
            <w:pPr>
              <w:jc w:val="left"/>
              <w:rPr>
                <w:noProof/>
              </w:rPr>
            </w:pPr>
            <w:r>
              <w:rPr>
                <w:noProof/>
              </w:rPr>
              <w:t>25. 11. 2013</w:t>
            </w:r>
          </w:p>
        </w:tc>
      </w:tr>
      <w:tr>
        <w:tc>
          <w:tcPr>
            <w:tcW w:w="6804" w:type="dxa"/>
          </w:tcPr>
          <w:p>
            <w:pPr>
              <w:rPr>
                <w:noProof/>
              </w:rPr>
            </w:pPr>
            <w:r>
              <w:rPr>
                <w:noProof/>
              </w:rPr>
              <w:t>Datum stališča Evropskega parlamenta, prva obravnava:</w:t>
            </w:r>
          </w:p>
        </w:tc>
        <w:tc>
          <w:tcPr>
            <w:tcW w:w="2483" w:type="dxa"/>
          </w:tcPr>
          <w:p>
            <w:pPr>
              <w:jc w:val="left"/>
              <w:rPr>
                <w:noProof/>
              </w:rPr>
            </w:pPr>
            <w:r>
              <w:rPr>
                <w:noProof/>
              </w:rPr>
              <w:t>18. 3. 2014</w:t>
            </w:r>
          </w:p>
        </w:tc>
      </w:tr>
      <w:tr>
        <w:tc>
          <w:tcPr>
            <w:tcW w:w="6804" w:type="dxa"/>
          </w:tcPr>
          <w:p>
            <w:pPr>
              <w:rPr>
                <w:noProof/>
              </w:rPr>
            </w:pPr>
            <w:r>
              <w:rPr>
                <w:noProof/>
              </w:rPr>
              <w:t>Datum sprejetja stališča Sveta:</w:t>
            </w:r>
          </w:p>
        </w:tc>
        <w:tc>
          <w:tcPr>
            <w:tcW w:w="2483" w:type="dxa"/>
          </w:tcPr>
          <w:p>
            <w:pPr>
              <w:jc w:val="left"/>
              <w:rPr>
                <w:noProof/>
              </w:rPr>
            </w:pPr>
            <w:r>
              <w:rPr>
                <w:noProof/>
              </w:rPr>
              <w:t>15. 6. 2015</w:t>
            </w:r>
          </w:p>
        </w:tc>
      </w:tr>
    </w:tbl>
    <w:p>
      <w:pPr>
        <w:pStyle w:val="ManualHeading1"/>
        <w:rPr>
          <w:noProof/>
        </w:rPr>
      </w:pPr>
      <w:r>
        <w:rPr>
          <w:noProof/>
        </w:rPr>
        <w:t>2.</w:t>
      </w:r>
      <w:r>
        <w:rPr>
          <w:noProof/>
        </w:rPr>
        <w:tab/>
        <w:t>Cilj predloga Komisije</w:t>
      </w:r>
    </w:p>
    <w:p>
      <w:pPr>
        <w:spacing w:after="100" w:afterAutospacing="1"/>
        <w:rPr>
          <w:noProof/>
          <w:szCs w:val="24"/>
        </w:rPr>
      </w:pPr>
      <w:r>
        <w:rPr>
          <w:noProof/>
        </w:rPr>
        <w:t>Predlog Komisije o spremembi Uredbe (ES) št. 515/97 je bil sprejet 25. novembra 2013. Njegov glavni cilj je olajšati boj proti goljufijam na carinskem področju na ravni EU in nacionalni ravni z izboljšanjem razpoložljivosti podatkov o uvozu, izvozu in tranzitu ter podatkov o premikih zabojnikov. Poleg tega je namen predloga zagotoviti pravočasno razpoložljivost podpornih dokumentov, ki jih hranijo gospodarski subjekti. Hkrati je eden od ciljev predloga razjasniti možnost uporabe informacij, pridobljenih v okviru medsebojne pomoči, kot dokazov v kazenskih in upravnih postopkih v državah članicah. Glavna elementa predloga sta oblikovanje centralizirane podatkovne baze sporočil o statusu zabojnikov (CMS) ter oblikovanje podatkovne baze o uvozu, izvozu in tranzitu. Predlog poleg tega jasneje opredeljuje možnost uporabe informacij, pridobljenih v okviru medsebojne pomoči, kot dokazov v sodnih in upravnih postopkih in določa postopek, po katerem Komisija od gospodarskih subjektov pridobi podporne dokumente.</w:t>
      </w:r>
    </w:p>
    <w:p>
      <w:pPr>
        <w:pStyle w:val="ManualHeading1"/>
        <w:rPr>
          <w:noProof/>
        </w:rPr>
      </w:pPr>
      <w:r>
        <w:rPr>
          <w:noProof/>
        </w:rPr>
        <w:t>3.</w:t>
      </w:r>
      <w:r>
        <w:rPr>
          <w:noProof/>
        </w:rPr>
        <w:tab/>
        <w:t>Pripombe k stališču Sveta</w:t>
      </w:r>
    </w:p>
    <w:p>
      <w:pPr>
        <w:rPr>
          <w:noProof/>
        </w:rPr>
      </w:pPr>
      <w:r>
        <w:rPr>
          <w:noProof/>
        </w:rPr>
        <w:t xml:space="preserve">Stališče Sveta večinoma podpira glavne prvine predloga Komisije, vendar spreminja posamezne podrobnosti. Med temi spremembami je pojasnilo, da se informacije, pridobljene v okviru medsebojne pomoči, lahko uporabijo kot dokazi v sodnih postopkih le, če temu ne nasprotuje država članica, ki je te informacije poslala. Stališče Sveta poleg tega razširja spremembo glede dopustnosti dokazov na informacije, pridobljene prek mehanizma pomoči, ki se zagotovi brez predhodne prošnje, omejuje obseg podatkov, ki se vključijo v predlagane podatkovne baze, dodaja določbo o sankcijah, ki se uporabijo, kadar prevozniki ne javijo sporočil o statusu zabojnikov, odpravlja določbo o prenosu podatkov iz predlaganih </w:t>
      </w:r>
      <w:r>
        <w:rPr>
          <w:noProof/>
        </w:rPr>
        <w:lastRenderedPageBreak/>
        <w:t xml:space="preserve">podatkovnih baz drugim mednarodnim organizacijam in agencijam EU ter nekoliko spreminja postopek, po katerem Komisija pridobi podporno dokumentacijo. </w:t>
      </w:r>
    </w:p>
    <w:p>
      <w:pPr>
        <w:rPr>
          <w:noProof/>
        </w:rPr>
      </w:pPr>
      <w:r>
        <w:rPr>
          <w:noProof/>
        </w:rPr>
        <w:t xml:space="preserve">Komisija podpira te spremembe. </w:t>
      </w:r>
    </w:p>
    <w:p>
      <w:pPr>
        <w:rPr>
          <w:rFonts w:ascii="Arial" w:hAnsi="Arial" w:cs="Arial"/>
          <w:noProof/>
          <w:sz w:val="48"/>
          <w:szCs w:val="48"/>
        </w:rPr>
      </w:pPr>
      <w:r>
        <w:rPr>
          <w:noProof/>
        </w:rPr>
        <w:t>Po neuradnih tristranskih razpravah, ki so potekale 11. novembra 2014, 10. decembra 2014 in 18. decembra 2014, so Parlament, Svet in Komisija dosegli okvirni politični dogovor glede besedila spremembe Uredbe (ES) št. 515/97.</w:t>
      </w:r>
    </w:p>
    <w:p>
      <w:pPr>
        <w:rPr>
          <w:noProof/>
        </w:rPr>
      </w:pPr>
      <w:r>
        <w:rPr>
          <w:noProof/>
        </w:rPr>
        <w:t>Svet je 10. junija 2015 potrdil ta politični dogovor in 15. junija 2015 sprejel svoje stališče v prvi obravnavi.</w:t>
      </w:r>
    </w:p>
    <w:p>
      <w:pPr>
        <w:pStyle w:val="ManualHeading1"/>
        <w:rPr>
          <w:noProof/>
        </w:rPr>
      </w:pPr>
      <w:r>
        <w:rPr>
          <w:noProof/>
        </w:rPr>
        <w:t>4.</w:t>
      </w:r>
      <w:r>
        <w:rPr>
          <w:noProof/>
        </w:rPr>
        <w:tab/>
        <w:t>Sklepna ugotovitev</w:t>
      </w:r>
    </w:p>
    <w:p>
      <w:pPr>
        <w:rPr>
          <w:noProof/>
        </w:rPr>
      </w:pPr>
      <w:r>
        <w:rPr>
          <w:noProof/>
        </w:rPr>
        <w:t>Vse spremembe predloga Komisije so bile obravnavane na neuradnih tristranskih razpravah, zato lahko Komisija sprejme spremembe, ki jih je Svet sprejel v svojem stališču v prvi obravnavi.</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7BCE9C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B3CAF20"/>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4C0AF6"/>
    <w:lvl w:ilvl="0">
      <w:start w:val="1"/>
      <w:numFmt w:val="decimal"/>
      <w:pStyle w:val="ListNumber2"/>
      <w:lvlText w:val="%1."/>
      <w:lvlJc w:val="left"/>
      <w:pPr>
        <w:tabs>
          <w:tab w:val="num" w:pos="643"/>
        </w:tabs>
        <w:ind w:left="643" w:hanging="360"/>
      </w:pPr>
    </w:lvl>
  </w:abstractNum>
  <w:abstractNum w:abstractNumId="3">
    <w:nsid w:val="FFFFFF81"/>
    <w:multiLevelType w:val="singleLevel"/>
    <w:tmpl w:val="E20A41E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62ED34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1DCA85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B58CF9E"/>
    <w:lvl w:ilvl="0">
      <w:start w:val="1"/>
      <w:numFmt w:val="decimal"/>
      <w:pStyle w:val="ListNumber"/>
      <w:lvlText w:val="%1."/>
      <w:lvlJc w:val="left"/>
      <w:pPr>
        <w:tabs>
          <w:tab w:val="num" w:pos="360"/>
        </w:tabs>
        <w:ind w:left="360" w:hanging="360"/>
      </w:pPr>
    </w:lvl>
  </w:abstractNum>
  <w:abstractNum w:abstractNumId="7">
    <w:nsid w:val="FFFFFF89"/>
    <w:multiLevelType w:val="singleLevel"/>
    <w:tmpl w:val="15F2618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7-01 10:31:4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2"/>
    <w:docVar w:name="DQCWithWarnings" w:val="0"/>
    <w:docVar w:name="LW_CONFIDENCE" w:val=" "/>
    <w:docVar w:name="LW_CONST_RESTREINT_UE" w:val="RESTREINT UE"/>
    <w:docVar w:name="LW_CORRIGENDUM" w:val="&lt;UNUSED&gt;"/>
    <w:docVar w:name="LW_COVERPAGE_GUID" w:val="E4E7E74BFD5D480A9124389BC2A9A3DA"/>
    <w:docVar w:name="LW_CROSSREFERENCE" w:val="&lt;UNUSED&gt;"/>
    <w:docVar w:name="LW_DocType" w:val="COM"/>
    <w:docVar w:name="LW_EMISSION" w:val="24.6.2015"/>
    <w:docVar w:name="LW_EMISSION_ISODATE" w:val="2015-06-24"/>
    <w:docVar w:name="LW_EMISSION_LOCATION" w:val="BRX"/>
    <w:docVar w:name="LW_EMISSION_PREFIX" w:val="Bruselj, "/>
    <w:docVar w:name="LW_EMISSION_SUFFIX" w:val=" "/>
    <w:docVar w:name="LW_ID_DOCMODEL" w:val="SJ-028"/>
    <w:docVar w:name="LW_ID_DOCSTRUCTURE" w:val="COM/PL/CODEC"/>
    <w:docVar w:name="LW_ID_DOCTYPE" w:val="SJ-028"/>
    <w:docVar w:name="LW_INTERETEEE.CP" w:val="&lt;UNUSED&gt;"/>
    <w:docVar w:name="LW_LANGUE" w:val="SL"/>
    <w:docVar w:name="LW_MARKING" w:val="&lt;UNUSED&gt;"/>
    <w:docVar w:name="LW_NOM.INST" w:val="EVROPSKA KOMISIJA"/>
    <w:docVar w:name="LW_NOM.INST_JOINTDOC" w:val="&lt;EMPTY&gt;"/>
    <w:docVar w:name="LW_PART_NBR" w:val="1"/>
    <w:docVar w:name="LW_PART_NBR_TOTAL" w:val="1"/>
    <w:docVar w:name="LW_REF.II.NEW.CP" w:val="COD"/>
    <w:docVar w:name="LW_REF.II.NEW.CP_NUMBER" w:val="0410"/>
    <w:docVar w:name="LW_REF.II.NEW.CP_YEAR" w:val="2013"/>
    <w:docVar w:name="LW_REF.INST.NEW" w:val="COM"/>
    <w:docVar w:name="LW_REF.INST.NEW_ADOPTED" w:val="final"/>
    <w:docVar w:name="LW_REF.INST.NEW_TEXT" w:val="(2015) 318"/>
    <w:docVar w:name="LW_REF.INTERNE" w:val="&lt;UNUSED&gt;"/>
    <w:docVar w:name="LW_SOUS.TITRE.OBJ.CP" w:val="&lt;UNUSED&gt;"/>
    <w:docVar w:name="LW_SUPERTITRE" w:val="&lt;UNUSED&gt;"/>
    <w:docVar w:name="LW_TITRE.OBJ.CP" w:val="stali\u353?\u269?em Sveta o sprejetju Uredbe Evropskega parlamenta in Sveta o spremembi Uredbe Sveta (ES) \u353?t. 515/97 o medsebojni pomo\u269?i med upravnimi organi dr\u382?av \u269?lanic in o sodelovanju med njimi in Komisijo zaradi zagotavljanja pravilnega izvajanja carinske in kmetijske zakonodaje"/>
    <w:docVar w:name="LW_TYPE.DOC.CP" w:val="SPORO\u268?ILO KOMISIJE_x000b_EVROPSKEMU PARLAMENTU_x000b__x000b_v skladu s \u269?lenom 294(6) Pogodbe o delovanju Evropske unije _x000b__x000b_v zvezi 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3</Pages>
  <Words>443</Words>
  <Characters>2713</Characters>
  <Application>Microsoft Office Word</Application>
  <DocSecurity>0</DocSecurity>
  <Lines>55</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cp:lastPrinted>2015-06-17T13:53:00Z</cp:lastPrinted>
  <dcterms:created xsi:type="dcterms:W3CDTF">2015-07-01T08:20:00Z</dcterms:created>
  <dcterms:modified xsi:type="dcterms:W3CDTF">2015-07-01T08:31:00Z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02)</vt:lpwstr>
  </property>
</Properties>
</file>