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9" w:rsidRDefault="00521A4E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4C9B80B1A9E4F4EB5209ED13353E29A" style="width:450.75pt;height:402.75pt">
            <v:imagedata r:id="rId8" o:title=""/>
          </v:shape>
        </w:pict>
      </w:r>
    </w:p>
    <w:p w:rsidR="00CA4509" w:rsidRDefault="00CA4509">
      <w:pPr>
        <w:rPr>
          <w:noProof/>
        </w:rPr>
        <w:sectPr w:rsidR="00CA4509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CA4509" w:rsidRDefault="00521A4E">
      <w:pPr>
        <w:pStyle w:val="Rfrenceinterinstitutionnelle"/>
        <w:rPr>
          <w:noProof/>
        </w:rPr>
      </w:pPr>
      <w:r>
        <w:rPr>
          <w:noProof/>
        </w:rPr>
        <w:lastRenderedPageBreak/>
        <w:t>2013/0410 (COD)</w:t>
      </w:r>
    </w:p>
    <w:p w:rsidR="00CA4509" w:rsidRDefault="00521A4E">
      <w:pPr>
        <w:pStyle w:val="Typedudocument"/>
        <w:rPr>
          <w:noProof/>
        </w:rPr>
      </w:pPr>
      <w:r>
        <w:rPr>
          <w:noProof/>
        </w:rPr>
        <w:t>KOMISIJOS KOMUNIKATAS EUROPOS PARLAMENTUI</w:t>
      </w:r>
      <w:r>
        <w:rPr>
          <w:noProof/>
        </w:rPr>
        <w:br/>
      </w:r>
      <w:r>
        <w:rPr>
          <w:noProof/>
        </w:rPr>
        <w:br/>
        <w:t xml:space="preserve">pagal Sutarties dėl Europos Sąjungos </w:t>
      </w:r>
      <w:r>
        <w:rPr>
          <w:noProof/>
        </w:rPr>
        <w:t>veikimo 294 straipsnio 6 dalį</w:t>
      </w:r>
      <w:r>
        <w:rPr>
          <w:noProof/>
        </w:rPr>
        <w:br/>
      </w:r>
      <w:r>
        <w:rPr>
          <w:noProof/>
        </w:rPr>
        <w:br/>
        <w:t>dėl</w:t>
      </w:r>
    </w:p>
    <w:p w:rsidR="00CA4509" w:rsidRDefault="00521A4E">
      <w:pPr>
        <w:pStyle w:val="Titreobjet"/>
        <w:rPr>
          <w:noProof/>
        </w:rPr>
      </w:pPr>
      <w:r>
        <w:rPr>
          <w:noProof/>
        </w:rPr>
        <w:t>Tarybos pozicijos dėl Europos Parlamento ir Tarybos reglamento, kuriuo iš dalies keičiamas Tarybos reglamentas (EB) Nr. 515/97 dėl valstybių narių administracinių institucijų tarpusavio pagalbos ir dėl pastarųjų bei Komis</w:t>
      </w:r>
      <w:r>
        <w:rPr>
          <w:noProof/>
        </w:rPr>
        <w:t>ijos bendradarbiavimo, siekiant užtikrinti teisingą muitinės ir žemės ūkio teisės aktų taikymą, priėmimo</w:t>
      </w:r>
    </w:p>
    <w:p w:rsidR="00CA4509" w:rsidRDefault="00521A4E"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Pagrindiniai faktai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CA4509">
        <w:tc>
          <w:tcPr>
            <w:tcW w:w="6804" w:type="dxa"/>
          </w:tcPr>
          <w:p w:rsidR="00CA4509" w:rsidRDefault="00521A4E">
            <w:pPr>
              <w:jc w:val="left"/>
              <w:rPr>
                <w:noProof/>
              </w:rPr>
            </w:pPr>
            <w:r>
              <w:rPr>
                <w:noProof/>
              </w:rPr>
              <w:t>Pasiūlymo perdavimo Europos Parlamentui ir Tarybai data</w:t>
            </w:r>
            <w:r>
              <w:rPr>
                <w:noProof/>
              </w:rPr>
              <w:br/>
              <w:t xml:space="preserve">(dokumentas COM(2013) 0796 </w:t>
            </w:r>
            <w:r>
              <w:rPr>
                <w:i/>
                <w:noProof/>
              </w:rPr>
              <w:t>final</w:t>
            </w:r>
            <w:r>
              <w:rPr>
                <w:noProof/>
              </w:rPr>
              <w:t xml:space="preserve"> – 2013/0410 (COD)):</w:t>
            </w:r>
          </w:p>
        </w:tc>
        <w:tc>
          <w:tcPr>
            <w:tcW w:w="2483" w:type="dxa"/>
          </w:tcPr>
          <w:p w:rsidR="00CA4509" w:rsidRDefault="00521A4E">
            <w:pPr>
              <w:jc w:val="left"/>
              <w:rPr>
                <w:noProof/>
              </w:rPr>
            </w:pPr>
            <w:r>
              <w:rPr>
                <w:noProof/>
              </w:rPr>
              <w:t>2013 11 25.</w:t>
            </w:r>
          </w:p>
        </w:tc>
      </w:tr>
      <w:tr w:rsidR="00CA4509">
        <w:tc>
          <w:tcPr>
            <w:tcW w:w="6804" w:type="dxa"/>
          </w:tcPr>
          <w:p w:rsidR="00CA4509" w:rsidRDefault="00521A4E">
            <w:pPr>
              <w:rPr>
                <w:noProof/>
              </w:rPr>
            </w:pPr>
            <w:r>
              <w:rPr>
                <w:noProof/>
              </w:rPr>
              <w:t xml:space="preserve">Per </w:t>
            </w:r>
            <w:r>
              <w:rPr>
                <w:noProof/>
              </w:rPr>
              <w:t>pirmąjį svarstymą priimtos Europos Parlamento pozicijos data:</w:t>
            </w:r>
          </w:p>
        </w:tc>
        <w:tc>
          <w:tcPr>
            <w:tcW w:w="2483" w:type="dxa"/>
          </w:tcPr>
          <w:p w:rsidR="00CA4509" w:rsidRDefault="00521A4E">
            <w:pPr>
              <w:jc w:val="left"/>
              <w:rPr>
                <w:noProof/>
              </w:rPr>
            </w:pPr>
            <w:r>
              <w:rPr>
                <w:noProof/>
              </w:rPr>
              <w:t>2014 03 18.</w:t>
            </w:r>
          </w:p>
        </w:tc>
      </w:tr>
      <w:tr w:rsidR="00CA4509">
        <w:tc>
          <w:tcPr>
            <w:tcW w:w="6804" w:type="dxa"/>
          </w:tcPr>
          <w:p w:rsidR="00CA4509" w:rsidRDefault="00521A4E">
            <w:pPr>
              <w:rPr>
                <w:noProof/>
              </w:rPr>
            </w:pPr>
            <w:r>
              <w:rPr>
                <w:noProof/>
              </w:rPr>
              <w:t>Tarybos pozicijos priėmimo data:</w:t>
            </w:r>
          </w:p>
        </w:tc>
        <w:tc>
          <w:tcPr>
            <w:tcW w:w="2483" w:type="dxa"/>
          </w:tcPr>
          <w:p w:rsidR="00CA4509" w:rsidRDefault="00521A4E">
            <w:pPr>
              <w:jc w:val="left"/>
              <w:rPr>
                <w:noProof/>
              </w:rPr>
            </w:pPr>
            <w:r>
              <w:rPr>
                <w:noProof/>
              </w:rPr>
              <w:t>2015 06 15.</w:t>
            </w:r>
          </w:p>
        </w:tc>
      </w:tr>
    </w:tbl>
    <w:p w:rsidR="00CA4509" w:rsidRDefault="00521A4E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Komisijos pasiūlymo tikslas</w:t>
      </w:r>
    </w:p>
    <w:p w:rsidR="00CA4509" w:rsidRDefault="00521A4E">
      <w:pPr>
        <w:spacing w:after="100" w:afterAutospacing="1"/>
        <w:rPr>
          <w:noProof/>
          <w:szCs w:val="24"/>
        </w:rPr>
      </w:pPr>
      <w:r>
        <w:rPr>
          <w:noProof/>
        </w:rPr>
        <w:t>Komisijos pasiūlymas, kuriuo iš dalies keičiamas Reglamentas Nr. 515/97, priimtas 2013 m. lapkričio 25 d</w:t>
      </w:r>
      <w:r>
        <w:rPr>
          <w:noProof/>
        </w:rPr>
        <w:t>. Pagrindinis jo tikslas – palengvinti kovą su sukčiavimu muitų srityje ES ir nacionaliniu lygmeniu, pagerinant importo, eksporto ir tranzito duomenų, taip pat su konteinerių judėjimu susijusių duomenų prieinamumą. Be to, pasiūlymu siekiama užtikrinti gali</w:t>
      </w:r>
      <w:r>
        <w:rPr>
          <w:noProof/>
        </w:rPr>
        <w:t>mybę iš ekonominės veiklos vykdytojų laiku gauti patvirtinamuosius dokumentus. Be to, juo siekiama patikslinti galimybę informaciją, gautą teikiant tarpusavio pagalbą, naudoti kaip įrodymą nagrinėjant baudžiamąsias ir administracines bylas valstybėse narės</w:t>
      </w:r>
      <w:r>
        <w:rPr>
          <w:noProof/>
        </w:rPr>
        <w:t>e. Pagrindiniai pasiūlymo aspektai: centralizuoto pranešimų apie konteinerių padėtį registro sukūrimas; importo, eksporto ir tranzito registro sukūrimas; be to, jame patikslinama galimybė informaciją, gautą teikiant tarpusavio pagalbą, naudoti kaip įrodymą</w:t>
      </w:r>
      <w:r>
        <w:rPr>
          <w:noProof/>
        </w:rPr>
        <w:t xml:space="preserve"> nagrinėjant baudžiamąsias ir administracines bylas; taip pat nustatoma procedūra, kuria vadovaudamasi Komisija iš ekonominės veiklos vykdytojų gali gauti patvirtinamuosius dokumentus.</w:t>
      </w:r>
    </w:p>
    <w:p w:rsidR="00CA4509" w:rsidRDefault="00521A4E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Pastabos dėl Tarybos pozicijos</w:t>
      </w:r>
    </w:p>
    <w:p w:rsidR="00CA4509" w:rsidRDefault="00521A4E">
      <w:pPr>
        <w:rPr>
          <w:noProof/>
        </w:rPr>
      </w:pPr>
      <w:r>
        <w:rPr>
          <w:noProof/>
        </w:rPr>
        <w:t>Taryba savo pozicijoje iš esmės prita</w:t>
      </w:r>
      <w:r>
        <w:rPr>
          <w:noProof/>
        </w:rPr>
        <w:t>ria pagrindiniams Komisijos pasiūlymo aspektams, tačiau siūlo padaryti kai kuriuos neesminius pakeitimus. Tarp siūlomų pakeitimų – patikslinimas, kad informacija, gauta teikiant tarpusavio pagalbą, gali būti naudojama kaip įrodymas nagrinėjant teismo bylas</w:t>
      </w:r>
      <w:r>
        <w:rPr>
          <w:noProof/>
        </w:rPr>
        <w:t xml:space="preserve"> tik tuo atveju, jeigu informaciją teikianti valstybė narė neprieštarauja tokiam naudojimui. Pozicijoje taip pat išplečiamas su įrodymų priimtinumu susijusio pakeitimo taikymas įtraukiant informaciją, gautą naudojantis savo iniciatyva teikiamos pagalbos me</w:t>
      </w:r>
      <w:r>
        <w:rPr>
          <w:noProof/>
        </w:rPr>
        <w:t>chanizmą; apribojama duomenų, įtrauktinų į pasiūlytus registrus, apimtis; įtraukiama nuostata dėl sankcijų už vežėjų pranešimų apie konteinerių padėtį nepateikimą; panaikinama nuostata dėl pasiūlytuose registruose esančių duomenų perdavimo tarptautinėms or</w:t>
      </w:r>
      <w:r>
        <w:rPr>
          <w:noProof/>
        </w:rPr>
        <w:t>ganizacijoms ir ES agentūroms ir šiek tiek pakeičiama procedūra, kuria vadovaudamasi Komisija gali gauti patvirtinamuosius dokumentus.</w:t>
      </w:r>
    </w:p>
    <w:p w:rsidR="00CA4509" w:rsidRDefault="00521A4E">
      <w:pPr>
        <w:rPr>
          <w:noProof/>
        </w:rPr>
      </w:pPr>
      <w:r>
        <w:rPr>
          <w:noProof/>
        </w:rPr>
        <w:lastRenderedPageBreak/>
        <w:t xml:space="preserve">Komisija pritaria šiems pakeitimams. </w:t>
      </w:r>
    </w:p>
    <w:p w:rsidR="00CA4509" w:rsidRDefault="00521A4E">
      <w:pPr>
        <w:rPr>
          <w:noProof/>
          <w:szCs w:val="24"/>
        </w:rPr>
      </w:pPr>
      <w:r>
        <w:rPr>
          <w:noProof/>
        </w:rPr>
        <w:t>Po neoficialių trišalių diskusijų, vykusių 2014 m. lapkričio 11 d., 2014 m. gruodži</w:t>
      </w:r>
      <w:r>
        <w:rPr>
          <w:noProof/>
        </w:rPr>
        <w:t>o 10 d. ir 2014 m. gruodžio 18 d., Parlamentas, Taryba ir Komisija pasiekė preliminarų politinį susitarimą dėl Reglamento Nr. 515/97 pakeitimo teksto.</w:t>
      </w:r>
    </w:p>
    <w:p w:rsidR="00CA4509" w:rsidRDefault="00521A4E">
      <w:pPr>
        <w:rPr>
          <w:noProof/>
        </w:rPr>
      </w:pPr>
      <w:r>
        <w:rPr>
          <w:noProof/>
        </w:rPr>
        <w:t>Taryba šį politinį susitarimą patvirtino 2015 m. birželio 10 d., o 2015 m. birželio 15 d. per pirmąjį sva</w:t>
      </w:r>
      <w:r>
        <w:rPr>
          <w:noProof/>
        </w:rPr>
        <w:t>rstymą priėmė savo poziciją.</w:t>
      </w:r>
    </w:p>
    <w:p w:rsidR="00CA4509" w:rsidRDefault="00521A4E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Išvada</w:t>
      </w:r>
    </w:p>
    <w:p w:rsidR="00CA4509" w:rsidRDefault="00521A4E">
      <w:pPr>
        <w:rPr>
          <w:noProof/>
        </w:rPr>
      </w:pPr>
      <w:r>
        <w:rPr>
          <w:noProof/>
        </w:rPr>
        <w:t>Kadangi visi į Komisijos pasiūlymą įtraukti pakeitimai buvo aptarti neoficialiose trišalėse diskusijose, Komisija gali pritarti pakeitimams, kuriuos Taryba priėmė savo per pirmąjį svarstymą priimtoje pozicijoje.</w:t>
      </w:r>
    </w:p>
    <w:sectPr w:rsidR="00CA4509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09" w:rsidRDefault="00521A4E">
      <w:pPr>
        <w:spacing w:before="0" w:after="0"/>
      </w:pPr>
      <w:r>
        <w:separator/>
      </w:r>
    </w:p>
  </w:endnote>
  <w:endnote w:type="continuationSeparator" w:id="0">
    <w:p w:rsidR="00CA4509" w:rsidRDefault="00521A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09" w:rsidRDefault="00521A4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09" w:rsidRDefault="00521A4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</w:instrText>
    </w:r>
    <w:r>
      <w:instrText xml:space="preserve">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09" w:rsidRDefault="00CA4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09" w:rsidRDefault="00521A4E">
      <w:pPr>
        <w:spacing w:before="0" w:after="0"/>
      </w:pPr>
      <w:r>
        <w:separator/>
      </w:r>
    </w:p>
  </w:footnote>
  <w:footnote w:type="continuationSeparator" w:id="0">
    <w:p w:rsidR="00CA4509" w:rsidRDefault="00521A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BCE9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3CAF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4C0A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20A41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62ED3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DCA8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58CF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5F261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01 10:31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64C9B80B1A9E4F4EB5209ED13353E29A"/>
    <w:docVar w:name="LW_CROSSREFERENCE" w:val="&lt;UNUSED&gt;"/>
    <w:docVar w:name="LW_DocType" w:val="COM"/>
    <w:docVar w:name="LW_EMISSION" w:val="2015 06 24"/>
    <w:docVar w:name="LW_EMISSION_ISODATE" w:val="2015-06-24"/>
    <w:docVar w:name="LW_EMISSION_LOCATION" w:val="BRX"/>
    <w:docVar w:name="LW_EMISSION_PREFIX" w:val="Briuselis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LT"/>
    <w:docVar w:name="LW_MARKING" w:val="&lt;UNUSED&gt;"/>
    <w:docVar w:name="LW_NOM.INST" w:val="EUROPOS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410"/>
    <w:docVar w:name="LW_REF.II.NEW.CP_YEAR" w:val="2013"/>
    <w:docVar w:name="LW_REF.INST.NEW" w:val="COM"/>
    <w:docVar w:name="LW_REF.INST.NEW_ADOPTED" w:val="final"/>
    <w:docVar w:name="LW_REF.INST.NEW_TEXT" w:val="(2015) 318"/>
    <w:docVar w:name="LW_REF.INTERNE" w:val="&lt;UNUSED&gt;"/>
    <w:docVar w:name="LW_SOUS.TITRE.OBJ.CP" w:val="&lt;UNUSED&gt;"/>
    <w:docVar w:name="LW_SUPERTITRE" w:val="&lt;UNUSED&gt;"/>
    <w:docVar w:name="LW_TITRE.OBJ.CP" w:val="Tarybos pozicijos d\u279?l Europos Parlamento ir Tarybos reglamento, kuriuo i\u353? dalies kei\u269?iamas Tarybos reglamentas (EB) Nr. 515/97 d\u279?l valstybi\u371? nari\u371? administracini\u371? institucij\u371? tarpusavio pagalbos ir d\u279?l pastar\u371?j\u371? bei Komisijos bendradarbiavimo, siekiant u\u382?tikrinti teising\u261? muitin\u279?s ir \u382?em\u279?s \u363?kio teis\u279?s akt\u371? taikym\u261?, pri\u279?mimo"/>
    <w:docVar w:name="LW_TYPE.DOC.CP" w:val="KOMISIJOS KOMUNIKATAS EUROPOS PARLAMENTUI_x000b__x000b_pagal Sutarties d\u279?l Europos S\u261?jungos veikimo 294 straipsnio 6 dal\u303?_x000b__x000b_d\u279?l"/>
  </w:docVars>
  <w:rsids>
    <w:rsidRoot w:val="00CA4509"/>
    <w:rsid w:val="003F09AA"/>
    <w:rsid w:val="00521A4E"/>
    <w:rsid w:val="00C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</Pages>
  <Words>427</Words>
  <Characters>2993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20</cp:revision>
  <cp:lastPrinted>2015-06-17T13:53:00Z</cp:lastPrinted>
  <dcterms:created xsi:type="dcterms:W3CDTF">2015-07-01T06:54:00Z</dcterms:created>
  <dcterms:modified xsi:type="dcterms:W3CDTF">2015-07-01T08:35:00Z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02)</vt:lpwstr>
  </property>
</Properties>
</file>