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78" w:rsidRDefault="002B645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744BC0AAAED4D71AF9920A28D07DF42" style="width:450.75pt;height:416.25pt">
            <v:imagedata r:id="rId8" o:title=""/>
          </v:shape>
        </w:pict>
      </w:r>
    </w:p>
    <w:p w:rsidR="00001E78" w:rsidRDefault="00001E78">
      <w:pPr>
        <w:rPr>
          <w:noProof/>
        </w:rPr>
        <w:sectPr w:rsidR="00001E78">
          <w:footerReference w:type="default" r:id="rId9"/>
          <w:pgSz w:w="11907" w:h="16839"/>
          <w:pgMar w:top="1134" w:right="1417" w:bottom="1134" w:left="1417" w:header="709" w:footer="709" w:gutter="0"/>
          <w:pgNumType w:start="1"/>
          <w:cols w:space="720"/>
          <w:docGrid w:linePitch="360"/>
        </w:sectPr>
      </w:pPr>
    </w:p>
    <w:p w:rsidR="00001E78" w:rsidRDefault="002B645E">
      <w:pPr>
        <w:pStyle w:val="Rfrenceinterinstitutionnelle"/>
        <w:rPr>
          <w:noProof/>
        </w:rPr>
      </w:pPr>
      <w:r>
        <w:rPr>
          <w:noProof/>
        </w:rPr>
        <w:lastRenderedPageBreak/>
        <w:t>2013/0410 (COD)</w:t>
      </w:r>
    </w:p>
    <w:p w:rsidR="00001E78" w:rsidRDefault="002B645E">
      <w:pPr>
        <w:pStyle w:val="Typedudocument"/>
        <w:rPr>
          <w:noProof/>
        </w:rPr>
      </w:pPr>
      <w:r>
        <w:rPr>
          <w:noProof/>
        </w:rPr>
        <w:t>KOMISJONI TEATIS</w:t>
      </w:r>
      <w:r>
        <w:rPr>
          <w:noProof/>
        </w:rPr>
        <w:br/>
        <w:t>EUROOPA PARLAMENDILE,</w:t>
      </w:r>
      <w:r>
        <w:rPr>
          <w:noProof/>
        </w:rPr>
        <w:br/>
      </w:r>
      <w:r>
        <w:rPr>
          <w:noProof/>
        </w:rPr>
        <w:br/>
        <w:t xml:space="preserve">mis on esitatud Euroopa Liidu toimimise </w:t>
      </w:r>
      <w:r>
        <w:rPr>
          <w:noProof/>
        </w:rPr>
        <w:t>lepingu artikli 294 lõike 6 alusel</w:t>
      </w:r>
      <w:r>
        <w:rPr>
          <w:noProof/>
        </w:rPr>
        <w:br/>
      </w:r>
      <w:r>
        <w:rPr>
          <w:noProof/>
        </w:rPr>
        <w:br/>
        <w:t>ning milles käsitletakse</w:t>
      </w:r>
    </w:p>
    <w:p w:rsidR="00001E78" w:rsidRDefault="002B645E">
      <w:pPr>
        <w:pStyle w:val="Titreobjet"/>
        <w:rPr>
          <w:noProof/>
        </w:rPr>
      </w:pPr>
      <w:r>
        <w:rPr>
          <w:noProof/>
        </w:rPr>
        <w:t>nõukogu seisukohta Euroopa Parlamendi ja nõukogu määruse (millega muudetakse nõukogu määrust (EÜ) nr 515/97 liikmesriikide haldusasutuste vastastikusest abist ning haldusasutuste ja komisjoni vah</w:t>
      </w:r>
      <w:r>
        <w:rPr>
          <w:noProof/>
        </w:rPr>
        <w:t>elisest koostööst tolli- ja põllumajandusküsimusi käsitlevate õigusaktide nõutava kohaldamise tagamiseks) vastuvõtmise kohta</w:t>
      </w:r>
    </w:p>
    <w:p w:rsidR="00001E78" w:rsidRDefault="002B645E">
      <w:pPr>
        <w:pStyle w:val="ManualHeading1"/>
        <w:rPr>
          <w:noProof/>
          <w:sz w:val="22"/>
        </w:rPr>
      </w:pPr>
      <w:r>
        <w:rPr>
          <w:noProof/>
        </w:rPr>
        <w:t>1.</w:t>
      </w:r>
      <w:r>
        <w:rPr>
          <w:noProof/>
        </w:rPr>
        <w:tab/>
        <w:t>Taust</w:t>
      </w:r>
    </w:p>
    <w:tbl>
      <w:tblPr>
        <w:tblW w:w="0" w:type="auto"/>
        <w:tblLayout w:type="fixed"/>
        <w:tblLook w:val="0000" w:firstRow="0" w:lastRow="0" w:firstColumn="0" w:lastColumn="0" w:noHBand="0" w:noVBand="0"/>
      </w:tblPr>
      <w:tblGrid>
        <w:gridCol w:w="6804"/>
        <w:gridCol w:w="2483"/>
      </w:tblGrid>
      <w:tr w:rsidR="00001E78">
        <w:tc>
          <w:tcPr>
            <w:tcW w:w="6804" w:type="dxa"/>
          </w:tcPr>
          <w:p w:rsidR="00001E78" w:rsidRDefault="002B645E">
            <w:pPr>
              <w:jc w:val="left"/>
              <w:rPr>
                <w:noProof/>
              </w:rPr>
            </w:pPr>
            <w:r>
              <w:rPr>
                <w:noProof/>
              </w:rPr>
              <w:t>Euroopa Parlamendile ja nõukogule ettepaneku edastamise kuupäev</w:t>
            </w:r>
            <w:r>
              <w:rPr>
                <w:noProof/>
              </w:rPr>
              <w:br/>
              <w:t>(dokument COM(2013) 0796 final – 2013/0410 COD):</w:t>
            </w:r>
          </w:p>
        </w:tc>
        <w:tc>
          <w:tcPr>
            <w:tcW w:w="2483" w:type="dxa"/>
          </w:tcPr>
          <w:p w:rsidR="00001E78" w:rsidRDefault="002B645E">
            <w:pPr>
              <w:jc w:val="left"/>
              <w:rPr>
                <w:noProof/>
              </w:rPr>
            </w:pPr>
            <w:r>
              <w:rPr>
                <w:noProof/>
              </w:rPr>
              <w:t>25.11.201</w:t>
            </w:r>
            <w:r>
              <w:rPr>
                <w:noProof/>
              </w:rPr>
              <w:t>3.</w:t>
            </w:r>
          </w:p>
        </w:tc>
      </w:tr>
      <w:tr w:rsidR="00001E78">
        <w:tc>
          <w:tcPr>
            <w:tcW w:w="6804" w:type="dxa"/>
          </w:tcPr>
          <w:p w:rsidR="00001E78" w:rsidRDefault="002B645E">
            <w:pPr>
              <w:rPr>
                <w:noProof/>
              </w:rPr>
            </w:pPr>
            <w:r>
              <w:rPr>
                <w:noProof/>
              </w:rPr>
              <w:t>Euroopa Parlamendi seisukoha kuupäev, esimene lugemine:</w:t>
            </w:r>
          </w:p>
        </w:tc>
        <w:tc>
          <w:tcPr>
            <w:tcW w:w="2483" w:type="dxa"/>
          </w:tcPr>
          <w:p w:rsidR="00001E78" w:rsidRDefault="002B645E">
            <w:pPr>
              <w:jc w:val="left"/>
              <w:rPr>
                <w:noProof/>
              </w:rPr>
            </w:pPr>
            <w:r>
              <w:rPr>
                <w:noProof/>
              </w:rPr>
              <w:t>18.03.2014.</w:t>
            </w:r>
          </w:p>
        </w:tc>
      </w:tr>
      <w:tr w:rsidR="00001E78">
        <w:tc>
          <w:tcPr>
            <w:tcW w:w="6804" w:type="dxa"/>
          </w:tcPr>
          <w:p w:rsidR="00001E78" w:rsidRDefault="002B645E">
            <w:pPr>
              <w:rPr>
                <w:noProof/>
              </w:rPr>
            </w:pPr>
            <w:r>
              <w:rPr>
                <w:noProof/>
              </w:rPr>
              <w:t>Nõukogu seisukoha vastuvõtmise kuupäev:</w:t>
            </w:r>
          </w:p>
        </w:tc>
        <w:tc>
          <w:tcPr>
            <w:tcW w:w="2483" w:type="dxa"/>
          </w:tcPr>
          <w:p w:rsidR="00001E78" w:rsidRDefault="002B645E">
            <w:pPr>
              <w:jc w:val="left"/>
              <w:rPr>
                <w:noProof/>
              </w:rPr>
            </w:pPr>
            <w:r>
              <w:rPr>
                <w:noProof/>
              </w:rPr>
              <w:t>15.06.2015.</w:t>
            </w:r>
          </w:p>
        </w:tc>
      </w:tr>
    </w:tbl>
    <w:p w:rsidR="00001E78" w:rsidRDefault="002B645E">
      <w:pPr>
        <w:pStyle w:val="ManualHeading1"/>
        <w:rPr>
          <w:noProof/>
        </w:rPr>
      </w:pPr>
      <w:r>
        <w:rPr>
          <w:noProof/>
        </w:rPr>
        <w:t>2.</w:t>
      </w:r>
      <w:r>
        <w:rPr>
          <w:noProof/>
        </w:rPr>
        <w:tab/>
        <w:t>Komisjoni ettepaneku eesmärk</w:t>
      </w:r>
    </w:p>
    <w:p w:rsidR="00001E78" w:rsidRDefault="002B645E">
      <w:pPr>
        <w:spacing w:after="100" w:afterAutospacing="1"/>
        <w:rPr>
          <w:noProof/>
          <w:szCs w:val="24"/>
        </w:rPr>
      </w:pPr>
      <w:r>
        <w:rPr>
          <w:noProof/>
        </w:rPr>
        <w:t xml:space="preserve">Komisjoni ettepanek, millega muudetakse määrust nr 515/97, võeti vastu 25. novembril 2013. Selle </w:t>
      </w:r>
      <w:r>
        <w:rPr>
          <w:noProof/>
        </w:rPr>
        <w:t>peamine eesmärk on hõlbustada võitlust tollipettuste vastu nii ELi kui ka riikide tasandil, parandades impordi-, ekspordi- ja transiidiandmete ning konteinerite liikumise andmete kättesaadavust. Lisaks on ettepaneku eesmärk tagada ettevõtjate valduses olev</w:t>
      </w:r>
      <w:r>
        <w:rPr>
          <w:noProof/>
        </w:rPr>
        <w:t>ate tõendavate dokumentide õigeaegne kättesaadavus. Peale selle tahetakse ettepanekuga selgitada võimalust kasutada vastastikuse abistamise teel saadud teavet tõendina liikmesriikides toimuvates kriminaal- ja haldusmenetlustes. Selle ettepaneku põhielemend</w:t>
      </w:r>
      <w:r>
        <w:rPr>
          <w:noProof/>
        </w:rPr>
        <w:t>id on järgmised: konteinerite saatekirjade keskandmehoidla loomine; impordi-, ekspordi- ja transiidiandmete hoidla loomine; samuti selgitatakse siin võimalust kasutada vastastikuse abistamise teel saadud teavet tõendina liikmesriikides toimuvates kohtu- ja</w:t>
      </w:r>
      <w:r>
        <w:rPr>
          <w:noProof/>
        </w:rPr>
        <w:t xml:space="preserve"> haldusmenetlustes ning määratakse kindlaks kord, mille kohaselt komisjon saab juurdepääsu ettevõtjate valduses olevatele tõendavatele dokumentidele.</w:t>
      </w:r>
    </w:p>
    <w:p w:rsidR="00001E78" w:rsidRDefault="002B645E">
      <w:pPr>
        <w:pStyle w:val="ManualHeading1"/>
        <w:rPr>
          <w:noProof/>
        </w:rPr>
      </w:pPr>
      <w:r>
        <w:rPr>
          <w:noProof/>
        </w:rPr>
        <w:t>3.</w:t>
      </w:r>
      <w:r>
        <w:rPr>
          <w:noProof/>
        </w:rPr>
        <w:tab/>
        <w:t>Märkused nõukogu seisukoha kohta</w:t>
      </w:r>
    </w:p>
    <w:p w:rsidR="00001E78" w:rsidRDefault="002B645E">
      <w:pPr>
        <w:rPr>
          <w:noProof/>
        </w:rPr>
      </w:pPr>
      <w:r>
        <w:rPr>
          <w:noProof/>
        </w:rPr>
        <w:t>Nõukogu seisukoht toetab üldjoontes komisjoni ettepaneku peamisi eleme</w:t>
      </w:r>
      <w:r>
        <w:rPr>
          <w:noProof/>
        </w:rPr>
        <w:t>nte; mõningaid muudatusi on tehtud üksikasjades. Need muudatused sisaldavad selgitust, et vastastikuse abistamise teel saadud teavet võib kasutada kohtumenetluses tõendina üksnes juhul, kui selle teabe saatnud liikmesriik ei vaidlusta teabe sellist kasutam</w:t>
      </w:r>
      <w:r>
        <w:rPr>
          <w:noProof/>
        </w:rPr>
        <w:t>ist. Seisukohaga laiendatakse ka muudatust, mis käsitleb tõendite vastuvõetavust, nõnda, et see hõlmaks ka omaalgatusliku abi mehhanismi kaudu saadud teavet; piiratakse kavandatud andmehoidlatesse lisatavate andmete ulatust; lisatakse säte, millega regulee</w:t>
      </w:r>
      <w:r>
        <w:rPr>
          <w:noProof/>
        </w:rPr>
        <w:t>ritakse karistusi juhul, kui vedajad jätavad konteinerite saatekirjad esitamata; jäetakse välja säte andmete üleandmise kohta kavandatavatest andmehoidlatest rahvusvahelistele organisatsioonidele ja ELi asutustele ning muudetakse pisut korda, mille kohasel</w:t>
      </w:r>
      <w:r>
        <w:rPr>
          <w:noProof/>
        </w:rPr>
        <w:t>t komisjon saab juurdepääsu tõendavatele dokumentidele.</w:t>
      </w:r>
    </w:p>
    <w:p w:rsidR="00001E78" w:rsidRDefault="002B645E">
      <w:pPr>
        <w:rPr>
          <w:noProof/>
        </w:rPr>
      </w:pPr>
      <w:r>
        <w:rPr>
          <w:noProof/>
        </w:rPr>
        <w:lastRenderedPageBreak/>
        <w:t xml:space="preserve">Komisjon toetab neid muudatusi. </w:t>
      </w:r>
    </w:p>
    <w:p w:rsidR="00001E78" w:rsidRDefault="002B645E">
      <w:pPr>
        <w:rPr>
          <w:rFonts w:ascii="Arial" w:hAnsi="Arial" w:cs="Arial"/>
          <w:noProof/>
          <w:sz w:val="48"/>
          <w:szCs w:val="48"/>
        </w:rPr>
      </w:pPr>
      <w:r>
        <w:rPr>
          <w:noProof/>
        </w:rPr>
        <w:t>Pärast mitteametlikke kolmepoolseid arutelusid 11. novembril 2014, 10. detsembril 2014 ja 18. detsembril 2014 jõudsid parlament, nõukogu ja komisjon esialgsele poliiti</w:t>
      </w:r>
      <w:r>
        <w:rPr>
          <w:noProof/>
        </w:rPr>
        <w:t>lisele kokkuleppele määruse 515/97 teksti muutmise asjus.</w:t>
      </w:r>
    </w:p>
    <w:p w:rsidR="00001E78" w:rsidRDefault="002B645E">
      <w:pPr>
        <w:rPr>
          <w:noProof/>
        </w:rPr>
      </w:pPr>
      <w:r>
        <w:rPr>
          <w:noProof/>
        </w:rPr>
        <w:t>Nõukogu kinnitas selle poliitilise kokkuleppe 10. juunil 2015 ja võttis 15. juunil 2015 vastu esimese lugemise seisukoha.</w:t>
      </w:r>
    </w:p>
    <w:p w:rsidR="00001E78" w:rsidRDefault="002B645E">
      <w:pPr>
        <w:pStyle w:val="ManualHeading1"/>
        <w:rPr>
          <w:noProof/>
        </w:rPr>
      </w:pPr>
      <w:r>
        <w:rPr>
          <w:noProof/>
        </w:rPr>
        <w:t>4.</w:t>
      </w:r>
      <w:r>
        <w:rPr>
          <w:noProof/>
        </w:rPr>
        <w:tab/>
        <w:t>Kokkuvõte</w:t>
      </w:r>
    </w:p>
    <w:p w:rsidR="00001E78" w:rsidRDefault="002B645E">
      <w:pPr>
        <w:rPr>
          <w:noProof/>
        </w:rPr>
      </w:pPr>
      <w:r>
        <w:rPr>
          <w:noProof/>
        </w:rPr>
        <w:t>Kuna kõiki komisjoni ettepanekusse tehtud muudatusi arutati mit</w:t>
      </w:r>
      <w:r>
        <w:rPr>
          <w:noProof/>
        </w:rPr>
        <w:t>teametlike kolmepoolsete arutelude käigus, võib komisjon nõustuda muudatustega, mille nõukogu on esimese lugemise seisukohas vastu võtnud.</w:t>
      </w:r>
    </w:p>
    <w:sectPr w:rsidR="00001E78">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78" w:rsidRDefault="002B645E">
      <w:pPr>
        <w:spacing w:before="0" w:after="0"/>
      </w:pPr>
      <w:r>
        <w:separator/>
      </w:r>
    </w:p>
  </w:endnote>
  <w:endnote w:type="continuationSeparator" w:id="0">
    <w:p w:rsidR="00001E78" w:rsidRDefault="002B64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78" w:rsidRDefault="002B645E">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78" w:rsidRDefault="002B645E">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78" w:rsidRDefault="0000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78" w:rsidRDefault="002B645E">
      <w:pPr>
        <w:spacing w:before="0" w:after="0"/>
      </w:pPr>
      <w:r>
        <w:separator/>
      </w:r>
    </w:p>
  </w:footnote>
  <w:footnote w:type="continuationSeparator" w:id="0">
    <w:p w:rsidR="00001E78" w:rsidRDefault="002B64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1 11:43: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A744BC0AAAED4D71AF9920A28D07DF42"/>
    <w:docVar w:name="LW_CROSSREFERENCE" w:val="&lt;UNUSED&gt;"/>
    <w:docVar w:name="LW_DocType" w:val="COM"/>
    <w:docVar w:name="LW_EMISSION" w:val="24.6.2015"/>
    <w:docVar w:name="LW_EMISSION_ISODATE" w:val="2015-06-24"/>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410"/>
    <w:docVar w:name="LW_REF.II.NEW.CP_YEAR" w:val="2013"/>
    <w:docVar w:name="LW_REF.INST.NEW" w:val="COM"/>
    <w:docVar w:name="LW_REF.INST.NEW_ADOPTED" w:val="final"/>
    <w:docVar w:name="LW_REF.INST.NEW_TEXT" w:val="(2015) 318"/>
    <w:docVar w:name="LW_REF.INTERNE" w:val="&lt;UNUSED&gt;"/>
    <w:docVar w:name="LW_SOUS.TITRE.OBJ.CP" w:val="&lt;UNUSED&gt;"/>
    <w:docVar w:name="LW_SUPERTITRE" w:val="&lt;UNUSED&gt;"/>
    <w:docVar w:name="LW_TITRE.OBJ.CP" w:val="nõukogu seisukohta Euroopa Parlamendi ja nõukogu määruse (millega muudetakse nõukogu määrust (EÜ) nr 515/97 liikmesriikide haldusasutuste vastastikusest abist ning haldusasutuste ja komisjoni vahelisest koostööst tolli- ja põllumajandusküsimusi käsitlevate õigusaktide nõutava kohaldamise tagamiseks) vastuvõtmise kohta"/>
    <w:docVar w:name="LW_TYPE.DOC.CP" w:val="KOMISJONI TEATIS_x000b_EUROOPA PARLAMENDILE,_x000b__x000b_mis on esitatud Euroopa Liidu toimimise lepingu artikli 294 lõike 6 alusel_x000b__x000b_ning milles käsitletakse"/>
  </w:docVars>
  <w:rsids>
    <w:rsidRoot w:val="00001E78"/>
    <w:rsid w:val="00001E78"/>
    <w:rsid w:val="00267021"/>
    <w:rsid w:val="002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Pages>
  <Words>376</Words>
  <Characters>2923</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18</cp:revision>
  <cp:lastPrinted>2015-06-17T13:53:00Z</cp:lastPrinted>
  <dcterms:created xsi:type="dcterms:W3CDTF">2015-07-01T09:36:00Z</dcterms:created>
  <dcterms:modified xsi:type="dcterms:W3CDTF">2015-07-01T11:08:00Z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02)</vt:lpwstr>
  </property>
</Properties>
</file>