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316EF6A13F74996948A2FB9F8298433" style="width:450.45pt;height:434.3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ANEXO III – Fórmula para uma chave de repartição</w:t>
      </w:r>
    </w:p>
    <w:p>
      <w:pPr>
        <w:jc w:val="center"/>
        <w:rPr>
          <w:b/>
          <w:noProof/>
        </w:rPr>
      </w:pPr>
    </w:p>
    <w:p>
      <w:pPr>
        <w:rPr>
          <w:b/>
          <w:noProof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6166713" cy="270938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0631" cy="271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noProof/>
        </w:rPr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jc w:val="center"/>
        <w:rPr>
          <w:b/>
          <w:noProof/>
        </w:rPr>
      </w:pPr>
      <w:r>
        <w:rPr>
          <w:b/>
          <w:noProof/>
        </w:rPr>
        <w:t xml:space="preserve">ANEXO IV </w:t>
      </w:r>
    </w:p>
    <w:p>
      <w:pPr>
        <w:jc w:val="center"/>
        <w:rPr>
          <w:b/>
          <w:noProof/>
        </w:rPr>
      </w:pPr>
      <w:r>
        <w:rPr>
          <w:b/>
          <w:noProof/>
        </w:rPr>
        <w:t>Regras processuais pormenorizadas para a aplicação do mecanismo de recolocação em situações de crise</w:t>
      </w:r>
    </w:p>
    <w:p>
      <w:pPr>
        <w:pStyle w:val="PointManual"/>
        <w:jc w:val="both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Cada Estado-Membro nomeia um ponto de contacto nacional e comunica o seu endereço aos demais Estados-Membros e ao EASO. Os Estados-Membros, em colaboração com o EASO e outras agências competentes, adotam todas as disposições adequadas para instaurar a cooperação direta e o intercâmbio de informações entre as autoridades competentes, incluindo sobre os motivos referidos no n.º 8.</w:t>
      </w:r>
    </w:p>
    <w:p>
      <w:pPr>
        <w:pStyle w:val="Point1232"/>
        <w:numPr>
          <w:ilvl w:val="0"/>
          <w:numId w:val="0"/>
        </w:numPr>
        <w:ind w:left="567" w:hanging="567"/>
        <w:jc w:val="both"/>
        <w:rPr>
          <w:rFonts w:eastAsia="Calibri"/>
          <w:noProof/>
        </w:rPr>
      </w:pPr>
      <w:r>
        <w:rPr>
          <w:noProof/>
        </w:rPr>
        <w:t>2.</w:t>
      </w:r>
      <w:r>
        <w:rPr>
          <w:noProof/>
        </w:rPr>
        <w:tab/>
        <w:t>Os Estados-Membros indicam, a intervalos regulares e pelo menos de três em três meses, o número de requerentes que podem ser recolocados rapidamente no seu território e comunicam quaisquer outras informações pertinentes.</w:t>
      </w:r>
    </w:p>
    <w:p>
      <w:pPr>
        <w:pStyle w:val="PointManual"/>
        <w:jc w:val="both"/>
        <w:rPr>
          <w:b/>
          <w:noProof/>
          <w:u w:val="single"/>
        </w:rPr>
      </w:pPr>
      <w:r>
        <w:rPr>
          <w:noProof/>
        </w:rPr>
        <w:t>3.</w:t>
      </w:r>
      <w:r>
        <w:rPr>
          <w:noProof/>
        </w:rPr>
        <w:tab/>
        <w:t xml:space="preserve">Com base nas informações referidas no n.º 2, o Estado-Membro que beneficia da recolocação, com a ajuda do EASO e, se for caso disso, dos agentes de ligação referidos no n.º 9, identifica os candidatos suscetíveis de serem recolocados nos outros Estados-Membros e apresenta, logo que possível, todas as informações pertinentes aos pontos de contacto desses Estados-Membros. Para esse efeito, é dada prioridade aos requerentes vulneráveis, na aceção dos artigos 21.º e 22.º da Diretiva 2013/33/UE. </w:t>
      </w:r>
    </w:p>
    <w:p>
      <w:pPr>
        <w:pStyle w:val="PointManual"/>
        <w:jc w:val="both"/>
        <w:rPr>
          <w:noProof/>
        </w:rPr>
      </w:pPr>
      <w:r>
        <w:rPr>
          <w:noProof/>
        </w:rPr>
        <w:t>4.</w:t>
      </w:r>
      <w:r>
        <w:rPr>
          <w:noProof/>
        </w:rPr>
        <w:tab/>
        <w:t>Após a aprovação do Estado-Membro de recolocação, o Estado-Membro que beneficia da recolocação toma, em consulta com o EASO e o mais rapidamente possível, uma decisão com vista a recolocar cada um dos requerentes identificados num Estado-Membro de recolocação específico e notifica por escrito ao requerente a decisão de o transferir para esse Estado-Membro.</w:t>
      </w:r>
    </w:p>
    <w:p>
      <w:pPr>
        <w:pStyle w:val="PointManual"/>
        <w:jc w:val="both"/>
        <w:rPr>
          <w:b/>
          <w:noProof/>
          <w:u w:val="single"/>
        </w:rPr>
      </w:pPr>
      <w:r>
        <w:rPr>
          <w:noProof/>
        </w:rPr>
        <w:t>5.</w:t>
      </w:r>
      <w:r>
        <w:rPr>
          <w:noProof/>
        </w:rPr>
        <w:tab/>
        <w:t>Os Estados-Membros asseguram que os membros da família aos quais seja aplicável a recolocação são transferidos para o território do mesmo Estado-Membro.</w:t>
      </w:r>
    </w:p>
    <w:p>
      <w:pPr>
        <w:pStyle w:val="PointManual"/>
        <w:jc w:val="both"/>
        <w:rPr>
          <w:noProof/>
        </w:rPr>
      </w:pPr>
      <w:r>
        <w:rPr>
          <w:noProof/>
        </w:rPr>
        <w:t>6.</w:t>
      </w:r>
      <w:r>
        <w:rPr>
          <w:noProof/>
        </w:rPr>
        <w:tab/>
        <w:t>Os requerentes cujas impressões digitais sejam exigidas por força das obrigações estabelecidas no artigo 9.º do Regulamento (UE) n.º 603/2013 só podem ser propostos para recolocação se as suas impressões digitais tiverem sido recolhidas e transmitidas ao Sistema Central do Eurodac, em conformidade com o referido regulamento.</w:t>
      </w:r>
    </w:p>
    <w:p>
      <w:pPr>
        <w:pStyle w:val="PointManual"/>
        <w:jc w:val="both"/>
        <w:rPr>
          <w:noProof/>
        </w:rPr>
      </w:pPr>
      <w:r>
        <w:rPr>
          <w:noProof/>
        </w:rPr>
        <w:t>7.</w:t>
      </w:r>
      <w:r>
        <w:rPr>
          <w:noProof/>
        </w:rPr>
        <w:tab/>
        <w:t>A transferência do requerente para o território do Estado-Membro de recolocação é realizada o mais rapidamente possível após a data da notificação ao interessado da decisão de recolocação referida no artigo 33.º-D. O Estado-Membro que beneficia da recolocação comunica ao Estado-Membro de recolocação a data e hora da recolocação, bem como quaisquer outras informações pertinentes.</w:t>
      </w:r>
    </w:p>
    <w:p>
      <w:pPr>
        <w:pStyle w:val="PointManual"/>
        <w:jc w:val="both"/>
        <w:rPr>
          <w:noProof/>
        </w:rPr>
      </w:pPr>
      <w:r>
        <w:rPr>
          <w:noProof/>
        </w:rPr>
        <w:t>8.</w:t>
      </w:r>
      <w:r>
        <w:rPr>
          <w:noProof/>
        </w:rPr>
        <w:tab/>
        <w:t>Os Estados-Membros só têm o direito de recusar recolocar um requerente se houver motivos razoáveis para considerar que essa pessoa representa uma ameaça para a segurança nacional ou a ordem pública, ou se existirem motivos sérios para aplicar as disposições em matéria de exclusão estabelecidas nos artigos 12.º e 17.º da Diretiva 2011/95/UE.</w:t>
      </w:r>
      <w:r>
        <w:rPr>
          <w:b/>
          <w:noProof/>
          <w:u w:val="single"/>
        </w:rPr>
        <w:t xml:space="preserve"> </w:t>
      </w:r>
    </w:p>
    <w:p>
      <w:pPr>
        <w:pStyle w:val="PointManual"/>
        <w:jc w:val="both"/>
        <w:rPr>
          <w:noProof/>
        </w:rPr>
      </w:pPr>
      <w:r>
        <w:rPr>
          <w:noProof/>
        </w:rPr>
        <w:t>9.</w:t>
      </w:r>
      <w:r>
        <w:rPr>
          <w:noProof/>
        </w:rPr>
        <w:tab/>
        <w:t xml:space="preserve">Para efeitos da aplicação de todos os aspetos do procedimento de recolocação descrito no presente anexo, os Estados-Membros podem decidir nomear agentes de ligação no Estado-Membro que beneficia da recolocação, após terem procedido ao intercâmbio de todas as informações pertinentes. </w:t>
      </w:r>
    </w:p>
    <w:p>
      <w:pPr>
        <w:pStyle w:val="PointManual"/>
        <w:jc w:val="both"/>
        <w:rPr>
          <w:noProof/>
        </w:rPr>
      </w:pPr>
      <w:r>
        <w:rPr>
          <w:noProof/>
        </w:rPr>
        <w:t>10.</w:t>
      </w:r>
      <w:r>
        <w:rPr>
          <w:noProof/>
        </w:rPr>
        <w:tab/>
        <w:t>A identificação, o registo e a recolha de impressões digitais para efeitos do procedimento de recolocação são assegurados pelo Estado-Membro que beneficia da recolocação, que disponibiliza as instalações necessárias. Os requerentes que se eximam ao procedimento de recolocação são excluídos da mesma.</w:t>
      </w:r>
    </w:p>
    <w:p>
      <w:pPr>
        <w:pStyle w:val="PointManual"/>
        <w:jc w:val="both"/>
        <w:rPr>
          <w:noProof/>
        </w:rPr>
      </w:pPr>
      <w:r>
        <w:rPr>
          <w:noProof/>
        </w:rPr>
        <w:t>11.</w:t>
      </w:r>
      <w:r>
        <w:rPr>
          <w:noProof/>
        </w:rPr>
        <w:tab/>
        <w:t>O procedimento de recolocação previsto no presente anexo é concluído o mais rapidamente possível e, o mais tardar, dois meses a contar da data em que o Estado-Membro de recolocação tiver fornecido as indicações referidas no n.º 2, exceto se a aprovação pelo Estado-Membro de recolocação a que se refere o n.º 4 ocorrer menos de duas semanas antes do termo desse prazo de dois meses. Neste caso, o prazo para concluir o procedimento de recolocação pode ser prorrogado por um período não superior a duas semanas. Além disso, o prazo pode também ser prorrogado por um período de mais quatro semanas, se o Estado-Membro que beneficia da recolocação apresentar uma justificação da existência de obstáculos práticos objetivos que impedem a realização da transferência.</w:t>
      </w:r>
    </w:p>
    <w:p>
      <w:pPr>
        <w:pStyle w:val="PointManual"/>
        <w:ind w:firstLine="0"/>
        <w:jc w:val="both"/>
        <w:rPr>
          <w:b/>
          <w:noProof/>
          <w:u w:val="single"/>
        </w:rPr>
      </w:pPr>
      <w:r>
        <w:rPr>
          <w:noProof/>
        </w:rPr>
        <w:t>Se o procedimento de recolocação não for concluído dentro desse prazo, e a menos que o Estado-Membro que beneficia da recolocação acorde com o Estado-Membro de recolocação uma prorrogação razoável do prazo, o Estado-Membro que beneficia da recolocação continua a ser responsável pela análise do pedido de proteção internacional.</w:t>
      </w:r>
    </w:p>
    <w:p>
      <w:pPr>
        <w:pStyle w:val="PointManual"/>
        <w:jc w:val="both"/>
        <w:rPr>
          <w:bCs/>
          <w:noProof/>
        </w:rPr>
      </w:pPr>
      <w:r>
        <w:rPr>
          <w:noProof/>
        </w:rPr>
        <w:t>12.</w:t>
      </w:r>
      <w:r>
        <w:rPr>
          <w:noProof/>
        </w:rPr>
        <w:tab/>
        <w:t xml:space="preserve">Na sequência da recolocação do requerente, o Estado-Membro de recolocação recolhe e transmite ao Sistema Central do Eurodac as suas impressões digitais, em conformidade com o artigo 9.º do Regulamento (UE) n.º 603/2013, e atualiza os conjuntos de dados, em conformidade com o artigo 10.º e, quando aplicável, com o artigo 18.º do referido regulamento. </w: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485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02868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4D0"/>
    <w:multiLevelType w:val="multilevel"/>
    <w:tmpl w:val="FC3ADE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strike w:val="0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>
    <w:nsid w:val="4A432656"/>
    <w:multiLevelType w:val="multilevel"/>
    <w:tmpl w:val="A7BE963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o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9316EF6A13F74996948A2FB9F8298433"/>
    <w:docVar w:name="LW_CROSSREFERENCE" w:val="&lt;UNUSED&gt;"/>
    <w:docVar w:name="LW_DocType" w:val="NORMAL"/>
    <w:docVar w:name="LW_EMISSION" w:val="9.9.2015"/>
    <w:docVar w:name="LW_EMISSION_ISODATE" w:val="2015-09-09"/>
    <w:docVar w:name="LW_EMISSION_LOCATION" w:val="BRX"/>
    <w:docVar w:name="LW_EMISSION_PREFIX" w:val="Bruxelas, "/>
    <w:docVar w:name="LW_EMISSION_SUFFIX" w:val=" "/>
    <w:docVar w:name="LW_ID_DOCTYPE_NONLW" w:val="CP-036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.CP" w:val="que cria um mecanismo de recolocação em situações de crise e altera o Regulamento (UE) n.º 604/2013 do Parlamento Europeu e do Conselho, de 26 de junho de 2013, que estabelece os critérios e mecanismos de determinação do Estado-Membro responsável pela análise de um pedido de proteção internacional apresentado num dos Estados-Membros por um nacional de um país terceiro ou por um apátrid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5) 450"/>
    <w:docVar w:name="LW_REF.INTERNE" w:val="&lt;UNUSED&gt;"/>
    <w:docVar w:name="LW_SUPERTITRE" w:val="&lt;UNUSED&gt;"/>
    <w:docVar w:name="LW_TITRE.OBJ.CP" w:val="&lt;UNUSED&gt;"/>
    <w:docVar w:name="LW_TYPE.DOC.CP" w:val="ANEXO_x000b_"/>
    <w:docVar w:name="LW_TYPEACTEPRINCIPAL.CP" w:val="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eastAsiaTheme="minorHAns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4"/>
      </w:numPr>
      <w:spacing w:before="240" w:after="240"/>
      <w:outlineLvl w:val="0"/>
    </w:pPr>
    <w:rPr>
      <w:b/>
      <w:smallCap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after="24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after="240"/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num" w:pos="2880"/>
      </w:tabs>
      <w:spacing w:after="240"/>
      <w:ind w:left="2880" w:hanging="960"/>
      <w:outlineLvl w:val="3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b/>
      <w:smallCaps/>
      <w:sz w:val="24"/>
    </w:rPr>
  </w:style>
  <w:style w:type="character" w:customStyle="1" w:styleId="Heading2Char">
    <w:name w:val="Heading 2 Char"/>
    <w:link w:val="Heading2"/>
    <w:uiPriority w:val="9"/>
    <w:rPr>
      <w:b/>
      <w:sz w:val="24"/>
    </w:rPr>
  </w:style>
  <w:style w:type="character" w:customStyle="1" w:styleId="Heading3Char">
    <w:name w:val="Heading 3 Char"/>
    <w:link w:val="Heading3"/>
    <w:uiPriority w:val="9"/>
    <w:rPr>
      <w:i/>
      <w:sz w:val="24"/>
    </w:rPr>
  </w:style>
  <w:style w:type="character" w:customStyle="1" w:styleId="Heading4Char">
    <w:name w:val="Heading 4 Char"/>
    <w:link w:val="Heading4"/>
    <w:uiPriority w:val="9"/>
    <w:rPr>
      <w:sz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bCs/>
      <w:smallCaps w:val="0"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</w:rPr>
  </w:style>
  <w:style w:type="paragraph" w:customStyle="1" w:styleId="Personnequisigne">
    <w:name w:val="Personne qui signe"/>
    <w:basedOn w:val="Normal"/>
    <w:next w:val="Normal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abc">
    <w:name w:val="Point abc"/>
    <w:basedOn w:val="Normal"/>
    <w:pPr>
      <w:numPr>
        <w:ilvl w:val="1"/>
        <w:numId w:val="5"/>
      </w:numPr>
      <w:spacing w:line="360" w:lineRule="auto"/>
      <w:jc w:val="left"/>
    </w:pPr>
    <w:rPr>
      <w:rFonts w:eastAsia="Times New Roman"/>
      <w:szCs w:val="24"/>
    </w:rPr>
  </w:style>
  <w:style w:type="paragraph" w:customStyle="1" w:styleId="Pointabc1">
    <w:name w:val="Point abc (1)"/>
    <w:basedOn w:val="Normal"/>
    <w:pPr>
      <w:numPr>
        <w:ilvl w:val="3"/>
        <w:numId w:val="5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customStyle="1" w:styleId="Pointabc2">
    <w:name w:val="Point abc (2)"/>
    <w:basedOn w:val="Normal"/>
    <w:pPr>
      <w:numPr>
        <w:ilvl w:val="5"/>
        <w:numId w:val="5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customStyle="1" w:styleId="Pointabc3">
    <w:name w:val="Point abc (3)"/>
    <w:basedOn w:val="Normal"/>
    <w:pPr>
      <w:numPr>
        <w:ilvl w:val="7"/>
        <w:numId w:val="5"/>
      </w:numPr>
      <w:spacing w:line="360" w:lineRule="auto"/>
      <w:jc w:val="left"/>
      <w:outlineLvl w:val="2"/>
    </w:pPr>
    <w:rPr>
      <w:rFonts w:eastAsia="Times New Roman"/>
      <w:szCs w:val="24"/>
    </w:rPr>
  </w:style>
  <w:style w:type="paragraph" w:customStyle="1" w:styleId="Pointabc4">
    <w:name w:val="Point abc (4)"/>
    <w:basedOn w:val="Normal"/>
    <w:pPr>
      <w:numPr>
        <w:ilvl w:val="8"/>
        <w:numId w:val="5"/>
      </w:numPr>
      <w:spacing w:line="360" w:lineRule="auto"/>
      <w:jc w:val="left"/>
      <w:outlineLvl w:val="3"/>
    </w:pPr>
    <w:rPr>
      <w:rFonts w:eastAsia="Times New Roman"/>
      <w:szCs w:val="24"/>
    </w:rPr>
  </w:style>
  <w:style w:type="paragraph" w:customStyle="1" w:styleId="Point1231">
    <w:name w:val="Point 123 (1)"/>
    <w:basedOn w:val="Normal"/>
    <w:pPr>
      <w:numPr>
        <w:ilvl w:val="2"/>
        <w:numId w:val="5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customStyle="1" w:styleId="Point1232">
    <w:name w:val="Point 123 (2)"/>
    <w:basedOn w:val="Normal"/>
    <w:pPr>
      <w:numPr>
        <w:ilvl w:val="4"/>
        <w:numId w:val="5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customStyle="1" w:styleId="Point1233">
    <w:name w:val="Point 123 (3)"/>
    <w:basedOn w:val="Normal"/>
    <w:pPr>
      <w:numPr>
        <w:ilvl w:val="6"/>
        <w:numId w:val="5"/>
      </w:numPr>
      <w:spacing w:line="360" w:lineRule="auto"/>
      <w:jc w:val="left"/>
      <w:outlineLvl w:val="2"/>
    </w:pPr>
    <w:rPr>
      <w:rFonts w:eastAsia="Times New Roman"/>
      <w:szCs w:val="24"/>
    </w:rPr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Times New Roman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eastAsiaTheme="minorHAns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4"/>
      </w:numPr>
      <w:spacing w:before="240" w:after="240"/>
      <w:outlineLvl w:val="0"/>
    </w:pPr>
    <w:rPr>
      <w:b/>
      <w:smallCap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after="24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after="240"/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num" w:pos="2880"/>
      </w:tabs>
      <w:spacing w:after="240"/>
      <w:ind w:left="2880" w:hanging="960"/>
      <w:outlineLvl w:val="3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b/>
      <w:smallCaps/>
      <w:sz w:val="24"/>
    </w:rPr>
  </w:style>
  <w:style w:type="character" w:customStyle="1" w:styleId="Heading2Char">
    <w:name w:val="Heading 2 Char"/>
    <w:link w:val="Heading2"/>
    <w:uiPriority w:val="9"/>
    <w:rPr>
      <w:b/>
      <w:sz w:val="24"/>
    </w:rPr>
  </w:style>
  <w:style w:type="character" w:customStyle="1" w:styleId="Heading3Char">
    <w:name w:val="Heading 3 Char"/>
    <w:link w:val="Heading3"/>
    <w:uiPriority w:val="9"/>
    <w:rPr>
      <w:i/>
      <w:sz w:val="24"/>
    </w:rPr>
  </w:style>
  <w:style w:type="character" w:customStyle="1" w:styleId="Heading4Char">
    <w:name w:val="Heading 4 Char"/>
    <w:link w:val="Heading4"/>
    <w:uiPriority w:val="9"/>
    <w:rPr>
      <w:sz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bCs/>
      <w:smallCaps w:val="0"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</w:rPr>
  </w:style>
  <w:style w:type="paragraph" w:customStyle="1" w:styleId="Personnequisigne">
    <w:name w:val="Personne qui signe"/>
    <w:basedOn w:val="Normal"/>
    <w:next w:val="Normal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abc">
    <w:name w:val="Point abc"/>
    <w:basedOn w:val="Normal"/>
    <w:pPr>
      <w:numPr>
        <w:ilvl w:val="1"/>
        <w:numId w:val="5"/>
      </w:numPr>
      <w:spacing w:line="360" w:lineRule="auto"/>
      <w:jc w:val="left"/>
    </w:pPr>
    <w:rPr>
      <w:rFonts w:eastAsia="Times New Roman"/>
      <w:szCs w:val="24"/>
    </w:rPr>
  </w:style>
  <w:style w:type="paragraph" w:customStyle="1" w:styleId="Pointabc1">
    <w:name w:val="Point abc (1)"/>
    <w:basedOn w:val="Normal"/>
    <w:pPr>
      <w:numPr>
        <w:ilvl w:val="3"/>
        <w:numId w:val="5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customStyle="1" w:styleId="Pointabc2">
    <w:name w:val="Point abc (2)"/>
    <w:basedOn w:val="Normal"/>
    <w:pPr>
      <w:numPr>
        <w:ilvl w:val="5"/>
        <w:numId w:val="5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customStyle="1" w:styleId="Pointabc3">
    <w:name w:val="Point abc (3)"/>
    <w:basedOn w:val="Normal"/>
    <w:pPr>
      <w:numPr>
        <w:ilvl w:val="7"/>
        <w:numId w:val="5"/>
      </w:numPr>
      <w:spacing w:line="360" w:lineRule="auto"/>
      <w:jc w:val="left"/>
      <w:outlineLvl w:val="2"/>
    </w:pPr>
    <w:rPr>
      <w:rFonts w:eastAsia="Times New Roman"/>
      <w:szCs w:val="24"/>
    </w:rPr>
  </w:style>
  <w:style w:type="paragraph" w:customStyle="1" w:styleId="Pointabc4">
    <w:name w:val="Point abc (4)"/>
    <w:basedOn w:val="Normal"/>
    <w:pPr>
      <w:numPr>
        <w:ilvl w:val="8"/>
        <w:numId w:val="5"/>
      </w:numPr>
      <w:spacing w:line="360" w:lineRule="auto"/>
      <w:jc w:val="left"/>
      <w:outlineLvl w:val="3"/>
    </w:pPr>
    <w:rPr>
      <w:rFonts w:eastAsia="Times New Roman"/>
      <w:szCs w:val="24"/>
    </w:rPr>
  </w:style>
  <w:style w:type="paragraph" w:customStyle="1" w:styleId="Point1231">
    <w:name w:val="Point 123 (1)"/>
    <w:basedOn w:val="Normal"/>
    <w:pPr>
      <w:numPr>
        <w:ilvl w:val="2"/>
        <w:numId w:val="5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customStyle="1" w:styleId="Point1232">
    <w:name w:val="Point 123 (2)"/>
    <w:basedOn w:val="Normal"/>
    <w:pPr>
      <w:numPr>
        <w:ilvl w:val="4"/>
        <w:numId w:val="5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customStyle="1" w:styleId="Point1233">
    <w:name w:val="Point 123 (3)"/>
    <w:basedOn w:val="Normal"/>
    <w:pPr>
      <w:numPr>
        <w:ilvl w:val="6"/>
        <w:numId w:val="5"/>
      </w:numPr>
      <w:spacing w:line="360" w:lineRule="auto"/>
      <w:jc w:val="left"/>
      <w:outlineLvl w:val="2"/>
    </w:pPr>
    <w:rPr>
      <w:rFonts w:eastAsia="Times New Roman"/>
      <w:szCs w:val="24"/>
    </w:rPr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Times New Roman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F701-C803-4E10-AE57-B0FA9758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745</Words>
  <Characters>4158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 Andrea (JUST)</dc:creator>
  <cp:lastModifiedBy>DIGIT/A3</cp:lastModifiedBy>
  <cp:revision>13</cp:revision>
  <cp:lastPrinted>2015-09-07T15:18:00Z</cp:lastPrinted>
  <dcterms:created xsi:type="dcterms:W3CDTF">2015-09-07T15:15:00Z</dcterms:created>
  <dcterms:modified xsi:type="dcterms:W3CDTF">2015-09-12T19:36:00Z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