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BCD76FCDE24DFFAE2C57ED4490CDC5" style="width:450.65pt;height:423.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rPr>
        <w:t>•</w:t>
      </w:r>
      <w:r>
        <w:rPr>
          <w:noProof/>
        </w:rPr>
        <w:tab/>
        <w:t>Motivele și obiectivele propunerii</w:t>
      </w:r>
    </w:p>
    <w:p>
      <w:pPr>
        <w:rPr>
          <w:noProof/>
        </w:rPr>
      </w:pPr>
      <w:r>
        <w:rPr>
          <w:noProof/>
        </w:rPr>
        <w:t>Comisia (Eurostat) colectează date privind prețurile la gaze naturale și energie electrică pentru utilizatorii finali din industrie (clienții noncasnici finali). Începând din 1990, prețurile pentru utilizatorii finali din industrie sunt reglementate prin legislație, ele fiind reglementate în prezent prin Directiva 2008/92/CE, care a abrogat Directiva 90/377/CEE. Autoritățile naționale colectează, pe baza unui acord voluntar, date privind prețurile pentru clienții casnici. Autoritățile naționale au informat Comisia cu privire la faptul că, din cauza constrângerilor de natură financiară și legate de resursele umane, mai mulți furnizori de date (întreprinderi din domeniul gazelor naturale și al energiei electrice) întreabă dacă este necesar să se continue colectarea acestor date.</w:t>
      </w:r>
    </w:p>
    <w:p>
      <w:pPr>
        <w:rPr>
          <w:noProof/>
          <w:snapToGrid w:val="0"/>
        </w:rPr>
      </w:pPr>
      <w:r>
        <w:rPr>
          <w:noProof/>
        </w:rPr>
        <w:t>În cadrul Consiliului European din 22 mai 2013 privind energia și fiscalitatea, șefii de stat și de guvern din UE au afirmat că politica energetică a UE ar trebui să aibă scopul de a oferi gospodăriilor și întreprinderilor energie la prețuri accesibile și competitive, într-un mod sigur și sustenabil. În consecință, Comisia a fost invitată să prezinte o analiză a „compoziției și a factorilor determinanți care influențează prețurile și costurile energiei în statele membre”. Această analiză urma să se concentreze pe impactul prețurilor la energie asupra gospodăriilor, asupra întreprinderilor mici și mijlocii și a industriilor mari consumatoare de energie și, în sens mai larg, să examineze competitivitatea UE în raport cu partenerii săi economici de la nivel mondial.</w:t>
      </w:r>
    </w:p>
    <w:p>
      <w:pPr>
        <w:rPr>
          <w:noProof/>
          <w:snapToGrid w:val="0"/>
        </w:rPr>
      </w:pPr>
      <w:r>
        <w:rPr>
          <w:noProof/>
        </w:rPr>
        <w:t>După ce a constatat că pentru analiza respectivă sunt necesare date suplimentare detaliate privind prețurile, Comisia a colectat informațiile necesare de la toate cele 28 de state membre ale UE, în temeiul unui acord voluntar. Un raport care cuprinde o analiză detaliată a componentelor prețurilor la gaze naturale și energie electrică a fost prezentat Consiliului în ianuarie 2014.</w:t>
      </w:r>
    </w:p>
    <w:p>
      <w:pPr>
        <w:rPr>
          <w:noProof/>
          <w:snapToGrid w:val="0"/>
        </w:rPr>
      </w:pPr>
      <w:r>
        <w:rPr>
          <w:noProof/>
        </w:rPr>
        <w:t>În 2014, factorii de decizie au solicitat în repetate rânduri statistici oficiale mai detaliate privind prețurile la gaze naturale și energie electrică. În cadrul reuniunii sale din 13 iunie 2014, Consiliul Transporturi, Telecomunicații și Energie (TTE) a recunoscut impactul negativ pe care prețurile și costurile ridicate și în creștere ale energiei îl au asupra competitivității Europei la nivel mondial și a standardului de viață al clienților individuali. Din acest motiv, Consiliul TTE a solicitat o „reexaminare de către Comisie a situației prețurilor și costurilor energiei și a situației clienților până în 2016”.</w:t>
      </w:r>
    </w:p>
    <w:p>
      <w:pPr>
        <w:rPr>
          <w:noProof/>
          <w:snapToGrid w:val="0"/>
        </w:rPr>
      </w:pPr>
      <w:r>
        <w:rPr>
          <w:noProof/>
        </w:rPr>
        <w:t>La 25 februarie 2015, Comisia Europeană a adoptat pachetul privind uniunea energetică. Una dintre măsurile din pachetul privind uniunea energetică din capitolul privind piața internă a energiei definește o analiză a prețurilor și a costurilor energiei, care urmează să fie realizată în 2016 și, ulterior, la fiecare 2 ani.</w:t>
      </w:r>
    </w:p>
    <w:p>
      <w:pPr>
        <w:rPr>
          <w:noProof/>
        </w:rPr>
      </w:pPr>
      <w:r>
        <w:rPr>
          <w:noProof/>
        </w:rPr>
        <w:t>Un set suplimentar de subcomponente privind impozitele și taxele și prețurile de rețea la gaze naturale și energie electrică a fost elaborat pentru a reflecta obiectivele pachetului privind uniunea energetică și, în special, pentru a răspunde necesității unei mai mari transparențe privind prețurile și costurile energiei astfel cum se menționează la acțiunea nr. 8 din pachet.</w:t>
      </w:r>
    </w:p>
    <w:p>
      <w:pPr>
        <w:pStyle w:val="ManualHeading2"/>
        <w:rPr>
          <w:rFonts w:eastAsia="Arial Unicode MS"/>
          <w:noProof/>
          <w:u w:color="000000"/>
          <w:bdr w:val="nil"/>
        </w:rPr>
      </w:pPr>
      <w:r>
        <w:rPr>
          <w:noProof/>
        </w:rPr>
        <w:t>•</w:t>
      </w:r>
      <w:r>
        <w:rPr>
          <w:noProof/>
        </w:rPr>
        <w:tab/>
        <w:t>Coerența cu politica existentă în domeniu</w:t>
      </w:r>
    </w:p>
    <w:p>
      <w:pPr>
        <w:rPr>
          <w:noProof/>
          <w:snapToGrid w:val="0"/>
        </w:rPr>
      </w:pPr>
      <w:r>
        <w:rPr>
          <w:noProof/>
        </w:rPr>
        <w:t xml:space="preserve">Consiliului European din iunie 2014 a reconfirmat necesitatea de a consolida piața unică a UE, de a crește concurența și transparența pe piața gazelor naturale și de a finaliza integrarea </w:t>
      </w:r>
      <w:r>
        <w:rPr>
          <w:noProof/>
        </w:rPr>
        <w:lastRenderedPageBreak/>
        <w:t>pieței europene a energiei. De asemenea, Consiliul a solicitat o analiză suplimentară a integrării pieței în ceea ce privește eficiența și securitatea energetică.</w:t>
      </w:r>
    </w:p>
    <w:p>
      <w:pPr>
        <w:pStyle w:val="ManualHeading2"/>
        <w:rPr>
          <w:rFonts w:eastAsia="Arial Unicode MS"/>
          <w:noProof/>
        </w:rPr>
      </w:pPr>
      <w:r>
        <w:rPr>
          <w:noProof/>
        </w:rPr>
        <w:t>•</w:t>
      </w:r>
      <w:r>
        <w:rPr>
          <w:noProof/>
        </w:rPr>
        <w:tab/>
        <w:t>Coerența cu alte politici ale UE</w:t>
      </w:r>
    </w:p>
    <w:p>
      <w:pPr>
        <w:pBdr>
          <w:top w:val="nil"/>
          <w:left w:val="nil"/>
          <w:bottom w:val="nil"/>
          <w:right w:val="nil"/>
          <w:between w:val="nil"/>
          <w:bar w:val="nil"/>
        </w:pBdr>
        <w:spacing w:before="0" w:after="240"/>
        <w:rPr>
          <w:noProof/>
          <w:snapToGrid w:val="0"/>
        </w:rPr>
      </w:pPr>
      <w:r>
        <w:rPr>
          <w:noProof/>
        </w:rPr>
        <w:t xml:space="preserve">Pachetul privind uniunea energetică a fost adoptat de către Comisie la 25 februarie 2015. În acest context, Comisia va furniza, începând cu anul 2016, date privind prețurile și costurile energiei (inclusiv impozitele și subvențiile). Această defalcare a prețurilor și costurilor energiei va permite Comisiei să monitorizeze situația de pe piața energiei.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Articolul 338 alineatul (1) din Tratatul privind funcționarea Uniunii Europene.</w:t>
      </w:r>
    </w:p>
    <w:p>
      <w:pPr>
        <w:pStyle w:val="ManualHeading2"/>
        <w:rPr>
          <w:rFonts w:eastAsia="Arial Unicode MS"/>
          <w:noProof/>
          <w:u w:color="000000"/>
          <w:bdr w:val="nil"/>
        </w:rPr>
      </w:pPr>
      <w:r>
        <w:rPr>
          <w:noProof/>
        </w:rPr>
        <w:t>•</w:t>
      </w:r>
      <w:r>
        <w:rPr>
          <w:noProof/>
        </w:rPr>
        <w:tab/>
        <w:t>Subsidiaritate (pentru competențele neexclusive)</w:t>
      </w:r>
    </w:p>
    <w:p>
      <w:pPr>
        <w:pBdr>
          <w:top w:val="nil"/>
          <w:left w:val="nil"/>
          <w:bottom w:val="nil"/>
          <w:right w:val="nil"/>
          <w:between w:val="nil"/>
          <w:bar w:val="nil"/>
        </w:pBdr>
        <w:spacing w:before="0" w:after="240"/>
        <w:rPr>
          <w:rFonts w:eastAsia="Arial Unicode MS"/>
          <w:noProof/>
        </w:rPr>
      </w:pPr>
      <w:r>
        <w:rPr>
          <w:noProof/>
        </w:rPr>
        <w:t>Comisia (Eurostat) colectează date naționale cu privire la prețurile la gaze naturale și energie electrică utilizând o metodologie care permite compararea prețurilor între statele membre. Aceste date privind prețurile trebuie să fie colectate la nivelul UE pentru a se garanta că datele sunt fiabile și comparabile între toate statele membre ale UE și pentru a agrega datele la nivelul UE și pentru zona euro. La nivel național, datele privind prețurile sunt colectate de autoritățile naționale relevante și, apoi, sunt difuzate de Eurostat.</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Actul legislativ propus va viza colectarea de date privind prețurile la gaze naturale și energie electrică pentru sectorul gospodăriilor populației și pentru sectorul industrial. În trecut, datele privind prețurile din sectorul industrial erau colectate în conformitate cu Directiva 2008/92/CE, dar datele privind prețurile din sectorul gospodăriilor populației erau colectate pe baza unui acord voluntar. Complexitatea tot mai mare a pieței interne a energiei face din ce în ce mai dificilă obținerea unor date fiabile și actualizate pentru gazele naturale și energia electrică în lipsa unor obligații juridice de a furniza aceste date, în special în cazul sectorului gospodăriilor populației. Modificările propuse comparativ cu situația la care se referă Directiva 2008/92/CE constau în cuprinderea prin propunerea de act legislativ a datelor care sunt colectate, în prezent, în mod voluntar. Aceste modificări nu depășesc ceea ce este necesar pentru a atinge obiectivele stabilite.</w:t>
      </w:r>
    </w:p>
    <w:p>
      <w:pPr>
        <w:pStyle w:val="ManualHeading2"/>
        <w:rPr>
          <w:rFonts w:eastAsia="Arial Unicode MS"/>
          <w:noProof/>
          <w:u w:color="000000"/>
          <w:bdr w:val="nil"/>
        </w:rPr>
      </w:pPr>
      <w:r>
        <w:rPr>
          <w:noProof/>
        </w:rPr>
        <w:t>•</w:t>
      </w:r>
      <w:r>
        <w:rPr>
          <w:noProof/>
        </w:rPr>
        <w:tab/>
        <w:t>Instrumentul juridic ales</w:t>
      </w:r>
    </w:p>
    <w:p>
      <w:pPr>
        <w:pBdr>
          <w:top w:val="nil"/>
          <w:left w:val="nil"/>
          <w:bottom w:val="nil"/>
          <w:right w:val="nil"/>
          <w:between w:val="nil"/>
          <w:bar w:val="nil"/>
        </w:pBdr>
        <w:spacing w:before="0" w:after="240"/>
        <w:rPr>
          <w:noProof/>
        </w:rPr>
      </w:pPr>
      <w:r>
        <w:rPr>
          <w:noProof/>
        </w:rPr>
        <w:t>Utilizarea ca instrument juridic a unui regulament al Parlamentului European și al Consiliului ar trebui să asigure o punere în aplicare promptă, ușoară și uniformă în întreaga UE.</w:t>
      </w:r>
    </w:p>
    <w:p>
      <w:pPr>
        <w:pStyle w:val="ManualHeading1"/>
        <w:rPr>
          <w:noProof/>
        </w:rPr>
      </w:pPr>
      <w:r>
        <w:rPr>
          <w:noProof/>
        </w:rPr>
        <w:t>3.</w:t>
      </w:r>
      <w:r>
        <w:rPr>
          <w:noProof/>
        </w:rPr>
        <w:tab/>
        <w:t>CONSTATĂRILE EVALUĂRILOR EX-POST,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ex-post/verificări ale adecvării legislației existente</w:t>
      </w:r>
    </w:p>
    <w:p>
      <w:pPr>
        <w:pBdr>
          <w:top w:val="nil"/>
          <w:left w:val="nil"/>
          <w:bottom w:val="nil"/>
          <w:right w:val="nil"/>
          <w:between w:val="nil"/>
          <w:bar w:val="nil"/>
        </w:pBdr>
        <w:spacing w:before="0" w:after="240"/>
        <w:rPr>
          <w:rFonts w:eastAsia="Arial Unicode MS"/>
          <w:noProof/>
          <w:szCs w:val="24"/>
        </w:rPr>
      </w:pPr>
      <w:r>
        <w:rPr>
          <w:noProof/>
        </w:rPr>
        <w:t xml:space="preserve">Legislația aplicabilă în vigoare (Directiva 2008/92/CE) vizează doar colectarea de date privind prețurile la gaze naturale și energie electrică pentru sectorul industrial. Metodologia utilizată pentru aceste anchete privind prețurile, introdusă în 2007, s-a dovedit a fi eficace. </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rFonts w:eastAsia="Arial Unicode MS"/>
          <w:noProof/>
        </w:rPr>
      </w:pPr>
      <w:r>
        <w:rPr>
          <w:noProof/>
        </w:rPr>
        <w:t>Membrii grupului de lucru pentru statisticile referitoare la energia (ESWG) au fost consultați în scris de către Eurostat în ianuarie 2015. Observațiile și recomandările lor au fost luate în considerare. Consultarea scrisă a ESWG a condus la o reducere a numărului de subcomponente ale impozitelor și taxelor (de la 11 până la 6 subcomponente) și la o reducere substanțială a datelor privind prețurile de rețea la energie electrică și gaze naturale care urmează a fi raportate. Membrii grupului directorilor pentru statistici și conturi sectoriale și de mediu (DIMESA) au fost consultați în scris în cursul lunilor mai și iunie 2015, iar aceste consultări au condus la o prelungire a termenelor pentru solicitarea unei derogări în ceea ce privește raportarea componentelor și/sau a subcomponentelor datelor privind prețurile. Pentru prețurile la gaze naturale în sectorul gospodăriilor populației a fost stabilit un prag, astfel încât să poată fi excluse țările în care consumul casnic de gaze naturale este mic. Proiectul modificat a fost prezentat cu ocazia unei reuniuni a grupului DIMESA din data de 11 iunie 2015 și a unei reuniuni a ESWG din data de 24 iunie 2015.</w:t>
      </w:r>
    </w:p>
    <w:p>
      <w:pPr>
        <w:pStyle w:val="ManualHeading2"/>
        <w:rPr>
          <w:rFonts w:eastAsia="Arial Unicode MS"/>
          <w:noProof/>
          <w:u w:color="000000"/>
          <w:bdr w:val="nil"/>
        </w:rPr>
      </w:pPr>
      <w:r>
        <w:rPr>
          <w:noProof/>
        </w:rPr>
        <w:t>•</w:t>
      </w:r>
      <w:r>
        <w:rPr>
          <w:noProof/>
        </w:rPr>
        <w:tab/>
        <w:t>Colectarea datelor și utilizarea expertizei</w:t>
      </w:r>
    </w:p>
    <w:p>
      <w:pPr>
        <w:pBdr>
          <w:top w:val="nil"/>
          <w:left w:val="nil"/>
          <w:bottom w:val="nil"/>
          <w:right w:val="nil"/>
          <w:between w:val="nil"/>
          <w:bar w:val="nil"/>
        </w:pBdr>
        <w:spacing w:before="0" w:after="240"/>
        <w:rPr>
          <w:noProof/>
        </w:rPr>
      </w:pPr>
      <w:r>
        <w:rPr>
          <w:noProof/>
        </w:rPr>
        <w:t>Eurogas și Eurelectric, două asociații active în sectoarele gazelor naturale și energiei electrice, au fost consultate de către Eurostat privind fezabilitatea colectării datelor. S-a ținut seama de recomandările asociațiilor respective cu privire la disponibilitatea informațiilor privind subcomponentele prețurilor de rețea pentru energia electrică și pentru gazele naturale.</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rFonts w:eastAsia="Arial Unicode MS"/>
          <w:noProof/>
        </w:rPr>
      </w:pPr>
      <w:r>
        <w:rPr>
          <w:noProof/>
        </w:rPr>
        <w:t>Sarcina administrativă pentru autoritățile raportoare și pentru Comisie nu va crește în mod semnificativ, întrucât cea mai mare parte a datelor în cauză privind prețurile sunt deja raportate în mod voluntar. Deși câteva subcomponente ale impozitelor și ale prețurilor de rețea au fost adăugate pe lista datelor care urmează a fi colectate, frecvența de raportare a fost redusă de la o dată pe an la o dată la trei ani. Prin urmare, se preconizează că sarcina administrativă globală va rămâne neschimbată.</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Nu s-a realizat nicio evaluare a impactului pentru prezenta propunere, deoarece aceasta nu va schimba în mod semnificativ nici activitățile autorităților raportoare, nici pe cele ale Comisiei. Explicații detaliate cu privire la motivația care stă la baza deciziei de a nu efectua o evaluare a impactului pot fi găsite în foaia de parcurs a Comisiei, publicată pe site-ul internet al Comisiei: http://ec.europa.eu/smart-regulation/impact/planned_ia/docs/2014_estat_001_roadmap_electricityprices.pdf.</w:t>
      </w:r>
    </w:p>
    <w:p>
      <w:pPr>
        <w:pStyle w:val="ManualHeading2"/>
        <w:rPr>
          <w:rFonts w:eastAsia="Arial Unicode MS"/>
          <w:noProof/>
          <w:u w:color="000000"/>
          <w:bdr w:val="nil"/>
        </w:rPr>
      </w:pPr>
      <w:r>
        <w:rPr>
          <w:noProof/>
        </w:rPr>
        <w:t>•</w:t>
      </w:r>
      <w:r>
        <w:rPr>
          <w:noProof/>
        </w:rPr>
        <w:tab/>
        <w:t>Drepturi fundamentale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IMPLICAȚIILE BUGETARE</w:t>
      </w:r>
    </w:p>
    <w:p>
      <w:pPr>
        <w:spacing w:before="60" w:after="60"/>
        <w:rPr>
          <w:noProof/>
          <w:szCs w:val="24"/>
        </w:rPr>
      </w:pPr>
      <w:r>
        <w:rPr>
          <w:noProof/>
        </w:rPr>
        <w:t>Propunerea nu are implicații pentru bugetul UE. Având în vedere că activitățile nu vor crește semnificativ, nu vor exista costuri suplimentare.</w:t>
      </w:r>
    </w:p>
    <w:p>
      <w:pPr>
        <w:pStyle w:val="ManualHeading1"/>
        <w:rPr>
          <w:noProof/>
        </w:rPr>
      </w:pPr>
      <w:r>
        <w:rPr>
          <w:noProof/>
        </w:rPr>
        <w:t>5.</w:t>
      </w:r>
      <w:r>
        <w:rPr>
          <w:noProof/>
        </w:rPr>
        <w:tab/>
        <w:t>ALTE ASPECTE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Nu există restricții.</w:t>
      </w:r>
    </w:p>
    <w:p>
      <w:pPr>
        <w:pStyle w:val="ManualHeading2"/>
        <w:rPr>
          <w:rFonts w:eastAsia="Arial Unicode MS"/>
          <w:noProof/>
          <w:u w:color="000000"/>
          <w:bdr w:val="nil"/>
        </w:rPr>
      </w:pPr>
      <w:r>
        <w:rPr>
          <w:noProof/>
        </w:rPr>
        <w:t>•</w:t>
      </w:r>
      <w:r>
        <w:rPr>
          <w:noProof/>
        </w:rPr>
        <w:tab/>
        <w:t>Documente explicative (pentru directive)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Descriere detaliată a dispozițiilor specifice ale propunerii</w:t>
      </w:r>
    </w:p>
    <w:p>
      <w:pPr>
        <w:pBdr>
          <w:top w:val="nil"/>
          <w:left w:val="nil"/>
          <w:bottom w:val="nil"/>
          <w:right w:val="nil"/>
          <w:between w:val="nil"/>
          <w:bar w:val="nil"/>
        </w:pBdr>
        <w:spacing w:before="0" w:after="240"/>
        <w:rPr>
          <w:noProof/>
        </w:rPr>
      </w:pPr>
      <w:r>
        <w:rPr>
          <w:noProof/>
        </w:rPr>
        <w:t>Datele statistice fiabile, furnizate în timp util și complete privind prețurile la gaze naturale și energie electrică reprezintă o importantă sursă de informații pentru factorii de decizie europeni. Întrucât colectarea datelor privind prețurile la gaze naturale și energie electrică pentru sectorul gospodăriilor populației este efectuată pe baza unui acord voluntar, furnizorii de date individuali (societățile producătoare de energie electrică sau gaze naturale) ar putea decide să nu continue colectarea acestor date. Întrucât colectarea datelor va fi reglementată într-un cadru juridic, continuarea raportării va fi garantată.</w:t>
      </w:r>
    </w:p>
    <w:p>
      <w:pPr>
        <w:pBdr>
          <w:top w:val="nil"/>
          <w:left w:val="nil"/>
          <w:bottom w:val="nil"/>
          <w:right w:val="nil"/>
          <w:between w:val="nil"/>
          <w:bar w:val="nil"/>
        </w:pBdr>
        <w:spacing w:before="0" w:after="240"/>
        <w:rPr>
          <w:rFonts w:eastAsia="Arial Unicode MS"/>
          <w:noProof/>
        </w:rPr>
      </w:pPr>
      <w:r>
        <w:rPr>
          <w:noProof/>
        </w:rPr>
        <w:t xml:space="preserve">Pentru a analiza principalii factori care determină prețurile energiei electrice și ale gazelor naturale, nu este suficient să se examineze doar prețurile finale la gaze naturale și energie electrică și prețurile de rețea, impozitele și prețul produselor. Pentru a identifica elementele care determină prețurile, la colectarea datelor s-a adăugat un set de variabile (subcomponente) care vor permite o analiză mai detaliată a datelor care sunt colectate pe baza unei metodologii armonizate. </w:t>
      </w:r>
    </w:p>
    <w:p>
      <w:pPr>
        <w:autoSpaceDE w:val="0"/>
        <w:autoSpaceDN w:val="0"/>
        <w:adjustRightInd w:val="0"/>
        <w:spacing w:before="0" w:after="0"/>
        <w:jc w:val="left"/>
        <w:rPr>
          <w:b/>
          <w:bCs/>
          <w:noProof/>
          <w:szCs w:val="24"/>
        </w:rPr>
      </w:pPr>
      <w:r>
        <w:rPr>
          <w:b/>
          <w:noProof/>
        </w:rPr>
        <w:t>Spațiul Economic European</w:t>
      </w:r>
    </w:p>
    <w:p>
      <w:pPr>
        <w:autoSpaceDE w:val="0"/>
        <w:autoSpaceDN w:val="0"/>
        <w:adjustRightInd w:val="0"/>
        <w:spacing w:before="0" w:after="0"/>
        <w:jc w:val="left"/>
        <w:rPr>
          <w:noProof/>
          <w:szCs w:val="24"/>
        </w:rPr>
      </w:pPr>
      <w:r>
        <w:rPr>
          <w:noProof/>
        </w:rPr>
        <w:t>Actul propus se referă la aspecte de interes pentru Spațiul Economic European (SEE) și, prin urmare, ar trebui extins la SEE.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2015/0239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statisticile europene referitoare la prețurile la gaze naturale și energie electrică și de abrogare a Directivei 2008/92/CE a Parlamentului European și a Consiliului privind o procedură comunitară de ameliorare a transparenței prețurilor la gaz și energie electrică aplicate utilizatorilor finali din industrie</w:t>
      </w:r>
    </w:p>
    <w:p>
      <w:pPr>
        <w:pStyle w:val="IntrtEEE"/>
        <w:rPr>
          <w:noProof/>
        </w:rPr>
      </w:pPr>
      <w:r>
        <w:rPr>
          <w:noProof/>
        </w:rPr>
        <w:t>(Text cu relevanță pentru SEE)</w:t>
      </w:r>
    </w:p>
    <w:p>
      <w:pPr>
        <w:rPr>
          <w:noProof/>
        </w:rPr>
      </w:pPr>
      <w:r>
        <w:rPr>
          <w:noProof/>
        </w:rPr>
        <w:t>PARLAMENTUL EUROPEAN ȘI CONSILIUL UNIUNII EUROPENE</w:t>
      </w:r>
    </w:p>
    <w:p>
      <w:pPr>
        <w:pStyle w:val="Titrearticle"/>
        <w:jc w:val="left"/>
        <w:rPr>
          <w:bCs/>
          <w:i w:val="0"/>
          <w:noProof/>
        </w:rPr>
      </w:pPr>
      <w:r>
        <w:rPr>
          <w:i w:val="0"/>
          <w:noProof/>
        </w:rPr>
        <w:t>având în vedere Tratatul privind funcționarea Uniunii Europene, în special articolul 338 alineatul (1),</w:t>
      </w:r>
    </w:p>
    <w:p>
      <w:pPr>
        <w:pStyle w:val="Titrearticle"/>
        <w:spacing w:before="0"/>
        <w:jc w:val="left"/>
        <w:rPr>
          <w:bCs/>
          <w:i w:val="0"/>
          <w:noProof/>
        </w:rPr>
      </w:pPr>
      <w:r>
        <w:rPr>
          <w:i w:val="0"/>
          <w:noProof/>
        </w:rPr>
        <w:t>având în vedere propunerea Comisiei Europene,</w:t>
      </w:r>
    </w:p>
    <w:p>
      <w:pPr>
        <w:pStyle w:val="Titrearticle"/>
        <w:spacing w:before="120"/>
        <w:jc w:val="left"/>
        <w:rPr>
          <w:bCs/>
          <w:i w:val="0"/>
          <w:noProof/>
        </w:rPr>
      </w:pPr>
      <w:r>
        <w:rPr>
          <w:i w:val="0"/>
          <w:noProof/>
        </w:rPr>
        <w:t>după transmiterea proiectului de act legislativ către parlamentele naționale,</w:t>
      </w:r>
    </w:p>
    <w:p>
      <w:pPr>
        <w:pStyle w:val="Titrearticle"/>
        <w:spacing w:before="120"/>
        <w:jc w:val="left"/>
        <w:rPr>
          <w:bCs/>
          <w:i w:val="0"/>
          <w:noProof/>
        </w:rPr>
      </w:pPr>
      <w:r>
        <w:rPr>
          <w:i w:val="0"/>
          <w:noProof/>
        </w:rPr>
        <w:t>hotărând în conformitate cu procedura legislativă ordinară,</w:t>
      </w:r>
      <w:r>
        <w:rPr>
          <w:rStyle w:val="FootnoteReference"/>
          <w:i w:val="0"/>
          <w:noProof/>
        </w:rPr>
        <w:footnoteReference w:id="1"/>
      </w:r>
    </w:p>
    <w:p>
      <w:pPr>
        <w:pStyle w:val="Titrearticle"/>
        <w:spacing w:before="120"/>
        <w:jc w:val="left"/>
        <w:rPr>
          <w:bCs/>
          <w:i w:val="0"/>
          <w:noProof/>
        </w:rPr>
      </w:pPr>
      <w:r>
        <w:rPr>
          <w:i w:val="0"/>
          <w:noProof/>
        </w:rPr>
        <w:t>întrucât:</w:t>
      </w:r>
    </w:p>
    <w:p>
      <w:pPr>
        <w:pStyle w:val="ListNumber"/>
        <w:rPr>
          <w:noProof/>
        </w:rPr>
      </w:pPr>
      <w:r>
        <w:rPr>
          <w:noProof/>
        </w:rPr>
        <w:t>Competitivitatea, sustenabilitatea și securitatea energetică sunt obiectivele globale ale unei uniuni energetice flexibile, cu o politică privind schimbările climatice orientată spre viitor.</w:t>
      </w:r>
    </w:p>
    <w:p>
      <w:pPr>
        <w:pStyle w:val="ListNumber"/>
        <w:rPr>
          <w:noProof/>
        </w:rPr>
      </w:pPr>
      <w:r>
        <w:rPr>
          <w:noProof/>
        </w:rPr>
        <w:t>Informații de înaltă calitate, comparabile, actualizate, fiabile și armonizate referitoare la prețurile la gaze naturale și energie electrică facturate clienților finali sunt necesare în vederea elaborării politicii uniunii energetice și a monitorizării piețelor energiei din statele membre.</w:t>
      </w:r>
    </w:p>
    <w:p>
      <w:pPr>
        <w:pStyle w:val="ListNumber"/>
        <w:rPr>
          <w:bCs/>
          <w:noProof/>
        </w:rPr>
      </w:pPr>
      <w:r>
        <w:rPr>
          <w:noProof/>
        </w:rPr>
        <w:t>Prezentul regulament urmărește să furnizeze statistici europene pentru a sprijini politicile în domeniul energetic, în special în vederea creării unei piețe energetice interne pe deplin integrate pentru clienți. Pentru a îmbunătăți integrarea pieței, ar trebui să se asigure o mai mare transparență privind costurile și prețurile energiei, precum și privind nivelul sprijinului public.</w:t>
      </w:r>
    </w:p>
    <w:p>
      <w:pPr>
        <w:pStyle w:val="ListNumber"/>
        <w:rPr>
          <w:bCs/>
          <w:noProof/>
        </w:rPr>
      </w:pPr>
      <w:r>
        <w:rPr>
          <w:noProof/>
        </w:rPr>
        <w:t>Până în prezent, Directiva 2008/92/CE a Parlamentului European și a Consiliului</w:t>
      </w:r>
      <w:r>
        <w:rPr>
          <w:rStyle w:val="FootnoteReference"/>
          <w:noProof/>
        </w:rPr>
        <w:footnoteReference w:id="2"/>
      </w:r>
      <w:r>
        <w:rPr>
          <w:noProof/>
        </w:rPr>
        <w:t xml:space="preserve"> a oferit un cadru comun pentru producerea, transmiterea și difuzarea de statistici comparabile în ceea ce privește prețurile de consum pentru gaze naturale și electricitate practicate în cazul clienților industriali din Uniune.</w:t>
      </w:r>
    </w:p>
    <w:p>
      <w:pPr>
        <w:pStyle w:val="ListNumber"/>
        <w:rPr>
          <w:bCs/>
          <w:noProof/>
        </w:rPr>
      </w:pPr>
      <w:r>
        <w:rPr>
          <w:noProof/>
        </w:rPr>
        <w:t>Colectarea de date privind prețurile de consum pentru electricitate și gaze naturale practicate în cazul clienților finali din sectorul gospodăriilor populației a fost efectuată, până în prezent, în temeiul unui acord voluntar.</w:t>
      </w:r>
    </w:p>
    <w:p>
      <w:pPr>
        <w:pStyle w:val="ListNumber"/>
        <w:rPr>
          <w:bCs/>
          <w:noProof/>
        </w:rPr>
      </w:pPr>
      <w:r>
        <w:rPr>
          <w:noProof/>
        </w:rPr>
        <w:t>Complexitatea tot mai mare a pieței interne a energiei face din ce în ce mai dificilă obținerea unor date fiabile și actualizate pentru gazele naturale și energia electrică în lipsa unor obligații juridice de a furniza aceste date, în special în cazul sectorului gospodăriilor populației.</w:t>
      </w:r>
    </w:p>
    <w:p>
      <w:pPr>
        <w:pStyle w:val="ListNumber"/>
        <w:rPr>
          <w:bCs/>
          <w:noProof/>
        </w:rPr>
      </w:pPr>
      <w:r>
        <w:rPr>
          <w:noProof/>
        </w:rPr>
        <w:t>Pentru a garanta raportarea de date de înaltă calitate privind prețurile pentru sectorul gospodăriilor populației și pentru sectorul industrial, colectarea ambelor tipuri de date ar trebui să facă obiectul unui act juridic.</w:t>
      </w:r>
    </w:p>
    <w:p>
      <w:pPr>
        <w:pStyle w:val="ListNumber"/>
        <w:rPr>
          <w:noProof/>
        </w:rPr>
      </w:pPr>
      <w:r>
        <w:rPr>
          <w:noProof/>
        </w:rPr>
        <w:t>În majoritatea țărilor, datele privind sistemele de transport sunt disponibile de la autoritățile de reglementare din domeniul energetic. Cu toate acestea, un număr mult mai mare de entități care compilează date sunt implicate în cazul costurilor de distribuție, iar raportarea de date este considerată a fi mai dificilă în unele state membre. Având în vedere importanța costurilor de distribuție și nevoia de transparență în această privință, colectarea datelor trebuie să fie armonizată pe baza unei metodologii solide.</w:t>
      </w:r>
    </w:p>
    <w:p>
      <w:pPr>
        <w:pStyle w:val="ListNumber"/>
        <w:rPr>
          <w:bCs/>
          <w:noProof/>
        </w:rPr>
      </w:pPr>
      <w:r>
        <w:rPr>
          <w:noProof/>
        </w:rPr>
        <w:t>Sistemul de tranșe de consum utilizat de Comisie (Eurostat) în publicațiile sale privind prețurile ar trebui să asigure transparența pieței și larga difuzare a datelor neconfidențiale privind prețurile și ar trebui să permită calcularea agregatelor europene.</w:t>
      </w:r>
    </w:p>
    <w:p>
      <w:pPr>
        <w:pStyle w:val="ListNumber"/>
        <w:rPr>
          <w:bCs/>
          <w:noProof/>
        </w:rPr>
      </w:pPr>
      <w:r>
        <w:rPr>
          <w:noProof/>
        </w:rPr>
        <w:t>Regulamentul (CE) nr. 223/2009 al Parlamentului European și al Consiliului</w:t>
      </w:r>
      <w:r>
        <w:rPr>
          <w:rStyle w:val="FootnoteReference"/>
          <w:noProof/>
        </w:rPr>
        <w:footnoteReference w:id="3"/>
      </w:r>
      <w:r>
        <w:rPr>
          <w:noProof/>
        </w:rPr>
        <w:t xml:space="preserve"> prevede că datele statistice se colectează în conformitate cu principiile imparțialității, transparenței, fiabilității, obiectivității, independenței profesionale și rentabilității, protejând, în același timp, confidențialitatea lor.</w:t>
      </w:r>
    </w:p>
    <w:p>
      <w:pPr>
        <w:pStyle w:val="ListNumber"/>
        <w:rPr>
          <w:bCs/>
          <w:noProof/>
        </w:rPr>
      </w:pPr>
      <w:r>
        <w:rPr>
          <w:noProof/>
        </w:rPr>
        <w:t>Informațiile cu privire la prețurile practicate în cazul clienților finali pentru gazele naturale și energia electrică ar trebui să permită comparații cu prețurile altor mărfuri din sectorul energiei.</w:t>
      </w:r>
    </w:p>
    <w:p>
      <w:pPr>
        <w:pStyle w:val="ListNumber"/>
        <w:rPr>
          <w:bCs/>
          <w:noProof/>
        </w:rPr>
      </w:pPr>
      <w:r>
        <w:rPr>
          <w:noProof/>
        </w:rPr>
        <w:t>Informații cu privire la colectarea de date privind prețurile și la calitate ar trebui furnizate ca parte a unei proceduri standard de raportare.</w:t>
      </w:r>
    </w:p>
    <w:p>
      <w:pPr>
        <w:pStyle w:val="ListNumber"/>
        <w:rPr>
          <w:bCs/>
          <w:noProof/>
        </w:rPr>
      </w:pPr>
      <w:r>
        <w:rPr>
          <w:noProof/>
        </w:rPr>
        <w:t>Date detaliate privind defalcarea în funcție de tranșe de consum și cotele lor de piață respective reprezintă o parte esențială a statisticilor privind prețurile gazelor naturale și ale energiei electrice.</w:t>
      </w:r>
    </w:p>
    <w:p>
      <w:pPr>
        <w:pStyle w:val="ListNumber"/>
        <w:rPr>
          <w:bCs/>
          <w:noProof/>
        </w:rPr>
      </w:pPr>
      <w:r>
        <w:rPr>
          <w:noProof/>
        </w:rPr>
        <w:t>O analiză a prețurilor poate fi realizată numai în cazul în care sunt disponibile statistici oficiale de înaltă calitate furnizate de statele membre cu privire la diferitele componente și subcomponente ale prețurilor la gaze naturale și energie electrică. O metodologie revizuită pentru generarea unei defalcări detaliate a diferitelor componente și subcomponente ale prețurilor la gaze naturale și energie electrică practicate în cazul clienților finali va face posibilă analizarea impactului diferitelor aspecte asupra prețurilor finale.</w:t>
      </w:r>
    </w:p>
    <w:p>
      <w:pPr>
        <w:pStyle w:val="ListNumber"/>
        <w:rPr>
          <w:bCs/>
          <w:noProof/>
        </w:rPr>
      </w:pPr>
      <w:r>
        <w:rPr>
          <w:noProof/>
        </w:rPr>
        <w:t>Datele furnizate Comisiei (Eurostat) cu privire la prețuri și la condițiile de vânzare către clienții finali, precum și defalcarea numărului de clienți finali în funcție de consumul din fiecare tranșă de consum, ar trebui să furnizeze Comisiei informațiile necesare pentru a decide cu privire la măsurile sau propunerile corespunzătoare în ceea ce privește politica energetică.</w:t>
      </w:r>
    </w:p>
    <w:p>
      <w:pPr>
        <w:pStyle w:val="ListNumber"/>
        <w:rPr>
          <w:bCs/>
          <w:noProof/>
        </w:rPr>
      </w:pPr>
      <w:r>
        <w:rPr>
          <w:noProof/>
        </w:rPr>
        <w:t>O bună înțelegere a impozitelor și tarifelor din fiecare stat membru este esențială pentru asigurarea transparenței prețurilor. Importanța unei defalcări a datelor privind costurile de rețea, tarifele, impozitele, taxele, și comisioanele nu a fost identificată.</w:t>
      </w:r>
    </w:p>
    <w:p>
      <w:pPr>
        <w:pStyle w:val="ListNumber"/>
        <w:rPr>
          <w:bCs/>
          <w:noProof/>
        </w:rPr>
      </w:pPr>
      <w:r>
        <w:rPr>
          <w:noProof/>
        </w:rPr>
        <w:t>Statele membre în care consumul de gaze naturale ca proporție din consumul final de energie al gospodăriilor populației este mic ar trebui să fie exceptate de la obligația de a furniza date privind prețurile gazelor naturale pentru clienții casnici finali.</w:t>
      </w:r>
    </w:p>
    <w:p>
      <w:pPr>
        <w:pStyle w:val="ListNumber"/>
        <w:rPr>
          <w:bCs/>
          <w:noProof/>
        </w:rPr>
      </w:pPr>
      <w:r>
        <w:rPr>
          <w:noProof/>
        </w:rPr>
        <w:t>Pentru a ameliora fiabilitatea datelor, Comisia (Eurostat), împreună cu statele membre, ar trebui să evalueze și, după caz, să îmbunătățească metodologia privind colectarea și prelucrarea datelor într-un mod precis, conform cadrului de guvernanță pentru statistici. Prin urmare, rapoartele privind calitatea ar trebui să fie întocmite cu regularitate și ar trebui să fie efectuate cu regularitate evaluări ale calității datelor privind prețurile.</w:t>
      </w:r>
    </w:p>
    <w:p>
      <w:pPr>
        <w:pStyle w:val="ListNumber"/>
        <w:rPr>
          <w:noProof/>
        </w:rPr>
      </w:pPr>
      <w:r>
        <w:rPr>
          <w:noProof/>
        </w:rPr>
        <w:t>Pe baza unei cereri justificate din partea unui stat membru, Comisia poate acorda derogări statelor membre în ceea ce privește obligațiile specifice pentru care aplicarea prezentului regulament la sistemul statistic național al unui stat membru necesită adaptări majore și este susceptibilă să genereze o sarcină suplimentară considerabilă asupra respondenților.</w:t>
      </w:r>
    </w:p>
    <w:p>
      <w:pPr>
        <w:pStyle w:val="ListNumber"/>
        <w:rPr>
          <w:noProof/>
        </w:rPr>
      </w:pPr>
      <w:r>
        <w:rPr>
          <w:noProof/>
        </w:rPr>
        <w:t>Pentru a menține calitatea înaltă a datelor transmise de statele membre, competența de a adopta acte în conformitate cu articolul 290 din Tratatul privind funcționarea Uniunii Europene ar trebui să fie delegată Comisiei, cu scopul de a ajusta pragurile care se pot aplica pentru piața gazelor naturale. Este deosebit de important ca, în cursul lucrărilor sale de pregătire, Comisia să realizeze consultări adecvate, inclusiv la nivel de experți. Atunci când pregătește și elaborează acte delegate, Comisia ar trebui să asigure transmiterea simultană, la timp și în mod adecvat a documentelor relevante către Parlamentul European și Consiliu.</w:t>
      </w:r>
    </w:p>
    <w:p>
      <w:pPr>
        <w:pStyle w:val="ListNumber"/>
        <w:rPr>
          <w:noProof/>
        </w:rPr>
      </w:pPr>
      <w:r>
        <w:rPr>
          <w:noProof/>
        </w:rPr>
        <w:t>Comisia ar trebui să se asigure că actele delegate nu impun sarcini administrative suplimentare semnificative pentru statele membre sau pentru respondenți.</w:t>
      </w:r>
    </w:p>
    <w:p>
      <w:pPr>
        <w:pStyle w:val="ListNumber"/>
        <w:rPr>
          <w:bCs/>
          <w:noProof/>
        </w:rPr>
      </w:pPr>
      <w:r>
        <w:rPr>
          <w:noProof/>
        </w:rPr>
        <w:t>Pentru a asigura condiții uniforme pentru punerea în aplicare a Regulamentului, ar trebui conferite Comisiei competențe de executare privind formatul și modalitățile de transmitere a datelor, cerințele referitoare la rapoartele privind calitatea, structura și comparabilitatea acestora, precum și acordarea de derogări. Competențele în cauză ar trebui exercitate în conformitate cu Regulamentul (UE) nr. 182/2011 al Parlamentului European și al Consiliului din 16 februarie 2011 de stabilire a normelor și principiilor generale privind mecanismele de control de către statele membre al exercitării competențelor de executare de către Comisie.</w:t>
      </w:r>
    </w:p>
    <w:p>
      <w:pPr>
        <w:pStyle w:val="ListNumber"/>
        <w:rPr>
          <w:bCs/>
          <w:noProof/>
        </w:rPr>
      </w:pPr>
      <w:r>
        <w:rPr>
          <w:noProof/>
        </w:rPr>
        <w:t>Directiva 2008/92/CE se abrogă.</w:t>
      </w:r>
    </w:p>
    <w:p>
      <w:pPr>
        <w:pStyle w:val="ListNumber"/>
        <w:rPr>
          <w:bCs/>
          <w:noProof/>
        </w:rPr>
      </w:pPr>
      <w:r>
        <w:rPr>
          <w:noProof/>
        </w:rPr>
        <w:t>A fost consultat Comitetul Sistemului Statistic European.</w:t>
      </w:r>
    </w:p>
    <w:p>
      <w:pPr>
        <w:pStyle w:val="Titrearticle"/>
        <w:jc w:val="left"/>
        <w:rPr>
          <w:bCs/>
          <w:i w:val="0"/>
          <w:noProof/>
        </w:rPr>
      </w:pPr>
      <w:r>
        <w:rPr>
          <w:i w:val="0"/>
          <w:noProof/>
        </w:rPr>
        <w:t>ADOPTĂ PREZENTUL REGULAMENT:</w:t>
      </w:r>
    </w:p>
    <w:p>
      <w:pPr>
        <w:pStyle w:val="Titrearticle"/>
        <w:rPr>
          <w:noProof/>
        </w:rPr>
      </w:pPr>
      <w:r>
        <w:rPr>
          <w:noProof/>
        </w:rPr>
        <w:t>Articolul 1</w:t>
      </w:r>
    </w:p>
    <w:p>
      <w:pPr>
        <w:jc w:val="center"/>
        <w:rPr>
          <w:b/>
          <w:noProof/>
        </w:rPr>
      </w:pPr>
      <w:r>
        <w:rPr>
          <w:b/>
          <w:noProof/>
        </w:rPr>
        <w:t>Obiectul</w:t>
      </w:r>
    </w:p>
    <w:p>
      <w:pPr>
        <w:tabs>
          <w:tab w:val="left" w:pos="0"/>
        </w:tabs>
        <w:rPr>
          <w:noProof/>
        </w:rPr>
      </w:pPr>
      <w:r>
        <w:rPr>
          <w:noProof/>
        </w:rPr>
        <w:t>Prezentul regulament stabilește un cadru comun pentru elaborarea, producerea și difuzarea de statistici europene comparabile privind prețurile la gazele naturale și energia electrică practicate pentru clienții casnici și clienții noncasnici finali din UE.</w:t>
      </w:r>
    </w:p>
    <w:p>
      <w:pPr>
        <w:pStyle w:val="Titrearticle"/>
        <w:rPr>
          <w:noProof/>
        </w:rPr>
      </w:pPr>
      <w:r>
        <w:rPr>
          <w:noProof/>
        </w:rPr>
        <w:t>Articolul 2</w:t>
      </w:r>
    </w:p>
    <w:p>
      <w:pPr>
        <w:jc w:val="center"/>
        <w:rPr>
          <w:b/>
          <w:noProof/>
        </w:rPr>
      </w:pPr>
      <w:r>
        <w:rPr>
          <w:b/>
          <w:noProof/>
        </w:rPr>
        <w:t>Definiții</w:t>
      </w:r>
    </w:p>
    <w:p>
      <w:pPr>
        <w:rPr>
          <w:noProof/>
        </w:rPr>
      </w:pPr>
      <w:r>
        <w:rPr>
          <w:noProof/>
        </w:rPr>
        <w:t>În sensul prezentului regulament, se aplică următoarele definiții:</w:t>
      </w:r>
    </w:p>
    <w:p>
      <w:pPr>
        <w:pStyle w:val="Point0number"/>
        <w:numPr>
          <w:ilvl w:val="0"/>
          <w:numId w:val="10"/>
        </w:numPr>
        <w:rPr>
          <w:noProof/>
        </w:rPr>
      </w:pPr>
      <w:r>
        <w:rPr>
          <w:noProof/>
        </w:rPr>
        <w:t>„gospodărie”, „consum final de energie” și „autoproducători” au același înțeles ca și cel menționat în anexa A la Regulamentul (CE) nr. 1099/2008 al Parlamentului European și al Consiliului</w:t>
      </w:r>
      <w:r>
        <w:rPr>
          <w:rStyle w:val="FootnoteReference"/>
          <w:noProof/>
        </w:rPr>
        <w:footnoteReference w:id="4"/>
      </w:r>
      <w:r>
        <w:rPr>
          <w:noProof/>
        </w:rPr>
        <w:t>;</w:t>
      </w:r>
    </w:p>
    <w:p>
      <w:pPr>
        <w:pStyle w:val="Point0number"/>
        <w:numPr>
          <w:ilvl w:val="0"/>
          <w:numId w:val="10"/>
        </w:numPr>
        <w:rPr>
          <w:noProof/>
        </w:rPr>
      </w:pPr>
      <w:r>
        <w:rPr>
          <w:noProof/>
        </w:rPr>
        <w:t>„client”, „client final”, „client casnic”, „client necasnic”, „transport”, „distribuție” și „furnizare” în legătură cu energia electrică au același înțeles ca și cel menționat în Directiva 2009/72/CE a Parlamentului European și a Consiliului</w:t>
      </w:r>
      <w:r>
        <w:rPr>
          <w:rStyle w:val="FootnoteReference"/>
          <w:noProof/>
        </w:rPr>
        <w:footnoteReference w:id="5"/>
      </w:r>
      <w:r>
        <w:rPr>
          <w:noProof/>
        </w:rPr>
        <w:t>, atunci când se utilizează în legătură cu energia electrică;</w:t>
      </w:r>
    </w:p>
    <w:p>
      <w:pPr>
        <w:pStyle w:val="Point0number"/>
        <w:numPr>
          <w:ilvl w:val="0"/>
          <w:numId w:val="10"/>
        </w:numPr>
        <w:rPr>
          <w:noProof/>
        </w:rPr>
      </w:pPr>
      <w:r>
        <w:rPr>
          <w:noProof/>
        </w:rPr>
        <w:t>„client”, „client final”, „client casnic”, „client noncasnic”, „transport”, „distribuție” și „furnizare” în legătură cu gazele naturale au același înțeles ca și cel menționat în Directiva 2009/73/CE a Parlamentului European și a Consiliului</w:t>
      </w:r>
      <w:r>
        <w:rPr>
          <w:rStyle w:val="FootnoteReference"/>
          <w:noProof/>
        </w:rPr>
        <w:footnoteReference w:id="6"/>
      </w:r>
      <w:r>
        <w:rPr>
          <w:noProof/>
        </w:rPr>
        <w:t>, atunci când se utilizează în legătură cu gazele naturale;</w:t>
      </w:r>
    </w:p>
    <w:p>
      <w:pPr>
        <w:pStyle w:val="Point0number"/>
        <w:numPr>
          <w:ilvl w:val="0"/>
          <w:numId w:val="10"/>
        </w:numPr>
        <w:rPr>
          <w:noProof/>
        </w:rPr>
      </w:pPr>
      <w:r>
        <w:rPr>
          <w:noProof/>
        </w:rPr>
        <w:t>„componentă de rețea” înseamnă combinația costurilor de transport și de distribuție, astfel cum se menționează la punctul 6 din anexa I și la punctul 5 din anexa II.</w:t>
      </w:r>
    </w:p>
    <w:p>
      <w:pPr>
        <w:pStyle w:val="Titrearticle"/>
        <w:rPr>
          <w:noProof/>
        </w:rPr>
      </w:pPr>
      <w:r>
        <w:rPr>
          <w:noProof/>
        </w:rPr>
        <w:t>Articolul 3</w:t>
      </w:r>
    </w:p>
    <w:p>
      <w:pPr>
        <w:jc w:val="center"/>
        <w:rPr>
          <w:b/>
          <w:noProof/>
        </w:rPr>
      </w:pPr>
      <w:r>
        <w:rPr>
          <w:b/>
          <w:noProof/>
        </w:rPr>
        <w:t>Surse de date</w:t>
      </w:r>
    </w:p>
    <w:p>
      <w:pPr>
        <w:tabs>
          <w:tab w:val="left" w:pos="0"/>
        </w:tabs>
        <w:rPr>
          <w:noProof/>
        </w:rPr>
      </w:pPr>
      <w:r>
        <w:rPr>
          <w:noProof/>
        </w:rPr>
        <w:t>Respectând principiul menținerii unei sarcini reduse pentru respondenți și al simplificării administrative, statele membre compilează date privind prețurile la gaze naturale și energie electrică și subcomponentele acestora referitoare la costurile de rețea și la impozitele, taxele, comisioanele și tarifele prevăzute în anexele I și II și la volumul de consum și întocmește un raport privind calitatea folosind următoarele surse:</w:t>
      </w:r>
    </w:p>
    <w:p>
      <w:pPr>
        <w:pStyle w:val="Point0letter"/>
        <w:numPr>
          <w:ilvl w:val="1"/>
          <w:numId w:val="20"/>
        </w:numPr>
        <w:rPr>
          <w:noProof/>
        </w:rPr>
      </w:pPr>
      <w:r>
        <w:rPr>
          <w:noProof/>
        </w:rPr>
        <w:t>anchete statistice specifice în legătură cu prețurile de consum la gaze naturale și energie electrică care vizează producători sau comercianți, operatori de sisteme de transport și distribuție, importatori sau exportatori de produse energetice, precum și întreprinderi furnizoare;</w:t>
      </w:r>
    </w:p>
    <w:p>
      <w:pPr>
        <w:pStyle w:val="Point0letter"/>
        <w:numPr>
          <w:ilvl w:val="1"/>
          <w:numId w:val="20"/>
        </w:numPr>
        <w:rPr>
          <w:noProof/>
        </w:rPr>
      </w:pPr>
      <w:r>
        <w:rPr>
          <w:noProof/>
        </w:rPr>
        <w:t>alte anchete statistice care vizează clienți din sectorul gospodăriilor populației și clienți finali din sectorul industrial;</w:t>
      </w:r>
    </w:p>
    <w:p>
      <w:pPr>
        <w:pStyle w:val="Point0letter"/>
        <w:numPr>
          <w:ilvl w:val="1"/>
          <w:numId w:val="20"/>
        </w:numPr>
        <w:rPr>
          <w:noProof/>
        </w:rPr>
      </w:pPr>
      <w:r>
        <w:rPr>
          <w:noProof/>
        </w:rPr>
        <w:t>surse administrative, cum ar fi cele deținute de către autoritățile naționale de reglementare a piețelor energiei electrice și gazelor naturale;</w:t>
      </w:r>
    </w:p>
    <w:p>
      <w:pPr>
        <w:pStyle w:val="Point0letter"/>
        <w:numPr>
          <w:ilvl w:val="1"/>
          <w:numId w:val="20"/>
        </w:numPr>
        <w:rPr>
          <w:noProof/>
        </w:rPr>
      </w:pPr>
      <w:r>
        <w:rPr>
          <w:noProof/>
        </w:rPr>
        <w:t>alte surse care aplică proceduri fiabile de estimare statistică.</w:t>
      </w:r>
    </w:p>
    <w:p>
      <w:pPr>
        <w:jc w:val="center"/>
        <w:rPr>
          <w:noProof/>
        </w:rPr>
      </w:pPr>
      <w:r>
        <w:rPr>
          <w:noProof/>
        </w:rPr>
        <w:t>Articolul 4</w:t>
      </w:r>
    </w:p>
    <w:p>
      <w:pPr>
        <w:jc w:val="center"/>
        <w:rPr>
          <w:b/>
          <w:noProof/>
        </w:rPr>
      </w:pPr>
      <w:r>
        <w:rPr>
          <w:b/>
          <w:noProof/>
        </w:rPr>
        <w:t>Sferă de cuprindere</w:t>
      </w:r>
    </w:p>
    <w:p>
      <w:pPr>
        <w:pStyle w:val="Point0number"/>
        <w:numPr>
          <w:ilvl w:val="0"/>
          <w:numId w:val="11"/>
        </w:numPr>
        <w:rPr>
          <w:noProof/>
        </w:rPr>
      </w:pPr>
      <w:r>
        <w:rPr>
          <w:noProof/>
        </w:rPr>
        <w:t>Statele membre se asigură că sistemul de colectare și compilare a datelor este reprezentativ.</w:t>
      </w:r>
    </w:p>
    <w:p>
      <w:pPr>
        <w:pStyle w:val="Point0number"/>
        <w:numPr>
          <w:ilvl w:val="0"/>
          <w:numId w:val="11"/>
        </w:numPr>
        <w:rPr>
          <w:noProof/>
        </w:rPr>
      </w:pPr>
      <w:r>
        <w:rPr>
          <w:noProof/>
        </w:rPr>
        <w:t>Statele membre nu sunt obligate să transmită Comisiei (Eurostat) date privind prețurile la gaze naturale pentru clienții casnici în cazul în care consumul de gaze naturale în sectorul gospodăriilor populației este sub un prag de 1 % din consumul național total de energie din sectorul gospodăriilor populației. Comisia (Eurostat) evaluează periodic, cel puțin o dată la 3 ani, care sunt statele membre ce pot beneficia, în funcție de consumul de gaze naturale în sectorul gospodăriilor populației din țara lor, de exceptarea de la obligația de a transmite datele.</w:t>
      </w:r>
    </w:p>
    <w:p>
      <w:pPr>
        <w:pStyle w:val="Point0number"/>
        <w:numPr>
          <w:ilvl w:val="0"/>
          <w:numId w:val="11"/>
        </w:numPr>
        <w:rPr>
          <w:noProof/>
        </w:rPr>
      </w:pPr>
      <w:r>
        <w:rPr>
          <w:noProof/>
        </w:rPr>
        <w:t>Comisia este împuternicită să adopte acte delegate în conformitate cu articolul 10, ținând cont de tendințele economice și tehnologice, privind ajustarea pragului.</w:t>
      </w:r>
    </w:p>
    <w:p>
      <w:pPr>
        <w:jc w:val="center"/>
        <w:rPr>
          <w:noProof/>
        </w:rPr>
      </w:pPr>
      <w:r>
        <w:rPr>
          <w:i/>
          <w:noProof/>
        </w:rPr>
        <w:t>Articolul 5</w:t>
      </w:r>
    </w:p>
    <w:p>
      <w:pPr>
        <w:jc w:val="center"/>
        <w:rPr>
          <w:b/>
          <w:noProof/>
        </w:rPr>
      </w:pPr>
      <w:r>
        <w:rPr>
          <w:b/>
          <w:noProof/>
        </w:rPr>
        <w:t>Transmiterea datelor</w:t>
      </w:r>
    </w:p>
    <w:p>
      <w:pPr>
        <w:pStyle w:val="Point0number"/>
        <w:numPr>
          <w:ilvl w:val="0"/>
          <w:numId w:val="12"/>
        </w:numPr>
        <w:rPr>
          <w:noProof/>
        </w:rPr>
      </w:pPr>
      <w:r>
        <w:rPr>
          <w:noProof/>
        </w:rPr>
        <w:t>Statele membre transmit Comisiei (Eurostat) datele prevăzute în anexele I și II.</w:t>
      </w:r>
    </w:p>
    <w:p>
      <w:pPr>
        <w:pStyle w:val="Point0number"/>
        <w:numPr>
          <w:ilvl w:val="0"/>
          <w:numId w:val="12"/>
        </w:numPr>
        <w:rPr>
          <w:noProof/>
        </w:rPr>
      </w:pPr>
      <w:r>
        <w:rPr>
          <w:noProof/>
        </w:rPr>
        <w:t>Comisia stabilește și adoptă, prin intermediul unor acte de punere în aplicare, formatul și modalitățile de transmitere a datelor, astfel cum se prevede în anexe. Respectivele acte de punere în aplicare se adoptă în conformitate cu procedura de examinare menționată la articolul 11 alineatul (2).</w:t>
      </w:r>
    </w:p>
    <w:p>
      <w:pPr>
        <w:pStyle w:val="Titrearticle"/>
        <w:rPr>
          <w:noProof/>
        </w:rPr>
      </w:pPr>
      <w:r>
        <w:rPr>
          <w:noProof/>
        </w:rPr>
        <w:t>Articolul 6</w:t>
      </w:r>
    </w:p>
    <w:p>
      <w:pPr>
        <w:jc w:val="center"/>
        <w:rPr>
          <w:b/>
          <w:noProof/>
        </w:rPr>
      </w:pPr>
      <w:r>
        <w:rPr>
          <w:b/>
          <w:noProof/>
        </w:rPr>
        <w:t>Perioada de referință și frecvența transmiterii</w:t>
      </w:r>
    </w:p>
    <w:p>
      <w:pPr>
        <w:pStyle w:val="Point0number"/>
        <w:numPr>
          <w:ilvl w:val="0"/>
          <w:numId w:val="13"/>
        </w:numPr>
        <w:rPr>
          <w:noProof/>
        </w:rPr>
      </w:pPr>
      <w:r>
        <w:rPr>
          <w:noProof/>
        </w:rPr>
        <w:t>Statele membre compilează toate datele precizate în anexele la prezentul regulament de la începutul anului calendaristic care urmează adoptării prezentului regulament și furnizează statistici Comisiei (Eurostat) în termen de trei luni de la sfârșitul perioadei de referință.</w:t>
      </w:r>
    </w:p>
    <w:p>
      <w:pPr>
        <w:pStyle w:val="Point0number"/>
        <w:numPr>
          <w:ilvl w:val="0"/>
          <w:numId w:val="13"/>
        </w:numPr>
        <w:rPr>
          <w:noProof/>
        </w:rPr>
      </w:pPr>
      <w:r>
        <w:rPr>
          <w:noProof/>
        </w:rPr>
        <w:t>Frecvența transmiterii este:</w:t>
      </w:r>
    </w:p>
    <w:p>
      <w:pPr>
        <w:pStyle w:val="Point0letter"/>
        <w:numPr>
          <w:ilvl w:val="1"/>
          <w:numId w:val="18"/>
        </w:numPr>
        <w:tabs>
          <w:tab w:val="clear" w:pos="850"/>
          <w:tab w:val="num" w:pos="1134"/>
        </w:tabs>
        <w:ind w:firstLine="1"/>
        <w:rPr>
          <w:noProof/>
        </w:rPr>
      </w:pPr>
      <w:r>
        <w:rPr>
          <w:noProof/>
        </w:rPr>
        <w:tab/>
        <w:t>anuală (din ianuarie până în decembrie) pentru datele menționate la punctele 6 litera (a) și 7 din anexa I și la punctul 5 litera (a) și punctul 6 din anexa II;</w:t>
      </w:r>
    </w:p>
    <w:p>
      <w:pPr>
        <w:pStyle w:val="Point0letter"/>
        <w:numPr>
          <w:ilvl w:val="1"/>
          <w:numId w:val="9"/>
        </w:numPr>
        <w:ind w:left="851" w:firstLine="0"/>
        <w:rPr>
          <w:noProof/>
        </w:rPr>
      </w:pPr>
      <w:r>
        <w:rPr>
          <w:noProof/>
        </w:rPr>
        <w:t>bianuală (din ianuarie până în iunie și din iulie până în decembrie) pentru datele menționate la punctul 6 litera (b) din anexa I și la punctul 5 litera (b) din anexa II.</w:t>
      </w:r>
    </w:p>
    <w:p>
      <w:pPr>
        <w:jc w:val="center"/>
        <w:rPr>
          <w:noProof/>
        </w:rPr>
      </w:pPr>
      <w:r>
        <w:rPr>
          <w:i/>
          <w:noProof/>
        </w:rPr>
        <w:t>Articolul 7</w:t>
      </w:r>
    </w:p>
    <w:p>
      <w:pPr>
        <w:jc w:val="center"/>
        <w:rPr>
          <w:b/>
          <w:noProof/>
        </w:rPr>
      </w:pPr>
      <w:r>
        <w:rPr>
          <w:b/>
          <w:noProof/>
        </w:rPr>
        <w:t>Evaluarea calității și rapoarte privind calitatea</w:t>
      </w:r>
    </w:p>
    <w:p>
      <w:pPr>
        <w:pStyle w:val="Point0number"/>
        <w:numPr>
          <w:ilvl w:val="0"/>
          <w:numId w:val="14"/>
        </w:numPr>
        <w:rPr>
          <w:noProof/>
        </w:rPr>
      </w:pPr>
      <w:r>
        <w:rPr>
          <w:noProof/>
        </w:rPr>
        <w:t>Statele membre asigură calitatea datelor în conformitate cu criteriile referitoare la calitate prevăzute la articolul 12 alineatul (1) din Regulamentul (CE) nr. 223/2009.</w:t>
      </w:r>
    </w:p>
    <w:p>
      <w:pPr>
        <w:pStyle w:val="Point0number"/>
        <w:numPr>
          <w:ilvl w:val="0"/>
          <w:numId w:val="14"/>
        </w:numPr>
        <w:rPr>
          <w:noProof/>
        </w:rPr>
      </w:pPr>
      <w:r>
        <w:rPr>
          <w:noProof/>
        </w:rPr>
        <w:t>Statele membre informează Comisia (Eurostat), fără întârziere, despre orice modificare metodologică sau despre alte modificări care ar putea avea un impact semnificativ asupra statisticilor privind prețurile la gaze naturale și energie electrică și, în orice caz, nu mai târziu de o lună după momentul în care această modificare are loc.</w:t>
      </w:r>
    </w:p>
    <w:p>
      <w:pPr>
        <w:pStyle w:val="Point0number"/>
        <w:numPr>
          <w:ilvl w:val="0"/>
          <w:numId w:val="14"/>
        </w:numPr>
        <w:rPr>
          <w:noProof/>
        </w:rPr>
      </w:pPr>
      <w:r>
        <w:rPr>
          <w:noProof/>
        </w:rPr>
        <w:t>Statele membre transmit Comisiei (Eurostat) o dată la trei ani un raport privind calitatea datelor, în care se demonstrează modul în care aceste date sunt calculate. Acest raport cuprinde informații cu privire la sfera de cuprindere și la colectarea datelor, la criteriile de calcul, la metodologia și la sursele de date utilizate, precum și la orice modificare survenită în privința surselor sau a metodologiei.</w:t>
      </w:r>
    </w:p>
    <w:p>
      <w:pPr>
        <w:pStyle w:val="Point0number"/>
        <w:numPr>
          <w:ilvl w:val="0"/>
          <w:numId w:val="14"/>
        </w:numPr>
        <w:rPr>
          <w:noProof/>
        </w:rPr>
      </w:pPr>
      <w:r>
        <w:rPr>
          <w:noProof/>
        </w:rPr>
        <w:t>Comisia (Eurostat) evaluează calitatea datelor transmise și a informațiilor furnizate în rapoartele privind calitatea și pregătește și difuzează un rezumat al raportului de evaluare a calității.</w:t>
      </w:r>
    </w:p>
    <w:p>
      <w:pPr>
        <w:pStyle w:val="Point0number"/>
        <w:numPr>
          <w:ilvl w:val="0"/>
          <w:numId w:val="14"/>
        </w:numPr>
        <w:rPr>
          <w:noProof/>
        </w:rPr>
      </w:pPr>
      <w:r>
        <w:rPr>
          <w:noProof/>
        </w:rPr>
        <w:t>În cazul în care Comisia (Eurostat) identifică anomalii sau neconcordanțe semnificative din punct de vedere statistic în datele furnizate, ea poate solicita din partea autorităților naționale o defalcare corespunzătoare a datelor, precum și metodele de calcul sau de evaluare pe care se bazează datele furnizate, pentru a evalua datele și, dacă este necesar, solicită ca orice date sau informații considerate a fi inexacte să fie modificate și retransmise de către statul membru în cauză.</w:t>
      </w:r>
    </w:p>
    <w:p>
      <w:pPr>
        <w:pStyle w:val="Point0number"/>
        <w:numPr>
          <w:ilvl w:val="0"/>
          <w:numId w:val="14"/>
        </w:numPr>
        <w:rPr>
          <w:noProof/>
        </w:rPr>
      </w:pPr>
      <w:r>
        <w:rPr>
          <w:noProof/>
        </w:rPr>
        <w:t>Comisia stabilește, prin intermediul actelor de punere în aplicare, cerințe referitoare la rapoartele privind calitatea și la structura și comparabilitatea acestora menționate la alineatul (3). Respectivele acte de punere în aplicare se adoptă în conformitate cu procedura de examinare menționată la articolul 11 alineatul (2).</w:t>
      </w:r>
    </w:p>
    <w:p>
      <w:pPr>
        <w:pStyle w:val="Titrearticle"/>
        <w:rPr>
          <w:noProof/>
        </w:rPr>
      </w:pPr>
      <w:r>
        <w:rPr>
          <w:noProof/>
        </w:rPr>
        <w:t>Articolul 8</w:t>
      </w:r>
    </w:p>
    <w:p>
      <w:pPr>
        <w:jc w:val="center"/>
        <w:rPr>
          <w:b/>
          <w:noProof/>
        </w:rPr>
      </w:pPr>
      <w:r>
        <w:rPr>
          <w:b/>
          <w:noProof/>
        </w:rPr>
        <w:t>Difuzarea</w:t>
      </w:r>
    </w:p>
    <w:p>
      <w:pPr>
        <w:rPr>
          <w:noProof/>
        </w:rPr>
      </w:pPr>
      <w:r>
        <w:rPr>
          <w:noProof/>
        </w:rPr>
        <w:t>Comisia (Eurostat) difuzează statisticile privind prețurile gazelor naturale și energiei electrice, în termen de cel mult cinci luni de la sfârșitul fiecărei perioade de referință.</w:t>
      </w:r>
    </w:p>
    <w:p>
      <w:pPr>
        <w:pStyle w:val="Titrearticle"/>
        <w:rPr>
          <w:noProof/>
        </w:rPr>
      </w:pPr>
      <w:r>
        <w:rPr>
          <w:noProof/>
        </w:rPr>
        <w:t>Articolul 9</w:t>
      </w:r>
    </w:p>
    <w:p>
      <w:pPr>
        <w:jc w:val="center"/>
        <w:rPr>
          <w:b/>
          <w:noProof/>
        </w:rPr>
      </w:pPr>
      <w:r>
        <w:rPr>
          <w:b/>
          <w:noProof/>
        </w:rPr>
        <w:t>Derogări</w:t>
      </w:r>
    </w:p>
    <w:p>
      <w:pPr>
        <w:pStyle w:val="Point0number"/>
        <w:numPr>
          <w:ilvl w:val="0"/>
          <w:numId w:val="15"/>
        </w:numPr>
        <w:rPr>
          <w:noProof/>
        </w:rPr>
      </w:pPr>
      <w:r>
        <w:rPr>
          <w:noProof/>
        </w:rPr>
        <w:t>Se pot acorda derogări, prin intermediul unor acte de punere în aplicare, în ceea ce privește obligațiile specifice pentru care aplicarea prezentului regulament la sistemul statistic național al unui stat membru necesită adaptări majore și este susceptibilă să genereze o sarcină suplimentară considerabilă asupra respondenților. Respectivele acte de punere în aplicare se adoptă în conformitate cu procedura de examinare menționată la articolul 11 alineatul (2) până la cel târziu la [xx-xx-xxx]</w:t>
      </w:r>
    </w:p>
    <w:p>
      <w:pPr>
        <w:pStyle w:val="Point0number"/>
        <w:numPr>
          <w:ilvl w:val="0"/>
          <w:numId w:val="15"/>
        </w:numPr>
        <w:rPr>
          <w:noProof/>
        </w:rPr>
      </w:pPr>
      <w:r>
        <w:rPr>
          <w:noProof/>
        </w:rPr>
        <w:t>În sensul alineatului (1), statul membru în cauză prezintă Comisiei o cerere întemeiată în mod corespunzător cel târziu la nouă luni de la data intrării în vigoare a prezentului regulament.</w:t>
      </w:r>
    </w:p>
    <w:p>
      <w:pPr>
        <w:pStyle w:val="Point0number"/>
        <w:numPr>
          <w:ilvl w:val="0"/>
          <w:numId w:val="15"/>
        </w:numPr>
        <w:rPr>
          <w:noProof/>
        </w:rPr>
      </w:pPr>
      <w:r>
        <w:rPr>
          <w:noProof/>
        </w:rPr>
        <w:t>Derogările rămân în vigoare în cel mai scurt interval de timp posibil și, în orice caz, nu pot depăși trei ani.</w:t>
      </w:r>
    </w:p>
    <w:p>
      <w:pPr>
        <w:pStyle w:val="Point0number"/>
        <w:numPr>
          <w:ilvl w:val="0"/>
          <w:numId w:val="15"/>
        </w:numPr>
        <w:rPr>
          <w:noProof/>
        </w:rPr>
      </w:pPr>
      <w:r>
        <w:rPr>
          <w:noProof/>
        </w:rPr>
        <w:t>Un stat membru căruia i s-a acordat o derogare în conformitate cu alineatul (1) aplică în continuare dispozițiile relevante ale Directivei 2008/92/CE pe durata perioadei de derogare.</w:t>
      </w:r>
    </w:p>
    <w:p>
      <w:pPr>
        <w:pStyle w:val="Titrearticle"/>
        <w:rPr>
          <w:noProof/>
        </w:rPr>
      </w:pPr>
      <w:r>
        <w:rPr>
          <w:noProof/>
        </w:rPr>
        <w:t>Articolul 10</w:t>
      </w:r>
    </w:p>
    <w:p>
      <w:pPr>
        <w:jc w:val="center"/>
        <w:rPr>
          <w:b/>
          <w:noProof/>
        </w:rPr>
      </w:pPr>
      <w:r>
        <w:rPr>
          <w:b/>
          <w:noProof/>
        </w:rPr>
        <w:t>Exercitarea delegării de competențe</w:t>
      </w:r>
    </w:p>
    <w:p>
      <w:pPr>
        <w:pStyle w:val="Point0number"/>
        <w:numPr>
          <w:ilvl w:val="0"/>
          <w:numId w:val="16"/>
        </w:numPr>
        <w:rPr>
          <w:noProof/>
        </w:rPr>
      </w:pPr>
      <w:r>
        <w:rPr>
          <w:noProof/>
        </w:rPr>
        <w:t>Competența de a adopta acte delegate este conferită Comisiei în condițiile prevăzute în prezentul articol.</w:t>
      </w:r>
    </w:p>
    <w:p>
      <w:pPr>
        <w:pStyle w:val="Point0number"/>
        <w:numPr>
          <w:ilvl w:val="0"/>
          <w:numId w:val="16"/>
        </w:numPr>
        <w:rPr>
          <w:noProof/>
        </w:rPr>
      </w:pPr>
      <w:r>
        <w:rPr>
          <w:noProof/>
        </w:rPr>
        <w:t>Delegarea de competențe menționată la articolul 4 alineatul (3) se conferă pentru o perioadă de timp nedeterminată începând cu [xx-xx-xxx].</w:t>
      </w:r>
    </w:p>
    <w:p>
      <w:pPr>
        <w:pStyle w:val="Point0number"/>
        <w:numPr>
          <w:ilvl w:val="0"/>
          <w:numId w:val="16"/>
        </w:numPr>
        <w:rPr>
          <w:noProof/>
        </w:rPr>
      </w:pPr>
      <w:r>
        <w:rPr>
          <w:noProof/>
        </w:rPr>
        <w:t>Delegarea de competențe menționată la articolul 4 alineatul (3) poate fi revocată în orice moment de Parlamentul European sau de Consiliu. O decizie de revocare pune capăt delegării de competențe specificată în decizia respectivă. Decizia produce efecte din ziua care urmează datei publicării acesteia în Jurnalul Oficial al Uniunii Europene sau de la o dată ulterioară menționată în decizie. Decizia nu aduce atingere validității actelor delegate care sunt deja în vigoare.</w:t>
      </w:r>
    </w:p>
    <w:p>
      <w:pPr>
        <w:pStyle w:val="Point0number"/>
        <w:numPr>
          <w:ilvl w:val="0"/>
          <w:numId w:val="16"/>
        </w:numPr>
        <w:rPr>
          <w:noProof/>
        </w:rPr>
      </w:pPr>
      <w:r>
        <w:rPr>
          <w:noProof/>
        </w:rPr>
        <w:t>De îndată ce adoptă un act delegat, Comisia îl notifică simultan Parlamentului European și Consiliului.</w:t>
      </w:r>
    </w:p>
    <w:p>
      <w:pPr>
        <w:pStyle w:val="Point0number"/>
        <w:numPr>
          <w:ilvl w:val="0"/>
          <w:numId w:val="16"/>
        </w:numPr>
        <w:rPr>
          <w:noProof/>
        </w:rPr>
      </w:pPr>
      <w:r>
        <w:rPr>
          <w:noProof/>
        </w:rPr>
        <w:t>Un act delegat adoptat în temeiul articolului 4 alineatul (3) intră în vigoare numai în cazul în care nici Parlamentul European, nici Consiliul nu au formulat obiecții în termen de două luni de la data notificării acestuia către Parlamentul European sau Consiliu sau în cazul în care, înaintea expirării termenului respectiv, Parlamentul European și Consiliul au informat Comisia că nu vor formula obiecții. Perioada respectivă se prelungește cu două luni, la inițiativa Parlamentului European sau a Consiliului.</w:t>
      </w:r>
    </w:p>
    <w:p>
      <w:pPr>
        <w:pStyle w:val="Titrearticle"/>
        <w:rPr>
          <w:noProof/>
        </w:rPr>
      </w:pPr>
      <w:r>
        <w:rPr>
          <w:noProof/>
        </w:rPr>
        <w:t>Articolul 11</w:t>
      </w:r>
    </w:p>
    <w:p>
      <w:pPr>
        <w:jc w:val="center"/>
        <w:rPr>
          <w:b/>
          <w:noProof/>
        </w:rPr>
      </w:pPr>
      <w:r>
        <w:rPr>
          <w:b/>
          <w:noProof/>
        </w:rPr>
        <w:t>Procedura comitetului</w:t>
      </w:r>
    </w:p>
    <w:p>
      <w:pPr>
        <w:pStyle w:val="Point0number"/>
        <w:numPr>
          <w:ilvl w:val="0"/>
          <w:numId w:val="17"/>
        </w:numPr>
        <w:rPr>
          <w:noProof/>
        </w:rPr>
      </w:pPr>
      <w:r>
        <w:rPr>
          <w:noProof/>
        </w:rPr>
        <w:t>Comisia este asistată de Comitetul Sistemului Statistic European instituit prin Regulamentul (CE) nr. 223/2009. El este un comitet în sensul Regulamentului (UE) nr. 182/2011</w:t>
      </w:r>
      <w:r>
        <w:rPr>
          <w:rStyle w:val="FootnoteReference"/>
          <w:noProof/>
        </w:rPr>
        <w:footnoteReference w:id="7"/>
      </w:r>
      <w:r>
        <w:rPr>
          <w:noProof/>
        </w:rPr>
        <w:t>.</w:t>
      </w:r>
    </w:p>
    <w:p>
      <w:pPr>
        <w:pStyle w:val="Point0number"/>
        <w:numPr>
          <w:ilvl w:val="0"/>
          <w:numId w:val="17"/>
        </w:numPr>
        <w:rPr>
          <w:noProof/>
        </w:rPr>
      </w:pPr>
      <w:r>
        <w:rPr>
          <w:noProof/>
        </w:rPr>
        <w:t>Atunci când se face trimitere la prezentul alineat, se aplică articolul 5 din Regulamentul (UE) nr. 182/2011.</w:t>
      </w:r>
    </w:p>
    <w:p>
      <w:pPr>
        <w:pStyle w:val="Titrearticle"/>
        <w:rPr>
          <w:noProof/>
        </w:rPr>
      </w:pPr>
      <w:r>
        <w:rPr>
          <w:noProof/>
        </w:rPr>
        <w:t>Articolul 12</w:t>
      </w:r>
    </w:p>
    <w:p>
      <w:pPr>
        <w:jc w:val="center"/>
        <w:rPr>
          <w:b/>
          <w:noProof/>
        </w:rPr>
      </w:pPr>
      <w:r>
        <w:rPr>
          <w:b/>
          <w:noProof/>
        </w:rPr>
        <w:t>Abrogarea Directivei 2008/92/CE</w:t>
      </w:r>
    </w:p>
    <w:p>
      <w:pPr>
        <w:pStyle w:val="Point0number"/>
        <w:numPr>
          <w:ilvl w:val="0"/>
          <w:numId w:val="19"/>
        </w:numPr>
        <w:tabs>
          <w:tab w:val="clear" w:pos="850"/>
          <w:tab w:val="num" w:pos="709"/>
        </w:tabs>
        <w:rPr>
          <w:noProof/>
        </w:rPr>
      </w:pPr>
      <w:r>
        <w:rPr>
          <w:noProof/>
        </w:rPr>
        <w:t>Directiva 2008/92/CE se abrogă.</w:t>
      </w:r>
    </w:p>
    <w:p>
      <w:pPr>
        <w:pStyle w:val="Point0number"/>
        <w:numPr>
          <w:ilvl w:val="0"/>
          <w:numId w:val="19"/>
        </w:numPr>
        <w:rPr>
          <w:noProof/>
        </w:rPr>
      </w:pPr>
      <w:r>
        <w:rPr>
          <w:noProof/>
        </w:rPr>
        <w:t>Trimiterile la directiva abrogată se interpretează ca trimiteri la prezentul regulament.</w:t>
      </w:r>
    </w:p>
    <w:p>
      <w:pPr>
        <w:pStyle w:val="Titrearticle"/>
        <w:rPr>
          <w:noProof/>
        </w:rPr>
      </w:pPr>
      <w:r>
        <w:rPr>
          <w:noProof/>
        </w:rPr>
        <w:t>Articolul 13</w:t>
      </w:r>
    </w:p>
    <w:p>
      <w:pPr>
        <w:jc w:val="center"/>
        <w:rPr>
          <w:b/>
          <w:noProof/>
        </w:rPr>
      </w:pPr>
      <w:r>
        <w:rPr>
          <w:b/>
          <w:noProof/>
        </w:rPr>
        <w:t>Intrarea în vigoare</w:t>
      </w:r>
    </w:p>
    <w:p>
      <w:pPr>
        <w:rPr>
          <w:noProof/>
        </w:rPr>
      </w:pPr>
      <w:r>
        <w:rPr>
          <w:noProof/>
        </w:rPr>
        <w:t>Prezentul regulament intră în vigoare în a douăzecea zi de la data publicării în Jurnalul Oficial al Uniunii Europene.</w:t>
      </w:r>
    </w:p>
    <w:p>
      <w:pPr>
        <w:pStyle w:val="Applicationdirecte"/>
        <w:rPr>
          <w:noProof/>
        </w:rPr>
      </w:pPr>
      <w:r>
        <w:rPr>
          <w:noProof/>
        </w:rPr>
        <w:t>Prezentul regulament este obligatoriu în toate elementele sale și se aplică direct în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Avizul Parlamentului European din ... (nepublicat încă în Jurnalul Oficial) și Decizia Consiliului din ...</w:t>
      </w:r>
    </w:p>
  </w:footnote>
  <w:footnote w:id="2">
    <w:p>
      <w:pPr>
        <w:pStyle w:val="FootnoteText"/>
      </w:pPr>
      <w:r>
        <w:rPr>
          <w:rStyle w:val="FootnoteReference"/>
        </w:rPr>
        <w:footnoteRef/>
      </w:r>
      <w:r>
        <w:tab/>
        <w:t>Directiva 2008/92/CE a Parlamentului European și a Consiliului din 22 octombrie 2008 privind o procedură comunitară de ameliorare a transparenței prețurilor la gaz și energie electrică aplicate utilizatorilor finali din industrie (JO L 298, 7.11.2008, p. 9).</w:t>
      </w:r>
    </w:p>
  </w:footnote>
  <w:footnote w:id="3">
    <w:p>
      <w:pPr>
        <w:pStyle w:val="FootnoteText"/>
      </w:pPr>
      <w:r>
        <w:rPr>
          <w:rStyle w:val="FootnoteReference"/>
        </w:rPr>
        <w:footnoteRef/>
      </w:r>
      <w:r>
        <w:tab/>
        <w:t>Regulamentul (CE) nr. 223/2009 al Parlamentului European și al Consiliului din 11 martie 2009 privind statisticile europene și de abrogare a Regulamentului (CE, Euratom) nr. 1101/2008 al Parlamentului European și al Consiliului privind transmiterea de date statistice confidențiale Biroului Statistic al Comunităților Europene, a Regulamentului (CE) nr. 322/97 al Consiliului privind statisticile comunitare și a Deciziei 89/382/CEE, Euratom a Consiliului de constituire a Comitetului pentru programele statistice ale Comunităților Europene (JO L 87, 31.3.2009, p. 164).</w:t>
      </w:r>
    </w:p>
  </w:footnote>
  <w:footnote w:id="4">
    <w:p>
      <w:pPr>
        <w:pStyle w:val="FootnoteText"/>
      </w:pPr>
      <w:r>
        <w:rPr>
          <w:rStyle w:val="FootnoteReference"/>
        </w:rPr>
        <w:footnoteRef/>
      </w:r>
      <w:r>
        <w:tab/>
        <w:t>Regulamentul (CE) nr. 1099/2008 al Parlamentului European și al Consiliului din 22 octombrie 2008 privind statisticile în domeniul energiei (JO L 304, 14.11.2008, p. 6-11).</w:t>
      </w:r>
    </w:p>
  </w:footnote>
  <w:footnote w:id="5">
    <w:p>
      <w:pPr>
        <w:pStyle w:val="FootnoteText"/>
      </w:pPr>
      <w:r>
        <w:rPr>
          <w:rStyle w:val="FootnoteReference"/>
        </w:rPr>
        <w:footnoteRef/>
      </w:r>
      <w:r>
        <w:tab/>
        <w:t>Directiva 2009/72/EC a Parlamentului European și a Consiliului din 13 iulie 2009 privind normele comune pentru piața internă a energiei electrice și de abrogare a Directivei 2003/54/CE (JO L 211, 14.8.2009, p. 55).</w:t>
      </w:r>
    </w:p>
  </w:footnote>
  <w:footnote w:id="6">
    <w:p>
      <w:pPr>
        <w:pStyle w:val="FootnoteText"/>
      </w:pPr>
      <w:r>
        <w:rPr>
          <w:rStyle w:val="FootnoteReference"/>
        </w:rPr>
        <w:footnoteRef/>
      </w:r>
      <w:r>
        <w:tab/>
        <w:t>Directiva 2009/73/CE a Parlamentului European și a Consiliului din 13 iulie 2009 privind normele comune pentru piața internă în sectorul gazelor naturale și de abrogare a Directivei 2003/55/CE (JO L 211, 14.8.2009, p. 94).</w:t>
      </w:r>
    </w:p>
  </w:footnote>
  <w:footnote w:id="7">
    <w:p>
      <w:pPr>
        <w:pStyle w:val="FootnoteText"/>
        <w:rPr>
          <w:rStyle w:val="FootnoteReference"/>
          <w:vertAlign w:val="baseline"/>
        </w:rPr>
      </w:pPr>
      <w:r>
        <w:rPr>
          <w:rStyle w:val="FootnoteReference"/>
        </w:rPr>
        <w:footnoteRef/>
      </w:r>
      <w:r>
        <w:tab/>
      </w:r>
      <w:r>
        <w:rPr>
          <w:rStyle w:val="FootnoteReference"/>
          <w:vertAlign w:val="baseline"/>
        </w:rPr>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13-18).</w:t>
      </w:r>
    </w:p>
    <w:p>
      <w:pPr>
        <w:pStyle w:val="Footn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62B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8AA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27A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708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F2D2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682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780542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name w:val="0,828376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7"/>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7"/>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oNotTrackMoves/>
  <w:defaultTabStop w:val="720"/>
  <w:hyphenationZone w:val="425"/>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0 10:53: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CBCD76FCDE24DFFAE2C57ED4490CDC5"/>
    <w:docVar w:name="LW_CROSSREFERENCE" w:val="&lt;UNUSED&gt;"/>
    <w:docVar w:name="LW_DocType" w:val="COM"/>
    <w:docVar w:name="LW_EMISSION" w:val="18.11.2015"/>
    <w:docVar w:name="LW_EMISSION_ISODATE" w:val="2015-11-1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39"/>
    <w:docVar w:name="LW_REF.II.NEW.CP_YEAR" w:val="2015"/>
    <w:docVar w:name="LW_REF.INST.NEW" w:val="COM"/>
    <w:docVar w:name="LW_REF.INST.NEW_ADOPTED" w:val="final"/>
    <w:docVar w:name="LW_REF.INST.NEW_TEXT" w:val="(2015) 496"/>
    <w:docVar w:name="LW_REF.INTERNE" w:val="&lt;UNUSED&gt;"/>
    <w:docVar w:name="LW_SOUS.TITRE.OBJ.CP" w:val="&lt;UNUSED&gt;"/>
    <w:docVar w:name="LW_STATUT.CP" w:val="Propunere de"/>
    <w:docVar w:name="LW_SUPERTITRE" w:val="&lt;UNUSED&gt;"/>
    <w:docVar w:name="LW_TITRE.OBJ.CP" w:val="privind statisticile europene referitoare la pre\u539?urile la gaze naturale \u537?i energie electric\u259? \u537?i de abrogare a Directivei 2008/92/CE a Parlamentului European \u537?i a Consiliului privind o procedur\u259? comunitar\u259? de ameliorare a transparen\u539?ei pre\u539?urilor la gaz \u537?i energie electric\u259? aplicate utilizatorilor finali din industrie"/>
    <w:docVar w:name="LW_TYPE.DOC.CP" w:val="REGULAMENT AL PARLAMENTULUI EUROPEAN \u350?I AL CONSILIULUI"/>
    <w:docVar w:name="Stamp" w:val="\\dossiers.dgt.cec.eu.int\dossiers\ESTAT\ESTAT-2015-10287\ESTAT-2015-10287-00-00-EN-REV-00.DOC"/>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ListNumber">
    <w:name w:val="List Number"/>
    <w:basedOn w:val="Normal"/>
    <w:uiPriority w:val="99"/>
    <w:unhideWhenUsed/>
    <w:pPr>
      <w:numPr>
        <w:numId w:val="5"/>
      </w:numPr>
      <w:spacing w:before="0" w:after="240"/>
    </w:pPr>
    <w:rPr>
      <w:rFonts w:eastAsia="Times New Roman"/>
      <w:szCs w:val="20"/>
    </w:rPr>
  </w:style>
  <w:style w:type="paragraph" w:customStyle="1" w:styleId="ListNumberLevel2">
    <w:name w:val="List Number (Level 2)"/>
    <w:basedOn w:val="Normal"/>
    <w:uiPriority w:val="99"/>
    <w:pPr>
      <w:numPr>
        <w:ilvl w:val="1"/>
        <w:numId w:val="5"/>
      </w:numPr>
      <w:spacing w:before="0" w:after="240"/>
    </w:pPr>
    <w:rPr>
      <w:rFonts w:eastAsia="Times New Roman"/>
      <w:szCs w:val="20"/>
    </w:rPr>
  </w:style>
  <w:style w:type="paragraph" w:customStyle="1" w:styleId="ListNumberLevel3">
    <w:name w:val="List Number (Level 3)"/>
    <w:basedOn w:val="Normal"/>
    <w:uiPriority w:val="99"/>
    <w:pPr>
      <w:numPr>
        <w:ilvl w:val="2"/>
        <w:numId w:val="5"/>
      </w:numPr>
      <w:spacing w:before="0" w:after="240"/>
    </w:pPr>
    <w:rPr>
      <w:rFonts w:eastAsia="Times New Roman"/>
      <w:szCs w:val="20"/>
    </w:rPr>
  </w:style>
  <w:style w:type="paragraph" w:customStyle="1" w:styleId="ListNumberLevel4">
    <w:name w:val="List Number (Level 4)"/>
    <w:basedOn w:val="Normal"/>
    <w:uiPriority w:val="99"/>
    <w:pPr>
      <w:numPr>
        <w:ilvl w:val="3"/>
        <w:numId w:val="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ro-RO"/>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ro-RO"/>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Footno">
    <w:name w:val="Footno"/>
    <w:basedOn w:val="Personnequisigne"/>
    <w:pPr>
      <w:ind w:left="720" w:hanging="720"/>
    </w:pPr>
    <w:rPr>
      <w:i w:val="0"/>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49F1-FF3C-46C3-9929-B3BB4C2D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4148</Words>
  <Characters>24766</Characters>
  <Application>Microsoft Office Word</Application>
  <DocSecurity>0</DocSecurity>
  <Lines>412</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2015-08-07T08:09:00Z</cp:lastPrinted>
  <dcterms:created xsi:type="dcterms:W3CDTF">2015-09-25T15:28:00Z</dcterms:created>
  <dcterms:modified xsi:type="dcterms:W3CDTF">2015-11-10T09:53:00Z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