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05" w:rsidRDefault="001E19C2">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FEBEDBA33F2408085C35DB9DCAC27B2" style="width:451.5pt;height:437.25pt">
            <v:imagedata r:id="rId9" o:title=""/>
          </v:shape>
        </w:pict>
      </w:r>
    </w:p>
    <w:p w:rsidR="00666905" w:rsidRDefault="00666905">
      <w:pPr>
        <w:rPr>
          <w:noProof/>
        </w:rPr>
        <w:sectPr w:rsidR="00666905">
          <w:footerReference w:type="default" r:id="rId10"/>
          <w:pgSz w:w="11907" w:h="16839"/>
          <w:pgMar w:top="1134" w:right="1417" w:bottom="1134" w:left="1417" w:header="709" w:footer="709" w:gutter="0"/>
          <w:pgNumType w:start="1"/>
          <w:cols w:space="720"/>
          <w:docGrid w:linePitch="360"/>
        </w:sectPr>
      </w:pPr>
    </w:p>
    <w:p w:rsidR="00666905" w:rsidRDefault="001E19C2">
      <w:pPr>
        <w:pStyle w:val="Exposdesmotifstitre"/>
        <w:rPr>
          <w:noProof/>
        </w:rPr>
      </w:pPr>
      <w:r>
        <w:rPr>
          <w:noProof/>
        </w:rPr>
        <w:lastRenderedPageBreak/>
        <w:t>ΑΙΤΙΟΛΟΓΙΚΗ ΕΚΘΕΣΗ</w:t>
      </w:r>
    </w:p>
    <w:p w:rsidR="00666905" w:rsidRDefault="001E19C2">
      <w:pPr>
        <w:pStyle w:val="ManualHeading1"/>
        <w:rPr>
          <w:noProof/>
        </w:rPr>
      </w:pPr>
      <w:r>
        <w:rPr>
          <w:noProof/>
        </w:rPr>
        <w:t>1.</w:t>
      </w:r>
      <w:r>
        <w:rPr>
          <w:noProof/>
        </w:rPr>
        <w:tab/>
        <w:t>ΠΛΑΙΣΙΟ ΤΗΣ ΠΡΟΤΑΣΗΣ</w:t>
      </w:r>
    </w:p>
    <w:p w:rsidR="00666905" w:rsidRDefault="001E19C2">
      <w:pPr>
        <w:pStyle w:val="ManualHeading2"/>
        <w:rPr>
          <w:rFonts w:eastAsia="Arial Unicode MS"/>
          <w:noProof/>
        </w:rPr>
      </w:pPr>
      <w:r>
        <w:rPr>
          <w:noProof/>
        </w:rPr>
        <w:t>•</w:t>
      </w:r>
      <w:r>
        <w:rPr>
          <w:noProof/>
        </w:rPr>
        <w:tab/>
        <w:t>Αιτιολόγηση και στόχοι της πρότασης</w:t>
      </w:r>
    </w:p>
    <w:p w:rsidR="00666905" w:rsidRDefault="001E19C2">
      <w:pPr>
        <w:rPr>
          <w:noProof/>
        </w:rPr>
      </w:pPr>
      <w:r>
        <w:rPr>
          <w:noProof/>
        </w:rPr>
        <w:t xml:space="preserve">Η Επιτροπή (Eurostat) </w:t>
      </w:r>
      <w:r>
        <w:rPr>
          <w:noProof/>
        </w:rPr>
        <w:t>συλλέγει δεδομένα σχετικά με τις τιμές του φυσικού αερίου και της ηλεκτρικής ενέργειας για τον τελικό βιομηχανικό καταναλωτή (τελικοί μη οικιακοί πελάτες).  Οι τιμές για τον τελικό βιομηχανικό καταναλωτή αποτελούν αντικείμενο νομοθετικής ρύθμισης από το 19</w:t>
      </w:r>
      <w:r>
        <w:rPr>
          <w:noProof/>
        </w:rPr>
        <w:t>90 και την παρούσα στιγμή διέπονται από την οδηγία 2008/92/ΕΚ, με την οποία καταργήθηκε η οδηγία 90/377/EΟΚ. Οι εθνικές αρχές συλλέγουν δεδομένα σχετικά με τις τιμές για τους οικιακούς πελάτες βάσει εθελοντικής συμφωνίας. Οι εθνικές αρχές ενημέρωσαν την Επ</w:t>
      </w:r>
      <w:r>
        <w:rPr>
          <w:noProof/>
        </w:rPr>
        <w:t>ιτροπή ότι ορισμένοι πάροχοι δεδομένων (εταιρείες φυσικού αερίου και ηλεκτρικής ενέργειας), λόγω περιορισμών στα οικονομικά και το ανθρώπινο δυναμικό τους, εκφράζουν αμφιβολίες ως προς τη σκοπιμότητα να εξακολουθούν να συλλέγονται τα εν λόγω δεδομένα.</w:t>
      </w:r>
    </w:p>
    <w:p w:rsidR="00666905" w:rsidRDefault="001E19C2">
      <w:pPr>
        <w:rPr>
          <w:noProof/>
          <w:snapToGrid w:val="0"/>
        </w:rPr>
      </w:pPr>
      <w:r>
        <w:rPr>
          <w:noProof/>
        </w:rPr>
        <w:t xml:space="preserve">Στη </w:t>
      </w:r>
      <w:r>
        <w:rPr>
          <w:noProof/>
        </w:rPr>
        <w:t>σύνοδο του Ευρωπαϊκού Συμβουλίου της 22ας Μαΐου 2013 σχετικά με την ενέργεια και τη φορολόγηση οι αρχηγοί κρατών και κυβερνήσεων δήλωσαν ότι η ενεργειακή πολιτική της ΕΕ θα πρέπει να έχει ως σκοπό την παροχή ενέργειας στα νοικοκυριά και στις επιχειρήσεις σ</w:t>
      </w:r>
      <w:r>
        <w:rPr>
          <w:noProof/>
        </w:rPr>
        <w:t>ε λογικές και ανταγωνιστικές τιμές με ασφαλή και βιώσιμο τρόπο. Κατά συνέπεια, στην Επιτροπή ανατέθηκε η κατάρτιση ανάλυσης όσον αφορά «τη σύνθεση και τους παράγοντες διαμόρφωσης των τιμών και του κόστους της ενέργειας στα κράτη μέλη». Αντικείμενο της ανάλ</w:t>
      </w:r>
      <w:r>
        <w:rPr>
          <w:noProof/>
        </w:rPr>
        <w:t>υσης αυτής ήταν να εξετάσει τον αντίκτυπο των τιμών της ενέργειας στα νοικοκυριά, τις μικρομεσαίες επιχειρήσεις και τους ενεργοβόρους τομείς της βιομηχανίας και, γενικότερα, την ανταγωνιστικότητα της ΕΕ σε σχέση με τους οικονομικούς της εταίρους παγκοσμίως</w:t>
      </w:r>
      <w:r>
        <w:rPr>
          <w:noProof/>
        </w:rPr>
        <w:t>.</w:t>
      </w:r>
    </w:p>
    <w:p w:rsidR="00666905" w:rsidRDefault="001E19C2">
      <w:pPr>
        <w:rPr>
          <w:noProof/>
          <w:snapToGrid w:val="0"/>
        </w:rPr>
      </w:pPr>
      <w:r>
        <w:rPr>
          <w:noProof/>
        </w:rPr>
        <w:t xml:space="preserve">Η Επιτροπή, αφότου στοιχειοθέτησε την ανάγκη συγκέντρωσης πρόσθετων λεπτομερών δεδομένων τιμολόγησης για την εν λόγω ανάλυση, συνέλεξε τα απαραίτητα δεδομένα από όλα τα 28 κράτη μέλη της ΕΕ βάσει εθελοντικής συμφωνίας. Τον Ιανουάριο του 2014 υπέβαλε στο </w:t>
      </w:r>
      <w:r>
        <w:rPr>
          <w:noProof/>
        </w:rPr>
        <w:t>Συμβούλιο έκθεση που συμπεριέλαβε λεπτομερή ανάλυση σχετικά με τις συνιστώσες των τιμών του φυσικού αερίου και της ηλεκτρικής ενέργειας.</w:t>
      </w:r>
    </w:p>
    <w:p w:rsidR="00666905" w:rsidRDefault="001E19C2">
      <w:pPr>
        <w:rPr>
          <w:noProof/>
          <w:snapToGrid w:val="0"/>
        </w:rPr>
      </w:pPr>
      <w:r>
        <w:rPr>
          <w:noProof/>
        </w:rPr>
        <w:t>Το 2014 οι φορείς χάραξης πολιτικής υπέβαλαν διάφορα αιτήματα για την παροχή λεπτομερέστερων επίσημων στατιστικών για τ</w:t>
      </w:r>
      <w:r>
        <w:rPr>
          <w:noProof/>
        </w:rPr>
        <w:t>ις τιμές του φυσικού αερίου και της ηλεκτρικής ενέργειας. Στη σύνοδό του της 13ης Ιουνίου 2014 το Συμβούλιο Μεταφορών, Τηλεπικοινωνιών και Ενέργειας (ΜΤΕ) αναγνώρισε τις αρνητικές συνέπειες των υψηλών και αυξανόμενων τιμών και τους κόστους της ενέργειας γι</w:t>
      </w:r>
      <w:r>
        <w:rPr>
          <w:noProof/>
        </w:rPr>
        <w:t>α την παγκόσμια ανταγωνιστικότητα της Ευρώπης και για το επίπεδο διαβίωσης των μεμονωμένων πελατών. Για τον λόγο αυτό, το Συμβούλιο ΜΤΕ απηύθυνε έκκληση στην Επιτροπή να διενεργήσει «επισκόπηση παρακολούθησης για τις τιμές και το κόστος της ενέργειας καθώς</w:t>
      </w:r>
      <w:r>
        <w:rPr>
          <w:noProof/>
        </w:rPr>
        <w:t xml:space="preserve"> και τους πελάτες έως το 2016».</w:t>
      </w:r>
    </w:p>
    <w:p w:rsidR="00666905" w:rsidRDefault="001E19C2">
      <w:pPr>
        <w:rPr>
          <w:noProof/>
          <w:snapToGrid w:val="0"/>
        </w:rPr>
      </w:pPr>
      <w:r>
        <w:rPr>
          <w:noProof/>
        </w:rPr>
        <w:t xml:space="preserve">Η Ευρωπαϊκή Επιτροπή ενέκρινε στις 25 Φεβρουαρίου 2015 τη δέσμη μέτρων για την ενεργειακή ένωση. Μία από τις δράσεις της δέσμης μέτρων για την ενεργειακή ένωση υπό το κεφάλαιο της εσωτερικής ενεργειακής αγοράς προβλέπει ότι </w:t>
      </w:r>
      <w:r>
        <w:rPr>
          <w:noProof/>
        </w:rPr>
        <w:t xml:space="preserve">πρέπει να διενεργείται ανάλυση των τιμών και του κόστους της ενέργειας κάθε 2 έτη και για πρώτη φορά το 2016. </w:t>
      </w:r>
    </w:p>
    <w:p w:rsidR="00666905" w:rsidRDefault="001E19C2">
      <w:pPr>
        <w:rPr>
          <w:noProof/>
        </w:rPr>
      </w:pPr>
      <w:r>
        <w:rPr>
          <w:noProof/>
        </w:rPr>
        <w:t>Έχει επίσης καταρτιστεί μια πρόσθετη δέσμη υποσυνιστωσών όσον αφορά τους φόρους, τις εισφορές και τις τιμές δικτύου για το φυσικό αέριο και την η</w:t>
      </w:r>
      <w:r>
        <w:rPr>
          <w:noProof/>
        </w:rPr>
        <w:t>λεκτρική ενέργεια, έτσι ώστε να αντικατοπτρίζονται οι στόχοι της δέσμης μέτρων για την ενεργειακή ένωση και, συγκεκριμένα, η ανάγκη μεγαλύτερης διαφάνειας για το κόστος και τις τιμές της ενέργειας, στην οποία γίνεται μνεία στο σημείο δράσης 8 της δέσμης μέ</w:t>
      </w:r>
      <w:r>
        <w:rPr>
          <w:noProof/>
        </w:rPr>
        <w:t>τρων.</w:t>
      </w:r>
    </w:p>
    <w:p w:rsidR="00666905" w:rsidRDefault="001E19C2">
      <w:pPr>
        <w:pStyle w:val="ManualHeading2"/>
        <w:rPr>
          <w:rFonts w:eastAsia="Arial Unicode MS"/>
          <w:noProof/>
          <w:u w:color="000000"/>
          <w:bdr w:val="nil"/>
        </w:rPr>
      </w:pPr>
      <w:r>
        <w:rPr>
          <w:noProof/>
        </w:rPr>
        <w:lastRenderedPageBreak/>
        <w:t>•</w:t>
      </w:r>
      <w:r>
        <w:rPr>
          <w:noProof/>
        </w:rPr>
        <w:tab/>
        <w:t>Συνεκτικότητα με την υφιστάμενη πολιτική στον τομέα</w:t>
      </w:r>
    </w:p>
    <w:p w:rsidR="00666905" w:rsidRDefault="001E19C2">
      <w:pPr>
        <w:rPr>
          <w:noProof/>
          <w:snapToGrid w:val="0"/>
        </w:rPr>
      </w:pPr>
      <w:r>
        <w:rPr>
          <w:noProof/>
        </w:rPr>
        <w:t>Τον Ιούνιο του 2014 το Ευρωπαϊκό Συμβούλιο επιβεβαίωσε την ανάγκη να ενισχυθεί η ενιαία αγορά της ΕΕ, να αυξηθούν ο ανταγωνισμός και η διαφάνεια στην αγορά του φυσικού αερίου και να περατωθεί η ολ</w:t>
      </w:r>
      <w:r>
        <w:rPr>
          <w:noProof/>
        </w:rPr>
        <w:t>οκλήρωση της ευρωπαϊκής αγοράς ενέργειας. Το Συμβούλιο απηύθυνε επίσης έκκληση να αναλυθεί περαιτέρω η ολοκλήρωση της αγοράς όσον αφορά την ενεργειακή αποδοτικότητα και ασφάλεια.</w:t>
      </w:r>
    </w:p>
    <w:p w:rsidR="00666905" w:rsidRDefault="001E19C2">
      <w:pPr>
        <w:pStyle w:val="ManualHeading2"/>
        <w:rPr>
          <w:rFonts w:eastAsia="Arial Unicode MS"/>
          <w:noProof/>
        </w:rPr>
      </w:pPr>
      <w:r>
        <w:rPr>
          <w:noProof/>
        </w:rPr>
        <w:t>•</w:t>
      </w:r>
      <w:r>
        <w:rPr>
          <w:noProof/>
        </w:rPr>
        <w:tab/>
        <w:t>Συνοχή με άλλες πολιτικές της ΕΕ</w:t>
      </w:r>
    </w:p>
    <w:p w:rsidR="00666905" w:rsidRDefault="001E19C2">
      <w:pPr>
        <w:pBdr>
          <w:top w:val="nil"/>
          <w:left w:val="nil"/>
          <w:bottom w:val="nil"/>
          <w:right w:val="nil"/>
          <w:between w:val="nil"/>
          <w:bar w:val="nil"/>
        </w:pBdr>
        <w:spacing w:before="0" w:after="240"/>
        <w:rPr>
          <w:noProof/>
          <w:snapToGrid w:val="0"/>
        </w:rPr>
      </w:pPr>
      <w:r>
        <w:rPr>
          <w:noProof/>
        </w:rPr>
        <w:t>Η δέσμη μέτρων για την ενεργειακή ένωση εγκρίθηκε από την Επιτροπή στις 25 Φεβρουαρίου 2015. Στο πλαίσιο αυτό η Επιτροπή θα παρέχει, από το 2016 και μετά, δεδομένα σχετικά με τις τιμές και το κόστος της ενέργειας (συμπεριλαμβανομένων των φόρων και των επιδ</w:t>
      </w:r>
      <w:r>
        <w:rPr>
          <w:noProof/>
        </w:rPr>
        <w:t xml:space="preserve">οτήσεων). Αυτή η αναλυτική θεώρηση των τιμών και του κόστους της ενέργειας θα της επιτρέψει να παρακολουθεί την κατάσταση στην αγορά ενέργειας. </w:t>
      </w:r>
    </w:p>
    <w:p w:rsidR="00666905" w:rsidRDefault="001E19C2">
      <w:pPr>
        <w:pStyle w:val="ManualHeading1"/>
        <w:rPr>
          <w:noProof/>
        </w:rPr>
      </w:pPr>
      <w:r>
        <w:rPr>
          <w:noProof/>
        </w:rPr>
        <w:t>2.</w:t>
      </w:r>
      <w:r>
        <w:rPr>
          <w:noProof/>
        </w:rPr>
        <w:tab/>
        <w:t>ΝΟΜΙΚΗ ΒΑΣΗ, ΕΠΙΚΟΥΡΙΚΟΤΗΤΑ ΚΑΙ ΑΝΑΛΟΓΙΚΟΤΗΤΑ</w:t>
      </w:r>
    </w:p>
    <w:p w:rsidR="00666905" w:rsidRDefault="001E19C2">
      <w:pPr>
        <w:pStyle w:val="ManualHeading2"/>
        <w:rPr>
          <w:rFonts w:eastAsia="Arial Unicode MS"/>
          <w:noProof/>
          <w:u w:color="000000"/>
          <w:bdr w:val="nil"/>
        </w:rPr>
      </w:pPr>
      <w:r>
        <w:rPr>
          <w:noProof/>
        </w:rPr>
        <w:t>•</w:t>
      </w:r>
      <w:r>
        <w:rPr>
          <w:noProof/>
        </w:rPr>
        <w:tab/>
        <w:t>Νoμική βάση</w:t>
      </w:r>
    </w:p>
    <w:p w:rsidR="00666905" w:rsidRDefault="001E19C2">
      <w:pPr>
        <w:pBdr>
          <w:top w:val="nil"/>
          <w:left w:val="nil"/>
          <w:bottom w:val="nil"/>
          <w:right w:val="nil"/>
          <w:between w:val="nil"/>
          <w:bar w:val="nil"/>
        </w:pBdr>
        <w:spacing w:before="0" w:after="240"/>
        <w:rPr>
          <w:rFonts w:eastAsia="Arial Unicode MS"/>
          <w:noProof/>
        </w:rPr>
      </w:pPr>
      <w:r>
        <w:rPr>
          <w:noProof/>
        </w:rPr>
        <w:t>Άρθρο 338 παράγραφος 1 της Συνθήκης για τη λειτο</w:t>
      </w:r>
      <w:r>
        <w:rPr>
          <w:noProof/>
        </w:rPr>
        <w:t>υργία της Ευρωπαϊκής Ένωσης.</w:t>
      </w:r>
    </w:p>
    <w:p w:rsidR="00666905" w:rsidRDefault="001E19C2">
      <w:pPr>
        <w:pStyle w:val="ManualHeading2"/>
        <w:rPr>
          <w:rFonts w:eastAsia="Arial Unicode MS"/>
          <w:noProof/>
          <w:u w:color="000000"/>
          <w:bdr w:val="nil"/>
        </w:rPr>
      </w:pPr>
      <w:r>
        <w:rPr>
          <w:noProof/>
        </w:rPr>
        <w:t>•</w:t>
      </w:r>
      <w:r>
        <w:rPr>
          <w:noProof/>
        </w:rPr>
        <w:tab/>
        <w:t>Επικουρικότητα (για μη αποκλειστικές αρμοδιότητες)</w:t>
      </w:r>
    </w:p>
    <w:p w:rsidR="00666905" w:rsidRDefault="001E19C2">
      <w:pPr>
        <w:pBdr>
          <w:top w:val="nil"/>
          <w:left w:val="nil"/>
          <w:bottom w:val="nil"/>
          <w:right w:val="nil"/>
          <w:between w:val="nil"/>
          <w:bar w:val="nil"/>
        </w:pBdr>
        <w:spacing w:before="0" w:after="240"/>
        <w:rPr>
          <w:rFonts w:eastAsia="Arial Unicode MS"/>
          <w:noProof/>
        </w:rPr>
      </w:pPr>
      <w:r>
        <w:rPr>
          <w:noProof/>
        </w:rPr>
        <w:t xml:space="preserve">Η Επιτροπή (Eurostat) συλλέγει εθνικά δεδομένα σχετικά με τις τιμές του φυσικού αερίου και της ηλεκτρικής ενέργειας εφαρμόζοντας μια μεθοδολογία που επιτρέπει τις συγκρίσεις </w:t>
      </w:r>
      <w:r>
        <w:rPr>
          <w:noProof/>
        </w:rPr>
        <w:t>των τιμών μεταξύ των κρατών μελών. Τα δεδομένα για τις τιμές πρέπει να συλλέγονται στο επίπεδο της ΕΕ, έτσι ώστε να διασφαλίζεται ότι είναι αξιόπιστα και συγκρίσιμα για όλα τα κράτη μέλη της ΕΕ και ότι παράγονται συγκεντρωτικά δεδομένα για την ΕΕ και τη ζώ</w:t>
      </w:r>
      <w:r>
        <w:rPr>
          <w:noProof/>
        </w:rPr>
        <w:t>νη του ευρώ. Σε εθνικό επίπεδο τα δεδομένα για τις τιμές συλλέγονται από τις αρμόδιες εθνικές αρχές και στη συνέχεια διαδίδονται από την Επιτροπή.</w:t>
      </w:r>
    </w:p>
    <w:p w:rsidR="00666905" w:rsidRDefault="001E19C2">
      <w:pPr>
        <w:pStyle w:val="ManualHeading2"/>
        <w:rPr>
          <w:rFonts w:eastAsia="Arial Unicode MS"/>
          <w:noProof/>
          <w:u w:color="000000"/>
          <w:bdr w:val="nil"/>
        </w:rPr>
      </w:pPr>
      <w:r>
        <w:rPr>
          <w:noProof/>
        </w:rPr>
        <w:t>•</w:t>
      </w:r>
      <w:r>
        <w:rPr>
          <w:noProof/>
        </w:rPr>
        <w:tab/>
        <w:t>Αναλογικότητα</w:t>
      </w:r>
    </w:p>
    <w:p w:rsidR="00666905" w:rsidRDefault="001E19C2">
      <w:pPr>
        <w:pBdr>
          <w:top w:val="nil"/>
          <w:left w:val="nil"/>
          <w:bottom w:val="nil"/>
          <w:right w:val="nil"/>
          <w:between w:val="nil"/>
          <w:bar w:val="nil"/>
        </w:pBdr>
        <w:spacing w:before="0" w:after="240"/>
        <w:rPr>
          <w:rFonts w:eastAsia="Arial Unicode MS"/>
          <w:noProof/>
        </w:rPr>
      </w:pPr>
      <w:r>
        <w:rPr>
          <w:noProof/>
        </w:rPr>
        <w:t>Η προτεινόμενη νομική πράξη θα καλύπτει τη συλλογή δεδομένων για τις τιμές του φυσικού αερίου</w:t>
      </w:r>
      <w:r>
        <w:rPr>
          <w:noProof/>
        </w:rPr>
        <w:t xml:space="preserve"> και της ηλεκτρικής ενέργειας στους τομείς των οικιακών και των μη οικιακών πελατών. Στο παρελθόν τα δεδομένα για τις τιμές στον βιομηχανικό τομέα συλλέγονταν βάσει της οδηγίας 2008/92/EΚ, αλλά τα δεδομένα για τις τιμές στον τομέα των νοικοκυριών συλλέγοντ</w:t>
      </w:r>
      <w:r>
        <w:rPr>
          <w:noProof/>
        </w:rPr>
        <w:t>αν βάσει εθελοντικής συμφωνίας. Η αυξανόμενη πολυπλοκότητα της εσωτερικής αγοράς ενέργειας κάνει όλο και δυσκολότερη τη συλλογή αξιόπιστων και ενημερωμένων δεδομένων για το φυσικό αέριο και την ηλεκτρική ενέργεια λόγω της απουσίας νομικώς δεσμευτικών υποχρ</w:t>
      </w:r>
      <w:r>
        <w:rPr>
          <w:noProof/>
        </w:rPr>
        <w:t>εώσεων ως προς την παροχή των εν λόγω δεδομένων, ιδίως για τον τομέα των νοικοκυριών. Οι προτεινόμενες αλλαγές εν συγκρίσει με την κατάσταση βάσει της οδηγίας 2008/92/EΚ συνίστανται στην κάλυψη από την προτεινόμενη νομική πράξη των δεδομένων που την παρούσ</w:t>
      </w:r>
      <w:r>
        <w:rPr>
          <w:noProof/>
        </w:rPr>
        <w:t>α στιγμή παρέχονται σε εθελοντική βάση. Η δράση της ΕΕ δεν μπορεί να υπερβαίνει τα όσα είναι αναγκαία για την επίτευξη των καθορισμένων στόχων.</w:t>
      </w:r>
    </w:p>
    <w:p w:rsidR="00666905" w:rsidRDefault="001E19C2">
      <w:pPr>
        <w:pStyle w:val="ManualHeading2"/>
        <w:rPr>
          <w:rFonts w:eastAsia="Arial Unicode MS"/>
          <w:noProof/>
          <w:u w:color="000000"/>
          <w:bdr w:val="nil"/>
        </w:rPr>
      </w:pPr>
      <w:r>
        <w:rPr>
          <w:noProof/>
        </w:rPr>
        <w:t>•</w:t>
      </w:r>
      <w:r>
        <w:rPr>
          <w:noProof/>
        </w:rPr>
        <w:tab/>
        <w:t>Επιλεγείσα νομική πράξη</w:t>
      </w:r>
    </w:p>
    <w:p w:rsidR="00666905" w:rsidRDefault="001E19C2">
      <w:pPr>
        <w:pBdr>
          <w:top w:val="nil"/>
          <w:left w:val="nil"/>
          <w:bottom w:val="nil"/>
          <w:right w:val="nil"/>
          <w:between w:val="nil"/>
          <w:bar w:val="nil"/>
        </w:pBdr>
        <w:spacing w:before="0" w:after="240"/>
        <w:rPr>
          <w:noProof/>
        </w:rPr>
      </w:pPr>
      <w:r>
        <w:rPr>
          <w:noProof/>
        </w:rPr>
        <w:t>Η έκδοση κανονισμού του Ευρωπαϊκού Κοινοβουλίου και του Συμβουλίου θα εξασφαλίσει ταχε</w:t>
      </w:r>
      <w:r>
        <w:rPr>
          <w:noProof/>
        </w:rPr>
        <w:t>ία, ομαλή και εναρμονισμένη εφαρμογή στο σύνολο της ΕΕ.</w:t>
      </w:r>
    </w:p>
    <w:p w:rsidR="00666905" w:rsidRDefault="001E19C2">
      <w:pPr>
        <w:pStyle w:val="ManualHeading1"/>
        <w:rPr>
          <w:noProof/>
        </w:rPr>
      </w:pPr>
      <w:r>
        <w:rPr>
          <w:noProof/>
        </w:rPr>
        <w:lastRenderedPageBreak/>
        <w:t>3.</w:t>
      </w:r>
      <w:r>
        <w:rPr>
          <w:noProof/>
        </w:rPr>
        <w:tab/>
        <w:t>ΠΟΡΙΣΜΑΤΑ ΤΩΝ ΕΚ ΤΩΝ ΥΣΤΕΡΩΝ ΑΞΙΟΛΟΓΗΣΕΩΝ, ΔΙΑΒΟΥΛΕΥΣΕΙΣ ΜΕ ΤΑ ΕΝΔΙΑΦΕΡΟΜΕΝΑ ΜΕΡΗ ΚΑΙ ΕΚΤΙΜΗΣΗ ΕΠΙΠΤΩΣΕΩΝ</w:t>
      </w:r>
    </w:p>
    <w:p w:rsidR="00666905" w:rsidRDefault="001E19C2">
      <w:pPr>
        <w:pStyle w:val="ManualHeading2"/>
        <w:rPr>
          <w:rFonts w:eastAsia="Arial Unicode MS"/>
          <w:noProof/>
          <w:u w:color="000000"/>
          <w:bdr w:val="nil"/>
        </w:rPr>
      </w:pPr>
      <w:r>
        <w:rPr>
          <w:noProof/>
        </w:rPr>
        <w:t>•</w:t>
      </w:r>
      <w:r>
        <w:rPr>
          <w:noProof/>
        </w:rPr>
        <w:tab/>
        <w:t>Εκ των υστέρων αξιολογήσεις/έλεγχοι καταλληλότητας της υφιστάμενης νομοθεσίας</w:t>
      </w:r>
    </w:p>
    <w:p w:rsidR="00666905" w:rsidRDefault="001E19C2">
      <w:pPr>
        <w:pBdr>
          <w:top w:val="nil"/>
          <w:left w:val="nil"/>
          <w:bottom w:val="nil"/>
          <w:right w:val="nil"/>
          <w:between w:val="nil"/>
          <w:bar w:val="nil"/>
        </w:pBdr>
        <w:spacing w:before="0" w:after="240"/>
        <w:rPr>
          <w:rFonts w:eastAsia="Arial Unicode MS"/>
          <w:noProof/>
          <w:szCs w:val="24"/>
        </w:rPr>
      </w:pPr>
      <w:r>
        <w:rPr>
          <w:noProof/>
        </w:rPr>
        <w:t>Η υφιστάμενη ισχύουσα νομοθεσία (οδηγία 2008/92/EΚ) καλύπτει μόνο τη συλλογή δεδομένων για τις τιμές του φυσικού αερίου και ηλεκτρικής ενέργειας για τον βιομηχανικό τομέα. Η χρησιμοποιούμενη μεθοδολογία για τις εν λόγω έρευνες τιμών, η οποία άρχισε να εφαρ</w:t>
      </w:r>
      <w:r>
        <w:rPr>
          <w:noProof/>
        </w:rPr>
        <w:t xml:space="preserve">μόζεται το 2007, αποδείχτηκε αποτελεσματική. </w:t>
      </w:r>
    </w:p>
    <w:p w:rsidR="00666905" w:rsidRDefault="001E19C2">
      <w:pPr>
        <w:pStyle w:val="ManualHeading2"/>
        <w:rPr>
          <w:rFonts w:eastAsia="Arial Unicode MS"/>
          <w:noProof/>
          <w:u w:color="000000"/>
          <w:bdr w:val="nil"/>
        </w:rPr>
      </w:pPr>
      <w:r>
        <w:rPr>
          <w:noProof/>
        </w:rPr>
        <w:t>•</w:t>
      </w:r>
      <w:r>
        <w:rPr>
          <w:noProof/>
        </w:rPr>
        <w:tab/>
        <w:t>Διαβουλεύσεις με τα ενδιαφερόμενα μέρη</w:t>
      </w:r>
    </w:p>
    <w:p w:rsidR="00666905" w:rsidRDefault="001E19C2">
      <w:pPr>
        <w:pBdr>
          <w:top w:val="nil"/>
          <w:left w:val="nil"/>
          <w:bottom w:val="nil"/>
          <w:right w:val="nil"/>
          <w:between w:val="nil"/>
          <w:bar w:val="nil"/>
        </w:pBdr>
        <w:spacing w:before="0" w:after="240"/>
        <w:rPr>
          <w:rFonts w:eastAsia="Arial Unicode MS"/>
          <w:noProof/>
        </w:rPr>
      </w:pPr>
      <w:r>
        <w:rPr>
          <w:noProof/>
        </w:rPr>
        <w:t>Μέλη της ομάδας εργασίας για τις στατιστικές ενέργειας (ΟΕΣΕ) συμμετείχαν εγγράφως σε διαβούλευση που οργάνωσε η Eurostat τον Ιανουάριο του 2015. Τα σχόλια και οι συστάσ</w:t>
      </w:r>
      <w:r>
        <w:rPr>
          <w:noProof/>
        </w:rPr>
        <w:t>εις τους λήφθηκαν υπόψη. Η έγγραφη διαβούλευση της ΟΕΣΕ οδήγησε στη μείωση του αριθμού των υποσυνιστωσών για τους φόρους και τις εισφορές (από 11 σε 6 υποσυνιστώσες) και στην κοινοποίηση σημαντικής μείωσης όσον αφορά τα δεδομένα για τις τιμές των δικτύων η</w:t>
      </w:r>
      <w:r>
        <w:rPr>
          <w:noProof/>
        </w:rPr>
        <w:t>λεκτρικής ενέργειας και φυσικού αερίου. Τα μέλη της ομάδας διευθυντών τομεακών και περιβαλλοντικών στατιστικών και λογαριασμών συμμετείχε σε έγγραφη διαβούλευση τον Μάιο και τον Ιούνιο του 2015. Ύστερα από την εν λόγω διαβούλευση επιμηκύνθηκαν οι προθεσμίε</w:t>
      </w:r>
      <w:r>
        <w:rPr>
          <w:noProof/>
        </w:rPr>
        <w:t>ς για την αίτηση παρέκκλισης όσον αφορά την υποβολή δεδομένων για τις συνιστώσες και/ή τις υποσυνιστώσες των τιμών. Όσον αφορά τις τιμές του φυσικού αεριού στον τομέα των νοικοκυριών, θεσπίστηκε ένα κατώτατο όριο, έτσι ώστε να μπορέσουν να εξαιρεθούν οι χώ</w:t>
      </w:r>
      <w:r>
        <w:rPr>
          <w:noProof/>
        </w:rPr>
        <w:t>ρες με χαμηλή κατανάλωση φυσικού αερίου στα νοικοκυριά. Το τροποποιημένο σχέδιο υποβλήθηκε σε συνεδρίαση της ανωτέρω ομάδας διευθυντών στις 11 Ιουνίου 2015 και σε συνεδρίαση της ΟΕΣΕ στις 24 Ιουνίου 2015.</w:t>
      </w:r>
    </w:p>
    <w:p w:rsidR="00666905" w:rsidRDefault="001E19C2">
      <w:pPr>
        <w:pStyle w:val="ManualHeading2"/>
        <w:rPr>
          <w:rFonts w:eastAsia="Arial Unicode MS"/>
          <w:noProof/>
          <w:u w:color="000000"/>
          <w:bdr w:val="nil"/>
        </w:rPr>
      </w:pPr>
      <w:r>
        <w:rPr>
          <w:noProof/>
        </w:rPr>
        <w:t>•</w:t>
      </w:r>
      <w:r>
        <w:rPr>
          <w:noProof/>
        </w:rPr>
        <w:tab/>
        <w:t>Συγκέντρωση και χρήση εμπειρογνωμοσύνης</w:t>
      </w:r>
    </w:p>
    <w:p w:rsidR="00666905" w:rsidRDefault="001E19C2">
      <w:pPr>
        <w:pBdr>
          <w:top w:val="nil"/>
          <w:left w:val="nil"/>
          <w:bottom w:val="nil"/>
          <w:right w:val="nil"/>
          <w:between w:val="nil"/>
          <w:bar w:val="nil"/>
        </w:pBdr>
        <w:spacing w:before="0" w:after="240"/>
        <w:rPr>
          <w:noProof/>
        </w:rPr>
      </w:pPr>
      <w:r>
        <w:rPr>
          <w:noProof/>
        </w:rPr>
        <w:t>Η Eurogas</w:t>
      </w:r>
      <w:r>
        <w:rPr>
          <w:noProof/>
        </w:rPr>
        <w:t xml:space="preserve"> και η Eurelectric, δύο ενώσεις που δραστηριοποιούνται στους τομείς του φυσικού αερίου και της ηλεκτρικής ενέργειας, συμμετείχαν σε διαβούλευση που διοργάνωσε η Eurostat ως προς τη σκοπιμότητα συλλογής των δεδομένων. Οι συστάσεις τους όσον αφορά τη διαθεσι</w:t>
      </w:r>
      <w:r>
        <w:rPr>
          <w:noProof/>
        </w:rPr>
        <w:t>μότητα των στοιχείων για τις υποσυνιστώσες των τιμών δικτύου ηλεκτρικής ενέργειας και φυσικού αερίου λήφθηκαν υπόψη.</w:t>
      </w:r>
    </w:p>
    <w:p w:rsidR="00666905" w:rsidRDefault="001E19C2">
      <w:pPr>
        <w:pStyle w:val="ManualHeading2"/>
        <w:rPr>
          <w:rFonts w:eastAsia="Arial Unicode MS"/>
          <w:noProof/>
          <w:u w:color="000000"/>
          <w:bdr w:val="nil"/>
        </w:rPr>
      </w:pPr>
      <w:r>
        <w:rPr>
          <w:noProof/>
        </w:rPr>
        <w:t>•</w:t>
      </w:r>
      <w:r>
        <w:rPr>
          <w:noProof/>
        </w:rPr>
        <w:tab/>
        <w:t>Καταλληλότητα και απλούστευση του ρυθμιστικού πλαισίου</w:t>
      </w:r>
    </w:p>
    <w:p w:rsidR="00666905" w:rsidRDefault="001E19C2">
      <w:pPr>
        <w:pBdr>
          <w:top w:val="nil"/>
          <w:left w:val="nil"/>
          <w:bottom w:val="nil"/>
          <w:right w:val="nil"/>
          <w:between w:val="nil"/>
          <w:bar w:val="nil"/>
        </w:pBdr>
        <w:spacing w:before="0" w:after="240"/>
        <w:rPr>
          <w:rFonts w:eastAsia="Arial Unicode MS"/>
          <w:noProof/>
        </w:rPr>
      </w:pPr>
      <w:r>
        <w:rPr>
          <w:noProof/>
        </w:rPr>
        <w:t>Ο διοικητικός φόρτος για τις αρχές υποβολής στοιχείων και την Επιτροπή δεν θα αυξη</w:t>
      </w:r>
      <w:r>
        <w:rPr>
          <w:noProof/>
        </w:rPr>
        <w:t>θεί σημαντικά, καθώς τα περισσότερα δεδομένα για τις τιμές υποβάλλονται ήδη σε εθελοντική βάση. Παρά το ότι στον κατάλογο των δεδομένων που πρέπει να υποβάλλονται προστέθηκαν μερικές υποσυνιστώσες για τους φόρους και τις τιμές του δικτύου, η συχνότητα υποβ</w:t>
      </w:r>
      <w:r>
        <w:rPr>
          <w:noProof/>
        </w:rPr>
        <w:t>ολής δεδομένων έγινε τριετής από ετήσια. Συνεπώς, ο συνολικός διοικητικός φόρτος αναμένεται να παραμείνει ο ίδιος.</w:t>
      </w:r>
    </w:p>
    <w:p w:rsidR="00666905" w:rsidRDefault="001E19C2">
      <w:pPr>
        <w:pStyle w:val="ManualHeading2"/>
        <w:rPr>
          <w:rFonts w:eastAsia="Arial Unicode MS"/>
          <w:noProof/>
          <w:u w:color="000000"/>
          <w:bdr w:val="nil"/>
        </w:rPr>
      </w:pPr>
      <w:r>
        <w:rPr>
          <w:noProof/>
        </w:rPr>
        <w:t>•</w:t>
      </w:r>
      <w:r>
        <w:rPr>
          <w:noProof/>
        </w:rPr>
        <w:tab/>
        <w:t>Εκτίμηση επιπτώσεων</w:t>
      </w:r>
    </w:p>
    <w:p w:rsidR="00666905" w:rsidRDefault="001E19C2">
      <w:pPr>
        <w:pBdr>
          <w:top w:val="nil"/>
          <w:left w:val="nil"/>
          <w:bottom w:val="nil"/>
          <w:right w:val="nil"/>
          <w:between w:val="nil"/>
          <w:bar w:val="nil"/>
        </w:pBdr>
        <w:spacing w:before="0" w:after="240"/>
        <w:rPr>
          <w:noProof/>
        </w:rPr>
      </w:pPr>
      <w:r>
        <w:rPr>
          <w:noProof/>
        </w:rPr>
        <w:t xml:space="preserve">Δεν διενεργείται εκτίμηση επιπτώσεων για την παρούσα πρόταση, καθώς δεν θα μεταβάλλει σημαντικά τις δραστηριότητες των </w:t>
      </w:r>
      <w:r>
        <w:rPr>
          <w:noProof/>
        </w:rPr>
        <w:t>αρχών υποβολής στοιχείων ή της Επιτροπής. Η λεπτομερής αιτιολόγηση της απόφασης να μη διενεργηθεί εκτίμηση επιπτώσεων παρατίθεται στον χάρτη πορείας της Επιτροπής που έχει δημοσιευτεί στην ιστοσελίδα της Επιτροπής: http://ec.europa.eu/smart-regulation/impa</w:t>
      </w:r>
      <w:r>
        <w:rPr>
          <w:noProof/>
        </w:rPr>
        <w:t>ct/planned_ia/docs/2014_estat_001_roadmap_electricityprices.pdf.</w:t>
      </w:r>
    </w:p>
    <w:p w:rsidR="00666905" w:rsidRDefault="001E19C2">
      <w:pPr>
        <w:pStyle w:val="ManualHeading2"/>
        <w:rPr>
          <w:rFonts w:eastAsia="Arial Unicode MS"/>
          <w:noProof/>
          <w:u w:color="000000"/>
          <w:bdr w:val="nil"/>
        </w:rPr>
      </w:pPr>
      <w:r>
        <w:rPr>
          <w:noProof/>
        </w:rPr>
        <w:t>•</w:t>
      </w:r>
      <w:r>
        <w:rPr>
          <w:noProof/>
        </w:rPr>
        <w:tab/>
        <w:t>Θεμελιώδη δικαιώματα</w:t>
      </w:r>
    </w:p>
    <w:p w:rsidR="00666905" w:rsidRDefault="001E19C2">
      <w:pPr>
        <w:pBdr>
          <w:top w:val="nil"/>
          <w:left w:val="nil"/>
          <w:bottom w:val="nil"/>
          <w:right w:val="nil"/>
          <w:between w:val="nil"/>
          <w:bar w:val="nil"/>
        </w:pBdr>
        <w:spacing w:before="0" w:after="240"/>
        <w:rPr>
          <w:rFonts w:eastAsia="Arial Unicode MS"/>
          <w:noProof/>
        </w:rPr>
      </w:pPr>
      <w:r>
        <w:rPr>
          <w:noProof/>
        </w:rPr>
        <w:t>Άνευ αντικειμένου.</w:t>
      </w:r>
    </w:p>
    <w:p w:rsidR="00666905" w:rsidRDefault="001E19C2">
      <w:pPr>
        <w:pStyle w:val="ManualHeading1"/>
        <w:rPr>
          <w:noProof/>
        </w:rPr>
      </w:pPr>
      <w:r>
        <w:rPr>
          <w:noProof/>
        </w:rPr>
        <w:t>4.</w:t>
      </w:r>
      <w:r>
        <w:rPr>
          <w:noProof/>
        </w:rPr>
        <w:tab/>
        <w:t>ΔΗΜΟΣΙΟΝΟΜΙΚΕΣ ΕΠΙΠΤΩΣΕΙΣ</w:t>
      </w:r>
    </w:p>
    <w:p w:rsidR="00666905" w:rsidRDefault="001E19C2">
      <w:pPr>
        <w:spacing w:before="60" w:after="60"/>
        <w:rPr>
          <w:noProof/>
          <w:szCs w:val="24"/>
        </w:rPr>
      </w:pPr>
      <w:r>
        <w:rPr>
          <w:noProof/>
        </w:rPr>
        <w:t xml:space="preserve">Η πρόταση δεν έχει επιπτώσεις στον προϋπολογισμό της ΕΕ. Καθώς δεν θα αυξηθούν σημαντικά οι δραστηριότητες, δεν θα </w:t>
      </w:r>
      <w:r>
        <w:rPr>
          <w:noProof/>
        </w:rPr>
        <w:t>προκύψουν πρόσθετες δαπάνες.</w:t>
      </w:r>
    </w:p>
    <w:p w:rsidR="00666905" w:rsidRDefault="001E19C2">
      <w:pPr>
        <w:pStyle w:val="ManualHeading1"/>
        <w:rPr>
          <w:noProof/>
        </w:rPr>
      </w:pPr>
      <w:r>
        <w:rPr>
          <w:noProof/>
        </w:rPr>
        <w:t>5.</w:t>
      </w:r>
      <w:r>
        <w:rPr>
          <w:noProof/>
        </w:rPr>
        <w:tab/>
        <w:t>ΑΛΛΕΣ ΠΤΥΧΕΣ</w:t>
      </w:r>
    </w:p>
    <w:p w:rsidR="00666905" w:rsidRDefault="001E19C2">
      <w:pPr>
        <w:pStyle w:val="ManualHeading2"/>
        <w:rPr>
          <w:rFonts w:eastAsia="Arial Unicode MS"/>
          <w:noProof/>
          <w:u w:color="000000"/>
          <w:bdr w:val="nil"/>
        </w:rPr>
      </w:pPr>
      <w:r>
        <w:rPr>
          <w:noProof/>
        </w:rPr>
        <w:t>•</w:t>
      </w:r>
      <w:r>
        <w:rPr>
          <w:noProof/>
        </w:rPr>
        <w:tab/>
        <w:t>Υλοποίηση σχεδίων και ρυθμίσεις σχετικά με την παρακολούθηση, την αξιολόγηση και την υποβολή εκθέσεων</w:t>
      </w:r>
    </w:p>
    <w:p w:rsidR="00666905" w:rsidRDefault="001E19C2">
      <w:pPr>
        <w:pBdr>
          <w:top w:val="nil"/>
          <w:left w:val="nil"/>
          <w:bottom w:val="nil"/>
          <w:right w:val="nil"/>
          <w:between w:val="nil"/>
          <w:bar w:val="nil"/>
        </w:pBdr>
        <w:spacing w:before="0" w:after="240"/>
        <w:rPr>
          <w:rFonts w:eastAsia="Arial Unicode MS"/>
          <w:noProof/>
        </w:rPr>
      </w:pPr>
      <w:r>
        <w:rPr>
          <w:noProof/>
        </w:rPr>
        <w:t>Ουδέν.</w:t>
      </w:r>
    </w:p>
    <w:p w:rsidR="00666905" w:rsidRDefault="001E19C2">
      <w:pPr>
        <w:pStyle w:val="ManualHeading2"/>
        <w:rPr>
          <w:rFonts w:eastAsia="Arial Unicode MS"/>
          <w:noProof/>
          <w:u w:color="000000"/>
          <w:bdr w:val="nil"/>
        </w:rPr>
      </w:pPr>
      <w:r>
        <w:rPr>
          <w:noProof/>
        </w:rPr>
        <w:t>•</w:t>
      </w:r>
      <w:r>
        <w:rPr>
          <w:noProof/>
        </w:rPr>
        <w:tab/>
        <w:t>Επεξηγηματικά έγγραφα (για τις οδηγίες)</w:t>
      </w:r>
    </w:p>
    <w:p w:rsidR="00666905" w:rsidRDefault="001E19C2">
      <w:pPr>
        <w:pBdr>
          <w:top w:val="nil"/>
          <w:left w:val="nil"/>
          <w:bottom w:val="nil"/>
          <w:right w:val="nil"/>
          <w:between w:val="nil"/>
          <w:bar w:val="nil"/>
        </w:pBdr>
        <w:spacing w:before="0" w:after="240"/>
        <w:rPr>
          <w:rFonts w:eastAsia="Arial Unicode MS"/>
          <w:noProof/>
        </w:rPr>
      </w:pPr>
      <w:r>
        <w:rPr>
          <w:noProof/>
        </w:rPr>
        <w:t>Άνευ αντικειμένου.</w:t>
      </w:r>
    </w:p>
    <w:p w:rsidR="00666905" w:rsidRDefault="001E19C2">
      <w:pPr>
        <w:pStyle w:val="ManualHeading2"/>
        <w:rPr>
          <w:rFonts w:eastAsia="Arial Unicode MS"/>
          <w:noProof/>
          <w:u w:color="000000"/>
          <w:bdr w:val="nil"/>
        </w:rPr>
      </w:pPr>
      <w:r>
        <w:rPr>
          <w:noProof/>
        </w:rPr>
        <w:t>•</w:t>
      </w:r>
      <w:r>
        <w:rPr>
          <w:noProof/>
        </w:rPr>
        <w:tab/>
        <w:t>Αναλυτική εξήγηση των ειδικών διατάξε</w:t>
      </w:r>
      <w:r>
        <w:rPr>
          <w:noProof/>
        </w:rPr>
        <w:t>ων της πρότασης</w:t>
      </w:r>
    </w:p>
    <w:p w:rsidR="00666905" w:rsidRDefault="001E19C2">
      <w:pPr>
        <w:pBdr>
          <w:top w:val="nil"/>
          <w:left w:val="nil"/>
          <w:bottom w:val="nil"/>
          <w:right w:val="nil"/>
          <w:between w:val="nil"/>
          <w:bar w:val="nil"/>
        </w:pBdr>
        <w:spacing w:before="0" w:after="240"/>
        <w:rPr>
          <w:noProof/>
        </w:rPr>
      </w:pPr>
      <w:r>
        <w:rPr>
          <w:noProof/>
        </w:rPr>
        <w:t>Αξιόπιστα, έγκαιρα και πλήρη στατιστικά δεδομένα για τις τιμές του φυσικού αερίου και της ηλεκτρικής ενέργειας αποτελούν σημαντική πηγή πληροφοριών για τους υπεύθυνους χάραξης των ευρωπαϊκών πολιτικών. Καθώς τα δεδομένα για τις τιμές του φυ</w:t>
      </w:r>
      <w:r>
        <w:rPr>
          <w:noProof/>
        </w:rPr>
        <w:t xml:space="preserve">σικού αερίου και της ηλεκτρικής ενέργειας στον τομέα των νοικοκυριών συλλέγονται βάσει εθελοντικής συμφωνίας, οι πάροχοι ατομικών δεδομένων (εταιρείες ηλεκτροδότησης ή παροχής φυσικού αερίου) μπορεί να αποφασίσουν να διακόψουν την εν λόγω εργασία. Καθώς η </w:t>
      </w:r>
      <w:r>
        <w:rPr>
          <w:noProof/>
        </w:rPr>
        <w:t>συλλογή δεδομένων θα ρυθμίζεται από νομικό πλαίσιο, θα κατοχυρωθεί η αδιάλειπτη κοινοποίηση των δεδομένων.</w:t>
      </w:r>
    </w:p>
    <w:p w:rsidR="00666905" w:rsidRDefault="001E19C2">
      <w:pPr>
        <w:pBdr>
          <w:top w:val="nil"/>
          <w:left w:val="nil"/>
          <w:bottom w:val="nil"/>
          <w:right w:val="nil"/>
          <w:between w:val="nil"/>
          <w:bar w:val="nil"/>
        </w:pBdr>
        <w:spacing w:before="0" w:after="240"/>
        <w:rPr>
          <w:rFonts w:eastAsia="Arial Unicode MS"/>
          <w:noProof/>
        </w:rPr>
      </w:pPr>
      <w:r>
        <w:rPr>
          <w:noProof/>
        </w:rPr>
        <w:t>Για να αναλυθούν οι κύριοι παράγοντες διαμόρφωσης των τιμών ηλεκτρικής ενέργειας και φυσικού αερίου, δεν επαρκούν μόνο οι τελικές τιμές του φυσικού α</w:t>
      </w:r>
      <w:r>
        <w:rPr>
          <w:noProof/>
        </w:rPr>
        <w:t>ερίου και της ηλεκτρικής ενέργειας ούτε οι τιμές του δικτύου, οι φόροι και οι τιμές του προϊόντος. Για να προσδιοριστούν οι παράγοντες που διαμορφώνουν τις τιμές, προστέθηκε μια δέσμη από μεταβλητές (υποσυνιστώσες) στη συλλογή δεδομένων που θα επιτρέψει λε</w:t>
      </w:r>
      <w:r>
        <w:rPr>
          <w:noProof/>
        </w:rPr>
        <w:t xml:space="preserve">πτομερέστερη ανάλυση των δεδομένων που συλλέγονται βάσει εναρμονισμένης μεθοδολογίας. </w:t>
      </w:r>
    </w:p>
    <w:p w:rsidR="00666905" w:rsidRDefault="001E19C2">
      <w:pPr>
        <w:autoSpaceDE w:val="0"/>
        <w:autoSpaceDN w:val="0"/>
        <w:adjustRightInd w:val="0"/>
        <w:spacing w:before="0" w:after="0"/>
        <w:jc w:val="left"/>
        <w:rPr>
          <w:b/>
          <w:bCs/>
          <w:noProof/>
          <w:szCs w:val="24"/>
        </w:rPr>
      </w:pPr>
      <w:r>
        <w:rPr>
          <w:b/>
          <w:noProof/>
        </w:rPr>
        <w:t>Ευρωπαϊκός Οικονομικός Χώρος</w:t>
      </w:r>
    </w:p>
    <w:p w:rsidR="00666905" w:rsidRDefault="001E19C2">
      <w:pPr>
        <w:autoSpaceDE w:val="0"/>
        <w:autoSpaceDN w:val="0"/>
        <w:adjustRightInd w:val="0"/>
        <w:spacing w:before="0" w:after="0"/>
        <w:jc w:val="left"/>
        <w:rPr>
          <w:noProof/>
          <w:szCs w:val="24"/>
        </w:rPr>
      </w:pPr>
      <w:r>
        <w:rPr>
          <w:noProof/>
        </w:rPr>
        <w:t>Η προτεινόμενη πράξη αφορά θέμα του Ευρωπαϊκού Οικονομικού Χώρου (ΕΟΧ) και, ως εκ τούτου, θα πρέπει να επεκταθεί στον ΕΟΧ.</w:t>
      </w:r>
    </w:p>
    <w:p w:rsidR="00666905" w:rsidRDefault="00666905">
      <w:pPr>
        <w:rPr>
          <w:noProof/>
        </w:rPr>
        <w:sectPr w:rsidR="00666905">
          <w:footerReference w:type="default" r:id="rId11"/>
          <w:footerReference w:type="first" r:id="rId12"/>
          <w:pgSz w:w="11907" w:h="16839"/>
          <w:pgMar w:top="1134" w:right="1417" w:bottom="1134" w:left="1417" w:header="709" w:footer="709" w:gutter="0"/>
          <w:cols w:space="708"/>
          <w:docGrid w:linePitch="360"/>
        </w:sectPr>
      </w:pPr>
    </w:p>
    <w:p w:rsidR="00666905" w:rsidRDefault="001E19C2">
      <w:pPr>
        <w:pStyle w:val="Rfrenceinterinstitutionnelle"/>
        <w:rPr>
          <w:noProof/>
        </w:rPr>
      </w:pPr>
      <w:r>
        <w:rPr>
          <w:noProof/>
        </w:rPr>
        <w:t>2015/0239 (COD)</w:t>
      </w:r>
    </w:p>
    <w:p w:rsidR="00666905" w:rsidRDefault="001E19C2">
      <w:pPr>
        <w:pStyle w:val="Statut"/>
        <w:rPr>
          <w:noProof/>
        </w:rPr>
      </w:pPr>
      <w:r>
        <w:rPr>
          <w:noProof/>
        </w:rPr>
        <w:t>Πρόταση</w:t>
      </w:r>
    </w:p>
    <w:p w:rsidR="00666905" w:rsidRDefault="001E19C2">
      <w:pPr>
        <w:pStyle w:val="Typedudocument"/>
        <w:rPr>
          <w:noProof/>
        </w:rPr>
      </w:pPr>
      <w:r>
        <w:rPr>
          <w:noProof/>
        </w:rPr>
        <w:t>ΚΑΝΟΝΙΣΜΟΣ ΤΟΥ ΕΥΡΩΠΑΪΚΟΥ ΚΟΙΝΟΒΟΥΛΙΟΥ ΚΑΙ ΤΟΥ ΣΥΜΒΟΥΛΙΟΥ</w:t>
      </w:r>
    </w:p>
    <w:p w:rsidR="00666905" w:rsidRDefault="001E19C2">
      <w:pPr>
        <w:pStyle w:val="Titreobjet"/>
        <w:rPr>
          <w:noProof/>
        </w:rPr>
      </w:pPr>
      <w:r>
        <w:rPr>
          <w:noProof/>
        </w:rPr>
        <w:t xml:space="preserve">σχετικά με τις ευρωπαϊκές στατιστικές όσον αφορά τις τιμές φυσικού αερίου και ηλεκτρικής </w:t>
      </w:r>
      <w:r>
        <w:rPr>
          <w:noProof/>
        </w:rPr>
        <w:t>ενέργειας και για την κατάργηση της οδηγίας 2008/92/ΕΚ του Ευρωπαϊκού Κοινοβουλίου και του Συμβουλίου σχετικά με κοινοτική διαδικασία για τη βελτίωση της διαφάνειας των τιμών αερίου και ηλεκτρικής ενέργειας για τον τελικό βιομηχανικό καταναλωτή</w:t>
      </w:r>
    </w:p>
    <w:p w:rsidR="00666905" w:rsidRDefault="001E19C2">
      <w:pPr>
        <w:pStyle w:val="IntrtEEE"/>
        <w:rPr>
          <w:noProof/>
        </w:rPr>
      </w:pPr>
      <w:r>
        <w:rPr>
          <w:noProof/>
        </w:rPr>
        <w:t>(Κείμενο πο</w:t>
      </w:r>
      <w:r>
        <w:rPr>
          <w:noProof/>
        </w:rPr>
        <w:t>υ παρουσιάζει ενδιαφέρον για τον ΕΟΧ)</w:t>
      </w:r>
    </w:p>
    <w:p w:rsidR="00666905" w:rsidRDefault="001E19C2">
      <w:pPr>
        <w:rPr>
          <w:noProof/>
        </w:rPr>
      </w:pPr>
      <w:r>
        <w:rPr>
          <w:noProof/>
        </w:rPr>
        <w:t>ΤΟ ΕΥΡΩΠΑΪΚΟ ΚΟΙΝΟΒΟΥΛΙΟ ΚΑΙ ΤΟ ΣΥΜΒΟΥΛΙΟ ΤΗΣ ΕΥΡΩΠΑΪΚΗΣ ΕΝΩΣΗΣ,</w:t>
      </w:r>
    </w:p>
    <w:p w:rsidR="00666905" w:rsidRDefault="001E19C2">
      <w:pPr>
        <w:pStyle w:val="Titrearticle"/>
        <w:jc w:val="left"/>
        <w:rPr>
          <w:bCs/>
          <w:i w:val="0"/>
          <w:noProof/>
        </w:rPr>
      </w:pPr>
      <w:r>
        <w:rPr>
          <w:i w:val="0"/>
          <w:noProof/>
        </w:rPr>
        <w:t>Έχοντας υπόψη τη Συνθήκη για τη λειτουργία της Ευρωπαϊκής Ένωσης, και ιδίως το άρθρο 338 παράγραφος 1,</w:t>
      </w:r>
    </w:p>
    <w:p w:rsidR="00666905" w:rsidRDefault="001E19C2">
      <w:pPr>
        <w:pStyle w:val="Titrearticle"/>
        <w:spacing w:before="0"/>
        <w:jc w:val="left"/>
        <w:rPr>
          <w:bCs/>
          <w:i w:val="0"/>
          <w:noProof/>
        </w:rPr>
      </w:pPr>
      <w:r>
        <w:rPr>
          <w:i w:val="0"/>
          <w:noProof/>
        </w:rPr>
        <w:t>Έχοντας υπόψη την πρόταση της Ευρωπαϊκής Επιτροπής</w:t>
      </w:r>
      <w:r>
        <w:rPr>
          <w:i w:val="0"/>
          <w:noProof/>
        </w:rPr>
        <w:t>,</w:t>
      </w:r>
    </w:p>
    <w:p w:rsidR="00666905" w:rsidRDefault="001E19C2">
      <w:pPr>
        <w:pStyle w:val="Titrearticle"/>
        <w:spacing w:before="120"/>
        <w:jc w:val="left"/>
        <w:rPr>
          <w:bCs/>
          <w:i w:val="0"/>
          <w:noProof/>
        </w:rPr>
      </w:pPr>
      <w:r>
        <w:rPr>
          <w:i w:val="0"/>
          <w:noProof/>
        </w:rPr>
        <w:t>Κατόπιν διαβίβασης του σχεδίου νομοθετικής πράξης στα εθνικά κοινοβούλια,</w:t>
      </w:r>
    </w:p>
    <w:p w:rsidR="00666905" w:rsidRDefault="001E19C2">
      <w:pPr>
        <w:pStyle w:val="Titrearticle"/>
        <w:spacing w:before="120"/>
        <w:jc w:val="left"/>
        <w:rPr>
          <w:bCs/>
          <w:i w:val="0"/>
          <w:noProof/>
        </w:rPr>
      </w:pPr>
      <w:r>
        <w:rPr>
          <w:i w:val="0"/>
          <w:noProof/>
        </w:rPr>
        <w:t>Αποφασίζοντας σύμφωνα με τη συνήθη νομοθετική διαδικασία,</w:t>
      </w:r>
      <w:r>
        <w:rPr>
          <w:rStyle w:val="FootnoteReference"/>
          <w:i w:val="0"/>
          <w:noProof/>
        </w:rPr>
        <w:footnoteReference w:id="1"/>
      </w:r>
    </w:p>
    <w:p w:rsidR="00666905" w:rsidRDefault="001E19C2">
      <w:pPr>
        <w:pStyle w:val="Titrearticle"/>
        <w:spacing w:before="120"/>
        <w:jc w:val="left"/>
        <w:rPr>
          <w:bCs/>
          <w:i w:val="0"/>
          <w:noProof/>
        </w:rPr>
      </w:pPr>
      <w:r>
        <w:rPr>
          <w:i w:val="0"/>
          <w:noProof/>
        </w:rPr>
        <w:t>Εκτιμώντας τα ακόλουθα:</w:t>
      </w:r>
    </w:p>
    <w:p w:rsidR="00666905" w:rsidRDefault="001E19C2">
      <w:pPr>
        <w:pStyle w:val="ListNumber"/>
        <w:rPr>
          <w:noProof/>
        </w:rPr>
      </w:pPr>
      <w:r>
        <w:rPr>
          <w:noProof/>
        </w:rPr>
        <w:t xml:space="preserve">Η ανταγωνιστικότητα, η βιωσιμότητα και η ενεργειακή ασφάλεια αποτελούν τους πρωταρχικούς στόχους </w:t>
      </w:r>
      <w:r>
        <w:rPr>
          <w:noProof/>
        </w:rPr>
        <w:t>μιας ισχυρής ενεργειακής ένωσης, την οποία θα υποστηρίζει μια πολιτική για την κλιματική μεταβολή προσανατολισμένη στο μέλλον.</w:t>
      </w:r>
    </w:p>
    <w:p w:rsidR="00666905" w:rsidRDefault="001E19C2">
      <w:pPr>
        <w:pStyle w:val="ListNumber"/>
        <w:rPr>
          <w:noProof/>
        </w:rPr>
      </w:pPr>
      <w:r>
        <w:rPr>
          <w:noProof/>
        </w:rPr>
        <w:t xml:space="preserve">Χρειάζονται υψηλής ποιότητας, συγκρίσιμα, ενημερωμένα, αξιόπιστα και εναρμονισμένα στοιχεία για τις τιμές του φυσικού αερίου και </w:t>
      </w:r>
      <w:r>
        <w:rPr>
          <w:noProof/>
        </w:rPr>
        <w:t>της ηλεκτρικής ενέργειας που χρεώνονται στους τελικούς πελάτες, έτσι ώστε να χαράσσεται η πολιτική για την ενεργειακή ένωση και να παρακολουθούνται οι αγορές ενέργειας των κρατών μελών.</w:t>
      </w:r>
    </w:p>
    <w:p w:rsidR="00666905" w:rsidRDefault="001E19C2">
      <w:pPr>
        <w:pStyle w:val="ListNumber"/>
        <w:rPr>
          <w:bCs/>
          <w:noProof/>
        </w:rPr>
      </w:pPr>
      <w:r>
        <w:rPr>
          <w:noProof/>
        </w:rPr>
        <w:t>Ο παρών κανονισμός έχει σκοπό να παράσχει ευρωπαϊκές στατιστικές που θ</w:t>
      </w:r>
      <w:r>
        <w:rPr>
          <w:noProof/>
        </w:rPr>
        <w:t>α υποστηρίζουν τις ενεργειακές πολιτικές, ιδίως με στόχο τη δημιουργία μιας πλήρως ολοκληρωμένης εσωτερικής αγοράς ενέργειας για τους πελάτες. Θα πρέπει να εξασφαλιστεί μεγαλύτερη διαφάνεια για το κόστος και τις τιμές της ενέργειας, καθώς και στο επίπεδο τ</w:t>
      </w:r>
      <w:r>
        <w:rPr>
          <w:noProof/>
        </w:rPr>
        <w:t>ης δημόσιας στήριξης, έτσι ώστε να βελτιωθεί η ολοκλήρωση της αγοράς.</w:t>
      </w:r>
    </w:p>
    <w:p w:rsidR="00666905" w:rsidRDefault="001E19C2">
      <w:pPr>
        <w:pStyle w:val="ListNumber"/>
        <w:rPr>
          <w:bCs/>
          <w:noProof/>
        </w:rPr>
      </w:pPr>
      <w:r>
        <w:rPr>
          <w:noProof/>
        </w:rPr>
        <w:t>Μέχρι στιγμής η οδηγία 2008/92/EΚ του Ευρωπαϊκού Κοινοβουλίου και του Συμβουλίου</w:t>
      </w:r>
      <w:r>
        <w:rPr>
          <w:rStyle w:val="FootnoteReference"/>
          <w:noProof/>
        </w:rPr>
        <w:footnoteReference w:id="2"/>
      </w:r>
      <w:r>
        <w:rPr>
          <w:noProof/>
        </w:rPr>
        <w:t xml:space="preserve"> παρείχε ένα κοινό πλαίσιο για την παραγωγή, τη διαβίβαση και τη διάδοση συγκρίσιμων στατιστικών για τις </w:t>
      </w:r>
      <w:r>
        <w:rPr>
          <w:noProof/>
        </w:rPr>
        <w:t>λιανικές τιμές του φυσικού αερίου και της ηλεκτρικής ενέργειας που χρεώνονται στους βιομηχανικούς πελάτες στην Ένωση.</w:t>
      </w:r>
    </w:p>
    <w:p w:rsidR="00666905" w:rsidRDefault="001E19C2">
      <w:pPr>
        <w:pStyle w:val="ListNumber"/>
        <w:rPr>
          <w:bCs/>
          <w:noProof/>
        </w:rPr>
      </w:pPr>
      <w:r>
        <w:rPr>
          <w:noProof/>
        </w:rPr>
        <w:t>Η συλλογή δεδομένων για τις λιανικές τιμές φυσικού αερίου και ηλεκτρικής ενέργειας που χρεώνονται στους τελικούς πελάτες στον τομέα των νο</w:t>
      </w:r>
      <w:r>
        <w:rPr>
          <w:noProof/>
        </w:rPr>
        <w:t>ικοκυριών γινόταν μέχρι στιγμής σε εθελοντική βάση.</w:t>
      </w:r>
    </w:p>
    <w:p w:rsidR="00666905" w:rsidRDefault="001E19C2">
      <w:pPr>
        <w:pStyle w:val="ListNumber"/>
        <w:rPr>
          <w:bCs/>
          <w:noProof/>
        </w:rPr>
      </w:pPr>
      <w:r>
        <w:rPr>
          <w:noProof/>
        </w:rPr>
        <w:t>Η αυξανόμενη πολυπλοκότητα της εσωτερικής αγοράς ενέργειας κάνει όλο και δυσκολότερη τη συλλογή αξιόπιστων και ενημερωμένων δεδομένων για τις τιμές του φυσικού αερίου και της ηλεκτρικής ενέργειας, καθώς ε</w:t>
      </w:r>
      <w:r>
        <w:rPr>
          <w:noProof/>
        </w:rPr>
        <w:t>κλείπουν νομικώς δεσμευτικές υποχρεώσεις για την παροχή των εν λόγω δεδομένων, ιδίως για τον τομέα των νοικοκυριών.</w:t>
      </w:r>
    </w:p>
    <w:p w:rsidR="00666905" w:rsidRDefault="001E19C2">
      <w:pPr>
        <w:pStyle w:val="ListNumber"/>
        <w:rPr>
          <w:bCs/>
          <w:noProof/>
        </w:rPr>
      </w:pPr>
      <w:r>
        <w:rPr>
          <w:noProof/>
        </w:rPr>
        <w:t>Για να εξασφαλιστεί η υποβολή υψηλής ποιότητας δεδομένων για τις τιμές στον τομέα των οικιακών και των μη οικιακών πελατών, η συλλογή και τω</w:t>
      </w:r>
      <w:r>
        <w:rPr>
          <w:noProof/>
        </w:rPr>
        <w:t>ν δύο τύπων δεδομένων θα πρέπει να καλύπτεται από νομική πράξη.</w:t>
      </w:r>
    </w:p>
    <w:p w:rsidR="00666905" w:rsidRDefault="001E19C2">
      <w:pPr>
        <w:pStyle w:val="ListNumber"/>
        <w:rPr>
          <w:noProof/>
        </w:rPr>
      </w:pPr>
      <w:r>
        <w:rPr>
          <w:noProof/>
        </w:rPr>
        <w:t>Στις περισσότερες χώρες υπάρχουν διαθέσιμα δεδομένα σχετικά με τα συστήματα μεταφοράς από τις ρυθμιστικές αρχές των αγορών ενέργειας. Ωστόσο, στη συλλογή δεδομένων σχετικά με το κόστος διανομή</w:t>
      </w:r>
      <w:r>
        <w:rPr>
          <w:noProof/>
        </w:rPr>
        <w:t xml:space="preserve">ς εμπλέκεται ένας πολύ μεγαλύτερος αριθμός φορέων και σε ορισμένα κράτη μέλη η συγκέντρωσή τους κρίνεται πιο επαχθής. Λόγω της σημασίας που έχει το κόστος διανομής και της ανάγκης να υπάρξει διαφάνεια ως προς το θέμα αυτό, η συλλογή δεδομένων θα πρέπει να </w:t>
      </w:r>
      <w:r>
        <w:rPr>
          <w:noProof/>
        </w:rPr>
        <w:t>εναρμονιστεί με τη βοήθεια σωστής μεθοδολογίας.</w:t>
      </w:r>
    </w:p>
    <w:p w:rsidR="00666905" w:rsidRDefault="001E19C2">
      <w:pPr>
        <w:pStyle w:val="ListNumber"/>
        <w:rPr>
          <w:bCs/>
          <w:noProof/>
        </w:rPr>
      </w:pPr>
      <w:r>
        <w:rPr>
          <w:noProof/>
        </w:rPr>
        <w:t>Το σύστημα των επιπέδων κατανάλωσης που εφαρμόζει η Επιτροπή (Eurostat), όταν δημοσιεύει τις τιμές, κρίνεται ότι εξασφαλίζει τη διαφάνεια της αγοράς και την ευρεία διάδοση των μη εμπιστευτικών δεδομένων για τ</w:t>
      </w:r>
      <w:r>
        <w:rPr>
          <w:noProof/>
        </w:rPr>
        <w:t>ις τιμές, καθώς και ότι επιτρέπει τον υπολογισμό συγκεντρωτικών ευρωπαϊκών στοιχείων.</w:t>
      </w:r>
    </w:p>
    <w:p w:rsidR="00666905" w:rsidRDefault="001E19C2">
      <w:pPr>
        <w:pStyle w:val="ListNumber"/>
        <w:rPr>
          <w:bCs/>
          <w:noProof/>
        </w:rPr>
      </w:pPr>
      <w:r>
        <w:rPr>
          <w:noProof/>
        </w:rPr>
        <w:t>Ο κανονισμός (ΕΚ) αριθ. 223/2009 του Ευρωπαϊκού Κοινοβουλίου και του Συμβουλίου</w:t>
      </w:r>
      <w:r>
        <w:rPr>
          <w:rStyle w:val="FootnoteReference"/>
          <w:noProof/>
        </w:rPr>
        <w:footnoteReference w:id="3"/>
      </w:r>
      <w:r>
        <w:rPr>
          <w:noProof/>
        </w:rPr>
        <w:t xml:space="preserve"> ορίζει ότι οι στατιστικές πρέπει να παράγονται σύμφωνα με τις αρχές της αμεροληψίας, της </w:t>
      </w:r>
      <w:r>
        <w:rPr>
          <w:noProof/>
        </w:rPr>
        <w:t>διαφάνειας, της αξιοπιστίας, της αντικειμενικότητας, της επαγγελματικής ανεξαρτησίας και της σχέσης κόστους-αποτελεσματικότητας, ενώ παράλληλα πρέπει να προστατεύεται το στατιστικό απόρρητο.</w:t>
      </w:r>
    </w:p>
    <w:p w:rsidR="00666905" w:rsidRDefault="001E19C2">
      <w:pPr>
        <w:pStyle w:val="ListNumber"/>
        <w:rPr>
          <w:bCs/>
          <w:noProof/>
        </w:rPr>
      </w:pPr>
      <w:r>
        <w:rPr>
          <w:noProof/>
        </w:rPr>
        <w:t>Τα στοιχεία σχετικά με την τιμολόγηση των τελικών πελατών φυσικού</w:t>
      </w:r>
      <w:r>
        <w:rPr>
          <w:noProof/>
        </w:rPr>
        <w:t xml:space="preserve"> αερίου και ηλεκτρικής ενέργειας θα πρέπει να επιτρέπουν τις συγκρίσεις με τις τιμές άλλων βασικών ενεργειακών προϊόντων.</w:t>
      </w:r>
    </w:p>
    <w:p w:rsidR="00666905" w:rsidRDefault="001E19C2">
      <w:pPr>
        <w:pStyle w:val="ListNumber"/>
        <w:rPr>
          <w:bCs/>
          <w:noProof/>
        </w:rPr>
      </w:pPr>
      <w:r>
        <w:rPr>
          <w:noProof/>
        </w:rPr>
        <w:t>Οι πληροφορίες σχετικά με τη συλλογή δεδομένων για τις τιμές και την ποιότητα θα πρέπει να παρέχονται στο πλαίσιο τυποποιημένης διαδικ</w:t>
      </w:r>
      <w:r>
        <w:rPr>
          <w:noProof/>
        </w:rPr>
        <w:t>ασίας υποβολής στοιχείων.</w:t>
      </w:r>
    </w:p>
    <w:p w:rsidR="00666905" w:rsidRDefault="001E19C2">
      <w:pPr>
        <w:pStyle w:val="ListNumber"/>
        <w:rPr>
          <w:bCs/>
          <w:noProof/>
        </w:rPr>
      </w:pPr>
      <w:r>
        <w:rPr>
          <w:noProof/>
        </w:rPr>
        <w:t>Λεπτομερή δεδομένα σχετικά με την ανάλυση των επιπέδων κατανάλωσης και των αντίστοιχων μεριδίων τους στην αγορά αποτελούν αναπόσπαστο τμήμα των στατιστικών για τις τιμές του φυσικού αερίου και της ηλεκτρικής ενέργειας.</w:t>
      </w:r>
    </w:p>
    <w:p w:rsidR="00666905" w:rsidRDefault="001E19C2">
      <w:pPr>
        <w:pStyle w:val="ListNumber"/>
        <w:rPr>
          <w:bCs/>
          <w:noProof/>
        </w:rPr>
      </w:pPr>
      <w:r>
        <w:rPr>
          <w:noProof/>
        </w:rPr>
        <w:t>Η ανάλυση τ</w:t>
      </w:r>
      <w:r>
        <w:rPr>
          <w:noProof/>
        </w:rPr>
        <w:t>ων τιμών είναι δυνατή μόνο εάν τα κράτη μέλη παρέχουν επίσημα στατιστικά στοιχεία υψηλής ποιότητας σχετικά με τις διάφορες συνιστώσες και υποσυνιστώσες των τιμών φυσικού αερίου και ηλεκτρικής ενέργειας. Η υιοθέτηση μιας αναθεωρημένης μεθοδολογίας για την κ</w:t>
      </w:r>
      <w:r>
        <w:rPr>
          <w:noProof/>
        </w:rPr>
        <w:t>ατάρτιση λεπτομερούς ανάλυσης σχετικά με τις διάφορες συνιστώσες και υποσυνιστώσες των τιμών φυσικού αερίου και ηλεκτρικής ενέργειας που χρεώνονται στους τελικούς πελάτες θα επιτρέψει την ανάλυση του αντικτύπου που έχουν διάφορες πτυχές στις τελικές τιμές.</w:t>
      </w:r>
    </w:p>
    <w:p w:rsidR="00666905" w:rsidRDefault="001E19C2">
      <w:pPr>
        <w:pStyle w:val="ListNumber"/>
        <w:rPr>
          <w:bCs/>
          <w:noProof/>
        </w:rPr>
      </w:pPr>
      <w:r>
        <w:rPr>
          <w:noProof/>
        </w:rPr>
        <w:t>Τα δεδομένα που παρέχονται στην Επιτροπή (Eurostat) για τις τιμές και τις συνθήκες πώλησης στους τελικούς πελάτες, καθώς και η ανάλυση του αριθμού των τελικών πελατών ανά κατανάλωση για κάθε επίπεδο κατανάλωσης, αναμένεται να εφοδιάσουν την Επιτροπή με τι</w:t>
      </w:r>
      <w:r>
        <w:rPr>
          <w:noProof/>
        </w:rPr>
        <w:t>ς κατάλληλες πληροφορίες που θα της επιτρέψουν να προσδιορίζει τα κατάλληλα μέτρα ή τις προτάσεις της σχετικά με την ενεργειακή πολιτική.</w:t>
      </w:r>
    </w:p>
    <w:p w:rsidR="00666905" w:rsidRDefault="001E19C2">
      <w:pPr>
        <w:pStyle w:val="ListNumber"/>
        <w:rPr>
          <w:bCs/>
          <w:noProof/>
        </w:rPr>
      </w:pPr>
      <w:r>
        <w:rPr>
          <w:noProof/>
        </w:rPr>
        <w:t>Η επαρκής κατανόηση των φόρων και των χρεώσεων σε κάθε κράτος μέλος είναι καίρια για την εξασφάλιση της διαφάνειας των</w:t>
      </w:r>
      <w:r>
        <w:rPr>
          <w:noProof/>
        </w:rPr>
        <w:t xml:space="preserve"> τιμών. Αναγνωρίζεται η σημασία της αναλυτικής παρουσίασης των δεδομένων σχετικά με τις δαπάνες του δικτύου, τις χρεώσεις, τους φόρους, τις εισφορές και τα τέλη.</w:t>
      </w:r>
    </w:p>
    <w:p w:rsidR="00666905" w:rsidRDefault="001E19C2">
      <w:pPr>
        <w:pStyle w:val="ListNumber"/>
        <w:rPr>
          <w:bCs/>
          <w:noProof/>
        </w:rPr>
      </w:pPr>
      <w:r>
        <w:rPr>
          <w:noProof/>
        </w:rPr>
        <w:t>Τα κράτη μέλη στα οποία η κατανάλωση φυσικού αερίου ως ποσοστό της τελικής ενεργειακής κατανάλ</w:t>
      </w:r>
      <w:r>
        <w:rPr>
          <w:noProof/>
        </w:rPr>
        <w:t>ωσης των νοικοκυριών είναι χαμηλή θα πρέπει να εξαιρούνται από την υποχρέωση παροχής δεδομένων για τις τιμές του φυσικού αερίου για τους τελικούς οικιακούς πελάτες.</w:t>
      </w:r>
    </w:p>
    <w:p w:rsidR="00666905" w:rsidRDefault="001E19C2">
      <w:pPr>
        <w:pStyle w:val="ListNumber"/>
        <w:rPr>
          <w:bCs/>
          <w:noProof/>
        </w:rPr>
      </w:pPr>
      <w:r>
        <w:rPr>
          <w:noProof/>
        </w:rPr>
        <w:t xml:space="preserve">Με σκοπό τη βελτίωση της αξιοπιστίας των δεδομένων η Επιτροπή (Eurostat), σε συνεργασία με </w:t>
      </w:r>
      <w:r>
        <w:rPr>
          <w:noProof/>
        </w:rPr>
        <w:t>τα κράτη μέλη, θα πρέπει να αξιολογεί και, αν κρίνεται απαραίτητο, να βελτιώνει τη μεθοδολογία για τη συλλογή και την επεξεργασία των δεδομένων μέσα σε ένα ακριβές πλαίσιο, ευθυγραμμισμένο με τη διακυβέρνηση για τις στατιστικές. Συνεπώς, θα πρέπει σε τακτι</w:t>
      </w:r>
      <w:r>
        <w:rPr>
          <w:noProof/>
        </w:rPr>
        <w:t>κή βάση να καταρτίζονται εκθέσεις ποιότητας και να διενεργούνται αξιολογήσεις της ποιότητας των δεδομένων για τις τιμές.</w:t>
      </w:r>
    </w:p>
    <w:p w:rsidR="00666905" w:rsidRDefault="001E19C2">
      <w:pPr>
        <w:pStyle w:val="ListNumber"/>
        <w:rPr>
          <w:noProof/>
        </w:rPr>
      </w:pPr>
      <w:r>
        <w:rPr>
          <w:noProof/>
        </w:rPr>
        <w:t xml:space="preserve">Σε συνέχεια αιτιολογημένης αίτησης κράτους μέλους η Επιτροπή μπορεί να χορηγεί παρεκκλίσεις σε κράτη μέλη αναφορικά με την τήρηση </w:t>
      </w:r>
      <w:r>
        <w:rPr>
          <w:noProof/>
        </w:rPr>
        <w:t>συγκεκριμένων υποχρεώσεων του παρόντος κανονισμού, η εφαρμογή των οποίων στο εθνικό στατιστικό σύστημα κράτους μέλους απαιτεί μείζονες προσαρμογές και είναι πιθανόν να δημιουργήσει σημαντικό επιπρόσθετο φόρτο για τους ερωτώμενους.</w:t>
      </w:r>
    </w:p>
    <w:p w:rsidR="00666905" w:rsidRDefault="001E19C2">
      <w:pPr>
        <w:pStyle w:val="ListNumber"/>
        <w:rPr>
          <w:noProof/>
        </w:rPr>
      </w:pPr>
      <w:r>
        <w:rPr>
          <w:noProof/>
        </w:rPr>
        <w:t>Για να διατηρηθεί η υψηλή</w:t>
      </w:r>
      <w:r>
        <w:rPr>
          <w:noProof/>
        </w:rPr>
        <w:t xml:space="preserve"> ποιότητα των δεδομένων που παρέχουν τα κράτη μέλη, θα πρέπει να ανατεθεί στην Επιτροπή η εξουσία έκδοσης πράξεων σύμφωνα με το άρθρο 290 της Συνθήκης για τη λειτουργία της Ευρωπαϊκής Ένωσης, έτσι ώστε να προσαρμόζονται τα κατώτατα όρια που μπορεί να ισχύο</w:t>
      </w:r>
      <w:r>
        <w:rPr>
          <w:noProof/>
        </w:rPr>
        <w:t>υν για την αγορά φυσικού αερίου.  Είναι ιδιαίτερα σημαντικό να διεξάγει η Επιτροπή τις κατάλληλες διαβουλεύσεις κατά τις προπαρασκευαστικές εργασίες, μεταξύ άλλων και σε επίπεδο εμπειρογνωμόνων. Η Επιτροπή, όταν ετοιμάζει και συντάσσει κατ’ εξουσιοδότηση π</w:t>
      </w:r>
      <w:r>
        <w:rPr>
          <w:noProof/>
        </w:rPr>
        <w:t>ράξεις, θα πρέπει να εξασφαλίζει την ταυτόχρονη, έγκαιρη και κατάλληλη διαβίβαση των σχετικών εγγράφων στο Ευρωπαϊκό Κοινοβούλιο και στο Συμβούλιο.</w:t>
      </w:r>
    </w:p>
    <w:p w:rsidR="00666905" w:rsidRDefault="001E19C2">
      <w:pPr>
        <w:pStyle w:val="ListNumber"/>
        <w:rPr>
          <w:noProof/>
        </w:rPr>
      </w:pPr>
      <w:r>
        <w:rPr>
          <w:noProof/>
        </w:rPr>
        <w:t>Η Επιτροπή θα πρέπει να μεριμνά ώστε οι κατ’ εξουσιοδότηση πράξεις να μη συνεπάγονται σημαντική πρόσθετη διο</w:t>
      </w:r>
      <w:r>
        <w:rPr>
          <w:noProof/>
        </w:rPr>
        <w:t>ικητική επιβάρυνση για τα κράτη μέλη ή τους ερωτώμενους.</w:t>
      </w:r>
    </w:p>
    <w:p w:rsidR="00666905" w:rsidRDefault="001E19C2">
      <w:pPr>
        <w:pStyle w:val="ListNumber"/>
        <w:rPr>
          <w:bCs/>
          <w:noProof/>
        </w:rPr>
      </w:pPr>
      <w:r>
        <w:rPr>
          <w:noProof/>
        </w:rPr>
        <w:t>Για να εξασφαλιστούν ομοιόμορφες συνθήκες εφαρμογής του κανονισμού, θα πρέπει να ανατεθούν εκτελεστικές εξουσίες στην Επιτροπή όσον αφορά τη μορφή και τον τρόπο διαβίβασης των δεδομένων, καθώς και τι</w:t>
      </w:r>
      <w:r>
        <w:rPr>
          <w:noProof/>
        </w:rPr>
        <w:t xml:space="preserve">ς απαιτήσεις και τις πτυχές για τις εκθέσεις ποιότητας, τη δομή και τη συγκρισιμότητά τους, όπως επίσης και τη χορήγηση παρεκκλίσεων. Οι αρμοδιότητες αυτές θα πρέπει να ασκούνται σύμφωνα με τον κανονισμό (ΕΕ) αριθ. 182/2011 του Ευρωπαϊκού Κοινοβουλίου και </w:t>
      </w:r>
      <w:r>
        <w:rPr>
          <w:noProof/>
        </w:rPr>
        <w:t>του Συμβουλίου, της 16ης Φεβρουαρίου 2001, για τη θέσπιση κανόνων και γενικών αρχών σχετικά με τους τρόπους ελέγχου από τα κράτη μέλη της άσκησης των εκτελεστικών αρμοδιοτήτων από την Επιτροπή.</w:t>
      </w:r>
    </w:p>
    <w:p w:rsidR="00666905" w:rsidRDefault="001E19C2">
      <w:pPr>
        <w:pStyle w:val="ListNumber"/>
        <w:rPr>
          <w:bCs/>
          <w:noProof/>
        </w:rPr>
      </w:pPr>
      <w:r>
        <w:rPr>
          <w:noProof/>
        </w:rPr>
        <w:t>Η οδηγία 2008/92/ΕΚ καταργείται.</w:t>
      </w:r>
    </w:p>
    <w:p w:rsidR="00666905" w:rsidRDefault="001E19C2">
      <w:pPr>
        <w:pStyle w:val="ListNumber"/>
        <w:rPr>
          <w:bCs/>
          <w:noProof/>
        </w:rPr>
      </w:pPr>
      <w:r>
        <w:rPr>
          <w:noProof/>
        </w:rPr>
        <w:t>Ζητήθηκε η γνωμοδότηση της επ</w:t>
      </w:r>
      <w:r>
        <w:rPr>
          <w:noProof/>
        </w:rPr>
        <w:t>ιτροπής ευρωπαϊκού στατιστικού συστήματος,</w:t>
      </w:r>
    </w:p>
    <w:p w:rsidR="00666905" w:rsidRDefault="001E19C2">
      <w:pPr>
        <w:pStyle w:val="Titrearticle"/>
        <w:jc w:val="left"/>
        <w:rPr>
          <w:bCs/>
          <w:i w:val="0"/>
          <w:noProof/>
        </w:rPr>
      </w:pPr>
      <w:r>
        <w:rPr>
          <w:i w:val="0"/>
          <w:noProof/>
        </w:rPr>
        <w:t>ΕΞΕΔΩΣΑΝ ΤΟΝ ΠΑΡΟΝΤΑ ΚΑΝΟΝΙΣΜΟ:</w:t>
      </w:r>
    </w:p>
    <w:p w:rsidR="00666905" w:rsidRDefault="001E19C2">
      <w:pPr>
        <w:pStyle w:val="Titrearticle"/>
        <w:rPr>
          <w:noProof/>
        </w:rPr>
      </w:pPr>
      <w:r>
        <w:rPr>
          <w:noProof/>
        </w:rPr>
        <w:t>Άρθρο 1</w:t>
      </w:r>
    </w:p>
    <w:p w:rsidR="00666905" w:rsidRDefault="001E19C2">
      <w:pPr>
        <w:jc w:val="center"/>
        <w:rPr>
          <w:b/>
          <w:noProof/>
        </w:rPr>
      </w:pPr>
      <w:r>
        <w:rPr>
          <w:b/>
          <w:noProof/>
        </w:rPr>
        <w:t>Αντικείμενο</w:t>
      </w:r>
    </w:p>
    <w:p w:rsidR="00666905" w:rsidRDefault="001E19C2">
      <w:pPr>
        <w:tabs>
          <w:tab w:val="left" w:pos="0"/>
        </w:tabs>
        <w:rPr>
          <w:noProof/>
        </w:rPr>
      </w:pPr>
      <w:r>
        <w:rPr>
          <w:noProof/>
        </w:rPr>
        <w:t xml:space="preserve">Ο παρών κανονισμός θεσπίζει ένα κοινό πλαίσιο για την ανάπτυξη, την παραγωγή και τη διάδοση συγκρίσιμων ευρωπαϊκών στατιστικών σχετικά με τις τιμές του φυσικού </w:t>
      </w:r>
      <w:r>
        <w:rPr>
          <w:noProof/>
        </w:rPr>
        <w:t>αερίου και της ηλεκτρικής ενέργειας για τους οικιακούς και τους τελικούς μη οικιακούς πελάτες στην ΕΕ.</w:t>
      </w:r>
    </w:p>
    <w:p w:rsidR="00666905" w:rsidRDefault="001E19C2">
      <w:pPr>
        <w:pStyle w:val="Titrearticle"/>
        <w:rPr>
          <w:noProof/>
        </w:rPr>
      </w:pPr>
      <w:r>
        <w:rPr>
          <w:noProof/>
        </w:rPr>
        <w:t>Άρθρο 2</w:t>
      </w:r>
    </w:p>
    <w:p w:rsidR="00666905" w:rsidRDefault="001E19C2">
      <w:pPr>
        <w:jc w:val="center"/>
        <w:rPr>
          <w:b/>
          <w:noProof/>
        </w:rPr>
      </w:pPr>
      <w:r>
        <w:rPr>
          <w:b/>
          <w:noProof/>
        </w:rPr>
        <w:t>Ορισμοί</w:t>
      </w:r>
    </w:p>
    <w:p w:rsidR="00666905" w:rsidRDefault="001E19C2">
      <w:pPr>
        <w:rPr>
          <w:noProof/>
        </w:rPr>
      </w:pPr>
      <w:r>
        <w:rPr>
          <w:noProof/>
        </w:rPr>
        <w:t>Για τους σκοπούς του παρόντος κανονισμού, νοείται ότι οι όροι:</w:t>
      </w:r>
    </w:p>
    <w:p w:rsidR="00666905" w:rsidRDefault="001E19C2">
      <w:pPr>
        <w:pStyle w:val="Point0number"/>
        <w:numPr>
          <w:ilvl w:val="0"/>
          <w:numId w:val="10"/>
        </w:numPr>
        <w:rPr>
          <w:noProof/>
        </w:rPr>
      </w:pPr>
      <w:r>
        <w:rPr>
          <w:noProof/>
        </w:rPr>
        <w:t xml:space="preserve">«νοικοκυριό», «τελική κατανάλωση ενέργειας» και «αυτοπαραγωγοί» έχουν την </w:t>
      </w:r>
      <w:r>
        <w:rPr>
          <w:noProof/>
        </w:rPr>
        <w:t>ίδια έννοια που έχουν στο παράρτημα Α του κανονισμού (ΕΚ) αριθ. 1099/2008 του Ευρωπαϊκού Κοινοβουλίου και του Συμβουλίου</w:t>
      </w:r>
      <w:r>
        <w:rPr>
          <w:rStyle w:val="FootnoteReference"/>
          <w:noProof/>
        </w:rPr>
        <w:footnoteReference w:id="4"/>
      </w:r>
      <w:r>
        <w:rPr>
          <w:noProof/>
        </w:rPr>
        <w:t>·</w:t>
      </w:r>
    </w:p>
    <w:p w:rsidR="00666905" w:rsidRDefault="001E19C2">
      <w:pPr>
        <w:pStyle w:val="Point0number"/>
        <w:numPr>
          <w:ilvl w:val="0"/>
          <w:numId w:val="10"/>
        </w:numPr>
        <w:rPr>
          <w:noProof/>
        </w:rPr>
      </w:pPr>
      <w:r>
        <w:rPr>
          <w:noProof/>
        </w:rPr>
        <w:t>«πελάτης», «τελικός πελάτης», «οικιακός πελάτης», «μη οικιακός πελάτης», «μεταφορά», «διανομή» και «προμήθεια» όσον αφορά την ηλεκτρι</w:t>
      </w:r>
      <w:r>
        <w:rPr>
          <w:noProof/>
        </w:rPr>
        <w:t>κή ενέργεια έχουν την ίδια έννοια που έχουν στην οδηγία 2009/72/EΚ του Ευρωπαϊκού Κοινοβουλίου και του Συμβουλίου</w:t>
      </w:r>
      <w:r>
        <w:rPr>
          <w:rStyle w:val="FootnoteReference"/>
          <w:noProof/>
        </w:rPr>
        <w:footnoteReference w:id="5"/>
      </w:r>
      <w:r>
        <w:rPr>
          <w:noProof/>
        </w:rPr>
        <w:t>, όταν χρησιμοποιούνται αναφορικά με την ηλεκτρική ενέργεια·</w:t>
      </w:r>
    </w:p>
    <w:p w:rsidR="00666905" w:rsidRDefault="001E19C2">
      <w:pPr>
        <w:pStyle w:val="Point0number"/>
        <w:numPr>
          <w:ilvl w:val="0"/>
          <w:numId w:val="10"/>
        </w:numPr>
        <w:rPr>
          <w:noProof/>
        </w:rPr>
      </w:pPr>
      <w:r>
        <w:rPr>
          <w:noProof/>
        </w:rPr>
        <w:t>«πελάτης», «τελικός πελάτης», «οικιακός πελάτης», «μη οικιακός πελάτης», «μεταφορ</w:t>
      </w:r>
      <w:r>
        <w:rPr>
          <w:noProof/>
        </w:rPr>
        <w:t>ά», «διανομή» και «προμήθεια» όσον αφορά το φυσικό αέριο έχουν την ίδια έννοια που έχουν στην οδηγία 2009/73/EΚ του Ευρωπαϊκού Κοινοβουλίου και του Συμβουλίου</w:t>
      </w:r>
      <w:r>
        <w:rPr>
          <w:rStyle w:val="FootnoteReference"/>
          <w:noProof/>
        </w:rPr>
        <w:footnoteReference w:id="6"/>
      </w:r>
      <w:r>
        <w:rPr>
          <w:noProof/>
        </w:rPr>
        <w:t>, όταν χρησιμοποιούνται αναφορικά με το φυσικό αέριο·</w:t>
      </w:r>
    </w:p>
    <w:p w:rsidR="00666905" w:rsidRDefault="001E19C2">
      <w:pPr>
        <w:pStyle w:val="Point0number"/>
        <w:numPr>
          <w:ilvl w:val="0"/>
          <w:numId w:val="10"/>
        </w:numPr>
        <w:rPr>
          <w:noProof/>
        </w:rPr>
      </w:pPr>
      <w:r>
        <w:rPr>
          <w:noProof/>
        </w:rPr>
        <w:t xml:space="preserve">«συνιστώσα δικτύου» είναι ο συνδυασμός του </w:t>
      </w:r>
      <w:r>
        <w:rPr>
          <w:noProof/>
        </w:rPr>
        <w:t>κόστους διανομής και μεταφοράς, όπως αναφέρεται στο σημείο 6 του παραρτήματος Ι και στο σημείο 5 του παραρτήματος ΙΙ.</w:t>
      </w:r>
    </w:p>
    <w:p w:rsidR="00666905" w:rsidRDefault="001E19C2">
      <w:pPr>
        <w:pStyle w:val="Titrearticle"/>
        <w:rPr>
          <w:noProof/>
        </w:rPr>
      </w:pPr>
      <w:r>
        <w:rPr>
          <w:noProof/>
        </w:rPr>
        <w:t>Άρθρο 3</w:t>
      </w:r>
    </w:p>
    <w:p w:rsidR="00666905" w:rsidRDefault="001E19C2">
      <w:pPr>
        <w:jc w:val="center"/>
        <w:rPr>
          <w:b/>
          <w:noProof/>
        </w:rPr>
      </w:pPr>
      <w:r>
        <w:rPr>
          <w:b/>
          <w:noProof/>
        </w:rPr>
        <w:t>Πηγές δεδομένων</w:t>
      </w:r>
    </w:p>
    <w:p w:rsidR="00666905" w:rsidRDefault="001E19C2">
      <w:pPr>
        <w:tabs>
          <w:tab w:val="left" w:pos="0"/>
        </w:tabs>
        <w:rPr>
          <w:noProof/>
        </w:rPr>
      </w:pPr>
      <w:r>
        <w:rPr>
          <w:noProof/>
        </w:rPr>
        <w:t xml:space="preserve">Σεβόμενα τις αρχές της διατήρησης μειωμένου φόρτου για τους ερωτώμενους και της διοικητικής απλοποίησης, τα κράτη </w:t>
      </w:r>
      <w:r>
        <w:rPr>
          <w:noProof/>
        </w:rPr>
        <w:t xml:space="preserve">μέλη συλλέγουν δεδομένα για τις τιμές του φυσικού αερίου και της ηλεκτρικής ενέργειας και τις υποσυνιστώσες τους όσον αφορά τις δαπάνες του δικτύου και τους φόρους, τις εισφορές, τα τέλη και τις χρεώσεις που αναφέρονται στα παραρτήματα Ι και ΙΙ, καθώς και </w:t>
      </w:r>
      <w:r>
        <w:rPr>
          <w:noProof/>
        </w:rPr>
        <w:t>τους όγκους κατανάλωσης και καταρτίζουν έκθεση ποιότητας χρησιμοποιώντας τις ακόλουθες πηγές:</w:t>
      </w:r>
    </w:p>
    <w:p w:rsidR="00666905" w:rsidRDefault="001E19C2">
      <w:pPr>
        <w:pStyle w:val="Point0"/>
        <w:rPr>
          <w:noProof/>
        </w:rPr>
      </w:pPr>
      <w:r>
        <w:rPr>
          <w:noProof/>
        </w:rPr>
        <w:t>α)</w:t>
      </w:r>
      <w:r>
        <w:rPr>
          <w:noProof/>
        </w:rPr>
        <w:tab/>
        <w:t>ειδικές στατιστικές έρευνες σχετικά με τις λιανικές τιμές του φυσικού αερίου και της ηλεκτρικής ενέργειας που απευθύνονται στους παραγωγούς ή τους εμπόρους, το</w:t>
      </w:r>
      <w:r>
        <w:rPr>
          <w:noProof/>
        </w:rPr>
        <w:t>υς διαχειριστές των συστημάτων μεταφοράς και διανομής, τους εισαγωγείς ή εξαγωγείς ενεργειακών προϊόντων, καθώς και τις εταιρείες προμήθειας·</w:t>
      </w:r>
    </w:p>
    <w:p w:rsidR="00666905" w:rsidRDefault="001E19C2">
      <w:pPr>
        <w:pStyle w:val="Point0"/>
        <w:rPr>
          <w:noProof/>
        </w:rPr>
      </w:pPr>
      <w:r>
        <w:rPr>
          <w:noProof/>
        </w:rPr>
        <w:t>β)</w:t>
      </w:r>
      <w:r>
        <w:rPr>
          <w:noProof/>
        </w:rPr>
        <w:tab/>
        <w:t xml:space="preserve">άλλες στατιστικές έρευνες που απευθύνονται στους πελάτες στον τομέα των νοικοκυριών και στους τελικούς πελάτες </w:t>
      </w:r>
      <w:r>
        <w:rPr>
          <w:noProof/>
        </w:rPr>
        <w:t>στον τομέα των μη οικιακών πελατών·</w:t>
      </w:r>
    </w:p>
    <w:p w:rsidR="00666905" w:rsidRDefault="001E19C2">
      <w:pPr>
        <w:pStyle w:val="Point0"/>
        <w:rPr>
          <w:noProof/>
        </w:rPr>
      </w:pPr>
      <w:r>
        <w:rPr>
          <w:noProof/>
        </w:rPr>
        <w:t>γ)</w:t>
      </w:r>
      <w:r>
        <w:rPr>
          <w:noProof/>
        </w:rPr>
        <w:tab/>
        <w:t>διοικητικές πηγές, όπως οι πηγές που διαθέτουν εθνικές ρυθμιστικές αρχές των αγορών φυσικού αερίου και ηλεκτρικής ενέργειας·</w:t>
      </w:r>
    </w:p>
    <w:p w:rsidR="00666905" w:rsidRDefault="001E19C2">
      <w:pPr>
        <w:pStyle w:val="Point0"/>
        <w:rPr>
          <w:noProof/>
        </w:rPr>
      </w:pPr>
      <w:r>
        <w:rPr>
          <w:noProof/>
        </w:rPr>
        <w:t>δ)</w:t>
      </w:r>
      <w:r>
        <w:rPr>
          <w:noProof/>
        </w:rPr>
        <w:tab/>
        <w:t>άλλες πηγές που εφαρμόζουν διαδικασίες ορθής στατιστικής εκτίμησης.</w:t>
      </w:r>
    </w:p>
    <w:p w:rsidR="00666905" w:rsidRDefault="001E19C2">
      <w:pPr>
        <w:jc w:val="center"/>
        <w:rPr>
          <w:noProof/>
        </w:rPr>
      </w:pPr>
      <w:r>
        <w:rPr>
          <w:noProof/>
        </w:rPr>
        <w:t>Άρθρο 4</w:t>
      </w:r>
    </w:p>
    <w:p w:rsidR="00666905" w:rsidRDefault="001E19C2">
      <w:pPr>
        <w:jc w:val="center"/>
        <w:rPr>
          <w:b/>
          <w:noProof/>
        </w:rPr>
      </w:pPr>
      <w:r>
        <w:rPr>
          <w:b/>
          <w:noProof/>
        </w:rPr>
        <w:t>Κάλυψη</w:t>
      </w:r>
    </w:p>
    <w:p w:rsidR="00666905" w:rsidRDefault="001E19C2">
      <w:pPr>
        <w:pStyle w:val="Point0number"/>
        <w:numPr>
          <w:ilvl w:val="0"/>
          <w:numId w:val="11"/>
        </w:numPr>
        <w:rPr>
          <w:noProof/>
        </w:rPr>
      </w:pPr>
      <w:r>
        <w:rPr>
          <w:noProof/>
        </w:rPr>
        <w:t xml:space="preserve">Τα </w:t>
      </w:r>
      <w:r>
        <w:rPr>
          <w:noProof/>
        </w:rPr>
        <w:t>κράτη μέλη εξασφαλίζουν ότι η συλλογή δεδομένων και το σύστημα συγκέντρωσής τους είναι αντιπροσωπευτικά.</w:t>
      </w:r>
    </w:p>
    <w:p w:rsidR="00666905" w:rsidRDefault="001E19C2">
      <w:pPr>
        <w:pStyle w:val="Point0number"/>
        <w:numPr>
          <w:ilvl w:val="0"/>
          <w:numId w:val="11"/>
        </w:numPr>
        <w:rPr>
          <w:noProof/>
        </w:rPr>
      </w:pPr>
      <w:r>
        <w:rPr>
          <w:noProof/>
        </w:rPr>
        <w:t>Τα κράτη μέλη δεν υποχρεώνονται να διαβιβάζουν δεδομένα για τις τιμές του φυσικού αερίου προς οικιακούς πελάτες στην Επιτροπή (Eurostat), εάν η κατανάλ</w:t>
      </w:r>
      <w:r>
        <w:rPr>
          <w:noProof/>
        </w:rPr>
        <w:t>ωση φυσικού αερίου στον τομέα των νοικοκυριών είναι κάτω από το όριο του 1% της εθνικής συνολικής κατανάλωσης ενέργειας στον τομέα αυτό. Η Επιτροπή (Eurostat) προβαίνει σε τακτική επισκόπηση, τουλάχιστον κάθε 3 έτη, σχετικά με το ποια κράτη μέλη, με βάση τ</w:t>
      </w:r>
      <w:r>
        <w:rPr>
          <w:noProof/>
        </w:rPr>
        <w:t>ην κατανάλωση φυσικού αερίου στον τομέα των νοικοκυριών της χώρας τους, μπορούν να εξαιρούνται από την υποχρέωση διαβίβασης δεδομένων.</w:t>
      </w:r>
    </w:p>
    <w:p w:rsidR="00666905" w:rsidRDefault="001E19C2">
      <w:pPr>
        <w:pStyle w:val="Point0number"/>
        <w:numPr>
          <w:ilvl w:val="0"/>
          <w:numId w:val="11"/>
        </w:numPr>
        <w:rPr>
          <w:noProof/>
        </w:rPr>
      </w:pPr>
      <w:r>
        <w:rPr>
          <w:noProof/>
        </w:rPr>
        <w:t>Στην Επιτροπή ανατίθεται η εξουσία έκδοσης κατ’ εξουσιοδότηση πράξεων σύμφωνα με το άρθρο 10 λαμβάνοντας υπόψη τις οικονο</w:t>
      </w:r>
      <w:r>
        <w:rPr>
          <w:noProof/>
        </w:rPr>
        <w:t>μικές και τεχνικές τάσεις, όσον αφορά την προσαρμογή του κατώτατου ορίου.</w:t>
      </w:r>
    </w:p>
    <w:p w:rsidR="00666905" w:rsidRDefault="001E19C2">
      <w:pPr>
        <w:jc w:val="center"/>
        <w:rPr>
          <w:noProof/>
        </w:rPr>
      </w:pPr>
      <w:r>
        <w:rPr>
          <w:i/>
          <w:noProof/>
        </w:rPr>
        <w:br w:type="page"/>
      </w:r>
      <w:bookmarkStart w:id="0" w:name="_GoBack"/>
      <w:bookmarkEnd w:id="0"/>
      <w:r>
        <w:rPr>
          <w:i/>
          <w:noProof/>
        </w:rPr>
        <w:t>Άρθρο 5</w:t>
      </w:r>
    </w:p>
    <w:p w:rsidR="00666905" w:rsidRDefault="001E19C2">
      <w:pPr>
        <w:jc w:val="center"/>
        <w:rPr>
          <w:b/>
          <w:noProof/>
        </w:rPr>
      </w:pPr>
      <w:r>
        <w:rPr>
          <w:b/>
          <w:noProof/>
        </w:rPr>
        <w:t>Διαβίβαση δεδομένων</w:t>
      </w:r>
    </w:p>
    <w:p w:rsidR="00666905" w:rsidRDefault="001E19C2">
      <w:pPr>
        <w:pStyle w:val="Point0number"/>
        <w:numPr>
          <w:ilvl w:val="0"/>
          <w:numId w:val="12"/>
        </w:numPr>
        <w:ind w:hanging="720"/>
        <w:rPr>
          <w:noProof/>
        </w:rPr>
      </w:pPr>
      <w:r>
        <w:rPr>
          <w:noProof/>
        </w:rPr>
        <w:t>Τα κράτη μέλη παρέχουν στην Επιτροπή (Eurostat) τα δεδομένα που παρατίθενται στα παραρτήματα I και ΙΙ.</w:t>
      </w:r>
    </w:p>
    <w:p w:rsidR="00666905" w:rsidRDefault="001E19C2">
      <w:pPr>
        <w:pStyle w:val="Point0number"/>
        <w:numPr>
          <w:ilvl w:val="0"/>
          <w:numId w:val="12"/>
        </w:numPr>
        <w:ind w:hanging="720"/>
        <w:rPr>
          <w:noProof/>
        </w:rPr>
      </w:pPr>
      <w:r>
        <w:rPr>
          <w:noProof/>
        </w:rPr>
        <w:t>Η Επιτροπή καθορίζει και αποφασίζει, μέσω κατ’ εξου</w:t>
      </w:r>
      <w:r>
        <w:rPr>
          <w:noProof/>
        </w:rPr>
        <w:t>σιοδότηση πράξεων, τη μορφή και τον τρόπο για τη διαβίβαση των δεδομένων που παρατίθενται στα παραρτήματα. Οι εν λόγω εκτελεστικές πράξεις εκδίδονται σύμφωνα με τη διαδικασία εξέτασης του άρθρου 11 παράγραφος 2.</w:t>
      </w:r>
    </w:p>
    <w:p w:rsidR="00666905" w:rsidRDefault="001E19C2">
      <w:pPr>
        <w:pStyle w:val="Titrearticle"/>
        <w:rPr>
          <w:noProof/>
        </w:rPr>
      </w:pPr>
      <w:r>
        <w:rPr>
          <w:noProof/>
        </w:rPr>
        <w:t>Άρθρο 6</w:t>
      </w:r>
    </w:p>
    <w:p w:rsidR="00666905" w:rsidRDefault="001E19C2">
      <w:pPr>
        <w:jc w:val="center"/>
        <w:rPr>
          <w:b/>
          <w:noProof/>
        </w:rPr>
      </w:pPr>
      <w:r>
        <w:rPr>
          <w:b/>
          <w:noProof/>
        </w:rPr>
        <w:t>Περίοδος αναφοράς και συχνότητα διαβ</w:t>
      </w:r>
      <w:r>
        <w:rPr>
          <w:b/>
          <w:noProof/>
        </w:rPr>
        <w:t>ίβασης</w:t>
      </w:r>
    </w:p>
    <w:p w:rsidR="00666905" w:rsidRDefault="001E19C2">
      <w:pPr>
        <w:pStyle w:val="Point0number"/>
        <w:numPr>
          <w:ilvl w:val="0"/>
          <w:numId w:val="13"/>
        </w:numPr>
        <w:ind w:hanging="720"/>
        <w:rPr>
          <w:noProof/>
        </w:rPr>
      </w:pPr>
      <w:r>
        <w:rPr>
          <w:noProof/>
        </w:rPr>
        <w:t>Τα κράτη μέλη συγκεντρώνουν όλα τα δεδομένα που προβλέπονται στα παραρτήματα του παρόντος κανονισμού από την έναρξη του ημερολογιακού έτους που ακολουθεί την έκδοση του παρόντος κανονισμού και παρέχουν στατιστικές στην Επιτροπή (Eurostat) εντός τριώ</w:t>
      </w:r>
      <w:r>
        <w:rPr>
          <w:noProof/>
        </w:rPr>
        <w:t>ν μηνών από το πέρας της περιόδου αναφοράς.</w:t>
      </w:r>
    </w:p>
    <w:p w:rsidR="00666905" w:rsidRDefault="001E19C2">
      <w:pPr>
        <w:pStyle w:val="Point0number"/>
        <w:numPr>
          <w:ilvl w:val="0"/>
          <w:numId w:val="13"/>
        </w:numPr>
        <w:ind w:hanging="720"/>
        <w:rPr>
          <w:noProof/>
        </w:rPr>
      </w:pPr>
      <w:r>
        <w:rPr>
          <w:noProof/>
        </w:rPr>
        <w:t>Η συχνότητα διαβίβασης έχει ως εξής:</w:t>
      </w:r>
    </w:p>
    <w:p w:rsidR="00666905" w:rsidRDefault="001E19C2">
      <w:pPr>
        <w:pStyle w:val="Point0"/>
        <w:ind w:firstLine="0"/>
        <w:rPr>
          <w:noProof/>
        </w:rPr>
      </w:pPr>
      <w:r>
        <w:rPr>
          <w:noProof/>
        </w:rPr>
        <w:t>α)</w:t>
      </w:r>
      <w:r>
        <w:rPr>
          <w:noProof/>
        </w:rPr>
        <w:tab/>
        <w:t>ετήσια (από Ιανουάριο έως Δεκέμβριο) για τα δεδομένα που αναφέρονται στο σημείο 6 στοιχείο α) και στο σημείο 7 του παραρτήματος Ι, καθώς και στο σημείο 5 στοιχείο α) και στ</w:t>
      </w:r>
      <w:r>
        <w:rPr>
          <w:noProof/>
        </w:rPr>
        <w:t>ο σημείο 6 του παραρτήματος ΙΙ·</w:t>
      </w:r>
    </w:p>
    <w:p w:rsidR="00666905" w:rsidRDefault="001E19C2">
      <w:pPr>
        <w:pStyle w:val="Point0"/>
        <w:ind w:firstLine="0"/>
        <w:rPr>
          <w:noProof/>
        </w:rPr>
      </w:pPr>
      <w:r>
        <w:rPr>
          <w:noProof/>
        </w:rPr>
        <w:t>β)</w:t>
      </w:r>
      <w:r>
        <w:rPr>
          <w:noProof/>
        </w:rPr>
        <w:tab/>
        <w:t>εξαμηνιαία (από Ιανουάριο έως Ιούνιο και από Ιούλιο έως Δεκέμβριο) για τα δεδομένα που αναφέρονται στο σημείο 6 στοιχείο β) του παραρτήματος Ι, καθώς και στο σημείο 5 στοιχείο β) του παραρτήματος ΙΙ·</w:t>
      </w:r>
    </w:p>
    <w:p w:rsidR="00666905" w:rsidRDefault="001E19C2">
      <w:pPr>
        <w:jc w:val="center"/>
        <w:rPr>
          <w:noProof/>
        </w:rPr>
      </w:pPr>
      <w:r>
        <w:rPr>
          <w:i/>
          <w:noProof/>
        </w:rPr>
        <w:t>Άρθρο 7</w:t>
      </w:r>
    </w:p>
    <w:p w:rsidR="00666905" w:rsidRDefault="001E19C2">
      <w:pPr>
        <w:jc w:val="center"/>
        <w:rPr>
          <w:b/>
          <w:noProof/>
        </w:rPr>
      </w:pPr>
      <w:r>
        <w:rPr>
          <w:b/>
          <w:noProof/>
        </w:rPr>
        <w:t>Αξιολόγηση κα</w:t>
      </w:r>
      <w:r>
        <w:rPr>
          <w:b/>
          <w:noProof/>
        </w:rPr>
        <w:t>ι εκθέσεις ποιότητας</w:t>
      </w:r>
    </w:p>
    <w:p w:rsidR="00666905" w:rsidRDefault="001E19C2">
      <w:pPr>
        <w:pStyle w:val="Point0number"/>
        <w:numPr>
          <w:ilvl w:val="0"/>
          <w:numId w:val="14"/>
        </w:numPr>
        <w:ind w:hanging="720"/>
        <w:rPr>
          <w:noProof/>
        </w:rPr>
      </w:pPr>
      <w:r>
        <w:rPr>
          <w:noProof/>
        </w:rPr>
        <w:t>Τα κράτη μέλη εξασφαλίζουν την ποιότητα των δεδομένων σύμφωνα με τα κριτήρια ποιότητας που αναφέρονται στο άρθρο 12 παράγραφος 1 του κανονισμού (ΕΚ) αριθ. 223/2009.</w:t>
      </w:r>
    </w:p>
    <w:p w:rsidR="00666905" w:rsidRDefault="001E19C2">
      <w:pPr>
        <w:pStyle w:val="Point0number"/>
        <w:numPr>
          <w:ilvl w:val="0"/>
          <w:numId w:val="14"/>
        </w:numPr>
        <w:ind w:hanging="720"/>
        <w:rPr>
          <w:noProof/>
        </w:rPr>
      </w:pPr>
      <w:r>
        <w:rPr>
          <w:noProof/>
        </w:rPr>
        <w:t xml:space="preserve">Τα κράτη μέλη ενημερώνουν αμελλητί την Επιτροπή (Eurostat) σχετικά με </w:t>
      </w:r>
      <w:r>
        <w:rPr>
          <w:noProof/>
        </w:rPr>
        <w:t>τυχόν μεθοδολογικές ή άλλες αλλαγές που μπορεί να έχουν σημαντικό αντίκτυπο στις στατιστικές για τις τιμές του φυσικού αερίου και της ηλεκτρικής ενέργειας και το αργότερο ένα μήνα μετά την επέλευση της αλλαγής.</w:t>
      </w:r>
    </w:p>
    <w:p w:rsidR="00666905" w:rsidRDefault="001E19C2">
      <w:pPr>
        <w:pStyle w:val="Point0number"/>
        <w:numPr>
          <w:ilvl w:val="0"/>
          <w:numId w:val="14"/>
        </w:numPr>
        <w:ind w:hanging="720"/>
        <w:rPr>
          <w:noProof/>
        </w:rPr>
      </w:pPr>
      <w:r>
        <w:rPr>
          <w:noProof/>
        </w:rPr>
        <w:t>Τα κράτη μέλη υποβάλλουν στην Επιτροπή (Euros</w:t>
      </w:r>
      <w:r>
        <w:rPr>
          <w:noProof/>
        </w:rPr>
        <w:t xml:space="preserve">tat) κάθε τρία έτη έκθεση ποιότητας σχετικά με τα δεδομένα εξηγώντας τον τρόπο υπολογισμού τους. Η έκθεση αυτή περιλαμβάνει πληροφορίες σχετικά με το πεδίο και τη συλλογή των δεδομένων, τα κριτήρια υπολογισμού, τις χρησιμοποιούμενες μεθοδολογίες και πηγές </w:t>
      </w:r>
      <w:r>
        <w:rPr>
          <w:noProof/>
        </w:rPr>
        <w:t>των δεδομένων, καθώς και τυχόν αλλαγές στις πηγές ή στη μεθοδολογία.</w:t>
      </w:r>
    </w:p>
    <w:p w:rsidR="00666905" w:rsidRDefault="001E19C2">
      <w:pPr>
        <w:pStyle w:val="Point0number"/>
        <w:numPr>
          <w:ilvl w:val="0"/>
          <w:numId w:val="14"/>
        </w:numPr>
        <w:ind w:hanging="720"/>
        <w:rPr>
          <w:noProof/>
        </w:rPr>
      </w:pPr>
      <w:r>
        <w:rPr>
          <w:noProof/>
        </w:rPr>
        <w:t xml:space="preserve">Η Επιτροπή (Eurostat) αξιολογεί την ποιότητα των διαβιβαζόμενων δεδομένων και των παρεχόμενων πληροφοριών στις εκθέσεις ποιότητας και καταρτίζει και διαδίδει συνοπτική έκθεση αξιολόγησης </w:t>
      </w:r>
      <w:r>
        <w:rPr>
          <w:noProof/>
        </w:rPr>
        <w:t xml:space="preserve">της ποιότητας. </w:t>
      </w:r>
    </w:p>
    <w:p w:rsidR="00666905" w:rsidRDefault="001E19C2">
      <w:pPr>
        <w:pStyle w:val="Point0number"/>
        <w:numPr>
          <w:ilvl w:val="0"/>
          <w:numId w:val="14"/>
        </w:numPr>
        <w:ind w:hanging="720"/>
        <w:rPr>
          <w:noProof/>
        </w:rPr>
      </w:pPr>
      <w:r>
        <w:rPr>
          <w:noProof/>
        </w:rPr>
        <w:t>Όταν η Επιτροπή (Eurostat) εντοπίζει την ύπαρξη στατιστικά σημαντικών ανωμαλιών ή ασυνεπειών στα δεδομένα που της παρέχονται, μπορεί να ζητεί από τις εθνικές αρχές να της διαβιβάσουν προσήκουσα ανάλυση των δεδομένων καθώς και τις μεθόδους υ</w:t>
      </w:r>
      <w:r>
        <w:rPr>
          <w:noProof/>
        </w:rPr>
        <w:t>πολογισμού ή αξιολόγησης στις οποίες βασίστηκαν τα παρεχόμενα δεδομένα, προκειμένου να τα αξιολογήσει και, εάν αυτό κρίνεται απαραίτητο, να ζητήσει την τροποποίηση και την εκ νέου υποβολή από το οικείο κράτος μέλος τυχόν δεδομένων τα οποία έκρινε ακατάλληλ</w:t>
      </w:r>
      <w:r>
        <w:rPr>
          <w:noProof/>
        </w:rPr>
        <w:t>α.</w:t>
      </w:r>
    </w:p>
    <w:p w:rsidR="00666905" w:rsidRDefault="001E19C2">
      <w:pPr>
        <w:pStyle w:val="Point0number"/>
        <w:numPr>
          <w:ilvl w:val="0"/>
          <w:numId w:val="14"/>
        </w:numPr>
        <w:ind w:hanging="720"/>
        <w:rPr>
          <w:noProof/>
        </w:rPr>
      </w:pPr>
      <w:r>
        <w:rPr>
          <w:noProof/>
        </w:rPr>
        <w:t>Η Επιτροπή καθορίζει μέσω κατ’ εξουσιοδότηση πράξεων τις απαιτήσεις για εκθέσεις ποιότητας, τη δομή και τη συγκρισιμότητά τους που αναφέρονται στην παράγραφο 3. Οι εν λόγω εκτελεστικές πράξεις εκδίδονται σύμφωνα με τη διαδικασία εξέτασης του άρθρου 11 π</w:t>
      </w:r>
      <w:r>
        <w:rPr>
          <w:noProof/>
        </w:rPr>
        <w:t>αράγραφος 2.</w:t>
      </w:r>
    </w:p>
    <w:p w:rsidR="00666905" w:rsidRDefault="001E19C2">
      <w:pPr>
        <w:pStyle w:val="Titrearticle"/>
        <w:rPr>
          <w:noProof/>
        </w:rPr>
      </w:pPr>
      <w:r>
        <w:rPr>
          <w:noProof/>
        </w:rPr>
        <w:t>Άρθρο 8</w:t>
      </w:r>
    </w:p>
    <w:p w:rsidR="00666905" w:rsidRDefault="001E19C2">
      <w:pPr>
        <w:jc w:val="center"/>
        <w:rPr>
          <w:b/>
          <w:noProof/>
        </w:rPr>
      </w:pPr>
      <w:r>
        <w:rPr>
          <w:b/>
          <w:noProof/>
        </w:rPr>
        <w:t>Διασπορά</w:t>
      </w:r>
    </w:p>
    <w:p w:rsidR="00666905" w:rsidRDefault="001E19C2">
      <w:pPr>
        <w:rPr>
          <w:noProof/>
        </w:rPr>
      </w:pPr>
      <w:r>
        <w:rPr>
          <w:noProof/>
        </w:rPr>
        <w:t>Η Επιτροπή (Eurostat) διαδίδει τις στατιστικές για τις τιμές του φυσικού αερίου και της ηλεκτρικής ενέργειας το αργότερο πέντε μήνες μετά το πέρας της κάθε περιόδου αναφοράς.</w:t>
      </w:r>
    </w:p>
    <w:p w:rsidR="00666905" w:rsidRDefault="001E19C2">
      <w:pPr>
        <w:pStyle w:val="Titrearticle"/>
        <w:rPr>
          <w:noProof/>
        </w:rPr>
      </w:pPr>
      <w:r>
        <w:rPr>
          <w:noProof/>
        </w:rPr>
        <w:t>Άρθρο 9</w:t>
      </w:r>
    </w:p>
    <w:p w:rsidR="00666905" w:rsidRDefault="001E19C2">
      <w:pPr>
        <w:jc w:val="center"/>
        <w:rPr>
          <w:b/>
          <w:noProof/>
        </w:rPr>
      </w:pPr>
      <w:r>
        <w:rPr>
          <w:b/>
          <w:noProof/>
        </w:rPr>
        <w:t>Παρεκκλίσεις</w:t>
      </w:r>
    </w:p>
    <w:p w:rsidR="00666905" w:rsidRDefault="001E19C2">
      <w:pPr>
        <w:pStyle w:val="Point0number"/>
        <w:numPr>
          <w:ilvl w:val="0"/>
          <w:numId w:val="15"/>
        </w:numPr>
        <w:ind w:hanging="720"/>
        <w:rPr>
          <w:noProof/>
        </w:rPr>
      </w:pPr>
      <w:r>
        <w:rPr>
          <w:noProof/>
        </w:rPr>
        <w:t xml:space="preserve">Μπορεί να χορηγούνται </w:t>
      </w:r>
      <w:r>
        <w:rPr>
          <w:noProof/>
        </w:rPr>
        <w:t xml:space="preserve">παρεκκλίσεις μέσω κατ’ εξουσιοδότηση πράξεων όσον αφορά την τήρηση συγκεκριμένων υποχρεώσεων του παρόντος κανονισμού η εφαρμογή των οποίων στο εθνικό στατιστικό σύστημα κράτους μέλους απαιτεί μείζονες προσαρμογές και είναι πιθανόν να συνεπάγεται σημαντικό </w:t>
      </w:r>
      <w:r>
        <w:rPr>
          <w:noProof/>
        </w:rPr>
        <w:t>επιπρόσθετο φόρτο για τους ερωτώμενους. Οι εν λόγω εκτελεστικές πράξεις εκδίδονται σύμφωνα με τη διαδικασία εξέτασης που αναφέρεται στο άρθρο 11 παράγραφος 2 το αργότερο έως την [xx-xx-xxx].</w:t>
      </w:r>
    </w:p>
    <w:p w:rsidR="00666905" w:rsidRDefault="001E19C2">
      <w:pPr>
        <w:pStyle w:val="Point0number"/>
        <w:numPr>
          <w:ilvl w:val="0"/>
          <w:numId w:val="15"/>
        </w:numPr>
        <w:ind w:hanging="720"/>
        <w:rPr>
          <w:noProof/>
        </w:rPr>
      </w:pPr>
      <w:r>
        <w:rPr>
          <w:noProof/>
        </w:rPr>
        <w:t>Για τους σκοπούς της παραγράφου 1 το οικείο κράτος μέλος υποβάλλε</w:t>
      </w:r>
      <w:r>
        <w:rPr>
          <w:noProof/>
        </w:rPr>
        <w:t>ι δεόντως αιτιολογημένη αίτηση στην Επιτροπή το αργότερο εννέα μήνες από την έναρξη ισχύος του παρόντος κανονισμού.</w:t>
      </w:r>
    </w:p>
    <w:p w:rsidR="00666905" w:rsidRDefault="001E19C2">
      <w:pPr>
        <w:pStyle w:val="Point0number"/>
        <w:numPr>
          <w:ilvl w:val="0"/>
          <w:numId w:val="15"/>
        </w:numPr>
        <w:ind w:hanging="720"/>
        <w:rPr>
          <w:noProof/>
        </w:rPr>
      </w:pPr>
      <w:r>
        <w:rPr>
          <w:noProof/>
        </w:rPr>
        <w:t>Οι παρεκκλίσεις παραμένουν σε ισχύ για τη βραχύτερη δυνατή περίοδο και σε καμία περίπτωση δεν υπερβαίνουν τα τρία έτη.</w:t>
      </w:r>
    </w:p>
    <w:p w:rsidR="00666905" w:rsidRDefault="001E19C2">
      <w:pPr>
        <w:pStyle w:val="Point0number"/>
        <w:numPr>
          <w:ilvl w:val="0"/>
          <w:numId w:val="15"/>
        </w:numPr>
        <w:ind w:hanging="720"/>
        <w:rPr>
          <w:noProof/>
        </w:rPr>
      </w:pPr>
      <w:r>
        <w:rPr>
          <w:noProof/>
        </w:rPr>
        <w:t xml:space="preserve">Ένα κράτος μέλος που </w:t>
      </w:r>
      <w:r>
        <w:rPr>
          <w:noProof/>
        </w:rPr>
        <w:t>έχει λάβει παρέκκλιση σύμφωνα με την παράγραφο 1 συνεχίζει να εφαρμόζει τις σχετικές διατάξεις της οδηγίας 2008/92/EΚ κατά την περίοδο παρέκκλισης.</w:t>
      </w:r>
    </w:p>
    <w:p w:rsidR="00666905" w:rsidRDefault="001E19C2">
      <w:pPr>
        <w:pStyle w:val="Titrearticle"/>
        <w:rPr>
          <w:noProof/>
        </w:rPr>
      </w:pPr>
      <w:r>
        <w:rPr>
          <w:noProof/>
        </w:rPr>
        <w:t>Άρθρο 10</w:t>
      </w:r>
    </w:p>
    <w:p w:rsidR="00666905" w:rsidRDefault="001E19C2">
      <w:pPr>
        <w:jc w:val="center"/>
        <w:rPr>
          <w:b/>
          <w:noProof/>
        </w:rPr>
      </w:pPr>
      <w:r>
        <w:rPr>
          <w:b/>
          <w:noProof/>
        </w:rPr>
        <w:t>Άσκηση της εξουσιοδότησης</w:t>
      </w:r>
    </w:p>
    <w:p w:rsidR="00666905" w:rsidRDefault="001E19C2">
      <w:pPr>
        <w:pStyle w:val="Point0number"/>
        <w:numPr>
          <w:ilvl w:val="0"/>
          <w:numId w:val="16"/>
        </w:numPr>
        <w:ind w:hanging="720"/>
        <w:rPr>
          <w:noProof/>
        </w:rPr>
      </w:pPr>
      <w:r>
        <w:rPr>
          <w:noProof/>
        </w:rPr>
        <w:t>Η εξουσία έκδοσης κατ’ εξουσιοδότηση πράξεων ανατίθεται στην Επιτροπή υπό</w:t>
      </w:r>
      <w:r>
        <w:rPr>
          <w:noProof/>
        </w:rPr>
        <w:t xml:space="preserve"> τις προϋποθέσεις που καθορίζονται στο παρόν άρθρο.</w:t>
      </w:r>
    </w:p>
    <w:p w:rsidR="00666905" w:rsidRDefault="001E19C2">
      <w:pPr>
        <w:pStyle w:val="Point0number"/>
        <w:numPr>
          <w:ilvl w:val="0"/>
          <w:numId w:val="16"/>
        </w:numPr>
        <w:ind w:hanging="720"/>
        <w:rPr>
          <w:noProof/>
        </w:rPr>
      </w:pPr>
      <w:r>
        <w:rPr>
          <w:noProof/>
        </w:rPr>
        <w:t>Η ανάθεση εξουσίας που αναφέρεται στο άρθρο 4 παράγραφος 3 πραγματοποιείται επ’ αόριστον από την [xx-xx-xxx].</w:t>
      </w:r>
    </w:p>
    <w:p w:rsidR="00666905" w:rsidRDefault="001E19C2">
      <w:pPr>
        <w:pStyle w:val="Point0number"/>
        <w:numPr>
          <w:ilvl w:val="0"/>
          <w:numId w:val="16"/>
        </w:numPr>
        <w:ind w:hanging="720"/>
        <w:rPr>
          <w:noProof/>
        </w:rPr>
      </w:pPr>
      <w:r>
        <w:rPr>
          <w:noProof/>
        </w:rPr>
        <w:t>Το Ευρωπαϊκό Κοινοβούλιο ή το Συμβούλιο μπορούν ανά πάσα στιγμή να ανακαλέσουν την εξουσιοδότη</w:t>
      </w:r>
      <w:r>
        <w:rPr>
          <w:noProof/>
        </w:rPr>
        <w:t>ση που προβλέπει το άρθρο 4 παράγραφος 3. Η απόφαση ανάκλησης περατώνει την εξουσιοδότηση που προσδιορίζεται στην εν λόγω απόφαση. Αρχίζει να ισχύει την επομένη της δημοσίευσης της απόφασης στην Επίσημη Εφημερίδα της Ευρωπαϊκής Ένωσης ή σε μεταγενέστερη ημ</w:t>
      </w:r>
      <w:r>
        <w:rPr>
          <w:noProof/>
        </w:rPr>
        <w:t>ερομηνία που ορίζεται σε αυτήν. Δεν θίγει την εγκυρότητα τυχόν κατ’ εξουσιοδότηση πράξεων που ισχύουν ήδη.</w:t>
      </w:r>
    </w:p>
    <w:p w:rsidR="00666905" w:rsidRDefault="001E19C2">
      <w:pPr>
        <w:pStyle w:val="Point0number"/>
        <w:numPr>
          <w:ilvl w:val="0"/>
          <w:numId w:val="16"/>
        </w:numPr>
        <w:ind w:hanging="720"/>
        <w:rPr>
          <w:noProof/>
        </w:rPr>
      </w:pPr>
      <w:r>
        <w:rPr>
          <w:noProof/>
        </w:rPr>
        <w:t>Μόλις εκδώσει μια κατ’ εξουσιοδότηση πράξη, η Επιτροπή την κοινοποιεί ταυτοχρόνως στο Ευρωπαϊκό Κοινοβούλιο και στο Συμβούλιο.</w:t>
      </w:r>
    </w:p>
    <w:p w:rsidR="00666905" w:rsidRDefault="001E19C2">
      <w:pPr>
        <w:pStyle w:val="Point0number"/>
        <w:numPr>
          <w:ilvl w:val="0"/>
          <w:numId w:val="16"/>
        </w:numPr>
        <w:ind w:hanging="720"/>
        <w:rPr>
          <w:noProof/>
        </w:rPr>
      </w:pPr>
      <w:r>
        <w:rPr>
          <w:noProof/>
        </w:rPr>
        <w:t>Η κατ’ εξουσιοδότηση π</w:t>
      </w:r>
      <w:r>
        <w:rPr>
          <w:noProof/>
        </w:rPr>
        <w:t xml:space="preserve">ράξη που εκδίδεται δυνάμει του άρθρου 3 τίθεται σε ισχύ μόνο εφόσον δεν διατυπωθεί αντίρρηση από το Ευρωπαϊκό Κοινοβούλιο ή το Συμβούλιο εντός δύο μηνών από την ημέρα που η πράξη κοινοποιείται στο Ευρωπαϊκό Κοινοβούλιο ή στο Συμβούλιο ή εφόσον, πριν λήξει </w:t>
      </w:r>
      <w:r>
        <w:rPr>
          <w:noProof/>
        </w:rPr>
        <w:t>αυτή η περίοδος, το Ευρωπαϊκό Κοινοβούλιο και το Συμβούλιο ενημερώσουν αμφότερα την Επιτροπή ότι δεν θα προβάλουν αντιρρήσεις. Η εν λόγω προθεσμία παρατείνεται κατά δύο μήνες με πρωτοβουλία του Ευρωπαϊκού Κοινοβουλίου ή του Συμβουλίου.</w:t>
      </w:r>
    </w:p>
    <w:p w:rsidR="00666905" w:rsidRDefault="001E19C2">
      <w:pPr>
        <w:pStyle w:val="Titrearticle"/>
        <w:rPr>
          <w:noProof/>
        </w:rPr>
      </w:pPr>
      <w:r>
        <w:rPr>
          <w:noProof/>
        </w:rPr>
        <w:t>Άρθρο 11</w:t>
      </w:r>
    </w:p>
    <w:p w:rsidR="00666905" w:rsidRDefault="001E19C2">
      <w:pPr>
        <w:jc w:val="center"/>
        <w:rPr>
          <w:b/>
          <w:noProof/>
        </w:rPr>
      </w:pPr>
      <w:r>
        <w:rPr>
          <w:b/>
          <w:noProof/>
        </w:rPr>
        <w:t xml:space="preserve">Διαδικασία </w:t>
      </w:r>
      <w:r>
        <w:rPr>
          <w:b/>
          <w:noProof/>
        </w:rPr>
        <w:t>επιτροπής</w:t>
      </w:r>
    </w:p>
    <w:p w:rsidR="00666905" w:rsidRDefault="001E19C2">
      <w:pPr>
        <w:pStyle w:val="Point0number"/>
        <w:numPr>
          <w:ilvl w:val="0"/>
          <w:numId w:val="17"/>
        </w:numPr>
        <w:ind w:hanging="720"/>
        <w:rPr>
          <w:noProof/>
        </w:rPr>
      </w:pPr>
      <w:r>
        <w:rPr>
          <w:noProof/>
        </w:rPr>
        <w:t>Η Επιτροπή επικουρείται από την επιτροπή του ευρωπαϊκού στατιστικού συστήματος που συγκροτήθηκε με τον κανονισμό (ΕΚ) αριθ. 223/2009. Η εν λόγω επιτροπή αποτελεί επιτροπή κατά την έννοια του κανονισμού (ΕΕ) αριθ. 182/2011</w:t>
      </w:r>
      <w:r>
        <w:rPr>
          <w:rStyle w:val="FootnoteReference"/>
          <w:noProof/>
        </w:rPr>
        <w:footnoteReference w:id="7"/>
      </w:r>
      <w:r>
        <w:rPr>
          <w:noProof/>
        </w:rPr>
        <w:t>.</w:t>
      </w:r>
    </w:p>
    <w:p w:rsidR="00666905" w:rsidRDefault="001E19C2">
      <w:pPr>
        <w:pStyle w:val="Point0number"/>
        <w:numPr>
          <w:ilvl w:val="0"/>
          <w:numId w:val="17"/>
        </w:numPr>
        <w:ind w:hanging="720"/>
        <w:rPr>
          <w:noProof/>
        </w:rPr>
      </w:pPr>
      <w:r>
        <w:rPr>
          <w:noProof/>
        </w:rPr>
        <w:t>Όταν γίνεται αναφορά σ</w:t>
      </w:r>
      <w:r>
        <w:rPr>
          <w:noProof/>
        </w:rPr>
        <w:t>την παρούσα παράγραφο, εφαρμόζεται το άρθρο 5 του κανονισμού (ΕΕ) αριθ. 182/2011.</w:t>
      </w:r>
    </w:p>
    <w:p w:rsidR="00666905" w:rsidRDefault="001E19C2">
      <w:pPr>
        <w:pStyle w:val="Titrearticle"/>
        <w:rPr>
          <w:noProof/>
        </w:rPr>
      </w:pPr>
      <w:r>
        <w:rPr>
          <w:noProof/>
        </w:rPr>
        <w:t>Άρθρο 12</w:t>
      </w:r>
    </w:p>
    <w:p w:rsidR="00666905" w:rsidRDefault="001E19C2">
      <w:pPr>
        <w:jc w:val="center"/>
        <w:rPr>
          <w:b/>
          <w:noProof/>
        </w:rPr>
      </w:pPr>
      <w:r>
        <w:rPr>
          <w:b/>
          <w:noProof/>
        </w:rPr>
        <w:t>Κατάργηση της οδηγίας 2008/92/ΕΚ</w:t>
      </w:r>
    </w:p>
    <w:p w:rsidR="00666905" w:rsidRDefault="001E19C2">
      <w:pPr>
        <w:pStyle w:val="Point0number"/>
        <w:numPr>
          <w:ilvl w:val="0"/>
          <w:numId w:val="19"/>
        </w:numPr>
        <w:tabs>
          <w:tab w:val="clear" w:pos="850"/>
          <w:tab w:val="num" w:pos="709"/>
        </w:tabs>
        <w:rPr>
          <w:noProof/>
        </w:rPr>
      </w:pPr>
      <w:r>
        <w:rPr>
          <w:noProof/>
        </w:rPr>
        <w:t>Η οδηγία 2008/92/ΕΚ καταργείται.</w:t>
      </w:r>
    </w:p>
    <w:p w:rsidR="00666905" w:rsidRDefault="001E19C2">
      <w:pPr>
        <w:pStyle w:val="Point0number"/>
        <w:numPr>
          <w:ilvl w:val="0"/>
          <w:numId w:val="19"/>
        </w:numPr>
        <w:tabs>
          <w:tab w:val="clear" w:pos="850"/>
          <w:tab w:val="num" w:pos="709"/>
        </w:tabs>
        <w:ind w:left="709" w:hanging="709"/>
        <w:rPr>
          <w:noProof/>
        </w:rPr>
      </w:pPr>
      <w:r>
        <w:rPr>
          <w:noProof/>
        </w:rPr>
        <w:t>Οι παραπομπές στην καταργούμενη οδηγία θεωρούνται παραπομπές στον παρόντα κανονισμό.</w:t>
      </w:r>
    </w:p>
    <w:p w:rsidR="00666905" w:rsidRDefault="001E19C2">
      <w:pPr>
        <w:pStyle w:val="Titrearticle"/>
        <w:rPr>
          <w:noProof/>
        </w:rPr>
      </w:pPr>
      <w:r>
        <w:rPr>
          <w:noProof/>
        </w:rPr>
        <w:t>Άρθρο 13</w:t>
      </w:r>
    </w:p>
    <w:p w:rsidR="00666905" w:rsidRDefault="001E19C2">
      <w:pPr>
        <w:jc w:val="center"/>
        <w:rPr>
          <w:b/>
          <w:noProof/>
        </w:rPr>
      </w:pPr>
      <w:r>
        <w:rPr>
          <w:b/>
          <w:noProof/>
        </w:rPr>
        <w:t>Έναρξη ισχύος</w:t>
      </w:r>
    </w:p>
    <w:p w:rsidR="00666905" w:rsidRDefault="001E19C2">
      <w:pPr>
        <w:rPr>
          <w:noProof/>
        </w:rPr>
      </w:pPr>
      <w:r>
        <w:rPr>
          <w:noProof/>
        </w:rPr>
        <w:t>Ο παρών κανονισμός αρχίζει να ισχύει την εικοστή ημέρα από τη δημοσίευσή του στην Επίσημη Εφημερίδα της Ευρωπαϊκής Ένωσης.</w:t>
      </w:r>
    </w:p>
    <w:p w:rsidR="00666905" w:rsidRDefault="001E19C2">
      <w:pPr>
        <w:pStyle w:val="Applicationdirecte"/>
        <w:rPr>
          <w:noProof/>
        </w:rPr>
      </w:pPr>
      <w:r>
        <w:rPr>
          <w:noProof/>
        </w:rPr>
        <w:t>Ο παρών κανονισμός είναι δεσμευτικός ως προς όλα τα μέρη του και ισχύει άμεσα σε κάθε κράτος μέλος.</w:t>
      </w:r>
    </w:p>
    <w:p w:rsidR="00666905" w:rsidRDefault="001E19C2">
      <w:pPr>
        <w:pStyle w:val="Fait"/>
        <w:rPr>
          <w:noProof/>
        </w:rPr>
      </w:pPr>
      <w:r>
        <w:rPr>
          <w:noProof/>
        </w:rPr>
        <w:t>Βρυξέλλες,</w:t>
      </w:r>
    </w:p>
    <w:p w:rsidR="00666905" w:rsidRDefault="001E19C2">
      <w:pPr>
        <w:pStyle w:val="Institutionquisigne"/>
        <w:rPr>
          <w:noProof/>
        </w:rPr>
      </w:pPr>
      <w:r>
        <w:rPr>
          <w:noProof/>
        </w:rPr>
        <w:t>Για το Ε</w:t>
      </w:r>
      <w:r>
        <w:rPr>
          <w:noProof/>
        </w:rPr>
        <w:t>υρωπαϊκό Κοινοβούλιο</w:t>
      </w:r>
      <w:r>
        <w:rPr>
          <w:noProof/>
        </w:rPr>
        <w:tab/>
        <w:t>Για το Συμβούλιο</w:t>
      </w:r>
    </w:p>
    <w:p w:rsidR="00666905" w:rsidRDefault="001E19C2">
      <w:pPr>
        <w:pStyle w:val="Personnequisigne"/>
        <w:rPr>
          <w:noProof/>
        </w:rPr>
      </w:pPr>
      <w:r>
        <w:rPr>
          <w:noProof/>
        </w:rPr>
        <w:t>Ο Πρόεδρος</w:t>
      </w:r>
      <w:r>
        <w:rPr>
          <w:noProof/>
        </w:rPr>
        <w:tab/>
        <w:t>Ο Πρόεδρος</w:t>
      </w:r>
    </w:p>
    <w:sectPr w:rsidR="00666905">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905" w:rsidRDefault="001E19C2">
      <w:pPr>
        <w:spacing w:before="0" w:after="0"/>
      </w:pPr>
      <w:r>
        <w:separator/>
      </w:r>
    </w:p>
  </w:endnote>
  <w:endnote w:type="continuationSeparator" w:id="0">
    <w:p w:rsidR="00666905" w:rsidRDefault="001E19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05" w:rsidRDefault="001E19C2">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05" w:rsidRDefault="001E19C2">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w:instrText>
    </w:r>
    <w:r>
      <w:instrText xml:space="preserve">EFORMAT </w:instrText>
    </w:r>
    <w:r>
      <w:fldChar w:fldCharType="separate"/>
    </w:r>
    <w:r>
      <w:rPr>
        <w:noProof/>
      </w:rPr>
      <w:t>13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05" w:rsidRDefault="00666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905" w:rsidRDefault="001E19C2">
      <w:pPr>
        <w:spacing w:before="0" w:after="0"/>
      </w:pPr>
      <w:r>
        <w:separator/>
      </w:r>
    </w:p>
  </w:footnote>
  <w:footnote w:type="continuationSeparator" w:id="0">
    <w:p w:rsidR="00666905" w:rsidRDefault="001E19C2">
      <w:pPr>
        <w:spacing w:before="0" w:after="0"/>
      </w:pPr>
      <w:r>
        <w:continuationSeparator/>
      </w:r>
    </w:p>
  </w:footnote>
  <w:footnote w:id="1">
    <w:p w:rsidR="00666905" w:rsidRDefault="001E19C2">
      <w:pPr>
        <w:pStyle w:val="FootnoteText"/>
      </w:pPr>
      <w:r>
        <w:rPr>
          <w:rStyle w:val="FootnoteReference"/>
        </w:rPr>
        <w:footnoteRef/>
      </w:r>
      <w:r>
        <w:tab/>
        <w:t>Γνώμη του Ευρωπαϊκού Κοινοβουλίου ... (δεν έχει ακόμα δημοσιευθεί στην Επίσημη Εφημερίδα) και απόφαση του Συμβουλίου ...</w:t>
      </w:r>
    </w:p>
  </w:footnote>
  <w:footnote w:id="2">
    <w:p w:rsidR="00666905" w:rsidRDefault="001E19C2">
      <w:pPr>
        <w:pStyle w:val="FootnoteText"/>
      </w:pPr>
      <w:r>
        <w:rPr>
          <w:rStyle w:val="FootnoteReference"/>
        </w:rPr>
        <w:footnoteRef/>
      </w:r>
      <w:r>
        <w:tab/>
        <w:t>Οδηγία 2008/92/ΕΚ του Ευρωπαϊκού Κοινοβουλίου και του Συμβουλίου, τ</w:t>
      </w:r>
      <w:r>
        <w:t>ης 22ας Οκτωβρίου 2008, σχετικά με κοινοτική διαδικασία για τη βελτίωση της διαφάνειας των τιμών αερίου και ηλεκτρικής ενέργειας για τον τελικό βιομηχανικό καταναλωτή (ΕΕ L 298 της 7.11.2008, σ. 9).</w:t>
      </w:r>
    </w:p>
  </w:footnote>
  <w:footnote w:id="3">
    <w:p w:rsidR="00666905" w:rsidRDefault="001E19C2">
      <w:pPr>
        <w:pStyle w:val="FootnoteText"/>
      </w:pPr>
      <w:r>
        <w:rPr>
          <w:rStyle w:val="FootnoteReference"/>
        </w:rPr>
        <w:footnoteRef/>
      </w:r>
      <w:r>
        <w:tab/>
        <w:t>Κανονισμός (ΕΚ) αριθ. 223/2009 του Ευρωπαϊκού Κοινοβουλ</w:t>
      </w:r>
      <w:r>
        <w:t>ίου και του Συμβουλίου, της 11ης Μαρτίου 2009, σχετικά με τις ευρωπαϊκές στατιστικές και την κατάργηση του κανονισμού (ΕΚ, Ευρατόμ) αριθ. 1101/2008 του Ευρωπαϊκού Κοινοβουλίου και του Συμβουλίου σχετικά με τη διαβίβαση στη Στατιστική Υπηρεσία των Ευρωπαϊκώ</w:t>
      </w:r>
      <w:r>
        <w:t>ν Κοινοτήτων πληροφοριών που καλύπτονται από το στατιστικό απόρρητο, του κανονισμού (ΕΚ) αριθ. 322/97 του Συμβουλίου σχετικά με τις κοινοτικές στατιστικές και της απόφασης 89/382/ΕΟΚ, Ευρατόμ του Συμβουλίου για τη σύσταση επιτροπής του στατιστικού προγράμμ</w:t>
      </w:r>
      <w:r>
        <w:t>ατος των Ευρωπαϊκών Κοινοτήτων (ΕΕ L 87 της 31.3.2009, σ. 164).</w:t>
      </w:r>
    </w:p>
  </w:footnote>
  <w:footnote w:id="4">
    <w:p w:rsidR="00666905" w:rsidRDefault="001E19C2">
      <w:pPr>
        <w:pStyle w:val="FootnoteText"/>
      </w:pPr>
      <w:r>
        <w:rPr>
          <w:rStyle w:val="FootnoteReference"/>
        </w:rPr>
        <w:footnoteRef/>
      </w:r>
      <w:r>
        <w:tab/>
        <w:t>Κανονισμός (ΕΚ) αριθ. 1099/2008 του Ευρωπαϊκού Κοινοβουλίου και του Συμβουλίου, της 22ας Οκτωβρίου 2008, για τις στατιστικές ενέργειας (ΕΕ L 304 της 14.11.2008, σ. 6-11).</w:t>
      </w:r>
    </w:p>
  </w:footnote>
  <w:footnote w:id="5">
    <w:p w:rsidR="00666905" w:rsidRDefault="001E19C2">
      <w:pPr>
        <w:pStyle w:val="FootnoteText"/>
      </w:pPr>
      <w:r>
        <w:rPr>
          <w:rStyle w:val="FootnoteReference"/>
        </w:rPr>
        <w:footnoteRef/>
      </w:r>
      <w:r>
        <w:tab/>
        <w:t>Οδηγία 2009/72/ΕΚ</w:t>
      </w:r>
      <w:r>
        <w:t xml:space="preserve"> του Ευρωπαϊκού Κοινοβουλίου και του Συμβουλίου, της 13ης Ιουλίου 2009, σχετικά με τους κοινούς κανόνες για την εσωτερική αγορά ηλεκτρικής ενέργειας και για την κατάργηση της οδηγίας 2003/54/ΕΚ (ΕΕ L 211 της 14.8.2009, σ. 55).</w:t>
      </w:r>
    </w:p>
  </w:footnote>
  <w:footnote w:id="6">
    <w:p w:rsidR="00666905" w:rsidRDefault="001E19C2">
      <w:pPr>
        <w:pStyle w:val="FootnoteText"/>
      </w:pPr>
      <w:r>
        <w:rPr>
          <w:rStyle w:val="FootnoteReference"/>
        </w:rPr>
        <w:footnoteRef/>
      </w:r>
      <w:r>
        <w:tab/>
        <w:t>Οδηγία 2009/73/ΕΚ του Ευρωπ</w:t>
      </w:r>
      <w:r>
        <w:t>αϊκού Κοινοβουλίου και του Συμβουλίου, της 13ης Ιουλίου 2009, σχετικά με τους κοινούς κανόνες για την εσωτερική αγορά φυσικού αερίου και την κατάργηση της οδηγίας 2003/55/ΕΚ (ΕΕ L 211 της 14.8.2009, σ. 94).</w:t>
      </w:r>
    </w:p>
  </w:footnote>
  <w:footnote w:id="7">
    <w:p w:rsidR="00666905" w:rsidRDefault="001E19C2">
      <w:pPr>
        <w:pStyle w:val="FootnoteText"/>
        <w:rPr>
          <w:rStyle w:val="FootnoteReference"/>
          <w:vertAlign w:val="baseline"/>
        </w:rPr>
      </w:pPr>
      <w:r>
        <w:rPr>
          <w:rStyle w:val="FootnoteReference"/>
        </w:rPr>
        <w:footnoteRef/>
      </w:r>
      <w:r>
        <w:tab/>
      </w:r>
      <w:r>
        <w:rPr>
          <w:rStyle w:val="FootnoteReference"/>
          <w:vertAlign w:val="baseline"/>
        </w:rPr>
        <w:t xml:space="preserve">Κανονισμός (ΕΕ) αριθ. 182/2011 του Ευρωπαϊκού </w:t>
      </w:r>
      <w:r>
        <w:rPr>
          <w:rStyle w:val="FootnoteReference"/>
          <w:vertAlign w:val="baseline"/>
        </w:rPr>
        <w:t>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 (ΕΕ L 55 της 28.2.2011, σ. 13-18).</w:t>
      </w:r>
    </w:p>
    <w:p w:rsidR="00666905" w:rsidRDefault="00666905">
      <w:pPr>
        <w:pStyle w:val="Footn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362B3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F8AA7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8EF27A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47086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1F2D2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06827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B780542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DD3599"/>
    <w:multiLevelType w:val="multilevel"/>
    <w:tmpl w:val="4EAA5BA6"/>
    <w:name w:val="0,8283764"/>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7"/>
  </w:num>
  <w:num w:numId="28">
    <w:abstractNumId w:val="14"/>
  </w:num>
  <w:num w:numId="29">
    <w:abstractNumId w:val="16"/>
  </w:num>
  <w:num w:numId="30">
    <w:abstractNumId w:val="17"/>
  </w:num>
  <w:num w:numId="31">
    <w:abstractNumId w:val="10"/>
  </w:num>
  <w:num w:numId="32">
    <w:abstractNumId w:val="15"/>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oNotTrackMoves/>
  <w:defaultTabStop w:val="720"/>
  <w:hyphenationZone w:val="425"/>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5-09-25 12:59:2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4FEBEDBA33F2408085C35DB9DCAC27B2"/>
    <w:docVar w:name="LW_CROSSREFERENCE" w:val="&lt;UNUSED&gt;"/>
    <w:docVar w:name="LW_DocType" w:val="COM"/>
    <w:docVar w:name="LW_EMISSION" w:val="18.11.2015"/>
    <w:docVar w:name="LW_EMISSION_ISODATE" w:val="2015-11-18"/>
    <w:docVar w:name="LW_EMISSION_LOCATION" w:val="BRX"/>
    <w:docVar w:name="LW_EMISSION_PREFIX" w:val="Βρυξέλλες, "/>
    <w:docVar w:name="LW_EMISSION_SUFFIX" w:val=" "/>
    <w:docVar w:name="LW_ID_DOCMODEL" w:val="SJ-023"/>
    <w:docVar w:name="LW_ID_DOCSIGNATURE" w:val="SJ-023"/>
    <w:docVar w:name="LW_ID_DOCSTRUCTURE" w:val="COM/PL/ORG"/>
    <w:docVar w:name="LW_ID_DOCTYPE" w:val="SJ-023"/>
    <w:docVar w:name="LW_ID_STATUT" w:val="SJ-023"/>
    <w:docVar w:name="LW_INTERETEEE.CP" w:val="(\u922?\u949?\u943?\u956?\u949?\u957?\u959? \u960?\u959?\u965? \u960?\u945?\u961?\u959?\u965?\u963?\u953?\u940?\u950?\u949?\u953? \u949?\u957?\u948?\u953?\u945?\u966?\u941?\u961?\u959?\u957? \u947?\u953?\u945? \u964?\u959?\u957? \u917?\u927?\u935?)"/>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239"/>
    <w:docVar w:name="LW_REF.II.NEW.CP_YEAR" w:val="2015"/>
    <w:docVar w:name="LW_REF.INST.NEW" w:val="COM"/>
    <w:docVar w:name="LW_REF.INST.NEW_ADOPTED" w:val="final"/>
    <w:docVar w:name="LW_REF.INST.NEW_TEXT" w:val="(2015) 496"/>
    <w:docVar w:name="LW_REF.INTERNE" w:val="&lt;UNUSED&gt;"/>
    <w:docVar w:name="LW_SOUS.TITRE.OBJ.CP" w:val="&lt;UNUSED&gt;"/>
    <w:docVar w:name="LW_STATUT.CP" w:val="\u928?\u961?\u972?\u964?\u945?\u963?\u951?"/>
    <w:docVar w:name="LW_SUPERTITRE" w:val="&lt;UNUSED&gt;"/>
    <w:docVar w:name="LW_TITRE.OBJ.CP" w:val="\u963?\u967?\u949?\u964?\u953?\u954?\u940? \u956?\u949? \u964?\u953?\u962? \u949?\u965?\u961?\u969?\u960?\u945?\u970?\u954?\u941?\u962? \u963?\u964?\u945?\u964?\u953?\u963?\u964?\u953?\u954?\u941?\u962? \u972?\u963?\u959?\u957? \u945?\u966?\u959?\u961?\u940? \u964?\u953?\u962? \u964?\u953?\u956?\u941?\u962? \u966?\u965?\u963?\u953?\u954?\u959?\u973? \u945?\u949?\u961?\u943?\u959?\u965? \u954?\u945?\u953? \u951?\u955?\u949?\u954?\u964?\u961?\u953?\u954?\u942?\u962? \u949?\u957?\u941?\u961?\u947?\u949?\u953?\u945?\u962? \u954?\u945?\u953? \u947?\u953?\u945? \u964?\u951?\u957? \u954?\u945?\u964?\u940?\u961?\u947?\u951?\u963?\u951? \u964?\u951?\u962? \u959?\u948?\u951?\u947?\u943?\u945?\u962? 2008/92/\u917?\u922? \u964?\u959?\u965? \u917?\u965?\u961?\u969?\u960?\u945?\u970?\u954?\u959?\u973? \u922?\u959?\u953?\u957?\u959?\u946?\u959?\u965?\u955?\u943?\u959?\u965? \u954?\u945?\u953? \u964?\u959?\u965? \u931?\u965?\u956?\u946?\u959?\u965?\u955?\u943?\u959?\u965? \u963?\u967?\u949?\u964?\u953?\u954?\u940? \u956?\u949? \u954?\u959?\u953?\u957?\u959?\u964?\u953?\u954?\u942? \u948?\u953?\u945?\u948?\u953?\u954?\u945?\u963?\u943?\u945? \u947?\u953?\u945? \u964?\u951? \u946?\u949?\u955?\u964?\u943?\u969?\u963?\u951? \u964?\u951?\u962? \u948?\u953?\u945?\u966?\u940?\u957?\u949?\u953?\u945?\u962? \u964?\u969?\u957? \u964?\u953?\u956?\u974?\u957? \u945?\u949?\u961?\u943?\u959?\u965? \u954?\u945?\u953? \u951?\u955?\u949?\u954?\u964?\u961?\u953?\u954?\u942?\u962? \u949?\u957?\u941?\u961?\u947?\u949?\u953?\u945?\u962? \u947?\u953?\u945? \u964?\u959?\u957? \u964?\u949?\u955?\u953?\u954?\u972? \u946?\u953?\u959?\u956?\u951?\u967?\u945?\u957?\u953?\u954?\u972? \u954?\u945?\u964?\u945?\u957?\u945?\u955?\u969?\u964?\u942?"/>
    <w:docVar w:name="LW_TYPE.DOC.CP" w:val="\u922?\u913?\u925?\u927?\u925?\u921?\u931?\u924?\u927?\u931? \u932?\u927?\u933? \u917?\u933?\u929?\u937?\u928?\u913?\u938?\u922?\u927?\u933? \u922?\u927?\u921?\u925?\u927?\u914?\u927?\u933?\u923?\u921?\u927?\u933? \u922?\u913?\u921? \u932?\u927?\u933? \u931?\u933?\u924?\u914?\u927?\u933?\u923?\u921?\u927?\u933?"/>
    <w:docVar w:name="Stamp" w:val="\\dossiers.dgt.cec.eu.int\dossiers\ESTAT\ESTAT-2015-10287\ESTAT-2015-10287-00-00-EN-REV-00.DOC"/>
  </w:docVars>
  <w:rsids>
    <w:rsidRoot w:val="00666905"/>
    <w:rsid w:val="001E19C2"/>
    <w:rsid w:val="00666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color w:val="0000FF"/>
      <w:u w:val="single"/>
    </w:rPr>
  </w:style>
  <w:style w:type="paragraph" w:styleId="ListNumber">
    <w:name w:val="List Number"/>
    <w:basedOn w:val="Normal"/>
    <w:uiPriority w:val="99"/>
    <w:semiHidden/>
    <w:unhideWhenUsed/>
    <w:pPr>
      <w:numPr>
        <w:numId w:val="5"/>
      </w:numPr>
      <w:spacing w:before="0" w:after="240"/>
    </w:pPr>
    <w:rPr>
      <w:rFonts w:eastAsia="Times New Roman"/>
      <w:szCs w:val="20"/>
    </w:rPr>
  </w:style>
  <w:style w:type="paragraph" w:customStyle="1" w:styleId="ListNumberLevel2">
    <w:name w:val="List Number (Level 2)"/>
    <w:basedOn w:val="Normal"/>
    <w:uiPriority w:val="99"/>
    <w:pPr>
      <w:numPr>
        <w:ilvl w:val="1"/>
        <w:numId w:val="5"/>
      </w:numPr>
      <w:spacing w:before="0" w:after="240"/>
    </w:pPr>
    <w:rPr>
      <w:rFonts w:eastAsia="Times New Roman"/>
      <w:szCs w:val="20"/>
    </w:rPr>
  </w:style>
  <w:style w:type="paragraph" w:customStyle="1" w:styleId="ListNumberLevel3">
    <w:name w:val="List Number (Level 3)"/>
    <w:basedOn w:val="Normal"/>
    <w:uiPriority w:val="99"/>
    <w:pPr>
      <w:numPr>
        <w:ilvl w:val="2"/>
        <w:numId w:val="5"/>
      </w:numPr>
      <w:spacing w:before="0" w:after="240"/>
    </w:pPr>
    <w:rPr>
      <w:rFonts w:eastAsia="Times New Roman"/>
      <w:szCs w:val="20"/>
    </w:rPr>
  </w:style>
  <w:style w:type="paragraph" w:customStyle="1" w:styleId="ListNumberLevel4">
    <w:name w:val="List Number (Level 4)"/>
    <w:basedOn w:val="Normal"/>
    <w:uiPriority w:val="99"/>
    <w:pPr>
      <w:numPr>
        <w:ilvl w:val="3"/>
        <w:numId w:val="5"/>
      </w:numPr>
      <w:spacing w:before="0" w:after="240"/>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l-GR"/>
    </w:rPr>
  </w:style>
  <w:style w:type="character" w:styleId="FollowedHyperlink">
    <w:name w:val="FollowedHyperlink"/>
    <w:uiPriority w:val="99"/>
    <w:semiHidden/>
    <w:unhideWhenUsed/>
    <w:rPr>
      <w:color w:val="800080"/>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el-GR"/>
    </w:r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rPr>
      <w:rFonts w:ascii="Times New Roman" w:hAnsi="Times New Roman"/>
      <w:sz w:val="24"/>
    </w:rPr>
  </w:style>
  <w:style w:type="character" w:styleId="Strong">
    <w:name w:val="Strong"/>
    <w:uiPriority w:val="22"/>
    <w:qFormat/>
    <w:rPr>
      <w:b/>
      <w:bCs/>
    </w:rPr>
  </w:style>
  <w:style w:type="paragraph" w:customStyle="1" w:styleId="Footno">
    <w:name w:val="Footno"/>
    <w:basedOn w:val="Personnequisigne"/>
    <w:pPr>
      <w:ind w:left="720" w:hanging="720"/>
    </w:pPr>
    <w:rPr>
      <w:i w:val="0"/>
      <w:sz w:val="20"/>
      <w:szCs w:val="2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34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016CB-1F9E-478E-9FF6-25E04B28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13</Pages>
  <Words>3574</Words>
  <Characters>25596</Characters>
  <Application>Microsoft Office Word</Application>
  <DocSecurity>0</DocSecurity>
  <Lines>799</Lines>
  <Paragraphs>416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LAGES CARVALHO Patrick (SG)</cp:lastModifiedBy>
  <cp:revision>20</cp:revision>
  <cp:lastPrinted>2015-08-07T08:09:00Z</cp:lastPrinted>
  <dcterms:created xsi:type="dcterms:W3CDTF">2015-09-25T10:59:00Z</dcterms:created>
  <dcterms:modified xsi:type="dcterms:W3CDTF">2015-11-10T10:02:00Z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