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80" w:rsidRDefault="0017239A">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CA248ABF234362A72579B9D3E280B4" style="width:450.75pt;height:392.25pt">
            <v:imagedata r:id="rId9" o:title=""/>
          </v:shape>
        </w:pict>
      </w:r>
    </w:p>
    <w:p w:rsidR="00F73B80" w:rsidRDefault="00F73B80">
      <w:pPr>
        <w:rPr>
          <w:noProof/>
        </w:rPr>
        <w:sectPr w:rsidR="00F73B80">
          <w:footerReference w:type="default" r:id="rId10"/>
          <w:pgSz w:w="11907" w:h="16839"/>
          <w:pgMar w:top="1134" w:right="1417" w:bottom="1134" w:left="1417" w:header="709" w:footer="709" w:gutter="0"/>
          <w:pgNumType w:start="1"/>
          <w:cols w:space="720"/>
          <w:docGrid w:linePitch="360"/>
        </w:sectPr>
      </w:pPr>
    </w:p>
    <w:p w:rsidR="00F73B80" w:rsidRDefault="0017239A">
      <w:pPr>
        <w:pStyle w:val="Typedudocument"/>
        <w:rPr>
          <w:noProof/>
        </w:rPr>
      </w:pPr>
      <w:r>
        <w:rPr>
          <w:noProof/>
        </w:rPr>
        <w:lastRenderedPageBreak/>
        <w:t>PRIEDAI</w:t>
      </w:r>
    </w:p>
    <w:p w:rsidR="00F73B80" w:rsidRDefault="0017239A">
      <w:pPr>
        <w:jc w:val="center"/>
        <w:rPr>
          <w:noProof/>
          <w:color w:val="000000"/>
          <w:szCs w:val="24"/>
        </w:rPr>
      </w:pPr>
      <w:r>
        <w:rPr>
          <w:b/>
          <w:noProof/>
          <w:color w:val="000000"/>
        </w:rPr>
        <w:t>I PRIEDAS. GAMTINIŲ DUJŲ KAINOS</w:t>
      </w:r>
    </w:p>
    <w:p w:rsidR="00F73B80" w:rsidRDefault="0017239A">
      <w:pPr>
        <w:rPr>
          <w:noProof/>
          <w:color w:val="000000"/>
          <w:szCs w:val="24"/>
        </w:rPr>
      </w:pPr>
      <w:r>
        <w:rPr>
          <w:noProof/>
          <w:color w:val="000000"/>
        </w:rPr>
        <w:t xml:space="preserve">Šiame priede išdėstyta statistinių duomenų apie gamtinių </w:t>
      </w:r>
      <w:r>
        <w:rPr>
          <w:noProof/>
          <w:color w:val="000000"/>
        </w:rPr>
        <w:t>dujų kainas namų ūkių ir galutiniams ne namų ūkių vartotojams rinkimo ir rengimo metodika.</w:t>
      </w:r>
    </w:p>
    <w:p w:rsidR="00F73B80" w:rsidRDefault="0017239A">
      <w:pPr>
        <w:rPr>
          <w:b/>
          <w:noProof/>
          <w:color w:val="000000"/>
          <w:szCs w:val="24"/>
        </w:rPr>
      </w:pPr>
      <w:r>
        <w:rPr>
          <w:b/>
          <w:noProof/>
          <w:color w:val="000000"/>
        </w:rPr>
        <w:t>1. Kainos</w:t>
      </w:r>
    </w:p>
    <w:p w:rsidR="00F73B80" w:rsidRDefault="0017239A">
      <w:pPr>
        <w:rPr>
          <w:noProof/>
          <w:color w:val="000000"/>
          <w:szCs w:val="24"/>
        </w:rPr>
      </w:pPr>
      <w:r>
        <w:rPr>
          <w:noProof/>
          <w:color w:val="000000"/>
        </w:rPr>
        <w:t>Praneštinos kainos – tai kainos, taikomos namų ūkių ir galutiniams ne namų ūkių vartotojams, savo reikmėms perkantiems dujotiekiais tiekiamas gamtines duja</w:t>
      </w:r>
      <w:r>
        <w:rPr>
          <w:noProof/>
          <w:color w:val="000000"/>
        </w:rPr>
        <w:t>s.</w:t>
      </w:r>
    </w:p>
    <w:p w:rsidR="00F73B80" w:rsidRDefault="0017239A">
      <w:pPr>
        <w:rPr>
          <w:b/>
          <w:noProof/>
          <w:szCs w:val="24"/>
        </w:rPr>
      </w:pPr>
      <w:r>
        <w:rPr>
          <w:b/>
          <w:noProof/>
        </w:rPr>
        <w:t>2. Gamtinės dujos</w:t>
      </w:r>
    </w:p>
    <w:p w:rsidR="00F73B80" w:rsidRDefault="0017239A">
      <w:pPr>
        <w:rPr>
          <w:noProof/>
          <w:color w:val="000000"/>
          <w:szCs w:val="24"/>
        </w:rPr>
      </w:pPr>
      <w:r>
        <w:rPr>
          <w:noProof/>
          <w:color w:val="000000"/>
        </w:rPr>
        <w:t>Gamtinės dujos apima gamtines dujas ir kitą dujinį kurą, perdavimo ir skirstymo tinkle sumaišytą su gamtinėmis dujomis, kaip antai biodujomis. Kitas dujinis kuras, kuris specialiais tinklais skirstomas nesumaišytas su gamtinėmis dujomi</w:t>
      </w:r>
      <w:r>
        <w:rPr>
          <w:noProof/>
          <w:color w:val="000000"/>
        </w:rPr>
        <w:t>s (pvz., dujų gamyklų dujos, koksavimo dujos, aukštakrosnės dujos ir biodujos), neapimamas.</w:t>
      </w:r>
    </w:p>
    <w:p w:rsidR="00F73B80" w:rsidRDefault="0017239A">
      <w:pPr>
        <w:rPr>
          <w:b/>
          <w:noProof/>
          <w:color w:val="000000"/>
          <w:szCs w:val="24"/>
        </w:rPr>
      </w:pPr>
      <w:r>
        <w:rPr>
          <w:b/>
          <w:noProof/>
          <w:color w:val="000000"/>
        </w:rPr>
        <w:t>3. Vienetai, apie kuriuos pranešama</w:t>
      </w:r>
    </w:p>
    <w:p w:rsidR="00F73B80" w:rsidRDefault="0017239A">
      <w:pPr>
        <w:rPr>
          <w:noProof/>
          <w:color w:val="000000"/>
          <w:szCs w:val="24"/>
        </w:rPr>
      </w:pPr>
      <w:r>
        <w:rPr>
          <w:noProof/>
          <w:color w:val="000000"/>
        </w:rPr>
        <w:t xml:space="preserve">Duomenys turi apimti visus namų ūkių ir galutinius ne namų ūkių gamtinių dujų vartotojus, tačiau turi neapimti vartotojų, kurie </w:t>
      </w:r>
      <w:r>
        <w:rPr>
          <w:noProof/>
          <w:color w:val="000000"/>
        </w:rPr>
        <w:t>dujas naudoja tik:</w:t>
      </w:r>
    </w:p>
    <w:p w:rsidR="00F73B80" w:rsidRDefault="0017239A">
      <w:pPr>
        <w:pStyle w:val="Bullet1"/>
        <w:numPr>
          <w:ilvl w:val="0"/>
          <w:numId w:val="9"/>
        </w:numPr>
        <w:rPr>
          <w:noProof/>
        </w:rPr>
      </w:pPr>
      <w:r>
        <w:rPr>
          <w:noProof/>
        </w:rPr>
        <w:t>elektros energijai gaminti jėgainėse arba bendros šilumos ir elektros energijos gamybos jėgainėse arba</w:t>
      </w:r>
    </w:p>
    <w:p w:rsidR="00F73B80" w:rsidRDefault="0017239A">
      <w:pPr>
        <w:pStyle w:val="Bullet1"/>
        <w:rPr>
          <w:noProof/>
        </w:rPr>
      </w:pPr>
      <w:r>
        <w:rPr>
          <w:noProof/>
        </w:rPr>
        <w:t>ne energetikos tikslais (pvz., chemijos pramonėje).</w:t>
      </w:r>
    </w:p>
    <w:p w:rsidR="00F73B80" w:rsidRDefault="0017239A">
      <w:pPr>
        <w:rPr>
          <w:b/>
          <w:noProof/>
          <w:color w:val="000000"/>
          <w:szCs w:val="24"/>
        </w:rPr>
      </w:pPr>
      <w:r>
        <w:rPr>
          <w:b/>
          <w:noProof/>
          <w:color w:val="000000"/>
        </w:rPr>
        <w:t>4. Matavimo vienetai</w:t>
      </w:r>
    </w:p>
    <w:p w:rsidR="00F73B80" w:rsidRDefault="0017239A">
      <w:pPr>
        <w:rPr>
          <w:noProof/>
          <w:color w:val="000000"/>
          <w:szCs w:val="24"/>
        </w:rPr>
      </w:pPr>
      <w:r>
        <w:rPr>
          <w:noProof/>
          <w:color w:val="000000"/>
        </w:rPr>
        <w:t xml:space="preserve">Praneštinos kainos yra vidutinės nacionalinės kainos namų </w:t>
      </w:r>
      <w:r>
        <w:rPr>
          <w:noProof/>
          <w:color w:val="000000"/>
        </w:rPr>
        <w:t>ūkių ir galutiniams ne namų ūkių vartotojams.</w:t>
      </w:r>
    </w:p>
    <w:p w:rsidR="00F73B80" w:rsidRDefault="0017239A">
      <w:pPr>
        <w:rPr>
          <w:noProof/>
          <w:color w:val="000000"/>
          <w:szCs w:val="24"/>
        </w:rPr>
      </w:pPr>
      <w:r>
        <w:rPr>
          <w:noProof/>
          <w:color w:val="000000"/>
        </w:rPr>
        <w:t>Kainos turi būti nurodomos nacionaline valiuta (nurodoma suma, kurią reikia mokėti už gigadžaulio energijos kiekio pagaminimą). Sunaudotas energijos vienetas matuotinas remiantis viršutiniu šilumingumu.</w:t>
      </w:r>
    </w:p>
    <w:p w:rsidR="00F73B80" w:rsidRDefault="0017239A">
      <w:pPr>
        <w:rPr>
          <w:noProof/>
          <w:color w:val="000000"/>
          <w:szCs w:val="24"/>
        </w:rPr>
      </w:pPr>
      <w:r>
        <w:rPr>
          <w:noProof/>
          <w:color w:val="000000"/>
        </w:rPr>
        <w:t>Turi bū</w:t>
      </w:r>
      <w:r>
        <w:rPr>
          <w:noProof/>
          <w:color w:val="000000"/>
        </w:rPr>
        <w:t>ti nustatomos svertinės kainos, atsižvelgiant į gamtinių dujų tiekimo įmonių rinkos dalį kiekvienoje suvartojimo grupėje. Jeigu neįmanoma apskaičiuoti vidutinių svertinių kainų, gali būti pateikiamas aritmetinis kainų vidurkis. Bet kuriuo atveju duomenys t</w:t>
      </w:r>
      <w:r>
        <w:rPr>
          <w:noProof/>
          <w:color w:val="000000"/>
        </w:rPr>
        <w:t>uri apimti reprezentatyvią nacionalinės rinkos dalį.</w:t>
      </w:r>
    </w:p>
    <w:p w:rsidR="00F73B80" w:rsidRDefault="00F73B80">
      <w:pPr>
        <w:rPr>
          <w:noProof/>
          <w:color w:val="000000"/>
          <w:szCs w:val="24"/>
        </w:rPr>
      </w:pPr>
    </w:p>
    <w:p w:rsidR="00F73B80" w:rsidRDefault="0017239A">
      <w:pPr>
        <w:rPr>
          <w:b/>
          <w:noProof/>
          <w:color w:val="000000"/>
          <w:szCs w:val="24"/>
        </w:rPr>
      </w:pPr>
      <w:r>
        <w:rPr>
          <w:b/>
          <w:noProof/>
          <w:color w:val="000000"/>
        </w:rPr>
        <w:t>5. Suvartojimo grupės</w:t>
      </w:r>
    </w:p>
    <w:p w:rsidR="00F73B80" w:rsidRDefault="0017239A">
      <w:pPr>
        <w:rPr>
          <w:noProof/>
          <w:color w:val="000000"/>
          <w:szCs w:val="24"/>
        </w:rPr>
      </w:pPr>
      <w:r>
        <w:rPr>
          <w:noProof/>
          <w:color w:val="000000"/>
        </w:rPr>
        <w:t>Praneštinos kainos turi būti grindžiamos tipinių metinių gamtinių dujų suvartojimo grupių sistema.</w:t>
      </w:r>
    </w:p>
    <w:p w:rsidR="00F73B80" w:rsidRDefault="0017239A">
      <w:pPr>
        <w:rPr>
          <w:noProof/>
          <w:color w:val="000000"/>
          <w:szCs w:val="24"/>
        </w:rPr>
      </w:pPr>
      <w:r>
        <w:rPr>
          <w:noProof/>
          <w:color w:val="000000"/>
        </w:rPr>
        <w:t>a) Namų ūkių vartotojams taikomos šios grupės:</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743"/>
        <w:gridCol w:w="2405"/>
      </w:tblGrid>
      <w:tr w:rsidR="00F73B80">
        <w:trPr>
          <w:trHeight w:val="488"/>
        </w:trPr>
        <w:tc>
          <w:tcPr>
            <w:tcW w:w="0" w:type="auto"/>
            <w:shd w:val="clear" w:color="auto" w:fill="auto"/>
            <w:vAlign w:val="center"/>
          </w:tcPr>
          <w:p w:rsidR="00F73B80" w:rsidRDefault="0017239A">
            <w:pPr>
              <w:jc w:val="left"/>
              <w:rPr>
                <w:noProof/>
                <w:szCs w:val="24"/>
              </w:rPr>
            </w:pPr>
            <w:r>
              <w:rPr>
                <w:noProof/>
              </w:rPr>
              <w:t>Suvartojimo grupė</w:t>
            </w:r>
          </w:p>
        </w:tc>
        <w:tc>
          <w:tcPr>
            <w:tcW w:w="3999" w:type="dxa"/>
            <w:gridSpan w:val="2"/>
            <w:shd w:val="clear" w:color="auto" w:fill="auto"/>
            <w:vAlign w:val="center"/>
          </w:tcPr>
          <w:p w:rsidR="00F73B80" w:rsidRDefault="0017239A">
            <w:pPr>
              <w:jc w:val="left"/>
              <w:rPr>
                <w:noProof/>
                <w:szCs w:val="24"/>
              </w:rPr>
            </w:pPr>
            <w:r>
              <w:rPr>
                <w:noProof/>
              </w:rPr>
              <w:t xml:space="preserve">Metinis </w:t>
            </w:r>
            <w:r>
              <w:rPr>
                <w:noProof/>
              </w:rPr>
              <w:t>suvartojamas gamtinių dujų kiekis (GJ)</w:t>
            </w:r>
          </w:p>
        </w:tc>
      </w:tr>
      <w:tr w:rsidR="00F73B80">
        <w:trPr>
          <w:trHeight w:val="488"/>
        </w:trPr>
        <w:tc>
          <w:tcPr>
            <w:tcW w:w="0" w:type="auto"/>
            <w:shd w:val="clear" w:color="auto" w:fill="auto"/>
            <w:vAlign w:val="center"/>
          </w:tcPr>
          <w:p w:rsidR="00F73B80" w:rsidRDefault="00F73B80">
            <w:pPr>
              <w:jc w:val="left"/>
              <w:rPr>
                <w:noProof/>
                <w:szCs w:val="24"/>
              </w:rPr>
            </w:pPr>
          </w:p>
        </w:tc>
        <w:tc>
          <w:tcPr>
            <w:tcW w:w="0" w:type="auto"/>
            <w:shd w:val="clear" w:color="auto" w:fill="auto"/>
            <w:vAlign w:val="center"/>
          </w:tcPr>
          <w:p w:rsidR="00F73B80" w:rsidRDefault="0017239A">
            <w:pPr>
              <w:jc w:val="left"/>
              <w:rPr>
                <w:noProof/>
                <w:szCs w:val="24"/>
              </w:rPr>
            </w:pPr>
            <w:r>
              <w:rPr>
                <w:noProof/>
              </w:rPr>
              <w:t>Mažiausias</w:t>
            </w:r>
          </w:p>
        </w:tc>
        <w:tc>
          <w:tcPr>
            <w:tcW w:w="1955" w:type="dxa"/>
            <w:shd w:val="clear" w:color="auto" w:fill="auto"/>
            <w:vAlign w:val="center"/>
          </w:tcPr>
          <w:p w:rsidR="00F73B80" w:rsidRDefault="0017239A">
            <w:pPr>
              <w:jc w:val="left"/>
              <w:rPr>
                <w:noProof/>
                <w:szCs w:val="24"/>
              </w:rPr>
            </w:pPr>
            <w:r>
              <w:rPr>
                <w:noProof/>
              </w:rPr>
              <w:t>Didžiausias</w:t>
            </w:r>
          </w:p>
        </w:tc>
      </w:tr>
      <w:tr w:rsidR="00F73B80">
        <w:trPr>
          <w:trHeight w:val="488"/>
        </w:trPr>
        <w:tc>
          <w:tcPr>
            <w:tcW w:w="0" w:type="auto"/>
            <w:shd w:val="clear" w:color="auto" w:fill="auto"/>
            <w:vAlign w:val="center"/>
          </w:tcPr>
          <w:p w:rsidR="00F73B80" w:rsidRDefault="0017239A">
            <w:pPr>
              <w:jc w:val="left"/>
              <w:rPr>
                <w:noProof/>
                <w:szCs w:val="24"/>
              </w:rPr>
            </w:pPr>
            <w:r>
              <w:rPr>
                <w:noProof/>
              </w:rPr>
              <w:t>D1 grupė</w:t>
            </w:r>
          </w:p>
        </w:tc>
        <w:tc>
          <w:tcPr>
            <w:tcW w:w="0" w:type="auto"/>
            <w:shd w:val="clear" w:color="auto" w:fill="auto"/>
            <w:vAlign w:val="center"/>
          </w:tcPr>
          <w:p w:rsidR="00F73B80" w:rsidRDefault="00F73B80">
            <w:pPr>
              <w:jc w:val="left"/>
              <w:rPr>
                <w:noProof/>
                <w:szCs w:val="24"/>
              </w:rPr>
            </w:pPr>
          </w:p>
        </w:tc>
        <w:tc>
          <w:tcPr>
            <w:tcW w:w="1955" w:type="dxa"/>
            <w:shd w:val="clear" w:color="auto" w:fill="auto"/>
            <w:vAlign w:val="center"/>
          </w:tcPr>
          <w:p w:rsidR="00F73B80" w:rsidRDefault="0017239A">
            <w:pPr>
              <w:jc w:val="left"/>
              <w:rPr>
                <w:noProof/>
                <w:szCs w:val="24"/>
              </w:rPr>
            </w:pPr>
            <w:r>
              <w:rPr>
                <w:noProof/>
              </w:rPr>
              <w:t>&lt;20</w:t>
            </w:r>
          </w:p>
        </w:tc>
      </w:tr>
      <w:tr w:rsidR="00F73B80">
        <w:trPr>
          <w:trHeight w:val="488"/>
        </w:trPr>
        <w:tc>
          <w:tcPr>
            <w:tcW w:w="0" w:type="auto"/>
            <w:shd w:val="clear" w:color="auto" w:fill="auto"/>
            <w:vAlign w:val="center"/>
          </w:tcPr>
          <w:p w:rsidR="00F73B80" w:rsidRDefault="0017239A">
            <w:pPr>
              <w:jc w:val="left"/>
              <w:rPr>
                <w:noProof/>
                <w:szCs w:val="24"/>
              </w:rPr>
            </w:pPr>
            <w:r>
              <w:rPr>
                <w:noProof/>
              </w:rPr>
              <w:lastRenderedPageBreak/>
              <w:t>D2 grupė</w:t>
            </w:r>
          </w:p>
        </w:tc>
        <w:tc>
          <w:tcPr>
            <w:tcW w:w="0" w:type="auto"/>
            <w:shd w:val="clear" w:color="auto" w:fill="auto"/>
            <w:vAlign w:val="center"/>
          </w:tcPr>
          <w:p w:rsidR="00F73B80" w:rsidRDefault="0017239A">
            <w:pPr>
              <w:jc w:val="left"/>
              <w:rPr>
                <w:noProof/>
                <w:szCs w:val="24"/>
              </w:rPr>
            </w:pPr>
            <w:r>
              <w:rPr>
                <w:noProof/>
              </w:rPr>
              <w:t>≥20</w:t>
            </w:r>
          </w:p>
        </w:tc>
        <w:tc>
          <w:tcPr>
            <w:tcW w:w="1955" w:type="dxa"/>
            <w:shd w:val="clear" w:color="auto" w:fill="auto"/>
            <w:vAlign w:val="center"/>
          </w:tcPr>
          <w:p w:rsidR="00F73B80" w:rsidRDefault="0017239A">
            <w:pPr>
              <w:jc w:val="left"/>
              <w:rPr>
                <w:noProof/>
                <w:szCs w:val="24"/>
              </w:rPr>
            </w:pPr>
            <w:r>
              <w:rPr>
                <w:noProof/>
              </w:rPr>
              <w:t>&lt;200</w:t>
            </w:r>
          </w:p>
        </w:tc>
      </w:tr>
      <w:tr w:rsidR="00F73B80">
        <w:trPr>
          <w:trHeight w:val="501"/>
        </w:trPr>
        <w:tc>
          <w:tcPr>
            <w:tcW w:w="0" w:type="auto"/>
            <w:shd w:val="clear" w:color="auto" w:fill="auto"/>
            <w:vAlign w:val="center"/>
          </w:tcPr>
          <w:p w:rsidR="00F73B80" w:rsidRDefault="0017239A">
            <w:pPr>
              <w:jc w:val="left"/>
              <w:rPr>
                <w:noProof/>
                <w:szCs w:val="24"/>
              </w:rPr>
            </w:pPr>
            <w:r>
              <w:rPr>
                <w:noProof/>
              </w:rPr>
              <w:t>D3 grupė</w:t>
            </w:r>
          </w:p>
        </w:tc>
        <w:tc>
          <w:tcPr>
            <w:tcW w:w="0" w:type="auto"/>
            <w:shd w:val="clear" w:color="auto" w:fill="auto"/>
            <w:vAlign w:val="center"/>
          </w:tcPr>
          <w:p w:rsidR="00F73B80" w:rsidRDefault="0017239A">
            <w:pPr>
              <w:jc w:val="left"/>
              <w:rPr>
                <w:noProof/>
                <w:szCs w:val="24"/>
              </w:rPr>
            </w:pPr>
            <w:r>
              <w:rPr>
                <w:noProof/>
              </w:rPr>
              <w:t>≥200</w:t>
            </w:r>
          </w:p>
        </w:tc>
        <w:tc>
          <w:tcPr>
            <w:tcW w:w="1955" w:type="dxa"/>
            <w:shd w:val="clear" w:color="auto" w:fill="auto"/>
            <w:vAlign w:val="center"/>
          </w:tcPr>
          <w:p w:rsidR="00F73B80" w:rsidRDefault="00F73B80">
            <w:pPr>
              <w:jc w:val="left"/>
              <w:rPr>
                <w:noProof/>
                <w:szCs w:val="24"/>
              </w:rPr>
            </w:pPr>
          </w:p>
        </w:tc>
      </w:tr>
    </w:tbl>
    <w:p w:rsidR="00F73B80" w:rsidRDefault="00F73B80">
      <w:pPr>
        <w:rPr>
          <w:noProof/>
          <w:color w:val="000000"/>
          <w:szCs w:val="24"/>
        </w:rPr>
      </w:pPr>
    </w:p>
    <w:p w:rsidR="00F73B80" w:rsidRDefault="0017239A">
      <w:pPr>
        <w:rPr>
          <w:noProof/>
          <w:color w:val="000000"/>
          <w:szCs w:val="24"/>
        </w:rPr>
      </w:pPr>
      <w:r>
        <w:rPr>
          <w:noProof/>
        </w:rPr>
        <w:t>b) Galutiniams ne namų ūkių vartotojams taikomos šios grupės: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362"/>
        <w:gridCol w:w="2434"/>
      </w:tblGrid>
      <w:tr w:rsidR="00F73B80">
        <w:tc>
          <w:tcPr>
            <w:tcW w:w="0" w:type="auto"/>
            <w:shd w:val="clear" w:color="auto" w:fill="auto"/>
            <w:vAlign w:val="center"/>
          </w:tcPr>
          <w:p w:rsidR="00F73B80" w:rsidRDefault="0017239A">
            <w:pPr>
              <w:jc w:val="left"/>
              <w:rPr>
                <w:noProof/>
                <w:szCs w:val="24"/>
              </w:rPr>
            </w:pPr>
            <w:r>
              <w:rPr>
                <w:noProof/>
              </w:rPr>
              <w:t>Suvartojimo grupė</w:t>
            </w:r>
          </w:p>
        </w:tc>
        <w:tc>
          <w:tcPr>
            <w:tcW w:w="0" w:type="auto"/>
            <w:gridSpan w:val="2"/>
            <w:shd w:val="clear" w:color="auto" w:fill="auto"/>
            <w:vAlign w:val="center"/>
          </w:tcPr>
          <w:p w:rsidR="00F73B80" w:rsidRDefault="0017239A">
            <w:pPr>
              <w:jc w:val="left"/>
              <w:rPr>
                <w:noProof/>
                <w:szCs w:val="24"/>
              </w:rPr>
            </w:pPr>
            <w:r>
              <w:rPr>
                <w:noProof/>
              </w:rPr>
              <w:t>Metinis suvartojamas gamtinių dujų kiekis (GJ)</w:t>
            </w:r>
          </w:p>
        </w:tc>
      </w:tr>
      <w:tr w:rsidR="00F73B80">
        <w:tc>
          <w:tcPr>
            <w:tcW w:w="0" w:type="auto"/>
            <w:shd w:val="clear" w:color="auto" w:fill="auto"/>
            <w:vAlign w:val="center"/>
          </w:tcPr>
          <w:p w:rsidR="00F73B80" w:rsidRDefault="00F73B80">
            <w:pPr>
              <w:jc w:val="left"/>
              <w:rPr>
                <w:noProof/>
                <w:szCs w:val="24"/>
              </w:rPr>
            </w:pPr>
          </w:p>
        </w:tc>
        <w:tc>
          <w:tcPr>
            <w:tcW w:w="0" w:type="auto"/>
            <w:shd w:val="clear" w:color="auto" w:fill="auto"/>
            <w:vAlign w:val="center"/>
          </w:tcPr>
          <w:p w:rsidR="00F73B80" w:rsidRDefault="0017239A">
            <w:pPr>
              <w:jc w:val="left"/>
              <w:rPr>
                <w:noProof/>
                <w:szCs w:val="24"/>
              </w:rPr>
            </w:pPr>
            <w:r>
              <w:rPr>
                <w:noProof/>
              </w:rPr>
              <w:t>Mažiausias</w:t>
            </w:r>
          </w:p>
        </w:tc>
        <w:tc>
          <w:tcPr>
            <w:tcW w:w="0" w:type="auto"/>
            <w:shd w:val="clear" w:color="auto" w:fill="auto"/>
            <w:vAlign w:val="center"/>
          </w:tcPr>
          <w:p w:rsidR="00F73B80" w:rsidRDefault="0017239A">
            <w:pPr>
              <w:jc w:val="left"/>
              <w:rPr>
                <w:noProof/>
                <w:szCs w:val="24"/>
              </w:rPr>
            </w:pPr>
            <w:r>
              <w:rPr>
                <w:noProof/>
              </w:rPr>
              <w:t>Didžiausias</w:t>
            </w:r>
          </w:p>
        </w:tc>
      </w:tr>
      <w:tr w:rsidR="00F73B80">
        <w:tc>
          <w:tcPr>
            <w:tcW w:w="0" w:type="auto"/>
            <w:shd w:val="clear" w:color="auto" w:fill="auto"/>
            <w:vAlign w:val="center"/>
          </w:tcPr>
          <w:p w:rsidR="00F73B80" w:rsidRDefault="0017239A">
            <w:pPr>
              <w:jc w:val="left"/>
              <w:rPr>
                <w:noProof/>
                <w:szCs w:val="24"/>
              </w:rPr>
            </w:pPr>
            <w:r>
              <w:rPr>
                <w:noProof/>
              </w:rPr>
              <w:t>I1 grupė</w:t>
            </w:r>
          </w:p>
        </w:tc>
        <w:tc>
          <w:tcPr>
            <w:tcW w:w="0" w:type="auto"/>
            <w:shd w:val="clear" w:color="auto" w:fill="auto"/>
            <w:vAlign w:val="center"/>
          </w:tcPr>
          <w:p w:rsidR="00F73B80" w:rsidRDefault="00F73B80">
            <w:pPr>
              <w:jc w:val="left"/>
              <w:rPr>
                <w:noProof/>
                <w:szCs w:val="24"/>
              </w:rPr>
            </w:pPr>
          </w:p>
        </w:tc>
        <w:tc>
          <w:tcPr>
            <w:tcW w:w="0" w:type="auto"/>
            <w:shd w:val="clear" w:color="auto" w:fill="auto"/>
            <w:vAlign w:val="center"/>
          </w:tcPr>
          <w:p w:rsidR="00F73B80" w:rsidRDefault="0017239A">
            <w:pPr>
              <w:jc w:val="left"/>
              <w:rPr>
                <w:noProof/>
                <w:szCs w:val="24"/>
              </w:rPr>
            </w:pPr>
            <w:r>
              <w:rPr>
                <w:noProof/>
              </w:rPr>
              <w:t>&lt;1 000</w:t>
            </w:r>
          </w:p>
        </w:tc>
      </w:tr>
      <w:tr w:rsidR="00F73B80">
        <w:tc>
          <w:tcPr>
            <w:tcW w:w="0" w:type="auto"/>
            <w:shd w:val="clear" w:color="auto" w:fill="auto"/>
            <w:vAlign w:val="center"/>
          </w:tcPr>
          <w:p w:rsidR="00F73B80" w:rsidRDefault="0017239A">
            <w:pPr>
              <w:jc w:val="left"/>
              <w:rPr>
                <w:noProof/>
                <w:szCs w:val="24"/>
              </w:rPr>
            </w:pPr>
            <w:r>
              <w:rPr>
                <w:noProof/>
              </w:rPr>
              <w:t>I2 grupė</w:t>
            </w:r>
          </w:p>
        </w:tc>
        <w:tc>
          <w:tcPr>
            <w:tcW w:w="0" w:type="auto"/>
            <w:shd w:val="clear" w:color="auto" w:fill="auto"/>
            <w:vAlign w:val="center"/>
          </w:tcPr>
          <w:p w:rsidR="00F73B80" w:rsidRDefault="0017239A">
            <w:pPr>
              <w:jc w:val="left"/>
              <w:rPr>
                <w:noProof/>
                <w:szCs w:val="24"/>
              </w:rPr>
            </w:pPr>
            <w:r>
              <w:rPr>
                <w:noProof/>
              </w:rPr>
              <w:t>≥1 000</w:t>
            </w:r>
          </w:p>
        </w:tc>
        <w:tc>
          <w:tcPr>
            <w:tcW w:w="0" w:type="auto"/>
            <w:shd w:val="clear" w:color="auto" w:fill="auto"/>
            <w:vAlign w:val="center"/>
          </w:tcPr>
          <w:p w:rsidR="00F73B80" w:rsidRDefault="0017239A">
            <w:pPr>
              <w:jc w:val="left"/>
              <w:rPr>
                <w:noProof/>
                <w:szCs w:val="24"/>
              </w:rPr>
            </w:pPr>
            <w:r>
              <w:rPr>
                <w:noProof/>
              </w:rPr>
              <w:t>&lt;10 000</w:t>
            </w:r>
          </w:p>
        </w:tc>
      </w:tr>
      <w:tr w:rsidR="00F73B80">
        <w:tc>
          <w:tcPr>
            <w:tcW w:w="0" w:type="auto"/>
            <w:shd w:val="clear" w:color="auto" w:fill="auto"/>
            <w:vAlign w:val="center"/>
          </w:tcPr>
          <w:p w:rsidR="00F73B80" w:rsidRDefault="0017239A">
            <w:pPr>
              <w:jc w:val="left"/>
              <w:rPr>
                <w:noProof/>
                <w:szCs w:val="24"/>
              </w:rPr>
            </w:pPr>
            <w:r>
              <w:rPr>
                <w:noProof/>
              </w:rPr>
              <w:t>I3 grupė</w:t>
            </w:r>
          </w:p>
        </w:tc>
        <w:tc>
          <w:tcPr>
            <w:tcW w:w="0" w:type="auto"/>
            <w:shd w:val="clear" w:color="auto" w:fill="auto"/>
            <w:vAlign w:val="center"/>
          </w:tcPr>
          <w:p w:rsidR="00F73B80" w:rsidRDefault="0017239A">
            <w:pPr>
              <w:jc w:val="left"/>
              <w:rPr>
                <w:noProof/>
                <w:szCs w:val="24"/>
              </w:rPr>
            </w:pPr>
            <w:r>
              <w:rPr>
                <w:noProof/>
              </w:rPr>
              <w:t>≥10 000</w:t>
            </w:r>
          </w:p>
        </w:tc>
        <w:tc>
          <w:tcPr>
            <w:tcW w:w="0" w:type="auto"/>
            <w:shd w:val="clear" w:color="auto" w:fill="auto"/>
            <w:vAlign w:val="center"/>
          </w:tcPr>
          <w:p w:rsidR="00F73B80" w:rsidRDefault="0017239A">
            <w:pPr>
              <w:jc w:val="left"/>
              <w:rPr>
                <w:noProof/>
                <w:szCs w:val="24"/>
              </w:rPr>
            </w:pPr>
            <w:r>
              <w:rPr>
                <w:noProof/>
              </w:rPr>
              <w:t>&lt;100 000</w:t>
            </w:r>
          </w:p>
        </w:tc>
      </w:tr>
      <w:tr w:rsidR="00F73B80">
        <w:tc>
          <w:tcPr>
            <w:tcW w:w="0" w:type="auto"/>
            <w:shd w:val="clear" w:color="auto" w:fill="auto"/>
            <w:vAlign w:val="center"/>
          </w:tcPr>
          <w:p w:rsidR="00F73B80" w:rsidRDefault="0017239A">
            <w:pPr>
              <w:jc w:val="left"/>
              <w:rPr>
                <w:noProof/>
                <w:szCs w:val="24"/>
              </w:rPr>
            </w:pPr>
            <w:r>
              <w:rPr>
                <w:noProof/>
              </w:rPr>
              <w:t>I4 grupė</w:t>
            </w:r>
          </w:p>
        </w:tc>
        <w:tc>
          <w:tcPr>
            <w:tcW w:w="0" w:type="auto"/>
            <w:shd w:val="clear" w:color="auto" w:fill="auto"/>
            <w:vAlign w:val="center"/>
          </w:tcPr>
          <w:p w:rsidR="00F73B80" w:rsidRDefault="0017239A">
            <w:pPr>
              <w:jc w:val="left"/>
              <w:rPr>
                <w:noProof/>
                <w:szCs w:val="24"/>
              </w:rPr>
            </w:pPr>
            <w:r>
              <w:rPr>
                <w:noProof/>
              </w:rPr>
              <w:t>≥100 000</w:t>
            </w:r>
          </w:p>
        </w:tc>
        <w:tc>
          <w:tcPr>
            <w:tcW w:w="0" w:type="auto"/>
            <w:shd w:val="clear" w:color="auto" w:fill="auto"/>
            <w:vAlign w:val="center"/>
          </w:tcPr>
          <w:p w:rsidR="00F73B80" w:rsidRDefault="0017239A">
            <w:pPr>
              <w:jc w:val="left"/>
              <w:rPr>
                <w:noProof/>
                <w:szCs w:val="24"/>
              </w:rPr>
            </w:pPr>
            <w:r>
              <w:rPr>
                <w:noProof/>
              </w:rPr>
              <w:t>&lt;1 000 000</w:t>
            </w:r>
          </w:p>
        </w:tc>
      </w:tr>
      <w:tr w:rsidR="00F73B80">
        <w:tc>
          <w:tcPr>
            <w:tcW w:w="0" w:type="auto"/>
            <w:shd w:val="clear" w:color="auto" w:fill="auto"/>
            <w:vAlign w:val="center"/>
          </w:tcPr>
          <w:p w:rsidR="00F73B80" w:rsidRDefault="0017239A">
            <w:pPr>
              <w:jc w:val="left"/>
              <w:rPr>
                <w:noProof/>
                <w:szCs w:val="24"/>
              </w:rPr>
            </w:pPr>
            <w:r>
              <w:rPr>
                <w:noProof/>
              </w:rPr>
              <w:t>I5 grupė</w:t>
            </w:r>
          </w:p>
        </w:tc>
        <w:tc>
          <w:tcPr>
            <w:tcW w:w="0" w:type="auto"/>
            <w:shd w:val="clear" w:color="auto" w:fill="auto"/>
            <w:vAlign w:val="center"/>
          </w:tcPr>
          <w:p w:rsidR="00F73B80" w:rsidRDefault="0017239A">
            <w:pPr>
              <w:jc w:val="left"/>
              <w:rPr>
                <w:noProof/>
                <w:szCs w:val="24"/>
              </w:rPr>
            </w:pPr>
            <w:r>
              <w:rPr>
                <w:noProof/>
              </w:rPr>
              <w:t>≥1 000 000</w:t>
            </w:r>
          </w:p>
        </w:tc>
        <w:tc>
          <w:tcPr>
            <w:tcW w:w="0" w:type="auto"/>
            <w:shd w:val="clear" w:color="auto" w:fill="auto"/>
            <w:vAlign w:val="center"/>
          </w:tcPr>
          <w:p w:rsidR="00F73B80" w:rsidRDefault="0017239A">
            <w:pPr>
              <w:jc w:val="left"/>
              <w:rPr>
                <w:noProof/>
                <w:szCs w:val="24"/>
              </w:rPr>
            </w:pPr>
            <w:r>
              <w:rPr>
                <w:noProof/>
              </w:rPr>
              <w:t>&lt;4 000 000</w:t>
            </w:r>
          </w:p>
        </w:tc>
      </w:tr>
      <w:tr w:rsidR="00F73B80">
        <w:tc>
          <w:tcPr>
            <w:tcW w:w="0" w:type="auto"/>
            <w:shd w:val="clear" w:color="auto" w:fill="auto"/>
            <w:vAlign w:val="center"/>
          </w:tcPr>
          <w:p w:rsidR="00F73B80" w:rsidRDefault="0017239A">
            <w:pPr>
              <w:jc w:val="left"/>
              <w:rPr>
                <w:noProof/>
                <w:szCs w:val="24"/>
              </w:rPr>
            </w:pPr>
            <w:r>
              <w:rPr>
                <w:noProof/>
              </w:rPr>
              <w:t>I6 grupė</w:t>
            </w:r>
          </w:p>
        </w:tc>
        <w:tc>
          <w:tcPr>
            <w:tcW w:w="0" w:type="auto"/>
            <w:shd w:val="clear" w:color="auto" w:fill="auto"/>
            <w:vAlign w:val="center"/>
          </w:tcPr>
          <w:p w:rsidR="00F73B80" w:rsidRDefault="0017239A">
            <w:pPr>
              <w:jc w:val="left"/>
              <w:rPr>
                <w:noProof/>
                <w:szCs w:val="24"/>
              </w:rPr>
            </w:pPr>
            <w:r>
              <w:rPr>
                <w:noProof/>
              </w:rPr>
              <w:t>≥4 000 000</w:t>
            </w:r>
          </w:p>
        </w:tc>
        <w:tc>
          <w:tcPr>
            <w:tcW w:w="0" w:type="auto"/>
            <w:shd w:val="clear" w:color="auto" w:fill="auto"/>
            <w:vAlign w:val="center"/>
          </w:tcPr>
          <w:p w:rsidR="00F73B80" w:rsidRDefault="00F73B80">
            <w:pPr>
              <w:jc w:val="left"/>
              <w:rPr>
                <w:noProof/>
                <w:szCs w:val="24"/>
              </w:rPr>
            </w:pPr>
          </w:p>
        </w:tc>
      </w:tr>
    </w:tbl>
    <w:p w:rsidR="00F73B80" w:rsidRDefault="00F73B80">
      <w:pPr>
        <w:rPr>
          <w:b/>
          <w:noProof/>
          <w:color w:val="000000"/>
          <w:szCs w:val="24"/>
        </w:rPr>
      </w:pPr>
    </w:p>
    <w:p w:rsidR="00F73B80" w:rsidRDefault="0017239A">
      <w:pPr>
        <w:rPr>
          <w:b/>
          <w:noProof/>
          <w:color w:val="000000"/>
          <w:szCs w:val="24"/>
        </w:rPr>
      </w:pPr>
      <w:r>
        <w:rPr>
          <w:b/>
          <w:noProof/>
          <w:color w:val="000000"/>
        </w:rPr>
        <w:t>6. Išsamumas</w:t>
      </w:r>
      <w:r>
        <w:rPr>
          <w:noProof/>
        </w:rPr>
        <w:tab/>
      </w:r>
    </w:p>
    <w:p w:rsidR="00F73B80" w:rsidRDefault="0017239A">
      <w:pPr>
        <w:rPr>
          <w:noProof/>
          <w:color w:val="000000"/>
          <w:szCs w:val="24"/>
        </w:rPr>
      </w:pPr>
      <w:r>
        <w:rPr>
          <w:noProof/>
          <w:color w:val="000000"/>
        </w:rPr>
        <w:t xml:space="preserve">Nagrinėjamos kainos turi apimti visus mokėtinus mokesčius: tinklo </w:t>
      </w:r>
      <w:r>
        <w:rPr>
          <w:noProof/>
          <w:color w:val="000000"/>
        </w:rPr>
        <w:t>mokesčius, prie kurių pridedamas mokestis už sunaudotą energiją ir iš kurių atimamos visos grąžinamos permokos arba priemokos, ir prie kurių pridedamos bet kokios kitos išlaidos (pvz., skaitiklių nuomos įmokos, abonentiniai mokesčiai). Pradiniai prijungimo</w:t>
      </w:r>
      <w:r>
        <w:rPr>
          <w:noProof/>
          <w:color w:val="000000"/>
        </w:rPr>
        <w:t xml:space="preserve"> mokesčiai nėra apimami.</w:t>
      </w:r>
    </w:p>
    <w:p w:rsidR="00F73B80" w:rsidRDefault="0017239A">
      <w:pPr>
        <w:rPr>
          <w:noProof/>
          <w:color w:val="000000"/>
          <w:szCs w:val="24"/>
        </w:rPr>
      </w:pPr>
      <w:r>
        <w:rPr>
          <w:noProof/>
          <w:color w:val="000000"/>
        </w:rPr>
        <w:t>Turi būti pateikiami išsamūs duomenys, kaip nurodyta toliau.</w:t>
      </w:r>
    </w:p>
    <w:p w:rsidR="00F73B80" w:rsidRDefault="0017239A">
      <w:pPr>
        <w:rPr>
          <w:i/>
          <w:noProof/>
          <w:color w:val="000000"/>
          <w:szCs w:val="24"/>
        </w:rPr>
      </w:pPr>
      <w:r>
        <w:rPr>
          <w:i/>
          <w:noProof/>
        </w:rPr>
        <w:t>a) Reikalaujamas komponentų ir subkomponentų išsamumas</w:t>
      </w:r>
    </w:p>
    <w:p w:rsidR="00F73B80" w:rsidRDefault="0017239A">
      <w:pPr>
        <w:rPr>
          <w:noProof/>
          <w:color w:val="000000"/>
          <w:szCs w:val="24"/>
        </w:rPr>
      </w:pPr>
      <w:r>
        <w:rPr>
          <w:noProof/>
          <w:color w:val="000000"/>
        </w:rPr>
        <w:t xml:space="preserve">Turi būti pateikiamos </w:t>
      </w:r>
      <w:r>
        <w:rPr>
          <w:b/>
          <w:noProof/>
          <w:color w:val="000000"/>
        </w:rPr>
        <w:t>į tris pagrindinius komponentus</w:t>
      </w:r>
      <w:r>
        <w:rPr>
          <w:noProof/>
          <w:color w:val="000000"/>
        </w:rPr>
        <w:t xml:space="preserve"> ir atskirus subkomponentus suskirstytos kainos.</w:t>
      </w:r>
    </w:p>
    <w:p w:rsidR="00F73B80" w:rsidRDefault="0017239A">
      <w:pPr>
        <w:rPr>
          <w:noProof/>
          <w:color w:val="000000"/>
          <w:szCs w:val="24"/>
        </w:rPr>
      </w:pPr>
      <w:r>
        <w:rPr>
          <w:noProof/>
          <w:color w:val="000000"/>
        </w:rPr>
        <w:t>Galutinė gamt</w:t>
      </w:r>
      <w:r>
        <w:rPr>
          <w:noProof/>
          <w:color w:val="000000"/>
        </w:rPr>
        <w:t xml:space="preserve">inių dujų kaina vartotojams pagal suvartojimo grupę yra </w:t>
      </w:r>
      <w:r>
        <w:rPr>
          <w:b/>
          <w:noProof/>
          <w:color w:val="000000"/>
        </w:rPr>
        <w:t>trijų pagrindinių komponentų</w:t>
      </w:r>
      <w:r>
        <w:rPr>
          <w:noProof/>
          <w:color w:val="000000"/>
        </w:rPr>
        <w:t xml:space="preserve"> suma: energijos ir tiekimo komponento, tinklo komponento (perdavimo ir skirstymo) bei komponento, kurį sudaro mokesčiai, rinkliavos, įmokos ir išlaidos.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F73B80">
        <w:tc>
          <w:tcPr>
            <w:tcW w:w="2376" w:type="dxa"/>
            <w:shd w:val="clear" w:color="auto" w:fill="auto"/>
          </w:tcPr>
          <w:p w:rsidR="00F73B80" w:rsidRDefault="0017239A">
            <w:pPr>
              <w:rPr>
                <w:noProof/>
                <w:color w:val="000000"/>
              </w:rPr>
            </w:pPr>
            <w:r>
              <w:rPr>
                <w:noProof/>
                <w:color w:val="000000"/>
                <w:sz w:val="22"/>
              </w:rPr>
              <w:t>Komponentas ir</w:t>
            </w:r>
          </w:p>
          <w:p w:rsidR="00F73B80" w:rsidRDefault="0017239A">
            <w:pPr>
              <w:rPr>
                <w:i/>
                <w:noProof/>
                <w:color w:val="000000"/>
              </w:rPr>
            </w:pPr>
            <w:r>
              <w:rPr>
                <w:i/>
                <w:noProof/>
                <w:color w:val="000000"/>
                <w:sz w:val="22"/>
              </w:rPr>
              <w:t>subkomponentas</w:t>
            </w:r>
          </w:p>
        </w:tc>
        <w:tc>
          <w:tcPr>
            <w:tcW w:w="6663" w:type="dxa"/>
            <w:shd w:val="clear" w:color="auto" w:fill="auto"/>
          </w:tcPr>
          <w:p w:rsidR="00F73B80" w:rsidRDefault="0017239A">
            <w:pPr>
              <w:rPr>
                <w:noProof/>
                <w:color w:val="000000"/>
              </w:rPr>
            </w:pPr>
            <w:r>
              <w:rPr>
                <w:noProof/>
                <w:color w:val="000000"/>
                <w:sz w:val="22"/>
              </w:rPr>
              <w:t>Aprašymas</w:t>
            </w:r>
          </w:p>
        </w:tc>
      </w:tr>
      <w:tr w:rsidR="00F73B80">
        <w:tc>
          <w:tcPr>
            <w:tcW w:w="2376" w:type="dxa"/>
            <w:shd w:val="clear" w:color="auto" w:fill="auto"/>
          </w:tcPr>
          <w:p w:rsidR="00F73B80" w:rsidRDefault="0017239A">
            <w:pPr>
              <w:rPr>
                <w:noProof/>
                <w:color w:val="000000"/>
              </w:rPr>
            </w:pPr>
            <w:r>
              <w:rPr>
                <w:b/>
                <w:noProof/>
                <w:color w:val="000000"/>
                <w:sz w:val="22"/>
              </w:rPr>
              <w:t xml:space="preserve">Energija ir tiekimas </w:t>
            </w:r>
          </w:p>
        </w:tc>
        <w:tc>
          <w:tcPr>
            <w:tcW w:w="6663" w:type="dxa"/>
            <w:shd w:val="clear" w:color="auto" w:fill="auto"/>
          </w:tcPr>
          <w:p w:rsidR="00F73B80" w:rsidRDefault="0017239A">
            <w:pPr>
              <w:rPr>
                <w:noProof/>
                <w:color w:val="000000"/>
              </w:rPr>
            </w:pPr>
            <w:r>
              <w:rPr>
                <w:noProof/>
                <w:color w:val="000000"/>
                <w:sz w:val="22"/>
              </w:rPr>
              <w:t>Šis komponentas turi apimti gamtinių dujų kainą, kurią moka tiekėjas, arba gamtinių dujų kainą įleidimo į perdavimo sistemą punkte, įskaitant, jei taikoma, saugojimo sąnaudas ir sąnaudas, susijusias su gamtin</w:t>
            </w:r>
            <w:r>
              <w:rPr>
                <w:noProof/>
                <w:color w:val="000000"/>
                <w:sz w:val="22"/>
              </w:rPr>
              <w:t>ių dujų pardavimu galutiniams vartotojams.</w:t>
            </w:r>
          </w:p>
        </w:tc>
      </w:tr>
      <w:tr w:rsidR="00F73B80">
        <w:tc>
          <w:tcPr>
            <w:tcW w:w="2376" w:type="dxa"/>
            <w:tcBorders>
              <w:bottom w:val="single" w:sz="4" w:space="0" w:color="auto"/>
            </w:tcBorders>
            <w:shd w:val="clear" w:color="auto" w:fill="auto"/>
          </w:tcPr>
          <w:p w:rsidR="00F73B80" w:rsidRDefault="0017239A">
            <w:pPr>
              <w:rPr>
                <w:noProof/>
                <w:color w:val="000000"/>
              </w:rPr>
            </w:pPr>
            <w:r>
              <w:rPr>
                <w:b/>
                <w:noProof/>
                <w:color w:val="000000"/>
                <w:sz w:val="22"/>
              </w:rPr>
              <w:t>Tinklas</w:t>
            </w:r>
          </w:p>
        </w:tc>
        <w:tc>
          <w:tcPr>
            <w:tcW w:w="6663" w:type="dxa"/>
            <w:tcBorders>
              <w:bottom w:val="single" w:sz="4" w:space="0" w:color="auto"/>
            </w:tcBorders>
            <w:shd w:val="clear" w:color="auto" w:fill="auto"/>
          </w:tcPr>
          <w:p w:rsidR="00F73B80" w:rsidRDefault="0017239A">
            <w:pPr>
              <w:rPr>
                <w:noProof/>
                <w:color w:val="000000"/>
              </w:rPr>
            </w:pPr>
            <w:r>
              <w:rPr>
                <w:noProof/>
                <w:color w:val="000000"/>
                <w:sz w:val="22"/>
              </w:rPr>
              <w:t xml:space="preserve">Tinklo kaina turi apimti šias sąnaudas: perdavimo ir skirstymo tarifus, perdavimo ir skirstymo nuostolius, tinklo sąnaudas, vartotojų aptarnavimo sąnaudas, sistemos priežiūros sąnaudas, skaitiklių nuomos </w:t>
            </w:r>
            <w:r>
              <w:rPr>
                <w:noProof/>
                <w:color w:val="000000"/>
                <w:sz w:val="22"/>
              </w:rPr>
              <w:lastRenderedPageBreak/>
              <w:t xml:space="preserve">ir skaitiklių rodmenų nuskaitymo sąnaudas. </w:t>
            </w:r>
          </w:p>
        </w:tc>
      </w:tr>
      <w:tr w:rsidR="00F73B80">
        <w:tc>
          <w:tcPr>
            <w:tcW w:w="2376" w:type="dxa"/>
            <w:tcBorders>
              <w:top w:val="single" w:sz="4" w:space="0" w:color="auto"/>
              <w:left w:val="single" w:sz="4" w:space="0" w:color="auto"/>
              <w:bottom w:val="nil"/>
              <w:right w:val="single" w:sz="4" w:space="0" w:color="auto"/>
            </w:tcBorders>
            <w:shd w:val="clear" w:color="auto" w:fill="auto"/>
          </w:tcPr>
          <w:p w:rsidR="00F73B80" w:rsidRDefault="0017239A">
            <w:pPr>
              <w:rPr>
                <w:i/>
                <w:noProof/>
                <w:color w:val="000000"/>
              </w:rPr>
            </w:pPr>
            <w:r>
              <w:rPr>
                <w:i/>
                <w:noProof/>
                <w:color w:val="000000"/>
                <w:sz w:val="22"/>
              </w:rPr>
              <w:lastRenderedPageBreak/>
              <w:t>Subkomponentas</w:t>
            </w:r>
          </w:p>
        </w:tc>
        <w:tc>
          <w:tcPr>
            <w:tcW w:w="6663" w:type="dxa"/>
            <w:tcBorders>
              <w:left w:val="single" w:sz="4" w:space="0" w:color="auto"/>
            </w:tcBorders>
            <w:shd w:val="clear" w:color="auto" w:fill="auto"/>
          </w:tcPr>
          <w:p w:rsidR="00F73B80" w:rsidRDefault="0017239A">
            <w:pPr>
              <w:rPr>
                <w:noProof/>
                <w:color w:val="000000"/>
              </w:rPr>
            </w:pPr>
            <w:r>
              <w:rPr>
                <w:noProof/>
                <w:color w:val="000000"/>
                <w:sz w:val="22"/>
              </w:rPr>
              <w:t>Tinklo komponentas turi būti padalytas į perdavimo sąnaudas ir skirstymo tinklų sąnaudas, kaip nurodyta toliau:</w:t>
            </w:r>
          </w:p>
        </w:tc>
      </w:tr>
      <w:tr w:rsidR="00F73B80">
        <w:tc>
          <w:tcPr>
            <w:tcW w:w="2376" w:type="dxa"/>
            <w:tcBorders>
              <w:top w:val="nil"/>
              <w:left w:val="single" w:sz="4" w:space="0" w:color="auto"/>
              <w:bottom w:val="nil"/>
              <w:right w:val="single" w:sz="4" w:space="0" w:color="auto"/>
            </w:tcBorders>
            <w:shd w:val="clear" w:color="auto" w:fill="auto"/>
          </w:tcPr>
          <w:p w:rsidR="00F73B80" w:rsidRDefault="00F73B80">
            <w:pPr>
              <w:rPr>
                <w:i/>
                <w:noProof/>
                <w:color w:val="000000"/>
              </w:rPr>
            </w:pPr>
          </w:p>
        </w:tc>
        <w:tc>
          <w:tcPr>
            <w:tcW w:w="6663" w:type="dxa"/>
            <w:tcBorders>
              <w:left w:val="single" w:sz="4" w:space="0" w:color="auto"/>
            </w:tcBorders>
            <w:shd w:val="clear" w:color="auto" w:fill="auto"/>
          </w:tcPr>
          <w:p w:rsidR="00F73B80" w:rsidRDefault="0017239A">
            <w:pPr>
              <w:rPr>
                <w:noProof/>
                <w:color w:val="000000"/>
              </w:rPr>
            </w:pPr>
            <w:r>
              <w:rPr>
                <w:noProof/>
                <w:color w:val="000000"/>
                <w:sz w:val="22"/>
              </w:rPr>
              <w:t xml:space="preserve">1. Bendra vidutinė santykinė perdavimo sąnaudų dalis (apskaičiuota kaip visų </w:t>
            </w:r>
            <w:r>
              <w:rPr>
                <w:noProof/>
                <w:color w:val="000000"/>
                <w:sz w:val="22"/>
              </w:rPr>
              <w:t>tinklo sąnaudų procentinė dalis ir grindžiama suvartojimo grupėmis, nurodytomis 5 punkte).</w:t>
            </w:r>
          </w:p>
        </w:tc>
      </w:tr>
      <w:tr w:rsidR="00F73B80">
        <w:tc>
          <w:tcPr>
            <w:tcW w:w="2376" w:type="dxa"/>
            <w:tcBorders>
              <w:top w:val="nil"/>
              <w:left w:val="single" w:sz="4" w:space="0" w:color="auto"/>
              <w:bottom w:val="single" w:sz="4" w:space="0" w:color="auto"/>
              <w:right w:val="single" w:sz="4" w:space="0" w:color="auto"/>
            </w:tcBorders>
            <w:shd w:val="clear" w:color="auto" w:fill="auto"/>
          </w:tcPr>
          <w:p w:rsidR="00F73B80" w:rsidRDefault="00F73B80">
            <w:pPr>
              <w:rPr>
                <w:noProof/>
                <w:color w:val="000000"/>
              </w:rPr>
            </w:pPr>
          </w:p>
        </w:tc>
        <w:tc>
          <w:tcPr>
            <w:tcW w:w="6663" w:type="dxa"/>
            <w:tcBorders>
              <w:left w:val="single" w:sz="4" w:space="0" w:color="auto"/>
            </w:tcBorders>
            <w:shd w:val="clear" w:color="auto" w:fill="auto"/>
          </w:tcPr>
          <w:p w:rsidR="00F73B80" w:rsidRDefault="0017239A">
            <w:pPr>
              <w:rPr>
                <w:noProof/>
                <w:color w:val="000000"/>
              </w:rPr>
            </w:pPr>
            <w:r>
              <w:rPr>
                <w:noProof/>
                <w:color w:val="000000"/>
                <w:sz w:val="22"/>
              </w:rPr>
              <w:t xml:space="preserve">2. Bendra vidutinė santykinė skirstymo sąnaudų dalis (apskaičiuota kaip visų tinklo sąnaudų procentinė dalis ir grindžiama suvartojimo grupėmis, nurodytomis 5 </w:t>
            </w:r>
            <w:r>
              <w:rPr>
                <w:noProof/>
                <w:color w:val="000000"/>
                <w:sz w:val="22"/>
              </w:rPr>
              <w:t>punkte).</w:t>
            </w:r>
          </w:p>
        </w:tc>
      </w:tr>
      <w:tr w:rsidR="00F73B80">
        <w:tc>
          <w:tcPr>
            <w:tcW w:w="2376" w:type="dxa"/>
            <w:tcBorders>
              <w:top w:val="single" w:sz="4" w:space="0" w:color="auto"/>
              <w:bottom w:val="single" w:sz="4" w:space="0" w:color="auto"/>
            </w:tcBorders>
            <w:shd w:val="clear" w:color="auto" w:fill="auto"/>
          </w:tcPr>
          <w:p w:rsidR="00F73B80" w:rsidRDefault="0017239A">
            <w:pPr>
              <w:rPr>
                <w:noProof/>
                <w:color w:val="000000"/>
              </w:rPr>
            </w:pPr>
            <w:r>
              <w:rPr>
                <w:b/>
                <w:noProof/>
                <w:color w:val="000000"/>
                <w:sz w:val="22"/>
              </w:rPr>
              <w:t>Mokesčiai, įmokos, rinkliavos ir išlaidos</w:t>
            </w:r>
            <w:r>
              <w:rPr>
                <w:noProof/>
                <w:color w:val="000000"/>
                <w:sz w:val="22"/>
              </w:rPr>
              <w:t xml:space="preserve"> </w:t>
            </w:r>
          </w:p>
        </w:tc>
        <w:tc>
          <w:tcPr>
            <w:tcW w:w="6663" w:type="dxa"/>
            <w:shd w:val="clear" w:color="auto" w:fill="auto"/>
          </w:tcPr>
          <w:p w:rsidR="00F73B80" w:rsidRDefault="0017239A">
            <w:pPr>
              <w:autoSpaceDE w:val="0"/>
              <w:autoSpaceDN w:val="0"/>
              <w:adjustRightInd w:val="0"/>
              <w:spacing w:after="0"/>
              <w:rPr>
                <w:noProof/>
                <w:color w:val="000000"/>
              </w:rPr>
            </w:pPr>
            <w:r>
              <w:rPr>
                <w:noProof/>
                <w:color w:val="000000"/>
                <w:sz w:val="22"/>
              </w:rPr>
              <w:t xml:space="preserve">Šis komponentas yra visų toliau išvardytų subkomponentų (mokesčių, įmokų, rinkliavų ir išlaidų) suma. </w:t>
            </w:r>
          </w:p>
        </w:tc>
      </w:tr>
      <w:tr w:rsidR="00F73B80">
        <w:tc>
          <w:tcPr>
            <w:tcW w:w="2376" w:type="dxa"/>
            <w:vMerge w:val="restart"/>
            <w:tcBorders>
              <w:top w:val="single" w:sz="4" w:space="0" w:color="auto"/>
            </w:tcBorders>
            <w:shd w:val="clear" w:color="auto" w:fill="auto"/>
          </w:tcPr>
          <w:p w:rsidR="00F73B80" w:rsidRDefault="0017239A">
            <w:pPr>
              <w:rPr>
                <w:i/>
                <w:noProof/>
                <w:color w:val="000000"/>
              </w:rPr>
            </w:pPr>
            <w:r>
              <w:rPr>
                <w:i/>
                <w:noProof/>
                <w:color w:val="000000"/>
                <w:sz w:val="22"/>
              </w:rPr>
              <w:t>Subkomponentai</w:t>
            </w:r>
          </w:p>
        </w:tc>
        <w:tc>
          <w:tcPr>
            <w:tcW w:w="6663" w:type="dxa"/>
            <w:shd w:val="clear" w:color="auto" w:fill="auto"/>
          </w:tcPr>
          <w:p w:rsidR="00F73B80" w:rsidRDefault="0017239A">
            <w:pPr>
              <w:autoSpaceDE w:val="0"/>
              <w:autoSpaceDN w:val="0"/>
              <w:adjustRightInd w:val="0"/>
              <w:spacing w:after="0"/>
              <w:rPr>
                <w:noProof/>
                <w:color w:val="000000"/>
              </w:rPr>
            </w:pPr>
            <w:r>
              <w:rPr>
                <w:noProof/>
                <w:color w:val="000000"/>
                <w:sz w:val="22"/>
              </w:rPr>
              <w:t xml:space="preserve">Toliau nurodyti subkomponentai praneštini atskirai pagal kiekvieną 5 punkte nurodytą suvartojimo grupę. </w:t>
            </w:r>
          </w:p>
        </w:tc>
      </w:tr>
      <w:tr w:rsidR="00F73B80">
        <w:tc>
          <w:tcPr>
            <w:tcW w:w="2376" w:type="dxa"/>
            <w:vMerge/>
            <w:shd w:val="clear" w:color="auto" w:fill="auto"/>
          </w:tcPr>
          <w:p w:rsidR="00F73B80" w:rsidRDefault="00F73B80">
            <w:pPr>
              <w:rPr>
                <w:noProof/>
                <w:color w:val="000000"/>
              </w:rPr>
            </w:pPr>
          </w:p>
        </w:tc>
        <w:tc>
          <w:tcPr>
            <w:tcW w:w="6663" w:type="dxa"/>
            <w:shd w:val="clear" w:color="auto" w:fill="auto"/>
            <w:vAlign w:val="center"/>
          </w:tcPr>
          <w:p w:rsidR="00F73B80" w:rsidRDefault="0017239A">
            <w:pPr>
              <w:autoSpaceDE w:val="0"/>
              <w:autoSpaceDN w:val="0"/>
              <w:adjustRightInd w:val="0"/>
              <w:spacing w:after="0"/>
              <w:rPr>
                <w:noProof/>
                <w:color w:val="000000"/>
              </w:rPr>
            </w:pPr>
            <w:r>
              <w:rPr>
                <w:noProof/>
                <w:color w:val="000000"/>
                <w:sz w:val="22"/>
              </w:rPr>
              <w:t>1. Pridėtinės vertės mokestis, kaip apibūdinta Tarybos direktyvoje 2006/112/EB</w:t>
            </w:r>
            <w:r>
              <w:rPr>
                <w:rStyle w:val="FootnoteReference"/>
                <w:noProof/>
                <w:color w:val="000000"/>
                <w:sz w:val="22"/>
              </w:rPr>
              <w:footnoteReference w:id="1"/>
            </w:r>
            <w:r>
              <w:rPr>
                <w:noProof/>
                <w:color w:val="000000"/>
                <w:sz w:val="22"/>
              </w:rPr>
              <w:t xml:space="preserve"> dėl pridėtinės vertės mokesčio bendros sistemos.</w:t>
            </w:r>
          </w:p>
        </w:tc>
      </w:tr>
      <w:tr w:rsidR="00F73B80">
        <w:tc>
          <w:tcPr>
            <w:tcW w:w="2376" w:type="dxa"/>
            <w:vMerge/>
            <w:shd w:val="clear" w:color="auto" w:fill="auto"/>
          </w:tcPr>
          <w:p w:rsidR="00F73B80" w:rsidRDefault="00F73B80">
            <w:pPr>
              <w:rPr>
                <w:noProof/>
                <w:color w:val="000000"/>
              </w:rPr>
            </w:pPr>
          </w:p>
        </w:tc>
        <w:tc>
          <w:tcPr>
            <w:tcW w:w="6663" w:type="dxa"/>
            <w:shd w:val="clear" w:color="auto" w:fill="auto"/>
            <w:vAlign w:val="center"/>
          </w:tcPr>
          <w:p w:rsidR="00F73B80" w:rsidRDefault="0017239A">
            <w:pPr>
              <w:autoSpaceDE w:val="0"/>
              <w:autoSpaceDN w:val="0"/>
              <w:adjustRightInd w:val="0"/>
              <w:spacing w:after="0"/>
              <w:rPr>
                <w:noProof/>
                <w:color w:val="000000"/>
              </w:rPr>
            </w:pPr>
            <w:r>
              <w:rPr>
                <w:noProof/>
                <w:color w:val="000000"/>
                <w:sz w:val="22"/>
              </w:rPr>
              <w:t xml:space="preserve">2. Mokesčiai, </w:t>
            </w:r>
            <w:r>
              <w:rPr>
                <w:noProof/>
                <w:color w:val="000000"/>
                <w:sz w:val="22"/>
              </w:rPr>
              <w:t>įmokos, rinkliavos ar išlaidos, susijusios su skatinimu naudoti atsinaujinančiuosius energijos šaltinius, energijos vartojimo efektyvumo didinimu ir bendros šilumos ir elektros energijos gamybos skatinimu.</w:t>
            </w:r>
          </w:p>
        </w:tc>
      </w:tr>
      <w:tr w:rsidR="00F73B80">
        <w:tc>
          <w:tcPr>
            <w:tcW w:w="2376" w:type="dxa"/>
            <w:vMerge/>
            <w:tcBorders>
              <w:bottom w:val="nil"/>
            </w:tcBorders>
            <w:shd w:val="clear" w:color="auto" w:fill="auto"/>
          </w:tcPr>
          <w:p w:rsidR="00F73B80" w:rsidRDefault="00F73B80">
            <w:pPr>
              <w:rPr>
                <w:noProof/>
                <w:color w:val="000000"/>
              </w:rPr>
            </w:pPr>
          </w:p>
        </w:tc>
        <w:tc>
          <w:tcPr>
            <w:tcW w:w="6663" w:type="dxa"/>
            <w:shd w:val="clear" w:color="auto" w:fill="auto"/>
            <w:vAlign w:val="center"/>
          </w:tcPr>
          <w:p w:rsidR="00F73B80" w:rsidRDefault="0017239A">
            <w:pPr>
              <w:autoSpaceDE w:val="0"/>
              <w:autoSpaceDN w:val="0"/>
              <w:adjustRightInd w:val="0"/>
              <w:spacing w:after="0"/>
              <w:rPr>
                <w:noProof/>
                <w:color w:val="000000"/>
              </w:rPr>
            </w:pPr>
            <w:r>
              <w:rPr>
                <w:noProof/>
                <w:color w:val="000000"/>
                <w:sz w:val="22"/>
              </w:rPr>
              <w:t xml:space="preserve">3. Mokesčiai, įmokos, rinkliavos arba išlaidos, </w:t>
            </w:r>
            <w:r>
              <w:rPr>
                <w:noProof/>
                <w:color w:val="000000"/>
                <w:sz w:val="22"/>
              </w:rPr>
              <w:t>susijusios su strateginėmis atsargomis, mokėjimais už pajėgumus ir energetiniu saugumu; dujų skirstymo mokesčiai; neatgaunamos sąnaudos ir rinkliavos, kuriomis finansuojamos energetikos reguliavimo institucijos arba rinkos dalyviai.</w:t>
            </w:r>
          </w:p>
        </w:tc>
      </w:tr>
      <w:tr w:rsidR="00F73B80">
        <w:tc>
          <w:tcPr>
            <w:tcW w:w="2376" w:type="dxa"/>
            <w:tcBorders>
              <w:top w:val="nil"/>
              <w:left w:val="single" w:sz="4" w:space="0" w:color="auto"/>
              <w:bottom w:val="nil"/>
              <w:right w:val="single" w:sz="4" w:space="0" w:color="auto"/>
            </w:tcBorders>
            <w:shd w:val="clear" w:color="auto" w:fill="auto"/>
          </w:tcPr>
          <w:p w:rsidR="00F73B80" w:rsidRDefault="00F73B80">
            <w:pPr>
              <w:rPr>
                <w:noProof/>
                <w:color w:val="000000"/>
              </w:rPr>
            </w:pPr>
          </w:p>
        </w:tc>
        <w:tc>
          <w:tcPr>
            <w:tcW w:w="6663" w:type="dxa"/>
            <w:tcBorders>
              <w:left w:val="single" w:sz="4" w:space="0" w:color="auto"/>
            </w:tcBorders>
            <w:shd w:val="clear" w:color="auto" w:fill="auto"/>
            <w:vAlign w:val="center"/>
          </w:tcPr>
          <w:p w:rsidR="00F73B80" w:rsidRDefault="0017239A">
            <w:pPr>
              <w:autoSpaceDE w:val="0"/>
              <w:autoSpaceDN w:val="0"/>
              <w:adjustRightInd w:val="0"/>
              <w:spacing w:after="0"/>
              <w:rPr>
                <w:noProof/>
                <w:color w:val="000000"/>
              </w:rPr>
            </w:pPr>
            <w:r>
              <w:rPr>
                <w:noProof/>
                <w:color w:val="000000"/>
                <w:sz w:val="22"/>
              </w:rPr>
              <w:t>4. Mokesčiai, įmokos,</w:t>
            </w:r>
            <w:r>
              <w:rPr>
                <w:noProof/>
                <w:color w:val="000000"/>
                <w:sz w:val="22"/>
              </w:rPr>
              <w:t xml:space="preserve"> rinkliavos ar išlaidos, susijusios su oro kokybe ir aplinkos apsauga; CO</w:t>
            </w:r>
            <w:r>
              <w:rPr>
                <w:noProof/>
                <w:color w:val="000000"/>
                <w:sz w:val="22"/>
                <w:vertAlign w:val="subscript"/>
              </w:rPr>
              <w:t>2</w:t>
            </w:r>
            <w:r>
              <w:rPr>
                <w:noProof/>
                <w:color w:val="000000"/>
                <w:sz w:val="22"/>
              </w:rPr>
              <w:t xml:space="preserve"> arba kitų šiltnamio efektą sukeliančių dujų emisijų mokesčiai. </w:t>
            </w:r>
          </w:p>
        </w:tc>
      </w:tr>
      <w:tr w:rsidR="00F73B80">
        <w:tc>
          <w:tcPr>
            <w:tcW w:w="2376" w:type="dxa"/>
            <w:tcBorders>
              <w:top w:val="nil"/>
              <w:left w:val="single" w:sz="4" w:space="0" w:color="auto"/>
              <w:bottom w:val="single" w:sz="4" w:space="0" w:color="auto"/>
              <w:right w:val="single" w:sz="4" w:space="0" w:color="auto"/>
            </w:tcBorders>
            <w:shd w:val="clear" w:color="auto" w:fill="auto"/>
          </w:tcPr>
          <w:p w:rsidR="00F73B80" w:rsidRDefault="00F73B80">
            <w:pPr>
              <w:rPr>
                <w:noProof/>
                <w:color w:val="000000"/>
              </w:rPr>
            </w:pPr>
          </w:p>
        </w:tc>
        <w:tc>
          <w:tcPr>
            <w:tcW w:w="6663" w:type="dxa"/>
            <w:tcBorders>
              <w:left w:val="single" w:sz="4" w:space="0" w:color="auto"/>
            </w:tcBorders>
            <w:shd w:val="clear" w:color="auto" w:fill="auto"/>
            <w:vAlign w:val="center"/>
          </w:tcPr>
          <w:p w:rsidR="00F73B80" w:rsidRDefault="0017239A">
            <w:pPr>
              <w:autoSpaceDE w:val="0"/>
              <w:autoSpaceDN w:val="0"/>
              <w:adjustRightInd w:val="0"/>
              <w:spacing w:after="0"/>
              <w:rPr>
                <w:noProof/>
                <w:color w:val="000000"/>
              </w:rPr>
            </w:pPr>
            <w:r>
              <w:rPr>
                <w:noProof/>
                <w:color w:val="000000"/>
                <w:sz w:val="22"/>
              </w:rPr>
              <w:t xml:space="preserve">5. Visi kiti mokesčiai, įmokos, rinkliavos ar išlaidos, nepatenkančios į nė vieną iš pirmiau nurodytų keturių kategorijų: pagalba centralizuotam šilumos tiekimui; vietos ar regioniniai mokesčiai; mokesčiai už tiekimą atokioje zonoje; koncesijos mokesčiai, </w:t>
            </w:r>
            <w:r>
              <w:rPr>
                <w:noProof/>
                <w:color w:val="000000"/>
                <w:sz w:val="22"/>
              </w:rPr>
              <w:t xml:space="preserve">susiję su licencijomis, taip pat mokesčiai už tinklams ir kitiems įrenginiams naudojamą žemę arba valstybinę ar privačią nuosavybę. </w:t>
            </w:r>
          </w:p>
        </w:tc>
      </w:tr>
    </w:tbl>
    <w:p w:rsidR="00F73B80" w:rsidRDefault="0017239A">
      <w:pPr>
        <w:rPr>
          <w:i/>
          <w:noProof/>
          <w:color w:val="000000"/>
          <w:szCs w:val="24"/>
        </w:rPr>
      </w:pPr>
      <w:r>
        <w:rPr>
          <w:i/>
          <w:noProof/>
        </w:rPr>
        <w:t>b) Išsamumas, atsižvelgiant į apmokestinimą</w:t>
      </w:r>
    </w:p>
    <w:p w:rsidR="00F73B80" w:rsidRDefault="0017239A">
      <w:pPr>
        <w:autoSpaceDE w:val="0"/>
        <w:autoSpaceDN w:val="0"/>
        <w:adjustRightInd w:val="0"/>
        <w:spacing w:after="0"/>
        <w:rPr>
          <w:noProof/>
          <w:color w:val="000000"/>
          <w:szCs w:val="24"/>
        </w:rPr>
      </w:pPr>
      <w:r>
        <w:rPr>
          <w:noProof/>
          <w:color w:val="000000"/>
        </w:rPr>
        <w:t xml:space="preserve">Kainų duomenys turi būti suskirstyti į šiuos </w:t>
      </w:r>
      <w:r>
        <w:rPr>
          <w:b/>
          <w:noProof/>
          <w:color w:val="000000"/>
        </w:rPr>
        <w:t>tris lygmenis</w:t>
      </w:r>
      <w:r>
        <w:rPr>
          <w:noProof/>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F73B80">
        <w:tc>
          <w:tcPr>
            <w:tcW w:w="3794" w:type="dxa"/>
            <w:shd w:val="clear" w:color="auto" w:fill="auto"/>
          </w:tcPr>
          <w:p w:rsidR="00F73B80" w:rsidRDefault="0017239A">
            <w:pPr>
              <w:autoSpaceDE w:val="0"/>
              <w:autoSpaceDN w:val="0"/>
              <w:adjustRightInd w:val="0"/>
              <w:spacing w:after="0"/>
              <w:rPr>
                <w:noProof/>
                <w:color w:val="000000"/>
              </w:rPr>
            </w:pPr>
            <w:r>
              <w:rPr>
                <w:noProof/>
                <w:color w:val="000000"/>
                <w:sz w:val="22"/>
              </w:rPr>
              <w:t>Lygmuo</w:t>
            </w:r>
          </w:p>
        </w:tc>
        <w:tc>
          <w:tcPr>
            <w:tcW w:w="5494" w:type="dxa"/>
            <w:shd w:val="clear" w:color="auto" w:fill="auto"/>
          </w:tcPr>
          <w:p w:rsidR="00F73B80" w:rsidRDefault="0017239A">
            <w:pPr>
              <w:autoSpaceDE w:val="0"/>
              <w:autoSpaceDN w:val="0"/>
              <w:adjustRightInd w:val="0"/>
              <w:spacing w:after="0"/>
              <w:rPr>
                <w:noProof/>
                <w:color w:val="000000"/>
              </w:rPr>
            </w:pPr>
            <w:r>
              <w:rPr>
                <w:noProof/>
                <w:color w:val="000000"/>
                <w:sz w:val="22"/>
              </w:rPr>
              <w:t>Aprašymas</w:t>
            </w:r>
          </w:p>
        </w:tc>
      </w:tr>
      <w:tr w:rsidR="00F73B80">
        <w:tc>
          <w:tcPr>
            <w:tcW w:w="3794" w:type="dxa"/>
            <w:shd w:val="clear" w:color="auto" w:fill="auto"/>
          </w:tcPr>
          <w:p w:rsidR="00F73B80" w:rsidRDefault="00F73B80">
            <w:pPr>
              <w:autoSpaceDE w:val="0"/>
              <w:autoSpaceDN w:val="0"/>
              <w:adjustRightInd w:val="0"/>
              <w:spacing w:after="0"/>
              <w:rPr>
                <w:b/>
                <w:noProof/>
                <w:color w:val="000000"/>
              </w:rPr>
            </w:pPr>
          </w:p>
          <w:p w:rsidR="00F73B80" w:rsidRDefault="0017239A">
            <w:pPr>
              <w:autoSpaceDE w:val="0"/>
              <w:autoSpaceDN w:val="0"/>
              <w:adjustRightInd w:val="0"/>
              <w:spacing w:after="0"/>
              <w:rPr>
                <w:b/>
                <w:noProof/>
                <w:color w:val="000000"/>
              </w:rPr>
            </w:pPr>
            <w:r>
              <w:rPr>
                <w:b/>
                <w:noProof/>
                <w:color w:val="000000"/>
                <w:sz w:val="22"/>
              </w:rPr>
              <w:t>Kainos be visų mokesčių, įmokų, rinkliavų ir išlaidų</w:t>
            </w:r>
          </w:p>
        </w:tc>
        <w:tc>
          <w:tcPr>
            <w:tcW w:w="5494" w:type="dxa"/>
            <w:shd w:val="clear" w:color="auto" w:fill="auto"/>
          </w:tcPr>
          <w:p w:rsidR="00F73B80" w:rsidRDefault="0017239A">
            <w:pPr>
              <w:autoSpaceDE w:val="0"/>
              <w:autoSpaceDN w:val="0"/>
              <w:adjustRightInd w:val="0"/>
              <w:spacing w:after="0"/>
              <w:rPr>
                <w:noProof/>
                <w:color w:val="000000"/>
              </w:rPr>
            </w:pPr>
            <w:r>
              <w:rPr>
                <w:noProof/>
                <w:color w:val="000000"/>
                <w:sz w:val="22"/>
              </w:rPr>
              <w:t xml:space="preserve">Šis kainų lygmuo apima tik energijos ir tiekimo komponentą bei tinklo komponentą. </w:t>
            </w:r>
          </w:p>
        </w:tc>
      </w:tr>
      <w:tr w:rsidR="00F73B80">
        <w:tc>
          <w:tcPr>
            <w:tcW w:w="3794" w:type="dxa"/>
            <w:shd w:val="clear" w:color="auto" w:fill="auto"/>
          </w:tcPr>
          <w:p w:rsidR="00F73B80" w:rsidRDefault="00F73B80">
            <w:pPr>
              <w:autoSpaceDE w:val="0"/>
              <w:autoSpaceDN w:val="0"/>
              <w:adjustRightInd w:val="0"/>
              <w:spacing w:after="0"/>
              <w:rPr>
                <w:b/>
                <w:noProof/>
                <w:color w:val="000000"/>
              </w:rPr>
            </w:pPr>
          </w:p>
          <w:p w:rsidR="00F73B80" w:rsidRDefault="0017239A">
            <w:pPr>
              <w:autoSpaceDE w:val="0"/>
              <w:autoSpaceDN w:val="0"/>
              <w:adjustRightInd w:val="0"/>
              <w:spacing w:after="0"/>
              <w:rPr>
                <w:b/>
                <w:noProof/>
                <w:color w:val="000000"/>
              </w:rPr>
            </w:pPr>
            <w:r>
              <w:rPr>
                <w:b/>
                <w:noProof/>
                <w:color w:val="000000"/>
                <w:sz w:val="22"/>
              </w:rPr>
              <w:t xml:space="preserve">Kainos be pridėtinės vertės mokesčio (PVM) ir kitų susigrąžinamų mokesčių </w:t>
            </w:r>
          </w:p>
        </w:tc>
        <w:tc>
          <w:tcPr>
            <w:tcW w:w="5494" w:type="dxa"/>
            <w:shd w:val="clear" w:color="auto" w:fill="auto"/>
          </w:tcPr>
          <w:p w:rsidR="00F73B80" w:rsidRDefault="0017239A">
            <w:pPr>
              <w:autoSpaceDE w:val="0"/>
              <w:autoSpaceDN w:val="0"/>
              <w:adjustRightInd w:val="0"/>
              <w:spacing w:after="0"/>
              <w:rPr>
                <w:noProof/>
                <w:color w:val="000000"/>
              </w:rPr>
            </w:pPr>
            <w:r>
              <w:rPr>
                <w:noProof/>
                <w:color w:val="000000"/>
                <w:sz w:val="22"/>
              </w:rPr>
              <w:t>Šis kainų lygmuo apima energijos ir tiekim</w:t>
            </w:r>
            <w:r>
              <w:rPr>
                <w:noProof/>
                <w:color w:val="000000"/>
                <w:sz w:val="22"/>
              </w:rPr>
              <w:t>o komponentą, tinklo komponentą ir mokesčius, įmokas, rinkliavas bei išlaidas, laikomas nesusigrąžinamomis galutiniams ne namų ūkių vartotojams. Namų ūkių vartotojų atveju šis kainų lygmuo apima energijos ir tinklo komponentus ir mokesčius, įmokas, rinklia</w:t>
            </w:r>
            <w:r>
              <w:rPr>
                <w:noProof/>
                <w:color w:val="000000"/>
                <w:sz w:val="22"/>
              </w:rPr>
              <w:t xml:space="preserve">vas bei išlaidas, tačiau neapima PVM. </w:t>
            </w:r>
          </w:p>
        </w:tc>
      </w:tr>
      <w:tr w:rsidR="00F73B80">
        <w:tc>
          <w:tcPr>
            <w:tcW w:w="3794" w:type="dxa"/>
            <w:shd w:val="clear" w:color="auto" w:fill="auto"/>
          </w:tcPr>
          <w:p w:rsidR="00F73B80" w:rsidRDefault="00F73B80">
            <w:pPr>
              <w:autoSpaceDE w:val="0"/>
              <w:autoSpaceDN w:val="0"/>
              <w:adjustRightInd w:val="0"/>
              <w:spacing w:after="0"/>
              <w:rPr>
                <w:b/>
                <w:noProof/>
                <w:color w:val="000000"/>
              </w:rPr>
            </w:pPr>
          </w:p>
          <w:p w:rsidR="00F73B80" w:rsidRDefault="0017239A">
            <w:pPr>
              <w:autoSpaceDE w:val="0"/>
              <w:autoSpaceDN w:val="0"/>
              <w:adjustRightInd w:val="0"/>
              <w:spacing w:after="0"/>
              <w:rPr>
                <w:b/>
                <w:noProof/>
                <w:color w:val="000000"/>
              </w:rPr>
            </w:pPr>
            <w:r>
              <w:rPr>
                <w:b/>
                <w:noProof/>
                <w:color w:val="000000"/>
                <w:sz w:val="22"/>
              </w:rPr>
              <w:t>Kainos, apimančios visus mokesčius</w:t>
            </w:r>
          </w:p>
        </w:tc>
        <w:tc>
          <w:tcPr>
            <w:tcW w:w="5494" w:type="dxa"/>
            <w:shd w:val="clear" w:color="auto" w:fill="auto"/>
          </w:tcPr>
          <w:p w:rsidR="00F73B80" w:rsidRDefault="0017239A">
            <w:pPr>
              <w:autoSpaceDE w:val="0"/>
              <w:autoSpaceDN w:val="0"/>
              <w:adjustRightInd w:val="0"/>
              <w:spacing w:after="0"/>
              <w:rPr>
                <w:noProof/>
                <w:color w:val="000000"/>
              </w:rPr>
            </w:pPr>
            <w:r>
              <w:rPr>
                <w:noProof/>
                <w:color w:val="000000"/>
                <w:sz w:val="22"/>
              </w:rPr>
              <w:t>Šis kainų lygmuo apima energijos ir tiekimo komponentą, tinklo komponentą ir visus susigrąžinamus ir nesusigrąžinamus mokesčius, įmokas, rinkliavas ir išlaidas.</w:t>
            </w:r>
          </w:p>
        </w:tc>
      </w:tr>
    </w:tbl>
    <w:p w:rsidR="00F73B80" w:rsidRDefault="00F73B80">
      <w:pPr>
        <w:rPr>
          <w:b/>
          <w:noProof/>
          <w:color w:val="000000"/>
          <w:szCs w:val="24"/>
        </w:rPr>
      </w:pPr>
    </w:p>
    <w:p w:rsidR="00F73B80" w:rsidRDefault="00F73B80">
      <w:pPr>
        <w:rPr>
          <w:b/>
          <w:noProof/>
          <w:color w:val="000000"/>
          <w:szCs w:val="24"/>
        </w:rPr>
      </w:pPr>
    </w:p>
    <w:p w:rsidR="00F73B80" w:rsidRDefault="00F73B80">
      <w:pPr>
        <w:rPr>
          <w:b/>
          <w:noProof/>
          <w:color w:val="000000"/>
          <w:szCs w:val="24"/>
        </w:rPr>
      </w:pPr>
    </w:p>
    <w:p w:rsidR="00F73B80" w:rsidRDefault="00F73B80">
      <w:pPr>
        <w:rPr>
          <w:b/>
          <w:noProof/>
          <w:color w:val="000000"/>
          <w:szCs w:val="24"/>
        </w:rPr>
      </w:pPr>
    </w:p>
    <w:p w:rsidR="00F73B80" w:rsidRDefault="0017239A">
      <w:pPr>
        <w:rPr>
          <w:b/>
          <w:noProof/>
          <w:color w:val="000000"/>
          <w:szCs w:val="24"/>
        </w:rPr>
      </w:pPr>
      <w:r>
        <w:rPr>
          <w:b/>
          <w:noProof/>
          <w:color w:val="000000"/>
        </w:rPr>
        <w:t>7. Suvartojami</w:t>
      </w:r>
      <w:r>
        <w:rPr>
          <w:b/>
          <w:noProof/>
          <w:color w:val="000000"/>
        </w:rPr>
        <w:t xml:space="preserve"> kiekiai</w:t>
      </w:r>
    </w:p>
    <w:p w:rsidR="00F73B80" w:rsidRDefault="0017239A">
      <w:pPr>
        <w:rPr>
          <w:noProof/>
          <w:color w:val="000000"/>
          <w:szCs w:val="24"/>
        </w:rPr>
      </w:pPr>
      <w:r>
        <w:rPr>
          <w:noProof/>
          <w:color w:val="000000"/>
        </w:rPr>
        <w:t>Valstybės narės privalo perduoti informaciją apie santykinę gamtinių dujų dalį kiekvienoje suvartojimo grupėje, remdamosi bendru kiekiu, su kuriuo susijusios kainos.</w:t>
      </w:r>
    </w:p>
    <w:p w:rsidR="00F73B80" w:rsidRDefault="0017239A">
      <w:pPr>
        <w:rPr>
          <w:noProof/>
          <w:color w:val="000000"/>
          <w:szCs w:val="24"/>
        </w:rPr>
      </w:pPr>
      <w:r>
        <w:rPr>
          <w:noProof/>
          <w:color w:val="000000"/>
        </w:rPr>
        <w:t xml:space="preserve">Metiniai suvartojami kiekiai, susiję su kiekviena suvartojimo grupe, praneštini kartą per metus tuo pačiu metu, kuriuo pranešami antro pusmečio kainų duomenys. </w:t>
      </w:r>
    </w:p>
    <w:p w:rsidR="00F73B80" w:rsidRDefault="00F73B80">
      <w:pPr>
        <w:rPr>
          <w:noProof/>
          <w:color w:val="000000"/>
          <w:szCs w:val="24"/>
        </w:rPr>
      </w:pPr>
    </w:p>
    <w:p w:rsidR="00F73B80" w:rsidRDefault="0017239A">
      <w:pPr>
        <w:rPr>
          <w:noProof/>
          <w:color w:val="000000"/>
          <w:szCs w:val="24"/>
        </w:rPr>
      </w:pPr>
      <w:r>
        <w:rPr>
          <w:noProof/>
          <w:color w:val="000000"/>
        </w:rPr>
        <w:t>Duomenys turi būti ne senesni kaip dvejų metų.</w:t>
      </w:r>
    </w:p>
    <w:p w:rsidR="00F73B80" w:rsidRDefault="0017239A">
      <w:pPr>
        <w:spacing w:before="0" w:after="200" w:line="276" w:lineRule="auto"/>
        <w:jc w:val="center"/>
        <w:rPr>
          <w:b/>
          <w:noProof/>
          <w:color w:val="000000"/>
          <w:szCs w:val="24"/>
        </w:rPr>
      </w:pPr>
      <w:r>
        <w:rPr>
          <w:noProof/>
        </w:rPr>
        <w:br w:type="page"/>
      </w:r>
      <w:r>
        <w:rPr>
          <w:b/>
          <w:noProof/>
          <w:color w:val="000000"/>
        </w:rPr>
        <w:t>II PRIEDAS. ELEKTROS ENERGIJOS KAINOS</w:t>
      </w:r>
    </w:p>
    <w:p w:rsidR="00F73B80" w:rsidRDefault="0017239A">
      <w:pPr>
        <w:rPr>
          <w:noProof/>
          <w:color w:val="000000"/>
          <w:szCs w:val="24"/>
        </w:rPr>
      </w:pPr>
      <w:r>
        <w:rPr>
          <w:noProof/>
          <w:color w:val="000000"/>
        </w:rPr>
        <w:t>Šiame pr</w:t>
      </w:r>
      <w:r>
        <w:rPr>
          <w:noProof/>
          <w:color w:val="000000"/>
        </w:rPr>
        <w:t>iede išdėstyta statistinių duomenų apie elektros energijos kainas namų ūkių ir galutiniams ne namų ūkių vartotojams rinkimo ir rengimo metodika.</w:t>
      </w:r>
    </w:p>
    <w:p w:rsidR="00F73B80" w:rsidRDefault="0017239A">
      <w:pPr>
        <w:rPr>
          <w:b/>
          <w:noProof/>
          <w:color w:val="000000"/>
          <w:szCs w:val="24"/>
        </w:rPr>
      </w:pPr>
      <w:r>
        <w:rPr>
          <w:b/>
          <w:noProof/>
          <w:color w:val="000000"/>
        </w:rPr>
        <w:t>1. Kainos</w:t>
      </w:r>
    </w:p>
    <w:p w:rsidR="00F73B80" w:rsidRDefault="0017239A">
      <w:pPr>
        <w:rPr>
          <w:noProof/>
          <w:color w:val="000000"/>
          <w:szCs w:val="24"/>
        </w:rPr>
      </w:pPr>
      <w:r>
        <w:rPr>
          <w:noProof/>
          <w:color w:val="000000"/>
        </w:rPr>
        <w:t>Praneštinos kainos – tai kainos, taikomos namų ūkių ir galutiniams ne namų ūkių vartotojams, savo rei</w:t>
      </w:r>
      <w:r>
        <w:rPr>
          <w:noProof/>
          <w:color w:val="000000"/>
        </w:rPr>
        <w:t>kmėms perkantiems elektros energiją.</w:t>
      </w:r>
    </w:p>
    <w:p w:rsidR="00F73B80" w:rsidRDefault="0017239A">
      <w:pPr>
        <w:rPr>
          <w:b/>
          <w:noProof/>
        </w:rPr>
      </w:pPr>
      <w:r>
        <w:rPr>
          <w:b/>
          <w:noProof/>
        </w:rPr>
        <w:t>2. Vienetai, apie kuriuos pranešama</w:t>
      </w:r>
    </w:p>
    <w:p w:rsidR="00F73B80" w:rsidRDefault="0017239A">
      <w:pPr>
        <w:rPr>
          <w:noProof/>
          <w:color w:val="000000"/>
          <w:szCs w:val="24"/>
        </w:rPr>
      </w:pPr>
      <w:r>
        <w:rPr>
          <w:noProof/>
          <w:color w:val="000000"/>
        </w:rPr>
        <w:t>Duomenys turi apimti visus namų ūkių ir galutinius ne namų ūkių elektros energijos vartotojus, tačiau neturi apimti gamintojų savoms reikmėms pagamintos ir sunaudotos elektros energij</w:t>
      </w:r>
      <w:r>
        <w:rPr>
          <w:noProof/>
          <w:color w:val="000000"/>
        </w:rPr>
        <w:t>os.</w:t>
      </w:r>
    </w:p>
    <w:p w:rsidR="00F73B80" w:rsidRDefault="0017239A">
      <w:pPr>
        <w:rPr>
          <w:b/>
          <w:noProof/>
        </w:rPr>
      </w:pPr>
      <w:r>
        <w:rPr>
          <w:b/>
          <w:noProof/>
        </w:rPr>
        <w:t>3. Matavimo vienetas</w:t>
      </w:r>
    </w:p>
    <w:p w:rsidR="00F73B80" w:rsidRDefault="0017239A">
      <w:pPr>
        <w:rPr>
          <w:noProof/>
          <w:color w:val="000000"/>
          <w:szCs w:val="24"/>
        </w:rPr>
      </w:pPr>
      <w:r>
        <w:rPr>
          <w:noProof/>
          <w:color w:val="000000"/>
        </w:rPr>
        <w:t xml:space="preserve">Praneštinos kainos yra vidutinės nacionalinės kainos namų ūkių ir galutiniams ne namų ūkių vartotojams. </w:t>
      </w:r>
      <w:r>
        <w:rPr>
          <w:noProof/>
        </w:rPr>
        <w:tab/>
      </w:r>
      <w:r>
        <w:rPr>
          <w:noProof/>
          <w:color w:val="000000"/>
          <w:szCs w:val="24"/>
        </w:rPr>
        <w:br/>
      </w:r>
      <w:r>
        <w:rPr>
          <w:noProof/>
        </w:rPr>
        <w:tab/>
      </w:r>
      <w:r>
        <w:rPr>
          <w:noProof/>
          <w:color w:val="000000"/>
          <w:szCs w:val="24"/>
        </w:rPr>
        <w:br/>
      </w:r>
      <w:r>
        <w:rPr>
          <w:noProof/>
          <w:color w:val="000000"/>
        </w:rPr>
        <w:t>Kainos turi būti nurodomos nacionaline valiuta (nurodoma suma už kilovatvalandę, kWh).</w:t>
      </w:r>
    </w:p>
    <w:p w:rsidR="00F73B80" w:rsidRDefault="0017239A">
      <w:pPr>
        <w:rPr>
          <w:noProof/>
          <w:color w:val="000000"/>
          <w:szCs w:val="24"/>
        </w:rPr>
      </w:pPr>
      <w:r>
        <w:rPr>
          <w:noProof/>
          <w:color w:val="000000"/>
        </w:rPr>
        <w:t>Turi būti nustatomos svertinės kaino</w:t>
      </w:r>
      <w:r>
        <w:rPr>
          <w:noProof/>
          <w:color w:val="000000"/>
        </w:rPr>
        <w:t>s, atsižvelgiant į elektros energijos tiekimo įmonių rinkos dalį kiekvienoje suvartojimo grupėje. Jeigu neįmanoma apskaičiuoti vidutinių svertinių kainų, gali būti pateikiamas aritmetinis kainų vidurkis. Bet kuriuo atveju duomenys turi apimti reprezentatyv</w:t>
      </w:r>
      <w:r>
        <w:rPr>
          <w:noProof/>
          <w:color w:val="000000"/>
        </w:rPr>
        <w:t>ią nacionalinės rinkos dalį.</w:t>
      </w:r>
    </w:p>
    <w:p w:rsidR="00F73B80" w:rsidRDefault="00F73B80">
      <w:pPr>
        <w:rPr>
          <w:noProof/>
          <w:color w:val="000000"/>
          <w:szCs w:val="24"/>
        </w:rPr>
      </w:pPr>
    </w:p>
    <w:p w:rsidR="00F73B80" w:rsidRDefault="0017239A">
      <w:pPr>
        <w:rPr>
          <w:b/>
          <w:noProof/>
        </w:rPr>
      </w:pPr>
      <w:r>
        <w:rPr>
          <w:b/>
          <w:noProof/>
        </w:rPr>
        <w:t>4. Suvartojimo grupės</w:t>
      </w:r>
    </w:p>
    <w:p w:rsidR="00F73B80" w:rsidRDefault="0017239A">
      <w:pPr>
        <w:rPr>
          <w:noProof/>
          <w:color w:val="000000"/>
          <w:szCs w:val="24"/>
        </w:rPr>
      </w:pPr>
      <w:r>
        <w:rPr>
          <w:noProof/>
          <w:color w:val="000000"/>
        </w:rPr>
        <w:t>Praneštinos kainos turi būti grindžiamos tipinių metinių elektros energijos suvartojimo grupių sistema.</w:t>
      </w:r>
    </w:p>
    <w:p w:rsidR="00F73B80" w:rsidRDefault="0017239A">
      <w:pPr>
        <w:rPr>
          <w:noProof/>
          <w:color w:val="000000"/>
          <w:szCs w:val="24"/>
        </w:rPr>
      </w:pPr>
      <w:r>
        <w:rPr>
          <w:noProof/>
        </w:rPr>
        <w:t>a) Namų ūkių vartotojams taikomos šios grupės: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2442"/>
      </w:tblGrid>
      <w:tr w:rsidR="00F73B80">
        <w:tc>
          <w:tcPr>
            <w:tcW w:w="2093" w:type="dxa"/>
            <w:vMerge w:val="restart"/>
            <w:shd w:val="clear" w:color="auto" w:fill="auto"/>
            <w:vAlign w:val="center"/>
          </w:tcPr>
          <w:p w:rsidR="00F73B80" w:rsidRDefault="0017239A">
            <w:pPr>
              <w:jc w:val="left"/>
              <w:rPr>
                <w:noProof/>
                <w:szCs w:val="24"/>
              </w:rPr>
            </w:pPr>
            <w:r>
              <w:rPr>
                <w:noProof/>
                <w:color w:val="000000"/>
              </w:rPr>
              <w:t>Suvartojimo grupė</w:t>
            </w:r>
          </w:p>
        </w:tc>
        <w:tc>
          <w:tcPr>
            <w:tcW w:w="4285" w:type="dxa"/>
            <w:gridSpan w:val="2"/>
            <w:shd w:val="clear" w:color="auto" w:fill="auto"/>
            <w:vAlign w:val="center"/>
          </w:tcPr>
          <w:p w:rsidR="00F73B80" w:rsidRDefault="0017239A">
            <w:pPr>
              <w:jc w:val="left"/>
              <w:rPr>
                <w:noProof/>
                <w:szCs w:val="24"/>
              </w:rPr>
            </w:pPr>
            <w:r>
              <w:rPr>
                <w:noProof/>
              </w:rPr>
              <w:t>Per metus suvartojamas elektros ene</w:t>
            </w:r>
            <w:r>
              <w:rPr>
                <w:noProof/>
              </w:rPr>
              <w:t>rgijos kiekis (kWh)</w:t>
            </w:r>
          </w:p>
        </w:tc>
      </w:tr>
      <w:tr w:rsidR="00F73B80">
        <w:tc>
          <w:tcPr>
            <w:tcW w:w="2093" w:type="dxa"/>
            <w:vMerge/>
            <w:shd w:val="clear" w:color="auto" w:fill="auto"/>
            <w:vAlign w:val="center"/>
          </w:tcPr>
          <w:p w:rsidR="00F73B80" w:rsidRDefault="00F73B80">
            <w:pPr>
              <w:jc w:val="left"/>
              <w:rPr>
                <w:noProof/>
                <w:szCs w:val="24"/>
              </w:rPr>
            </w:pPr>
          </w:p>
        </w:tc>
        <w:tc>
          <w:tcPr>
            <w:tcW w:w="1843" w:type="dxa"/>
            <w:shd w:val="clear" w:color="auto" w:fill="auto"/>
            <w:vAlign w:val="center"/>
          </w:tcPr>
          <w:p w:rsidR="00F73B80" w:rsidRDefault="0017239A">
            <w:pPr>
              <w:jc w:val="left"/>
              <w:rPr>
                <w:noProof/>
                <w:szCs w:val="24"/>
              </w:rPr>
            </w:pPr>
            <w:r>
              <w:rPr>
                <w:noProof/>
              </w:rPr>
              <w:t>Mažiausias</w:t>
            </w:r>
          </w:p>
        </w:tc>
        <w:tc>
          <w:tcPr>
            <w:tcW w:w="2442" w:type="dxa"/>
            <w:shd w:val="clear" w:color="auto" w:fill="auto"/>
            <w:vAlign w:val="center"/>
          </w:tcPr>
          <w:p w:rsidR="00F73B80" w:rsidRDefault="0017239A">
            <w:pPr>
              <w:jc w:val="left"/>
              <w:rPr>
                <w:noProof/>
                <w:szCs w:val="24"/>
              </w:rPr>
            </w:pPr>
            <w:r>
              <w:rPr>
                <w:noProof/>
              </w:rPr>
              <w:t>Didžiausias</w:t>
            </w:r>
          </w:p>
        </w:tc>
      </w:tr>
      <w:tr w:rsidR="00F73B80">
        <w:tc>
          <w:tcPr>
            <w:tcW w:w="2093" w:type="dxa"/>
            <w:shd w:val="clear" w:color="auto" w:fill="auto"/>
            <w:vAlign w:val="center"/>
          </w:tcPr>
          <w:p w:rsidR="00F73B80" w:rsidRDefault="0017239A">
            <w:pPr>
              <w:jc w:val="left"/>
              <w:rPr>
                <w:noProof/>
                <w:szCs w:val="24"/>
              </w:rPr>
            </w:pPr>
            <w:r>
              <w:rPr>
                <w:noProof/>
              </w:rPr>
              <w:t>DA grupė</w:t>
            </w:r>
          </w:p>
        </w:tc>
        <w:tc>
          <w:tcPr>
            <w:tcW w:w="1843" w:type="dxa"/>
            <w:shd w:val="clear" w:color="auto" w:fill="auto"/>
            <w:vAlign w:val="center"/>
          </w:tcPr>
          <w:p w:rsidR="00F73B80" w:rsidRDefault="00F73B80">
            <w:pPr>
              <w:jc w:val="left"/>
              <w:rPr>
                <w:noProof/>
                <w:szCs w:val="24"/>
              </w:rPr>
            </w:pPr>
          </w:p>
        </w:tc>
        <w:tc>
          <w:tcPr>
            <w:tcW w:w="2442" w:type="dxa"/>
            <w:shd w:val="clear" w:color="auto" w:fill="auto"/>
            <w:vAlign w:val="center"/>
          </w:tcPr>
          <w:p w:rsidR="00F73B80" w:rsidRDefault="0017239A">
            <w:pPr>
              <w:jc w:val="left"/>
              <w:rPr>
                <w:noProof/>
                <w:szCs w:val="24"/>
              </w:rPr>
            </w:pPr>
            <w:r>
              <w:rPr>
                <w:noProof/>
              </w:rPr>
              <w:t xml:space="preserve">&lt;1 000 </w:t>
            </w:r>
          </w:p>
        </w:tc>
      </w:tr>
      <w:tr w:rsidR="00F73B80">
        <w:tc>
          <w:tcPr>
            <w:tcW w:w="2093" w:type="dxa"/>
            <w:shd w:val="clear" w:color="auto" w:fill="auto"/>
            <w:vAlign w:val="center"/>
          </w:tcPr>
          <w:p w:rsidR="00F73B80" w:rsidRDefault="0017239A">
            <w:pPr>
              <w:jc w:val="left"/>
              <w:rPr>
                <w:noProof/>
                <w:szCs w:val="24"/>
              </w:rPr>
            </w:pPr>
            <w:r>
              <w:rPr>
                <w:noProof/>
              </w:rPr>
              <w:t>DB grupė</w:t>
            </w:r>
          </w:p>
        </w:tc>
        <w:tc>
          <w:tcPr>
            <w:tcW w:w="1843" w:type="dxa"/>
            <w:shd w:val="clear" w:color="auto" w:fill="auto"/>
            <w:vAlign w:val="center"/>
          </w:tcPr>
          <w:p w:rsidR="00F73B80" w:rsidRDefault="0017239A">
            <w:pPr>
              <w:jc w:val="left"/>
              <w:rPr>
                <w:noProof/>
                <w:szCs w:val="24"/>
              </w:rPr>
            </w:pPr>
            <w:r>
              <w:rPr>
                <w:noProof/>
              </w:rPr>
              <w:t>≥1 000</w:t>
            </w:r>
          </w:p>
        </w:tc>
        <w:tc>
          <w:tcPr>
            <w:tcW w:w="2442" w:type="dxa"/>
            <w:shd w:val="clear" w:color="auto" w:fill="auto"/>
            <w:vAlign w:val="center"/>
          </w:tcPr>
          <w:p w:rsidR="00F73B80" w:rsidRDefault="0017239A">
            <w:pPr>
              <w:jc w:val="left"/>
              <w:rPr>
                <w:noProof/>
                <w:szCs w:val="24"/>
              </w:rPr>
            </w:pPr>
            <w:r>
              <w:rPr>
                <w:noProof/>
              </w:rPr>
              <w:t>&lt;2 500</w:t>
            </w:r>
          </w:p>
        </w:tc>
      </w:tr>
      <w:tr w:rsidR="00F73B80">
        <w:tc>
          <w:tcPr>
            <w:tcW w:w="2093" w:type="dxa"/>
            <w:shd w:val="clear" w:color="auto" w:fill="auto"/>
            <w:vAlign w:val="center"/>
          </w:tcPr>
          <w:p w:rsidR="00F73B80" w:rsidRDefault="0017239A">
            <w:pPr>
              <w:jc w:val="left"/>
              <w:rPr>
                <w:noProof/>
                <w:szCs w:val="24"/>
              </w:rPr>
            </w:pPr>
            <w:r>
              <w:rPr>
                <w:noProof/>
              </w:rPr>
              <w:t>DC grupė</w:t>
            </w:r>
          </w:p>
        </w:tc>
        <w:tc>
          <w:tcPr>
            <w:tcW w:w="1843" w:type="dxa"/>
            <w:shd w:val="clear" w:color="auto" w:fill="auto"/>
            <w:vAlign w:val="center"/>
          </w:tcPr>
          <w:p w:rsidR="00F73B80" w:rsidRDefault="0017239A">
            <w:pPr>
              <w:jc w:val="left"/>
              <w:rPr>
                <w:noProof/>
                <w:szCs w:val="24"/>
              </w:rPr>
            </w:pPr>
            <w:r>
              <w:rPr>
                <w:noProof/>
              </w:rPr>
              <w:t>≥2 500</w:t>
            </w:r>
          </w:p>
        </w:tc>
        <w:tc>
          <w:tcPr>
            <w:tcW w:w="2442" w:type="dxa"/>
            <w:shd w:val="clear" w:color="auto" w:fill="auto"/>
            <w:vAlign w:val="center"/>
          </w:tcPr>
          <w:p w:rsidR="00F73B80" w:rsidRDefault="0017239A">
            <w:pPr>
              <w:jc w:val="left"/>
              <w:rPr>
                <w:noProof/>
                <w:szCs w:val="24"/>
              </w:rPr>
            </w:pPr>
            <w:r>
              <w:rPr>
                <w:noProof/>
              </w:rPr>
              <w:t>&lt;5 000</w:t>
            </w:r>
          </w:p>
        </w:tc>
      </w:tr>
      <w:tr w:rsidR="00F73B80">
        <w:tc>
          <w:tcPr>
            <w:tcW w:w="2093" w:type="dxa"/>
            <w:shd w:val="clear" w:color="auto" w:fill="auto"/>
            <w:vAlign w:val="center"/>
          </w:tcPr>
          <w:p w:rsidR="00F73B80" w:rsidRDefault="0017239A">
            <w:pPr>
              <w:jc w:val="left"/>
              <w:rPr>
                <w:noProof/>
                <w:szCs w:val="24"/>
              </w:rPr>
            </w:pPr>
            <w:r>
              <w:rPr>
                <w:noProof/>
              </w:rPr>
              <w:t>DD grupė</w:t>
            </w:r>
          </w:p>
        </w:tc>
        <w:tc>
          <w:tcPr>
            <w:tcW w:w="1843" w:type="dxa"/>
            <w:shd w:val="clear" w:color="auto" w:fill="auto"/>
            <w:vAlign w:val="center"/>
          </w:tcPr>
          <w:p w:rsidR="00F73B80" w:rsidRDefault="0017239A">
            <w:pPr>
              <w:jc w:val="left"/>
              <w:rPr>
                <w:noProof/>
                <w:szCs w:val="24"/>
              </w:rPr>
            </w:pPr>
            <w:r>
              <w:rPr>
                <w:noProof/>
              </w:rPr>
              <w:t>≥5 000</w:t>
            </w:r>
          </w:p>
        </w:tc>
        <w:tc>
          <w:tcPr>
            <w:tcW w:w="2442" w:type="dxa"/>
            <w:shd w:val="clear" w:color="auto" w:fill="auto"/>
            <w:vAlign w:val="center"/>
          </w:tcPr>
          <w:p w:rsidR="00F73B80" w:rsidRDefault="0017239A">
            <w:pPr>
              <w:jc w:val="left"/>
              <w:rPr>
                <w:noProof/>
                <w:szCs w:val="24"/>
              </w:rPr>
            </w:pPr>
            <w:r>
              <w:rPr>
                <w:noProof/>
              </w:rPr>
              <w:t>&lt;15 000</w:t>
            </w:r>
          </w:p>
        </w:tc>
      </w:tr>
      <w:tr w:rsidR="00F73B80">
        <w:tc>
          <w:tcPr>
            <w:tcW w:w="2093" w:type="dxa"/>
            <w:shd w:val="clear" w:color="auto" w:fill="auto"/>
            <w:vAlign w:val="center"/>
          </w:tcPr>
          <w:p w:rsidR="00F73B80" w:rsidRDefault="0017239A">
            <w:pPr>
              <w:jc w:val="left"/>
              <w:rPr>
                <w:noProof/>
                <w:szCs w:val="24"/>
              </w:rPr>
            </w:pPr>
            <w:r>
              <w:rPr>
                <w:noProof/>
              </w:rPr>
              <w:t>DE grupė</w:t>
            </w:r>
          </w:p>
        </w:tc>
        <w:tc>
          <w:tcPr>
            <w:tcW w:w="1843" w:type="dxa"/>
            <w:shd w:val="clear" w:color="auto" w:fill="auto"/>
            <w:vAlign w:val="center"/>
          </w:tcPr>
          <w:p w:rsidR="00F73B80" w:rsidRDefault="0017239A">
            <w:pPr>
              <w:jc w:val="left"/>
              <w:rPr>
                <w:noProof/>
                <w:szCs w:val="24"/>
              </w:rPr>
            </w:pPr>
            <w:r>
              <w:rPr>
                <w:noProof/>
              </w:rPr>
              <w:t>≥15 000</w:t>
            </w:r>
          </w:p>
        </w:tc>
        <w:tc>
          <w:tcPr>
            <w:tcW w:w="2442" w:type="dxa"/>
            <w:shd w:val="clear" w:color="auto" w:fill="auto"/>
            <w:vAlign w:val="center"/>
          </w:tcPr>
          <w:p w:rsidR="00F73B80" w:rsidRDefault="00F73B80">
            <w:pPr>
              <w:jc w:val="left"/>
              <w:rPr>
                <w:noProof/>
                <w:szCs w:val="24"/>
              </w:rPr>
            </w:pPr>
          </w:p>
        </w:tc>
      </w:tr>
    </w:tbl>
    <w:p w:rsidR="00F73B80" w:rsidRDefault="00F73B80">
      <w:pPr>
        <w:rPr>
          <w:noProof/>
          <w:color w:val="000000"/>
          <w:szCs w:val="24"/>
        </w:rPr>
      </w:pPr>
    </w:p>
    <w:p w:rsidR="00F73B80" w:rsidRDefault="0017239A">
      <w:pPr>
        <w:rPr>
          <w:noProof/>
          <w:color w:val="000000"/>
          <w:szCs w:val="24"/>
        </w:rPr>
      </w:pPr>
      <w:r>
        <w:rPr>
          <w:noProof/>
        </w:rPr>
        <w:t>b) Galutiniams ne namų ūkių vartotojams taikomos šios grupės: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978"/>
        <w:gridCol w:w="2044"/>
      </w:tblGrid>
      <w:tr w:rsidR="00F73B80">
        <w:tc>
          <w:tcPr>
            <w:tcW w:w="2037" w:type="dxa"/>
            <w:vMerge w:val="restart"/>
            <w:shd w:val="clear" w:color="auto" w:fill="auto"/>
            <w:vAlign w:val="center"/>
          </w:tcPr>
          <w:p w:rsidR="00F73B80" w:rsidRDefault="0017239A">
            <w:pPr>
              <w:jc w:val="left"/>
              <w:rPr>
                <w:noProof/>
                <w:szCs w:val="24"/>
              </w:rPr>
            </w:pPr>
            <w:r>
              <w:rPr>
                <w:noProof/>
              </w:rPr>
              <w:t>Suvartojimo grupė</w:t>
            </w:r>
          </w:p>
        </w:tc>
        <w:tc>
          <w:tcPr>
            <w:tcW w:w="4022" w:type="dxa"/>
            <w:gridSpan w:val="2"/>
            <w:shd w:val="clear" w:color="auto" w:fill="auto"/>
            <w:vAlign w:val="center"/>
          </w:tcPr>
          <w:p w:rsidR="00F73B80" w:rsidRDefault="0017239A">
            <w:pPr>
              <w:jc w:val="left"/>
              <w:rPr>
                <w:noProof/>
                <w:szCs w:val="24"/>
              </w:rPr>
            </w:pPr>
            <w:r>
              <w:rPr>
                <w:noProof/>
              </w:rPr>
              <w:t xml:space="preserve">Metinis elektros </w:t>
            </w:r>
            <w:r>
              <w:rPr>
                <w:noProof/>
              </w:rPr>
              <w:t>energijos suvartojimas (MWh)</w:t>
            </w:r>
          </w:p>
        </w:tc>
      </w:tr>
      <w:tr w:rsidR="00F73B80">
        <w:trPr>
          <w:trHeight w:val="248"/>
        </w:trPr>
        <w:tc>
          <w:tcPr>
            <w:tcW w:w="2037" w:type="dxa"/>
            <w:vMerge/>
            <w:shd w:val="clear" w:color="auto" w:fill="auto"/>
            <w:vAlign w:val="center"/>
          </w:tcPr>
          <w:p w:rsidR="00F73B80" w:rsidRDefault="00F73B80">
            <w:pPr>
              <w:jc w:val="left"/>
              <w:rPr>
                <w:noProof/>
                <w:szCs w:val="24"/>
              </w:rPr>
            </w:pPr>
          </w:p>
        </w:tc>
        <w:tc>
          <w:tcPr>
            <w:tcW w:w="1978" w:type="dxa"/>
            <w:shd w:val="clear" w:color="auto" w:fill="auto"/>
            <w:vAlign w:val="center"/>
          </w:tcPr>
          <w:p w:rsidR="00F73B80" w:rsidRDefault="0017239A">
            <w:pPr>
              <w:jc w:val="left"/>
              <w:rPr>
                <w:noProof/>
                <w:szCs w:val="24"/>
              </w:rPr>
            </w:pPr>
            <w:r>
              <w:rPr>
                <w:noProof/>
              </w:rPr>
              <w:t>Mažiausias</w:t>
            </w:r>
          </w:p>
        </w:tc>
        <w:tc>
          <w:tcPr>
            <w:tcW w:w="0" w:type="auto"/>
            <w:shd w:val="clear" w:color="auto" w:fill="auto"/>
            <w:vAlign w:val="center"/>
          </w:tcPr>
          <w:p w:rsidR="00F73B80" w:rsidRDefault="0017239A">
            <w:pPr>
              <w:jc w:val="left"/>
              <w:rPr>
                <w:noProof/>
                <w:szCs w:val="24"/>
              </w:rPr>
            </w:pPr>
            <w:r>
              <w:rPr>
                <w:noProof/>
              </w:rPr>
              <w:t>Didžiausias</w:t>
            </w:r>
          </w:p>
        </w:tc>
      </w:tr>
      <w:tr w:rsidR="00F73B80">
        <w:tc>
          <w:tcPr>
            <w:tcW w:w="2037" w:type="dxa"/>
            <w:shd w:val="clear" w:color="auto" w:fill="auto"/>
            <w:vAlign w:val="center"/>
          </w:tcPr>
          <w:p w:rsidR="00F73B80" w:rsidRDefault="0017239A">
            <w:pPr>
              <w:jc w:val="left"/>
              <w:rPr>
                <w:noProof/>
                <w:szCs w:val="24"/>
              </w:rPr>
            </w:pPr>
            <w:r>
              <w:rPr>
                <w:noProof/>
              </w:rPr>
              <w:t>IA grupė</w:t>
            </w:r>
          </w:p>
        </w:tc>
        <w:tc>
          <w:tcPr>
            <w:tcW w:w="1978" w:type="dxa"/>
            <w:shd w:val="clear" w:color="auto" w:fill="auto"/>
            <w:vAlign w:val="center"/>
          </w:tcPr>
          <w:p w:rsidR="00F73B80" w:rsidRDefault="00F73B80">
            <w:pPr>
              <w:jc w:val="left"/>
              <w:rPr>
                <w:noProof/>
                <w:szCs w:val="24"/>
              </w:rPr>
            </w:pPr>
          </w:p>
        </w:tc>
        <w:tc>
          <w:tcPr>
            <w:tcW w:w="0" w:type="auto"/>
            <w:shd w:val="clear" w:color="auto" w:fill="auto"/>
            <w:vAlign w:val="center"/>
          </w:tcPr>
          <w:p w:rsidR="00F73B80" w:rsidRDefault="0017239A">
            <w:pPr>
              <w:jc w:val="left"/>
              <w:rPr>
                <w:noProof/>
                <w:szCs w:val="24"/>
              </w:rPr>
            </w:pPr>
            <w:r>
              <w:rPr>
                <w:noProof/>
              </w:rPr>
              <w:t>&lt;20</w:t>
            </w:r>
          </w:p>
        </w:tc>
      </w:tr>
      <w:tr w:rsidR="00F73B80">
        <w:tc>
          <w:tcPr>
            <w:tcW w:w="2037" w:type="dxa"/>
            <w:shd w:val="clear" w:color="auto" w:fill="auto"/>
            <w:vAlign w:val="center"/>
          </w:tcPr>
          <w:p w:rsidR="00F73B80" w:rsidRDefault="0017239A">
            <w:pPr>
              <w:jc w:val="left"/>
              <w:rPr>
                <w:noProof/>
                <w:szCs w:val="24"/>
              </w:rPr>
            </w:pPr>
            <w:r>
              <w:rPr>
                <w:noProof/>
              </w:rPr>
              <w:t>IB grupė</w:t>
            </w:r>
          </w:p>
        </w:tc>
        <w:tc>
          <w:tcPr>
            <w:tcW w:w="1978" w:type="dxa"/>
            <w:shd w:val="clear" w:color="auto" w:fill="auto"/>
            <w:vAlign w:val="center"/>
          </w:tcPr>
          <w:p w:rsidR="00F73B80" w:rsidRDefault="0017239A">
            <w:pPr>
              <w:jc w:val="left"/>
              <w:rPr>
                <w:noProof/>
                <w:szCs w:val="24"/>
              </w:rPr>
            </w:pPr>
            <w:r>
              <w:rPr>
                <w:noProof/>
              </w:rPr>
              <w:t>≥20</w:t>
            </w:r>
          </w:p>
        </w:tc>
        <w:tc>
          <w:tcPr>
            <w:tcW w:w="0" w:type="auto"/>
            <w:shd w:val="clear" w:color="auto" w:fill="auto"/>
            <w:vAlign w:val="center"/>
          </w:tcPr>
          <w:p w:rsidR="00F73B80" w:rsidRDefault="0017239A">
            <w:pPr>
              <w:jc w:val="left"/>
              <w:rPr>
                <w:noProof/>
                <w:szCs w:val="24"/>
              </w:rPr>
            </w:pPr>
            <w:r>
              <w:rPr>
                <w:noProof/>
              </w:rPr>
              <w:t>&lt;500</w:t>
            </w:r>
          </w:p>
        </w:tc>
      </w:tr>
      <w:tr w:rsidR="00F73B80">
        <w:tc>
          <w:tcPr>
            <w:tcW w:w="2037" w:type="dxa"/>
            <w:shd w:val="clear" w:color="auto" w:fill="auto"/>
            <w:vAlign w:val="center"/>
          </w:tcPr>
          <w:p w:rsidR="00F73B80" w:rsidRDefault="0017239A">
            <w:pPr>
              <w:jc w:val="left"/>
              <w:rPr>
                <w:noProof/>
                <w:szCs w:val="24"/>
              </w:rPr>
            </w:pPr>
            <w:r>
              <w:rPr>
                <w:noProof/>
              </w:rPr>
              <w:t>IC grupė</w:t>
            </w:r>
          </w:p>
        </w:tc>
        <w:tc>
          <w:tcPr>
            <w:tcW w:w="1978" w:type="dxa"/>
            <w:shd w:val="clear" w:color="auto" w:fill="auto"/>
            <w:vAlign w:val="center"/>
          </w:tcPr>
          <w:p w:rsidR="00F73B80" w:rsidRDefault="0017239A">
            <w:pPr>
              <w:jc w:val="left"/>
              <w:rPr>
                <w:noProof/>
                <w:szCs w:val="24"/>
              </w:rPr>
            </w:pPr>
            <w:r>
              <w:rPr>
                <w:noProof/>
              </w:rPr>
              <w:t>≥500</w:t>
            </w:r>
          </w:p>
        </w:tc>
        <w:tc>
          <w:tcPr>
            <w:tcW w:w="0" w:type="auto"/>
            <w:shd w:val="clear" w:color="auto" w:fill="auto"/>
            <w:vAlign w:val="center"/>
          </w:tcPr>
          <w:p w:rsidR="00F73B80" w:rsidRDefault="0017239A">
            <w:pPr>
              <w:jc w:val="left"/>
              <w:rPr>
                <w:noProof/>
                <w:szCs w:val="24"/>
              </w:rPr>
            </w:pPr>
            <w:r>
              <w:rPr>
                <w:noProof/>
              </w:rPr>
              <w:t>&lt;2 000</w:t>
            </w:r>
          </w:p>
        </w:tc>
      </w:tr>
      <w:tr w:rsidR="00F73B80">
        <w:tc>
          <w:tcPr>
            <w:tcW w:w="2037" w:type="dxa"/>
            <w:shd w:val="clear" w:color="auto" w:fill="auto"/>
            <w:vAlign w:val="center"/>
          </w:tcPr>
          <w:p w:rsidR="00F73B80" w:rsidRDefault="0017239A">
            <w:pPr>
              <w:jc w:val="left"/>
              <w:rPr>
                <w:noProof/>
                <w:szCs w:val="24"/>
              </w:rPr>
            </w:pPr>
            <w:r>
              <w:rPr>
                <w:noProof/>
              </w:rPr>
              <w:t>ID grupė</w:t>
            </w:r>
          </w:p>
        </w:tc>
        <w:tc>
          <w:tcPr>
            <w:tcW w:w="1978" w:type="dxa"/>
            <w:shd w:val="clear" w:color="auto" w:fill="auto"/>
            <w:vAlign w:val="center"/>
          </w:tcPr>
          <w:p w:rsidR="00F73B80" w:rsidRDefault="0017239A">
            <w:pPr>
              <w:jc w:val="left"/>
              <w:rPr>
                <w:noProof/>
                <w:szCs w:val="24"/>
              </w:rPr>
            </w:pPr>
            <w:r>
              <w:rPr>
                <w:noProof/>
              </w:rPr>
              <w:t>≥2 000</w:t>
            </w:r>
          </w:p>
        </w:tc>
        <w:tc>
          <w:tcPr>
            <w:tcW w:w="0" w:type="auto"/>
            <w:shd w:val="clear" w:color="auto" w:fill="auto"/>
            <w:vAlign w:val="center"/>
          </w:tcPr>
          <w:p w:rsidR="00F73B80" w:rsidRDefault="0017239A">
            <w:pPr>
              <w:jc w:val="left"/>
              <w:rPr>
                <w:noProof/>
                <w:szCs w:val="24"/>
              </w:rPr>
            </w:pPr>
            <w:r>
              <w:rPr>
                <w:noProof/>
              </w:rPr>
              <w:t>&lt;20 000</w:t>
            </w:r>
          </w:p>
        </w:tc>
      </w:tr>
      <w:tr w:rsidR="00F73B80">
        <w:tc>
          <w:tcPr>
            <w:tcW w:w="2037" w:type="dxa"/>
            <w:shd w:val="clear" w:color="auto" w:fill="auto"/>
            <w:vAlign w:val="center"/>
          </w:tcPr>
          <w:p w:rsidR="00F73B80" w:rsidRDefault="0017239A">
            <w:pPr>
              <w:jc w:val="left"/>
              <w:rPr>
                <w:noProof/>
                <w:szCs w:val="24"/>
              </w:rPr>
            </w:pPr>
            <w:r>
              <w:rPr>
                <w:noProof/>
              </w:rPr>
              <w:t>IE grupė</w:t>
            </w:r>
          </w:p>
        </w:tc>
        <w:tc>
          <w:tcPr>
            <w:tcW w:w="1978" w:type="dxa"/>
            <w:shd w:val="clear" w:color="auto" w:fill="auto"/>
            <w:vAlign w:val="center"/>
          </w:tcPr>
          <w:p w:rsidR="00F73B80" w:rsidRDefault="0017239A">
            <w:pPr>
              <w:jc w:val="left"/>
              <w:rPr>
                <w:noProof/>
                <w:szCs w:val="24"/>
              </w:rPr>
            </w:pPr>
            <w:r>
              <w:rPr>
                <w:noProof/>
              </w:rPr>
              <w:t>≥20 000</w:t>
            </w:r>
          </w:p>
        </w:tc>
        <w:tc>
          <w:tcPr>
            <w:tcW w:w="0" w:type="auto"/>
            <w:shd w:val="clear" w:color="auto" w:fill="auto"/>
            <w:vAlign w:val="center"/>
          </w:tcPr>
          <w:p w:rsidR="00F73B80" w:rsidRDefault="0017239A">
            <w:pPr>
              <w:jc w:val="left"/>
              <w:rPr>
                <w:noProof/>
                <w:szCs w:val="24"/>
              </w:rPr>
            </w:pPr>
            <w:r>
              <w:rPr>
                <w:noProof/>
              </w:rPr>
              <w:t>&lt;70 000</w:t>
            </w:r>
          </w:p>
        </w:tc>
      </w:tr>
      <w:tr w:rsidR="00F73B80">
        <w:tc>
          <w:tcPr>
            <w:tcW w:w="2037" w:type="dxa"/>
            <w:shd w:val="clear" w:color="auto" w:fill="auto"/>
            <w:vAlign w:val="center"/>
          </w:tcPr>
          <w:p w:rsidR="00F73B80" w:rsidRDefault="0017239A">
            <w:pPr>
              <w:jc w:val="left"/>
              <w:rPr>
                <w:noProof/>
                <w:szCs w:val="24"/>
              </w:rPr>
            </w:pPr>
            <w:r>
              <w:rPr>
                <w:noProof/>
              </w:rPr>
              <w:t>IF grupė</w:t>
            </w:r>
          </w:p>
        </w:tc>
        <w:tc>
          <w:tcPr>
            <w:tcW w:w="1978" w:type="dxa"/>
            <w:shd w:val="clear" w:color="auto" w:fill="auto"/>
            <w:vAlign w:val="center"/>
          </w:tcPr>
          <w:p w:rsidR="00F73B80" w:rsidRDefault="0017239A">
            <w:pPr>
              <w:jc w:val="left"/>
              <w:rPr>
                <w:noProof/>
                <w:szCs w:val="24"/>
              </w:rPr>
            </w:pPr>
            <w:r>
              <w:rPr>
                <w:noProof/>
              </w:rPr>
              <w:t>≥70 000</w:t>
            </w:r>
          </w:p>
        </w:tc>
        <w:tc>
          <w:tcPr>
            <w:tcW w:w="0" w:type="auto"/>
            <w:shd w:val="clear" w:color="auto" w:fill="auto"/>
            <w:vAlign w:val="center"/>
          </w:tcPr>
          <w:p w:rsidR="00F73B80" w:rsidRDefault="0017239A">
            <w:pPr>
              <w:jc w:val="left"/>
              <w:rPr>
                <w:noProof/>
                <w:szCs w:val="24"/>
              </w:rPr>
            </w:pPr>
            <w:r>
              <w:rPr>
                <w:noProof/>
              </w:rPr>
              <w:t>&lt;150 000</w:t>
            </w:r>
          </w:p>
        </w:tc>
      </w:tr>
      <w:tr w:rsidR="00F73B80">
        <w:tc>
          <w:tcPr>
            <w:tcW w:w="2037" w:type="dxa"/>
            <w:shd w:val="clear" w:color="auto" w:fill="auto"/>
            <w:vAlign w:val="center"/>
          </w:tcPr>
          <w:p w:rsidR="00F73B80" w:rsidRDefault="0017239A">
            <w:pPr>
              <w:jc w:val="left"/>
              <w:rPr>
                <w:noProof/>
                <w:szCs w:val="24"/>
              </w:rPr>
            </w:pPr>
            <w:r>
              <w:rPr>
                <w:noProof/>
              </w:rPr>
              <w:t>IG grupė</w:t>
            </w:r>
          </w:p>
        </w:tc>
        <w:tc>
          <w:tcPr>
            <w:tcW w:w="1978" w:type="dxa"/>
            <w:shd w:val="clear" w:color="auto" w:fill="auto"/>
            <w:vAlign w:val="center"/>
          </w:tcPr>
          <w:p w:rsidR="00F73B80" w:rsidRDefault="0017239A">
            <w:pPr>
              <w:jc w:val="left"/>
              <w:rPr>
                <w:noProof/>
                <w:szCs w:val="24"/>
              </w:rPr>
            </w:pPr>
            <w:r>
              <w:rPr>
                <w:noProof/>
              </w:rPr>
              <w:t>≥150 000</w:t>
            </w:r>
          </w:p>
        </w:tc>
        <w:tc>
          <w:tcPr>
            <w:tcW w:w="0" w:type="auto"/>
            <w:shd w:val="clear" w:color="auto" w:fill="auto"/>
            <w:vAlign w:val="center"/>
          </w:tcPr>
          <w:p w:rsidR="00F73B80" w:rsidRDefault="00F73B80">
            <w:pPr>
              <w:jc w:val="left"/>
              <w:rPr>
                <w:noProof/>
                <w:szCs w:val="24"/>
              </w:rPr>
            </w:pPr>
          </w:p>
        </w:tc>
      </w:tr>
    </w:tbl>
    <w:p w:rsidR="00F73B80" w:rsidRDefault="00F73B80">
      <w:pPr>
        <w:rPr>
          <w:noProof/>
          <w:szCs w:val="24"/>
        </w:rPr>
      </w:pPr>
    </w:p>
    <w:p w:rsidR="00F73B80" w:rsidRDefault="0017239A">
      <w:pPr>
        <w:rPr>
          <w:b/>
          <w:noProof/>
        </w:rPr>
      </w:pPr>
      <w:r>
        <w:rPr>
          <w:b/>
          <w:noProof/>
        </w:rPr>
        <w:t>5. Išsamumas</w:t>
      </w:r>
      <w:r>
        <w:rPr>
          <w:noProof/>
        </w:rPr>
        <w:tab/>
      </w:r>
    </w:p>
    <w:p w:rsidR="00F73B80" w:rsidRDefault="0017239A">
      <w:pPr>
        <w:rPr>
          <w:noProof/>
          <w:color w:val="000000"/>
          <w:szCs w:val="24"/>
        </w:rPr>
      </w:pPr>
      <w:r>
        <w:rPr>
          <w:noProof/>
          <w:color w:val="000000"/>
        </w:rPr>
        <w:t xml:space="preserve">Nagrinėjamos kainos turi apimti </w:t>
      </w:r>
      <w:r>
        <w:rPr>
          <w:noProof/>
          <w:color w:val="000000"/>
        </w:rPr>
        <w:t>visus mokėtinus mokesčius: tinklo mokesčius, prie kurių pridedamas mokestis už sunaudotą energiją, iš kurių atimamos visos grąžinamos permokos arba priemokos, ir prie kurių pridedami kiti mokesčiai (pvz., skaitiklių nuomos, abonentiniai mokesčiai). Pradini</w:t>
      </w:r>
      <w:r>
        <w:rPr>
          <w:noProof/>
          <w:color w:val="000000"/>
        </w:rPr>
        <w:t>ai prijungimo mokesčiai nėra apimami.</w:t>
      </w:r>
    </w:p>
    <w:p w:rsidR="00F73B80" w:rsidRDefault="0017239A">
      <w:pPr>
        <w:rPr>
          <w:noProof/>
          <w:color w:val="000000"/>
          <w:szCs w:val="24"/>
        </w:rPr>
      </w:pPr>
      <w:r>
        <w:rPr>
          <w:noProof/>
          <w:color w:val="000000"/>
        </w:rPr>
        <w:t>Turi būti pateikiami išsamūs duomenys, kaip nurodyta toliau.</w:t>
      </w:r>
    </w:p>
    <w:p w:rsidR="00F73B80" w:rsidRDefault="0017239A">
      <w:pPr>
        <w:rPr>
          <w:i/>
          <w:noProof/>
          <w:color w:val="000000"/>
          <w:szCs w:val="24"/>
        </w:rPr>
      </w:pPr>
      <w:r>
        <w:rPr>
          <w:i/>
          <w:noProof/>
        </w:rPr>
        <w:t>a) Reikalaujamas komponentų ir subkomponentų išsamumas</w:t>
      </w:r>
    </w:p>
    <w:p w:rsidR="00F73B80" w:rsidRDefault="0017239A">
      <w:pPr>
        <w:rPr>
          <w:noProof/>
          <w:color w:val="000000"/>
          <w:szCs w:val="24"/>
        </w:rPr>
      </w:pPr>
      <w:r>
        <w:rPr>
          <w:noProof/>
          <w:color w:val="000000"/>
        </w:rPr>
        <w:t xml:space="preserve">Pateiktos kainos suskirstytinos </w:t>
      </w:r>
      <w:r>
        <w:rPr>
          <w:b/>
          <w:noProof/>
          <w:color w:val="000000"/>
        </w:rPr>
        <w:t>į tris pagrindinius komponentus</w:t>
      </w:r>
      <w:r>
        <w:rPr>
          <w:noProof/>
          <w:color w:val="000000"/>
        </w:rPr>
        <w:t xml:space="preserve"> ir atskirus subkomponentus.</w:t>
      </w:r>
    </w:p>
    <w:p w:rsidR="00F73B80" w:rsidRDefault="0017239A">
      <w:pPr>
        <w:rPr>
          <w:noProof/>
          <w:color w:val="000000"/>
          <w:szCs w:val="24"/>
        </w:rPr>
      </w:pPr>
      <w:r>
        <w:rPr>
          <w:noProof/>
          <w:color w:val="000000"/>
        </w:rPr>
        <w:t xml:space="preserve">Elektros energijos kaina galutiniams vartotojams pagal suvartojimo grupę yra </w:t>
      </w:r>
      <w:r>
        <w:rPr>
          <w:b/>
          <w:noProof/>
          <w:color w:val="000000"/>
        </w:rPr>
        <w:t>trijų pagrindinių komponentų</w:t>
      </w:r>
      <w:r>
        <w:rPr>
          <w:noProof/>
          <w:color w:val="000000"/>
        </w:rPr>
        <w:t xml:space="preserve"> suma: energijos ir tiekimo komponento, tinklo komponento (perdavimo ir skirstymo) bei komponento, kurį sudaro mokesčiai, rinkliavos, įmokos ir išlaido</w:t>
      </w:r>
      <w:r>
        <w:rPr>
          <w:noProof/>
          <w:color w:val="000000"/>
        </w:rPr>
        <w: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F73B80">
        <w:tc>
          <w:tcPr>
            <w:tcW w:w="2376" w:type="dxa"/>
            <w:shd w:val="clear" w:color="auto" w:fill="auto"/>
          </w:tcPr>
          <w:p w:rsidR="00F73B80" w:rsidRDefault="0017239A">
            <w:pPr>
              <w:rPr>
                <w:noProof/>
                <w:color w:val="000000"/>
              </w:rPr>
            </w:pPr>
            <w:r>
              <w:rPr>
                <w:noProof/>
                <w:color w:val="000000"/>
                <w:sz w:val="22"/>
              </w:rPr>
              <w:t>Komponentas ir</w:t>
            </w:r>
          </w:p>
          <w:p w:rsidR="00F73B80" w:rsidRDefault="0017239A">
            <w:pPr>
              <w:rPr>
                <w:i/>
                <w:noProof/>
                <w:color w:val="000000"/>
              </w:rPr>
            </w:pPr>
            <w:r>
              <w:rPr>
                <w:i/>
                <w:noProof/>
                <w:color w:val="000000"/>
                <w:sz w:val="22"/>
              </w:rPr>
              <w:t>subkomponentas</w:t>
            </w:r>
          </w:p>
        </w:tc>
        <w:tc>
          <w:tcPr>
            <w:tcW w:w="6663" w:type="dxa"/>
            <w:shd w:val="clear" w:color="auto" w:fill="auto"/>
          </w:tcPr>
          <w:p w:rsidR="00F73B80" w:rsidRDefault="0017239A">
            <w:pPr>
              <w:rPr>
                <w:noProof/>
                <w:color w:val="000000"/>
              </w:rPr>
            </w:pPr>
            <w:r>
              <w:rPr>
                <w:noProof/>
                <w:color w:val="000000"/>
                <w:sz w:val="22"/>
              </w:rPr>
              <w:t>Aprašymas</w:t>
            </w:r>
          </w:p>
        </w:tc>
      </w:tr>
      <w:tr w:rsidR="00F73B80">
        <w:tc>
          <w:tcPr>
            <w:tcW w:w="2376" w:type="dxa"/>
            <w:shd w:val="clear" w:color="auto" w:fill="auto"/>
          </w:tcPr>
          <w:p w:rsidR="00F73B80" w:rsidRDefault="0017239A">
            <w:pPr>
              <w:rPr>
                <w:noProof/>
                <w:color w:val="000000"/>
              </w:rPr>
            </w:pPr>
            <w:r>
              <w:rPr>
                <w:b/>
                <w:noProof/>
                <w:color w:val="000000"/>
                <w:sz w:val="22"/>
              </w:rPr>
              <w:t xml:space="preserve">Energija ir tiekimas </w:t>
            </w:r>
          </w:p>
        </w:tc>
        <w:tc>
          <w:tcPr>
            <w:tcW w:w="6663" w:type="dxa"/>
            <w:shd w:val="clear" w:color="auto" w:fill="auto"/>
          </w:tcPr>
          <w:p w:rsidR="00F73B80" w:rsidRDefault="0017239A">
            <w:pPr>
              <w:rPr>
                <w:noProof/>
                <w:color w:val="000000"/>
              </w:rPr>
            </w:pPr>
            <w:r>
              <w:rPr>
                <w:noProof/>
                <w:color w:val="000000"/>
                <w:sz w:val="22"/>
              </w:rPr>
              <w:t xml:space="preserve">Šis komponentas turi apimti šias sąnaudas: gamybos, agregavimo, balansavimo energijos, elektros energijos tiekimo sąnaudas, paslaugų teikimo vartotojams, vartotojų aptarnavimo ir kitas </w:t>
            </w:r>
            <w:r>
              <w:rPr>
                <w:noProof/>
                <w:color w:val="000000"/>
                <w:sz w:val="22"/>
              </w:rPr>
              <w:t>tiekimo sąnaudas.</w:t>
            </w:r>
          </w:p>
        </w:tc>
      </w:tr>
      <w:tr w:rsidR="00F73B80">
        <w:tc>
          <w:tcPr>
            <w:tcW w:w="2376" w:type="dxa"/>
            <w:tcBorders>
              <w:bottom w:val="single" w:sz="4" w:space="0" w:color="auto"/>
            </w:tcBorders>
            <w:shd w:val="clear" w:color="auto" w:fill="auto"/>
          </w:tcPr>
          <w:p w:rsidR="00F73B80" w:rsidRDefault="0017239A">
            <w:pPr>
              <w:rPr>
                <w:noProof/>
                <w:color w:val="000000"/>
              </w:rPr>
            </w:pPr>
            <w:r>
              <w:rPr>
                <w:b/>
                <w:noProof/>
                <w:color w:val="000000"/>
                <w:sz w:val="22"/>
              </w:rPr>
              <w:t xml:space="preserve">Tinklas </w:t>
            </w:r>
          </w:p>
        </w:tc>
        <w:tc>
          <w:tcPr>
            <w:tcW w:w="6663" w:type="dxa"/>
            <w:tcBorders>
              <w:bottom w:val="single" w:sz="4" w:space="0" w:color="auto"/>
            </w:tcBorders>
            <w:shd w:val="clear" w:color="auto" w:fill="auto"/>
          </w:tcPr>
          <w:p w:rsidR="00F73B80" w:rsidRDefault="0017239A">
            <w:pPr>
              <w:rPr>
                <w:noProof/>
                <w:color w:val="000000"/>
              </w:rPr>
            </w:pPr>
            <w:r>
              <w:rPr>
                <w:noProof/>
                <w:color w:val="000000"/>
                <w:sz w:val="22"/>
              </w:rPr>
              <w:t>Tinklo kaina turi apimti šias sąnaudas: perdavimo ir skirstymo tarifus, perdavimo ir skirstymo nuostolius, tinklo sąnaudas, vartotojų aptarnavimo sąnaudas, sistemos priežiūros sąnaudas, skaitiklių nuomos ir skaitiklių rodmenų nu</w:t>
            </w:r>
            <w:r>
              <w:rPr>
                <w:noProof/>
                <w:color w:val="000000"/>
                <w:sz w:val="22"/>
              </w:rPr>
              <w:t xml:space="preserve">skaitymo sąnaudas. </w:t>
            </w:r>
          </w:p>
        </w:tc>
      </w:tr>
      <w:tr w:rsidR="00F73B80">
        <w:tc>
          <w:tcPr>
            <w:tcW w:w="2376" w:type="dxa"/>
            <w:tcBorders>
              <w:top w:val="single" w:sz="4" w:space="0" w:color="auto"/>
              <w:left w:val="single" w:sz="4" w:space="0" w:color="auto"/>
              <w:bottom w:val="nil"/>
              <w:right w:val="single" w:sz="4" w:space="0" w:color="auto"/>
            </w:tcBorders>
            <w:shd w:val="clear" w:color="auto" w:fill="auto"/>
          </w:tcPr>
          <w:p w:rsidR="00F73B80" w:rsidRDefault="0017239A">
            <w:pPr>
              <w:rPr>
                <w:i/>
                <w:noProof/>
                <w:color w:val="000000"/>
              </w:rPr>
            </w:pPr>
            <w:r>
              <w:rPr>
                <w:i/>
                <w:noProof/>
                <w:color w:val="000000"/>
                <w:sz w:val="22"/>
              </w:rPr>
              <w:t>Subkomponentas</w:t>
            </w:r>
          </w:p>
        </w:tc>
        <w:tc>
          <w:tcPr>
            <w:tcW w:w="6663" w:type="dxa"/>
            <w:tcBorders>
              <w:left w:val="single" w:sz="4" w:space="0" w:color="auto"/>
            </w:tcBorders>
            <w:shd w:val="clear" w:color="auto" w:fill="auto"/>
          </w:tcPr>
          <w:p w:rsidR="00F73B80" w:rsidRDefault="0017239A">
            <w:pPr>
              <w:autoSpaceDE w:val="0"/>
              <w:autoSpaceDN w:val="0"/>
              <w:adjustRightInd w:val="0"/>
              <w:spacing w:after="0"/>
              <w:rPr>
                <w:noProof/>
                <w:color w:val="000000"/>
              </w:rPr>
            </w:pPr>
            <w:r>
              <w:rPr>
                <w:noProof/>
                <w:color w:val="000000"/>
                <w:sz w:val="22"/>
              </w:rPr>
              <w:t xml:space="preserve">Tinklo komponentas turi būti padalytas į perdavimo ir skirstymo tinklų sąnaudas, kaip nurodyta toliau: </w:t>
            </w:r>
          </w:p>
        </w:tc>
      </w:tr>
      <w:tr w:rsidR="00F73B80">
        <w:tc>
          <w:tcPr>
            <w:tcW w:w="2376" w:type="dxa"/>
            <w:tcBorders>
              <w:top w:val="single" w:sz="4" w:space="0" w:color="auto"/>
              <w:left w:val="single" w:sz="4" w:space="0" w:color="auto"/>
              <w:bottom w:val="nil"/>
              <w:right w:val="single" w:sz="4" w:space="0" w:color="auto"/>
            </w:tcBorders>
            <w:shd w:val="clear" w:color="auto" w:fill="auto"/>
          </w:tcPr>
          <w:p w:rsidR="00F73B80" w:rsidRDefault="00F73B80">
            <w:pPr>
              <w:rPr>
                <w:i/>
                <w:noProof/>
                <w:color w:val="000000"/>
              </w:rPr>
            </w:pPr>
          </w:p>
        </w:tc>
        <w:tc>
          <w:tcPr>
            <w:tcW w:w="6663" w:type="dxa"/>
            <w:tcBorders>
              <w:left w:val="single" w:sz="4" w:space="0" w:color="auto"/>
            </w:tcBorders>
            <w:shd w:val="clear" w:color="auto" w:fill="auto"/>
          </w:tcPr>
          <w:p w:rsidR="00F73B80" w:rsidRDefault="0017239A">
            <w:pPr>
              <w:rPr>
                <w:noProof/>
                <w:color w:val="000000"/>
              </w:rPr>
            </w:pPr>
            <w:r>
              <w:rPr>
                <w:noProof/>
                <w:color w:val="000000"/>
                <w:sz w:val="22"/>
              </w:rPr>
              <w:t xml:space="preserve">1. Bendra vidutinė santykinė perdavimo sąnaudų dalis (apskaičiuota kaip visų tinklo sąnaudų procentinė dalis ir </w:t>
            </w:r>
            <w:r>
              <w:rPr>
                <w:noProof/>
                <w:color w:val="000000"/>
                <w:sz w:val="22"/>
              </w:rPr>
              <w:t>grindžiama suvartojimo grupėmis, nurodytomis 4 punkte).</w:t>
            </w:r>
          </w:p>
        </w:tc>
      </w:tr>
      <w:tr w:rsidR="00F73B80">
        <w:tc>
          <w:tcPr>
            <w:tcW w:w="2376" w:type="dxa"/>
            <w:tcBorders>
              <w:top w:val="nil"/>
              <w:left w:val="single" w:sz="4" w:space="0" w:color="auto"/>
              <w:bottom w:val="single" w:sz="4" w:space="0" w:color="auto"/>
              <w:right w:val="single" w:sz="4" w:space="0" w:color="auto"/>
            </w:tcBorders>
            <w:shd w:val="clear" w:color="auto" w:fill="auto"/>
          </w:tcPr>
          <w:p w:rsidR="00F73B80" w:rsidRDefault="00F73B80">
            <w:pPr>
              <w:rPr>
                <w:noProof/>
                <w:color w:val="000000"/>
              </w:rPr>
            </w:pPr>
          </w:p>
        </w:tc>
        <w:tc>
          <w:tcPr>
            <w:tcW w:w="6663" w:type="dxa"/>
            <w:tcBorders>
              <w:left w:val="single" w:sz="4" w:space="0" w:color="auto"/>
            </w:tcBorders>
            <w:shd w:val="clear" w:color="auto" w:fill="auto"/>
          </w:tcPr>
          <w:p w:rsidR="00F73B80" w:rsidRDefault="0017239A">
            <w:pPr>
              <w:rPr>
                <w:noProof/>
                <w:color w:val="000000"/>
              </w:rPr>
            </w:pPr>
            <w:r>
              <w:rPr>
                <w:noProof/>
                <w:color w:val="000000"/>
                <w:sz w:val="22"/>
              </w:rPr>
              <w:t>2. Bendra vidutinė santykinė skirstymo sąnaudų dalis (apskaičiuota kaip visų tinklo sąnaudų procentinė dalis ir grindžiama suvartojimo grupėmis, nurodytomis 4 punkte).</w:t>
            </w:r>
          </w:p>
        </w:tc>
      </w:tr>
      <w:tr w:rsidR="00F73B80">
        <w:tc>
          <w:tcPr>
            <w:tcW w:w="2376" w:type="dxa"/>
            <w:tcBorders>
              <w:top w:val="single" w:sz="4" w:space="0" w:color="auto"/>
              <w:bottom w:val="single" w:sz="4" w:space="0" w:color="auto"/>
            </w:tcBorders>
            <w:shd w:val="clear" w:color="auto" w:fill="auto"/>
          </w:tcPr>
          <w:p w:rsidR="00F73B80" w:rsidRDefault="0017239A">
            <w:pPr>
              <w:rPr>
                <w:noProof/>
                <w:color w:val="000000"/>
              </w:rPr>
            </w:pPr>
            <w:r>
              <w:rPr>
                <w:b/>
                <w:noProof/>
                <w:color w:val="000000"/>
                <w:sz w:val="22"/>
              </w:rPr>
              <w:t>Mokesčiai, įmokos, rinkliavos</w:t>
            </w:r>
            <w:r>
              <w:rPr>
                <w:b/>
                <w:noProof/>
                <w:color w:val="000000"/>
                <w:sz w:val="22"/>
              </w:rPr>
              <w:t xml:space="preserve"> ir išlaidos</w:t>
            </w:r>
            <w:r>
              <w:rPr>
                <w:noProof/>
                <w:color w:val="000000"/>
                <w:sz w:val="22"/>
              </w:rPr>
              <w:t xml:space="preserve"> </w:t>
            </w:r>
          </w:p>
        </w:tc>
        <w:tc>
          <w:tcPr>
            <w:tcW w:w="6663" w:type="dxa"/>
            <w:shd w:val="clear" w:color="auto" w:fill="auto"/>
          </w:tcPr>
          <w:p w:rsidR="00F73B80" w:rsidRDefault="0017239A">
            <w:pPr>
              <w:autoSpaceDE w:val="0"/>
              <w:autoSpaceDN w:val="0"/>
              <w:adjustRightInd w:val="0"/>
              <w:spacing w:after="0"/>
              <w:rPr>
                <w:noProof/>
                <w:color w:val="000000"/>
              </w:rPr>
            </w:pPr>
            <w:r>
              <w:rPr>
                <w:noProof/>
                <w:color w:val="000000"/>
                <w:sz w:val="22"/>
              </w:rPr>
              <w:t xml:space="preserve">Šis komponentas yra visų toliau išvardytų mokesčių, įmokų, rinkliavų ir išlaidų suma. </w:t>
            </w:r>
          </w:p>
        </w:tc>
      </w:tr>
      <w:tr w:rsidR="00F73B80">
        <w:tc>
          <w:tcPr>
            <w:tcW w:w="2376" w:type="dxa"/>
            <w:tcBorders>
              <w:top w:val="single" w:sz="4" w:space="0" w:color="auto"/>
              <w:left w:val="single" w:sz="4" w:space="0" w:color="auto"/>
              <w:bottom w:val="nil"/>
              <w:right w:val="single" w:sz="4" w:space="0" w:color="auto"/>
            </w:tcBorders>
            <w:shd w:val="clear" w:color="auto" w:fill="auto"/>
          </w:tcPr>
          <w:p w:rsidR="00F73B80" w:rsidRDefault="0017239A">
            <w:pPr>
              <w:rPr>
                <w:i/>
                <w:noProof/>
                <w:color w:val="000000"/>
              </w:rPr>
            </w:pPr>
            <w:r>
              <w:rPr>
                <w:i/>
                <w:noProof/>
                <w:color w:val="000000"/>
                <w:sz w:val="22"/>
              </w:rPr>
              <w:t>Subkomponentas</w:t>
            </w:r>
          </w:p>
        </w:tc>
        <w:tc>
          <w:tcPr>
            <w:tcW w:w="6663" w:type="dxa"/>
            <w:tcBorders>
              <w:left w:val="single" w:sz="4" w:space="0" w:color="auto"/>
            </w:tcBorders>
            <w:shd w:val="clear" w:color="auto" w:fill="auto"/>
            <w:vAlign w:val="center"/>
          </w:tcPr>
          <w:p w:rsidR="00F73B80" w:rsidRDefault="0017239A">
            <w:pPr>
              <w:autoSpaceDE w:val="0"/>
              <w:autoSpaceDN w:val="0"/>
              <w:adjustRightInd w:val="0"/>
              <w:spacing w:after="0"/>
              <w:rPr>
                <w:noProof/>
                <w:color w:val="000000"/>
              </w:rPr>
            </w:pPr>
            <w:r>
              <w:rPr>
                <w:noProof/>
                <w:color w:val="000000"/>
                <w:sz w:val="22"/>
              </w:rPr>
              <w:t xml:space="preserve">Toliau nurodyti subkomponentai praneštini atskirai pagal kiekvieną 4 punkte nurodytą suvartojimo grupę. </w:t>
            </w:r>
          </w:p>
        </w:tc>
      </w:tr>
      <w:tr w:rsidR="00F73B80">
        <w:tc>
          <w:tcPr>
            <w:tcW w:w="2376" w:type="dxa"/>
            <w:tcBorders>
              <w:top w:val="single" w:sz="4" w:space="0" w:color="auto"/>
              <w:left w:val="single" w:sz="4" w:space="0" w:color="auto"/>
              <w:bottom w:val="nil"/>
              <w:right w:val="single" w:sz="4" w:space="0" w:color="auto"/>
            </w:tcBorders>
            <w:shd w:val="clear" w:color="auto" w:fill="auto"/>
          </w:tcPr>
          <w:p w:rsidR="00F73B80" w:rsidRDefault="00F73B80">
            <w:pPr>
              <w:rPr>
                <w:noProof/>
                <w:color w:val="000000"/>
              </w:rPr>
            </w:pPr>
          </w:p>
        </w:tc>
        <w:tc>
          <w:tcPr>
            <w:tcW w:w="6663" w:type="dxa"/>
            <w:tcBorders>
              <w:left w:val="single" w:sz="4" w:space="0" w:color="auto"/>
            </w:tcBorders>
            <w:shd w:val="clear" w:color="auto" w:fill="auto"/>
            <w:vAlign w:val="center"/>
          </w:tcPr>
          <w:p w:rsidR="00F73B80" w:rsidRDefault="0017239A">
            <w:pPr>
              <w:autoSpaceDE w:val="0"/>
              <w:autoSpaceDN w:val="0"/>
              <w:adjustRightInd w:val="0"/>
              <w:spacing w:after="0"/>
              <w:rPr>
                <w:noProof/>
                <w:color w:val="000000"/>
              </w:rPr>
            </w:pPr>
            <w:r>
              <w:rPr>
                <w:noProof/>
                <w:color w:val="000000"/>
                <w:sz w:val="22"/>
              </w:rPr>
              <w:t xml:space="preserve">1. Pridėtinės vertės mokestis, </w:t>
            </w:r>
            <w:r>
              <w:rPr>
                <w:noProof/>
                <w:color w:val="000000"/>
                <w:sz w:val="22"/>
              </w:rPr>
              <w:t>kaip nurodyta Tarybos direktyvoje 2006/112/EB dėl pridėtinės vertės mokesčio bendros sistemos.</w:t>
            </w:r>
          </w:p>
        </w:tc>
      </w:tr>
      <w:tr w:rsidR="00F73B80">
        <w:tc>
          <w:tcPr>
            <w:tcW w:w="2376" w:type="dxa"/>
            <w:tcBorders>
              <w:top w:val="nil"/>
              <w:left w:val="single" w:sz="4" w:space="0" w:color="auto"/>
              <w:bottom w:val="nil"/>
              <w:right w:val="single" w:sz="4" w:space="0" w:color="auto"/>
            </w:tcBorders>
            <w:shd w:val="clear" w:color="auto" w:fill="auto"/>
          </w:tcPr>
          <w:p w:rsidR="00F73B80" w:rsidRDefault="00F73B80">
            <w:pPr>
              <w:rPr>
                <w:noProof/>
                <w:color w:val="000000"/>
              </w:rPr>
            </w:pPr>
          </w:p>
        </w:tc>
        <w:tc>
          <w:tcPr>
            <w:tcW w:w="6663" w:type="dxa"/>
            <w:tcBorders>
              <w:left w:val="single" w:sz="4" w:space="0" w:color="auto"/>
            </w:tcBorders>
            <w:shd w:val="clear" w:color="auto" w:fill="auto"/>
            <w:vAlign w:val="center"/>
          </w:tcPr>
          <w:p w:rsidR="00F73B80" w:rsidRDefault="0017239A">
            <w:pPr>
              <w:autoSpaceDE w:val="0"/>
              <w:autoSpaceDN w:val="0"/>
              <w:adjustRightInd w:val="0"/>
              <w:spacing w:after="0"/>
              <w:rPr>
                <w:noProof/>
                <w:color w:val="000000"/>
              </w:rPr>
            </w:pPr>
            <w:r>
              <w:rPr>
                <w:noProof/>
                <w:color w:val="000000"/>
                <w:sz w:val="22"/>
              </w:rPr>
              <w:t>2. Mokesčiai, įmokos, rinkliavos ar išlaidos, susijusios su skatinimu naudoti atsinaujinančiuosius energijos šaltinius, energijos vartojimo efektyvumo didinimu</w:t>
            </w:r>
            <w:r>
              <w:rPr>
                <w:noProof/>
                <w:color w:val="000000"/>
                <w:sz w:val="22"/>
              </w:rPr>
              <w:t xml:space="preserve"> ir bendros šilumos ir elektros energijos gamybos skatinimu.</w:t>
            </w:r>
          </w:p>
        </w:tc>
      </w:tr>
      <w:tr w:rsidR="00F73B80">
        <w:tc>
          <w:tcPr>
            <w:tcW w:w="2376" w:type="dxa"/>
            <w:tcBorders>
              <w:top w:val="nil"/>
              <w:left w:val="single" w:sz="4" w:space="0" w:color="auto"/>
              <w:bottom w:val="nil"/>
              <w:right w:val="single" w:sz="4" w:space="0" w:color="auto"/>
            </w:tcBorders>
            <w:shd w:val="clear" w:color="auto" w:fill="auto"/>
          </w:tcPr>
          <w:p w:rsidR="00F73B80" w:rsidRDefault="00F73B80">
            <w:pPr>
              <w:rPr>
                <w:noProof/>
                <w:color w:val="000000"/>
              </w:rPr>
            </w:pPr>
          </w:p>
        </w:tc>
        <w:tc>
          <w:tcPr>
            <w:tcW w:w="6663" w:type="dxa"/>
            <w:tcBorders>
              <w:left w:val="single" w:sz="4" w:space="0" w:color="auto"/>
            </w:tcBorders>
            <w:shd w:val="clear" w:color="auto" w:fill="auto"/>
            <w:vAlign w:val="center"/>
          </w:tcPr>
          <w:p w:rsidR="00F73B80" w:rsidRDefault="0017239A">
            <w:pPr>
              <w:autoSpaceDE w:val="0"/>
              <w:autoSpaceDN w:val="0"/>
              <w:adjustRightInd w:val="0"/>
              <w:spacing w:after="0"/>
              <w:rPr>
                <w:noProof/>
                <w:color w:val="000000"/>
              </w:rPr>
            </w:pPr>
            <w:r>
              <w:rPr>
                <w:noProof/>
                <w:color w:val="000000"/>
                <w:sz w:val="22"/>
              </w:rPr>
              <w:t xml:space="preserve">3. Mokesčiai, įmokos, rinkliavos arba išlaidos, susijusios su mokėjimais už pajėgumus, energetiniu saugumu ir gamybos pakankamumu; anglies pramonės restruktūrizavimo mokesčiai; elektros </w:t>
            </w:r>
            <w:r>
              <w:rPr>
                <w:noProof/>
                <w:color w:val="000000"/>
                <w:sz w:val="22"/>
              </w:rPr>
              <w:t>skirstymo mokesčiai. Neatgaunamos sąnaudos ir rinkliavos, kuriomis finansuojamos energetikos reguliavimo institucijos arba rinkos dalyviai.</w:t>
            </w:r>
          </w:p>
        </w:tc>
      </w:tr>
      <w:tr w:rsidR="00F73B80">
        <w:tc>
          <w:tcPr>
            <w:tcW w:w="2376" w:type="dxa"/>
            <w:tcBorders>
              <w:top w:val="nil"/>
              <w:left w:val="single" w:sz="4" w:space="0" w:color="auto"/>
              <w:bottom w:val="nil"/>
              <w:right w:val="single" w:sz="4" w:space="0" w:color="auto"/>
            </w:tcBorders>
            <w:shd w:val="clear" w:color="auto" w:fill="auto"/>
          </w:tcPr>
          <w:p w:rsidR="00F73B80" w:rsidRDefault="00F73B80">
            <w:pPr>
              <w:rPr>
                <w:noProof/>
                <w:color w:val="000000"/>
              </w:rPr>
            </w:pPr>
          </w:p>
        </w:tc>
        <w:tc>
          <w:tcPr>
            <w:tcW w:w="6663" w:type="dxa"/>
            <w:tcBorders>
              <w:left w:val="single" w:sz="4" w:space="0" w:color="auto"/>
            </w:tcBorders>
            <w:shd w:val="clear" w:color="auto" w:fill="auto"/>
            <w:vAlign w:val="center"/>
          </w:tcPr>
          <w:p w:rsidR="00F73B80" w:rsidRDefault="0017239A">
            <w:pPr>
              <w:autoSpaceDE w:val="0"/>
              <w:autoSpaceDN w:val="0"/>
              <w:adjustRightInd w:val="0"/>
              <w:spacing w:after="0"/>
              <w:rPr>
                <w:noProof/>
                <w:color w:val="000000"/>
              </w:rPr>
            </w:pPr>
            <w:r>
              <w:rPr>
                <w:noProof/>
                <w:color w:val="000000"/>
                <w:sz w:val="22"/>
              </w:rPr>
              <w:t>4. Mokesčiai, įmokos, rinkliavos ar išlaidos, susijusios su oro kokybe ir aplinkos apsaugos tikslais, CO</w:t>
            </w:r>
            <w:r>
              <w:rPr>
                <w:noProof/>
                <w:color w:val="000000"/>
                <w:sz w:val="22"/>
                <w:vertAlign w:val="subscript"/>
              </w:rPr>
              <w:t>2</w:t>
            </w:r>
            <w:r>
              <w:rPr>
                <w:noProof/>
                <w:color w:val="000000"/>
                <w:sz w:val="22"/>
              </w:rPr>
              <w:t xml:space="preserve"> arba kit</w:t>
            </w:r>
            <w:r>
              <w:rPr>
                <w:noProof/>
                <w:color w:val="000000"/>
                <w:sz w:val="22"/>
              </w:rPr>
              <w:t xml:space="preserve">ų šiltnamio efektą sukeliančių dujų emisijomis. </w:t>
            </w:r>
          </w:p>
        </w:tc>
      </w:tr>
      <w:tr w:rsidR="00F73B80">
        <w:tc>
          <w:tcPr>
            <w:tcW w:w="2376" w:type="dxa"/>
            <w:tcBorders>
              <w:top w:val="nil"/>
              <w:left w:val="single" w:sz="4" w:space="0" w:color="auto"/>
              <w:bottom w:val="nil"/>
              <w:right w:val="single" w:sz="4" w:space="0" w:color="auto"/>
            </w:tcBorders>
            <w:shd w:val="clear" w:color="auto" w:fill="auto"/>
          </w:tcPr>
          <w:p w:rsidR="00F73B80" w:rsidRDefault="00F73B80">
            <w:pPr>
              <w:rPr>
                <w:noProof/>
                <w:color w:val="000000"/>
              </w:rPr>
            </w:pPr>
          </w:p>
        </w:tc>
        <w:tc>
          <w:tcPr>
            <w:tcW w:w="6663" w:type="dxa"/>
            <w:tcBorders>
              <w:left w:val="single" w:sz="4" w:space="0" w:color="auto"/>
            </w:tcBorders>
            <w:shd w:val="clear" w:color="auto" w:fill="auto"/>
            <w:vAlign w:val="center"/>
          </w:tcPr>
          <w:p w:rsidR="00F73B80" w:rsidRDefault="0017239A">
            <w:pPr>
              <w:autoSpaceDE w:val="0"/>
              <w:autoSpaceDN w:val="0"/>
              <w:adjustRightInd w:val="0"/>
              <w:spacing w:after="0"/>
              <w:rPr>
                <w:noProof/>
                <w:color w:val="000000"/>
              </w:rPr>
            </w:pPr>
            <w:r>
              <w:rPr>
                <w:noProof/>
                <w:color w:val="000000"/>
                <w:sz w:val="22"/>
              </w:rPr>
              <w:t>5. Mokesčiai, įmokos, rinkliavos ar išlaidos, susijusios su branduoliniu sektoriumi, įskaitant branduolinių įrenginių eksploatavimo nutraukimą, patikrinimus ir mokesčius už branduolinės energetikos objektu</w:t>
            </w:r>
            <w:r>
              <w:rPr>
                <w:noProof/>
                <w:color w:val="000000"/>
                <w:sz w:val="22"/>
              </w:rPr>
              <w:t>s.</w:t>
            </w:r>
          </w:p>
        </w:tc>
      </w:tr>
      <w:tr w:rsidR="00F73B80">
        <w:tc>
          <w:tcPr>
            <w:tcW w:w="2376" w:type="dxa"/>
            <w:tcBorders>
              <w:top w:val="nil"/>
              <w:left w:val="single" w:sz="4" w:space="0" w:color="auto"/>
              <w:bottom w:val="single" w:sz="4" w:space="0" w:color="auto"/>
              <w:right w:val="single" w:sz="4" w:space="0" w:color="auto"/>
            </w:tcBorders>
            <w:shd w:val="clear" w:color="auto" w:fill="auto"/>
          </w:tcPr>
          <w:p w:rsidR="00F73B80" w:rsidRDefault="00F73B80">
            <w:pPr>
              <w:rPr>
                <w:noProof/>
                <w:color w:val="000000"/>
              </w:rPr>
            </w:pPr>
          </w:p>
        </w:tc>
        <w:tc>
          <w:tcPr>
            <w:tcW w:w="6663" w:type="dxa"/>
            <w:tcBorders>
              <w:left w:val="single" w:sz="4" w:space="0" w:color="auto"/>
            </w:tcBorders>
            <w:shd w:val="clear" w:color="auto" w:fill="auto"/>
            <w:vAlign w:val="center"/>
          </w:tcPr>
          <w:p w:rsidR="00F73B80" w:rsidRDefault="0017239A">
            <w:pPr>
              <w:autoSpaceDE w:val="0"/>
              <w:autoSpaceDN w:val="0"/>
              <w:adjustRightInd w:val="0"/>
              <w:spacing w:after="0"/>
              <w:rPr>
                <w:noProof/>
                <w:color w:val="000000"/>
              </w:rPr>
            </w:pPr>
            <w:r>
              <w:rPr>
                <w:noProof/>
                <w:color w:val="000000"/>
                <w:sz w:val="22"/>
              </w:rPr>
              <w:t>6. Visi kiti mokesčiai, įmokos, rinkliavos ar išlaidos, nepatenkančios į nė vieną iš pirmiau nurodytų penkių kategorijų: pagalba centralizuotam šilumos tiekimui; vietos ar regioniniai mokesčiai; mokesčiai už tiekimą atokioje zonoje; koncesijos mokesči</w:t>
            </w:r>
            <w:r>
              <w:rPr>
                <w:noProof/>
                <w:color w:val="000000"/>
                <w:sz w:val="22"/>
              </w:rPr>
              <w:t xml:space="preserve">ai, susiję su licencijomis, taip pat mokesčiai už tinklams ir kitiems įrenginiams naudojamą žemę arba valstybinę ar privačią nuosavybę. </w:t>
            </w:r>
          </w:p>
        </w:tc>
      </w:tr>
    </w:tbl>
    <w:p w:rsidR="00F73B80" w:rsidRDefault="0017239A">
      <w:pPr>
        <w:rPr>
          <w:i/>
          <w:noProof/>
          <w:color w:val="000000"/>
          <w:szCs w:val="24"/>
        </w:rPr>
      </w:pPr>
      <w:r>
        <w:rPr>
          <w:i/>
          <w:noProof/>
        </w:rPr>
        <w:t>b) Išsamumas, atsižvelgiant į apmokestinimą</w:t>
      </w:r>
    </w:p>
    <w:p w:rsidR="00F73B80" w:rsidRDefault="0017239A">
      <w:pPr>
        <w:autoSpaceDE w:val="0"/>
        <w:autoSpaceDN w:val="0"/>
        <w:adjustRightInd w:val="0"/>
        <w:spacing w:after="0"/>
        <w:rPr>
          <w:noProof/>
          <w:color w:val="000000"/>
          <w:szCs w:val="24"/>
        </w:rPr>
      </w:pPr>
      <w:r>
        <w:rPr>
          <w:noProof/>
          <w:color w:val="000000"/>
        </w:rPr>
        <w:t xml:space="preserve">Kainų duomenys turi būti suskirstyti į šiuos </w:t>
      </w:r>
      <w:r>
        <w:rPr>
          <w:b/>
          <w:noProof/>
          <w:color w:val="000000"/>
        </w:rPr>
        <w:t>tris lygmenis</w:t>
      </w:r>
      <w:r>
        <w:rPr>
          <w:noProof/>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F73B80">
        <w:tc>
          <w:tcPr>
            <w:tcW w:w="3794" w:type="dxa"/>
            <w:shd w:val="clear" w:color="auto" w:fill="auto"/>
          </w:tcPr>
          <w:p w:rsidR="00F73B80" w:rsidRDefault="0017239A">
            <w:pPr>
              <w:autoSpaceDE w:val="0"/>
              <w:autoSpaceDN w:val="0"/>
              <w:adjustRightInd w:val="0"/>
              <w:spacing w:after="0"/>
              <w:rPr>
                <w:noProof/>
                <w:color w:val="000000"/>
              </w:rPr>
            </w:pPr>
            <w:r>
              <w:rPr>
                <w:noProof/>
                <w:color w:val="000000"/>
                <w:sz w:val="22"/>
              </w:rPr>
              <w:t>Lygmuo</w:t>
            </w:r>
          </w:p>
        </w:tc>
        <w:tc>
          <w:tcPr>
            <w:tcW w:w="5494" w:type="dxa"/>
            <w:shd w:val="clear" w:color="auto" w:fill="auto"/>
          </w:tcPr>
          <w:p w:rsidR="00F73B80" w:rsidRDefault="0017239A">
            <w:pPr>
              <w:autoSpaceDE w:val="0"/>
              <w:autoSpaceDN w:val="0"/>
              <w:adjustRightInd w:val="0"/>
              <w:spacing w:after="0"/>
              <w:rPr>
                <w:noProof/>
                <w:color w:val="000000"/>
              </w:rPr>
            </w:pPr>
            <w:r>
              <w:rPr>
                <w:noProof/>
                <w:color w:val="000000"/>
                <w:sz w:val="22"/>
              </w:rPr>
              <w:t>Aprašymas</w:t>
            </w:r>
          </w:p>
        </w:tc>
      </w:tr>
      <w:tr w:rsidR="00F73B80">
        <w:tc>
          <w:tcPr>
            <w:tcW w:w="3794" w:type="dxa"/>
            <w:shd w:val="clear" w:color="auto" w:fill="auto"/>
          </w:tcPr>
          <w:p w:rsidR="00F73B80" w:rsidRDefault="00F73B80">
            <w:pPr>
              <w:autoSpaceDE w:val="0"/>
              <w:autoSpaceDN w:val="0"/>
              <w:adjustRightInd w:val="0"/>
              <w:spacing w:after="0"/>
              <w:rPr>
                <w:b/>
                <w:noProof/>
                <w:color w:val="000000"/>
              </w:rPr>
            </w:pPr>
          </w:p>
          <w:p w:rsidR="00F73B80" w:rsidRDefault="0017239A">
            <w:pPr>
              <w:autoSpaceDE w:val="0"/>
              <w:autoSpaceDN w:val="0"/>
              <w:adjustRightInd w:val="0"/>
              <w:spacing w:after="0"/>
              <w:rPr>
                <w:b/>
                <w:noProof/>
                <w:color w:val="000000"/>
              </w:rPr>
            </w:pPr>
            <w:r>
              <w:rPr>
                <w:b/>
                <w:noProof/>
                <w:color w:val="000000"/>
                <w:sz w:val="22"/>
              </w:rPr>
              <w:t>Kainos be visų mokesčių, įmokų, rinkliavų ir išlaidų</w:t>
            </w:r>
          </w:p>
        </w:tc>
        <w:tc>
          <w:tcPr>
            <w:tcW w:w="5494" w:type="dxa"/>
            <w:shd w:val="clear" w:color="auto" w:fill="auto"/>
          </w:tcPr>
          <w:p w:rsidR="00F73B80" w:rsidRDefault="0017239A">
            <w:pPr>
              <w:autoSpaceDE w:val="0"/>
              <w:autoSpaceDN w:val="0"/>
              <w:adjustRightInd w:val="0"/>
              <w:spacing w:after="0"/>
              <w:rPr>
                <w:noProof/>
                <w:color w:val="000000"/>
              </w:rPr>
            </w:pPr>
            <w:r>
              <w:rPr>
                <w:noProof/>
                <w:color w:val="000000"/>
                <w:sz w:val="22"/>
              </w:rPr>
              <w:t xml:space="preserve">Šis kainų lygmuo apima tik energijos ir tiekimo komponentą bei tinklo komponentą. </w:t>
            </w:r>
          </w:p>
        </w:tc>
      </w:tr>
      <w:tr w:rsidR="00F73B80">
        <w:tc>
          <w:tcPr>
            <w:tcW w:w="3794" w:type="dxa"/>
            <w:shd w:val="clear" w:color="auto" w:fill="auto"/>
          </w:tcPr>
          <w:p w:rsidR="00F73B80" w:rsidRDefault="00F73B80">
            <w:pPr>
              <w:autoSpaceDE w:val="0"/>
              <w:autoSpaceDN w:val="0"/>
              <w:adjustRightInd w:val="0"/>
              <w:spacing w:after="0"/>
              <w:rPr>
                <w:b/>
                <w:noProof/>
                <w:color w:val="000000"/>
              </w:rPr>
            </w:pPr>
          </w:p>
          <w:p w:rsidR="00F73B80" w:rsidRDefault="0017239A">
            <w:pPr>
              <w:autoSpaceDE w:val="0"/>
              <w:autoSpaceDN w:val="0"/>
              <w:adjustRightInd w:val="0"/>
              <w:spacing w:after="0"/>
              <w:rPr>
                <w:b/>
                <w:noProof/>
                <w:color w:val="000000"/>
              </w:rPr>
            </w:pPr>
            <w:r>
              <w:rPr>
                <w:b/>
                <w:noProof/>
                <w:color w:val="000000"/>
                <w:sz w:val="22"/>
              </w:rPr>
              <w:t xml:space="preserve">Kainos be pridėtinės vertės mokesčio (PVM) ir kitų susigrąžinamų mokesčių </w:t>
            </w:r>
          </w:p>
        </w:tc>
        <w:tc>
          <w:tcPr>
            <w:tcW w:w="5494" w:type="dxa"/>
            <w:shd w:val="clear" w:color="auto" w:fill="auto"/>
          </w:tcPr>
          <w:p w:rsidR="00F73B80" w:rsidRDefault="0017239A">
            <w:pPr>
              <w:autoSpaceDE w:val="0"/>
              <w:autoSpaceDN w:val="0"/>
              <w:adjustRightInd w:val="0"/>
              <w:spacing w:after="0"/>
              <w:rPr>
                <w:noProof/>
                <w:color w:val="000000"/>
              </w:rPr>
            </w:pPr>
            <w:r>
              <w:rPr>
                <w:noProof/>
                <w:color w:val="000000"/>
                <w:sz w:val="22"/>
              </w:rPr>
              <w:t>Šis kainų lygmuo apima energijos ir tiekimo komponentą, tinklo komponentą ir mokesčius, įmokas, rinkliavas bei išlaidas, laikomas nesusigrąžinamomis galutiniams ne namų ūkių vartotojams. Namų ūkių vartotojų atveju šis kainų lygmuo apima energijos ir tinklo</w:t>
            </w:r>
            <w:r>
              <w:rPr>
                <w:noProof/>
                <w:color w:val="000000"/>
                <w:sz w:val="22"/>
              </w:rPr>
              <w:t xml:space="preserve"> komponentus ir mokesčius, įmokas, rinkliavas bei išlaidas, tačiau neapima PVM. </w:t>
            </w:r>
          </w:p>
        </w:tc>
      </w:tr>
      <w:tr w:rsidR="00F73B80">
        <w:tc>
          <w:tcPr>
            <w:tcW w:w="3794" w:type="dxa"/>
            <w:shd w:val="clear" w:color="auto" w:fill="auto"/>
          </w:tcPr>
          <w:p w:rsidR="00F73B80" w:rsidRDefault="00F73B80">
            <w:pPr>
              <w:autoSpaceDE w:val="0"/>
              <w:autoSpaceDN w:val="0"/>
              <w:adjustRightInd w:val="0"/>
              <w:spacing w:after="0"/>
              <w:rPr>
                <w:b/>
                <w:noProof/>
                <w:color w:val="000000"/>
              </w:rPr>
            </w:pPr>
          </w:p>
          <w:p w:rsidR="00F73B80" w:rsidRDefault="0017239A">
            <w:pPr>
              <w:autoSpaceDE w:val="0"/>
              <w:autoSpaceDN w:val="0"/>
              <w:adjustRightInd w:val="0"/>
              <w:spacing w:after="0"/>
              <w:rPr>
                <w:b/>
                <w:noProof/>
                <w:color w:val="000000"/>
              </w:rPr>
            </w:pPr>
            <w:r>
              <w:rPr>
                <w:b/>
                <w:noProof/>
                <w:color w:val="000000"/>
                <w:sz w:val="22"/>
              </w:rPr>
              <w:t>Kainos, apimančios visus mokesčius</w:t>
            </w:r>
          </w:p>
        </w:tc>
        <w:tc>
          <w:tcPr>
            <w:tcW w:w="5494" w:type="dxa"/>
            <w:shd w:val="clear" w:color="auto" w:fill="auto"/>
          </w:tcPr>
          <w:p w:rsidR="00F73B80" w:rsidRDefault="0017239A">
            <w:pPr>
              <w:autoSpaceDE w:val="0"/>
              <w:autoSpaceDN w:val="0"/>
              <w:adjustRightInd w:val="0"/>
              <w:spacing w:after="0"/>
              <w:rPr>
                <w:noProof/>
                <w:color w:val="000000"/>
              </w:rPr>
            </w:pPr>
            <w:r>
              <w:rPr>
                <w:noProof/>
                <w:color w:val="000000"/>
                <w:sz w:val="22"/>
              </w:rPr>
              <w:t>Šis kainų lygmuo apima energijos ir tiekimo komponentą, tinklo komponentą ir visus susigrąžinamus ir nesusigrąžinamus mokesčius, įmokas, r</w:t>
            </w:r>
            <w:r>
              <w:rPr>
                <w:noProof/>
                <w:color w:val="000000"/>
                <w:sz w:val="22"/>
              </w:rPr>
              <w:t>inkliavas ir išlaidas.</w:t>
            </w:r>
          </w:p>
        </w:tc>
      </w:tr>
    </w:tbl>
    <w:p w:rsidR="00F73B80" w:rsidRDefault="00F73B80">
      <w:pPr>
        <w:rPr>
          <w:b/>
          <w:noProof/>
        </w:rPr>
      </w:pPr>
    </w:p>
    <w:p w:rsidR="00F73B80" w:rsidRDefault="0017239A">
      <w:pPr>
        <w:rPr>
          <w:b/>
          <w:noProof/>
        </w:rPr>
      </w:pPr>
      <w:r>
        <w:rPr>
          <w:b/>
          <w:noProof/>
        </w:rPr>
        <w:t>6. Suvartojami kiekiai</w:t>
      </w:r>
    </w:p>
    <w:p w:rsidR="00F73B80" w:rsidRDefault="0017239A">
      <w:pPr>
        <w:rPr>
          <w:noProof/>
          <w:color w:val="000000"/>
          <w:szCs w:val="24"/>
        </w:rPr>
      </w:pPr>
      <w:r>
        <w:rPr>
          <w:noProof/>
          <w:color w:val="000000"/>
        </w:rPr>
        <w:t>Valstybės narės privalo perduoti informaciją apie santykinę elektros energijos dalį kiekvienoje suvartojimo grupėje, remdamosi bendru kiekiu, su kuriuo susijusios kainos.</w:t>
      </w:r>
    </w:p>
    <w:p w:rsidR="00F73B80" w:rsidRDefault="0017239A">
      <w:pPr>
        <w:rPr>
          <w:noProof/>
          <w:color w:val="000000"/>
          <w:szCs w:val="24"/>
        </w:rPr>
      </w:pPr>
      <w:r>
        <w:rPr>
          <w:noProof/>
          <w:color w:val="000000"/>
        </w:rPr>
        <w:t xml:space="preserve">Metiniai suvartojami kiekiai, susiję </w:t>
      </w:r>
      <w:r>
        <w:rPr>
          <w:noProof/>
          <w:color w:val="000000"/>
        </w:rPr>
        <w:t>su kiekviena suvartojimo grupe, praneštini kartą per metus tuo pačiu metu, kuriuo pranešami antro pusmečio kainų duomenys.</w:t>
      </w:r>
    </w:p>
    <w:p w:rsidR="00F73B80" w:rsidRDefault="0017239A">
      <w:pPr>
        <w:rPr>
          <w:noProof/>
        </w:rPr>
      </w:pPr>
      <w:r>
        <w:rPr>
          <w:noProof/>
          <w:color w:val="000000"/>
        </w:rPr>
        <w:t>Duomenys turi būti ne senesni kaip dvejų metų.</w:t>
      </w:r>
    </w:p>
    <w:sectPr w:rsidR="00F73B80">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80" w:rsidRDefault="0017239A">
      <w:pPr>
        <w:spacing w:before="0" w:after="0"/>
      </w:pPr>
      <w:r>
        <w:separator/>
      </w:r>
    </w:p>
  </w:endnote>
  <w:endnote w:type="continuationSeparator" w:id="0">
    <w:p w:rsidR="00F73B80" w:rsidRDefault="001723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80" w:rsidRDefault="0017239A">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80" w:rsidRDefault="0017239A">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80" w:rsidRDefault="00F7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80" w:rsidRDefault="0017239A">
      <w:pPr>
        <w:spacing w:before="0" w:after="0"/>
      </w:pPr>
      <w:r>
        <w:separator/>
      </w:r>
    </w:p>
  </w:footnote>
  <w:footnote w:type="continuationSeparator" w:id="0">
    <w:p w:rsidR="00F73B80" w:rsidRDefault="0017239A">
      <w:pPr>
        <w:spacing w:before="0" w:after="0"/>
      </w:pPr>
      <w:r>
        <w:continuationSeparator/>
      </w:r>
    </w:p>
  </w:footnote>
  <w:footnote w:id="1">
    <w:p w:rsidR="00F73B80" w:rsidRDefault="0017239A">
      <w:pPr>
        <w:pStyle w:val="FootnoteText"/>
      </w:pPr>
      <w:r>
        <w:rPr>
          <w:rStyle w:val="FootnoteReference"/>
        </w:rPr>
        <w:footnoteRef/>
      </w:r>
      <w:r>
        <w:tab/>
        <w:t>2006 m. lapkričio 28 d. Tarybos direktyva 2006/112/EB dėl pridėtinės vertės mokesčio bendros sistemos (OL L 347/1, 2006 12 11,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D49A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F2C5B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940B92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37E76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8040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7946E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3E808E"/>
    <w:lvl w:ilvl="0">
      <w:start w:val="1"/>
      <w:numFmt w:val="decimal"/>
      <w:pStyle w:val="ListNumber"/>
      <w:lvlText w:val="%1."/>
      <w:lvlJc w:val="left"/>
      <w:pPr>
        <w:tabs>
          <w:tab w:val="num" w:pos="360"/>
        </w:tabs>
        <w:ind w:left="360" w:hanging="360"/>
      </w:pPr>
    </w:lvl>
  </w:abstractNum>
  <w:abstractNum w:abstractNumId="7">
    <w:nsid w:val="FFFFFF89"/>
    <w:multiLevelType w:val="singleLevel"/>
    <w:tmpl w:val="8C5E53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characterSpacingControl w:val="doNotCompress"/>
  <w:hdrShapeDefaults>
    <o:shapedefaults v:ext="edit" spidmax="378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10 10:54: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ACCOMPAGNANT.CP" w:val="&lt;UNUSED&gt;"/>
    <w:docVar w:name="LW_ANNEX_NBR_FIRST" w:val="1"/>
    <w:docVar w:name="LW_ANNEX_NBR_LAST" w:val="2"/>
    <w:docVar w:name="LW_CONFIDENCE" w:val=" "/>
    <w:docVar w:name="LW_CONST_RESTREINT_UE" w:val="RESTREINT UE"/>
    <w:docVar w:name="LW_CORRIGENDUM" w:val="&lt;UNUSED&gt;"/>
    <w:docVar w:name="LW_COVERPAGE_GUID" w:val="DACA248ABF234362A72579B9D3E280B4"/>
    <w:docVar w:name="LW_CROSSREFERENCE" w:val="&lt;UNUSED&gt;"/>
    <w:docVar w:name="LW_DocType" w:val="ANNEX"/>
    <w:docVar w:name="LW_EMISSION" w:val="2015 11 18"/>
    <w:docVar w:name="LW_EMISSION_ISODATE" w:val="2015-11-18"/>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CP" w:val="&lt;UNUSED&gt;"/>
    <w:docVar w:name="LW_PART_NBR" w:val="&lt;UNUSED&gt;"/>
    <w:docVar w:name="LW_PART_NBR_TOTAL" w:val="&lt;UNUSED&gt;"/>
    <w:docVar w:name="LW_REF.INST.NEW" w:val="COM"/>
    <w:docVar w:name="LW_REF.INST.NEW_ADOPTED" w:val="final"/>
    <w:docVar w:name="LW_REF.INST.NEW_TEXT" w:val="(2015) 496"/>
    <w:docVar w:name="LW_REF.INTERNE" w:val="&lt;UNUSED&gt;"/>
    <w:docVar w:name="LW_SUPERTITRE" w:val="&lt;UNUSED&gt;"/>
    <w:docVar w:name="LW_TITRE.OBJ.CP" w:val="prie_x000b_Pasi\u363?lymo d\u279?l_x000b_EUROPOS PARLAMENTO IR TARYBOS REGLAMENTO_x000b_d\u279?l Europos gamtini\u371? duj\u371? ir elektros energijos kain\u371? statistikos, kuriuo panaikinama Europos Parlamento ir Tarybos direktyva 2008/92/EB d\u279?l Bendrijos tvarkos, leid\u382?ian\u269?ios padidinti duj\u371? ir elektros energijos kain\u371? galutiniams pramon\u279?s vartotojams skaidrum\u261?"/>
    <w:docVar w:name="LW_TYPE.DOC.CP" w:val="PRIEDAI"/>
    <w:docVar w:name="LW_TYPEACTEPRINCIPAL.CP" w:val="&lt;UNUSED&gt;"/>
    <w:docVar w:name="Stamp" w:val="\\dossiers.dgt.cec.eu.int\dossiers\ESTAT\ESTAT-2015-10287\ESTAT-2015-10287-00-01-EN-REV-00.DOC"/>
  </w:docVars>
  <w:rsids>
    <w:rsidRoot w:val="00F73B80"/>
    <w:rsid w:val="0017239A"/>
    <w:rsid w:val="001B6431"/>
    <w:rsid w:val="00F7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lt-LT"/>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0A55-B3F0-47C5-A37B-C80D9ECD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9</Pages>
  <Words>1707</Words>
  <Characters>11752</Characters>
  <Application>Microsoft Office Word</Application>
  <DocSecurity>0</DocSecurity>
  <Lines>367</Lines>
  <Paragraphs>210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GOERTEN John (ESTAT)</dc:creator>
  <cp:keywords/>
  <cp:lastModifiedBy>LAGES CARVALHO Patrick (SG)</cp:lastModifiedBy>
  <cp:revision>9</cp:revision>
  <cp:lastPrinted>2015-08-04T13:25:00Z</cp:lastPrinted>
  <dcterms:created xsi:type="dcterms:W3CDTF">2015-10-07T06:52:00Z</dcterms:created>
  <dcterms:modified xsi:type="dcterms:W3CDTF">2015-11-10T10:11:00Z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