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D02721D5A13456F81D6124B0455223C" style="width:450.8pt;height:365.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noProof/>
        </w:rPr>
      </w:pPr>
      <w:r>
        <w:rPr>
          <w:noProof/>
          <w:color w:val="000000"/>
          <w:u w:color="000000"/>
          <w:bdr w:val="nil"/>
        </w:rPr>
        <w:t>•</w:t>
      </w:r>
      <w:r>
        <w:rPr>
          <w:noProof/>
        </w:rPr>
        <w:tab/>
        <w:t>A javaslat indokai és céljai</w:t>
      </w:r>
    </w:p>
    <w:p>
      <w:pPr>
        <w:autoSpaceDE w:val="0"/>
        <w:rPr>
          <w:noProof/>
        </w:rPr>
      </w:pPr>
      <w:r>
        <w:rPr>
          <w:noProof/>
        </w:rPr>
        <w:t>A szilárd szabályozási és intézményi környezet és a zavartalanul működő gazdaság kialakítása elengedhetetlen ahhoz, hogy növeljék a gazdaság versenyképességét, ösztönözzék a beruházásokat, elősegítsék a munkahelyteremtést, emeljék az életszínvonalat és fenntartható növekedést érjenek el az uniós tagállamokban. Számos uniós gazdaságban zajlott le, illetve van folyamatban a múltban felhalmozódott makrogazdasági egyensúlyhiányok kiigazítása, sok tagállam pedig az alacsony potenciális növekedés okozta kihívással néz szembe. Ez a helyzet gyakran annak eredményeként alakult ki, hogy az érintett gazdaságokban késedelmesen vagy nem megfelelően hajtották végre a strukturális reformokat. Az Unió szakpolitikai prioritásai közé emelte a strukturális reformok végrehajtását, hogy fenntartható pályára állítsa a gazdasági fellendülést, felszabadítsa a növekedési potenciált a kiigazítási kapacitás megerősítése céljából, és támogatást nyújtson a konvergenciafolyamathoz.</w:t>
      </w:r>
    </w:p>
    <w:p>
      <w:pPr>
        <w:autoSpaceDE w:val="0"/>
        <w:rPr>
          <w:noProof/>
        </w:rPr>
      </w:pPr>
      <w:r>
        <w:rPr>
          <w:noProof/>
        </w:rPr>
        <w:t>A reformokat helyesen kell megtervezni, jogszabályi formába kell önteni és hatékonyan végre kell hajtani. A sikeres reformok többet igényelnek a szükséges jogszabályok puszta elfogadásánál, hatékonyan végre is kell hajtani azokat, ami azt jelenti, hogy kezelni kell a közigazgatás strukturális problémáit (pl. hatáskörök, mobilitás, ösztönzők, munkafolyamatok változtatásai stb.), valamint a gazdasági és társadalmi területeken jelentkező kihívásokat. Bizonyos időt vesz igénybe, amíg beérnek a reformok eredményei. Ezért a korai és hatékony végrehajtás döntő fontosságú a válság sújtotta vagy strukturális gyengeséggel küzdő gazdaságok számára.</w:t>
      </w:r>
    </w:p>
    <w:p>
      <w:pPr>
        <w:rPr>
          <w:noProof/>
          <w:szCs w:val="24"/>
        </w:rPr>
      </w:pPr>
      <w:r>
        <w:rPr>
          <w:noProof/>
        </w:rPr>
        <w:t>A technikai segítségnyújtás rendkívül fontos a ciprusi és görögországi gazdasági kiigazítás támogatásához (a Ciprust támogató csoport, valamint a Görögországgal foglalkozó munkacsoport útján). A közpolitika szintet teljes spektrumát felölelő területeken Görögországnak és Ciprusnak nyújtott technikai segítségnyújtással (TA) kapcsolatos múltbeli tapasztalatok hasznos tanulságokkal szolgálnak a jövőre nézve, amikor potenciálisan valamennyi tagállam</w:t>
      </w:r>
      <w:r>
        <w:rPr>
          <w:rStyle w:val="FootnoteReference"/>
          <w:noProof/>
        </w:rPr>
        <w:footnoteReference w:id="2"/>
      </w:r>
      <w:r>
        <w:rPr>
          <w:noProof/>
        </w:rPr>
        <w:t xml:space="preserve"> számára elérhetővé teszik a technikai segítségnyújtást.</w:t>
      </w:r>
    </w:p>
    <w:p>
      <w:pPr>
        <w:autoSpaceDE w:val="0"/>
        <w:rPr>
          <w:noProof/>
        </w:rPr>
      </w:pPr>
      <w:r>
        <w:rPr>
          <w:noProof/>
        </w:rPr>
        <w:t>A fentiek alapján a technikai segítségnyújtást – a Strukturálisreform-támogató Szolgálat égisze alatt – szeretnék kiterjeszteni az ezt kérelmező összes tagállamra. A tagállamok valóban igénybe vehetik a támogatást az intézményi, strukturális és igazgatási reformok kialakítása és végrehajtása tekintetében mutatkozó kihívások kezeléséhez. Ez olyan tényezőkkel függhet össze, mint például a korlátozott igazgatási és intézményi kapacitás, valamint az uniós jogszabályok nem megfelelő alkalmazása és végrehajtása.</w:t>
      </w:r>
    </w:p>
    <w:p>
      <w:pPr>
        <w:autoSpaceDE w:val="0"/>
        <w:rPr>
          <w:noProof/>
        </w:rPr>
      </w:pPr>
      <w:r>
        <w:rPr>
          <w:noProof/>
        </w:rPr>
        <w:t>Ezen túlmenően az uniós vívmányok végrehajtásának javítása a Bizottság egyik prioritása</w:t>
      </w:r>
      <w:r>
        <w:rPr>
          <w:rStyle w:val="FootnoteReference"/>
          <w:noProof/>
        </w:rPr>
        <w:footnoteReference w:id="3"/>
      </w:r>
      <w:r>
        <w:rPr>
          <w:noProof/>
        </w:rPr>
        <w:t>. E tekintetben a Bizottság jelezte annak szükségességét, hogy „(e)gyüttműködik a tagállamokkal annak érdekében, hogy megvizsgálja, melyek a legjobb módjai az uniós és nemzeti jog közötti megfelelés biztosításának”.</w:t>
      </w:r>
    </w:p>
    <w:p>
      <w:pPr>
        <w:autoSpaceDE w:val="0"/>
        <w:rPr>
          <w:noProof/>
        </w:rPr>
      </w:pPr>
      <w:r>
        <w:rPr>
          <w:noProof/>
        </w:rPr>
        <w:t>A tagállamokkal való együttműködés szükségessége azon hiányosságok tekintetében is fennáll, amelyeket az európai szemeszter keretében megfogalmazott országspecifikus ajánlásokban javasolt reform végrehajtása terén tártak fel.</w:t>
      </w:r>
    </w:p>
    <w:p>
      <w:pPr>
        <w:autoSpaceDE w:val="0"/>
        <w:rPr>
          <w:noProof/>
        </w:rPr>
      </w:pPr>
      <w:r>
        <w:rPr>
          <w:noProof/>
        </w:rPr>
        <w:t>Ezzel összefüggésben strukturálisreform-támogató programot kell kialakítania a tagállamok azon általános képességének erősítése céljából, hogy növekedésösztönző intézményi, strukturális és igazgatási reformokat dolgozzanak ki és hajtsanak végre, többek között az uniós alapok hatékony és eredményes felhasználásának elősegítése révén</w:t>
      </w:r>
      <w:r>
        <w:rPr>
          <w:rStyle w:val="FootnoteReference"/>
          <w:noProof/>
        </w:rPr>
        <w:footnoteReference w:id="4"/>
      </w:r>
      <w:r>
        <w:rPr>
          <w:noProof/>
        </w:rPr>
        <w:t>, amennyiben az említett tagállamok az Unió támogatását igénylik ebből a célból.</w:t>
      </w:r>
    </w:p>
    <w:p>
      <w:pPr>
        <w:autoSpaceDE w:val="0"/>
        <w:rPr>
          <w:noProof/>
        </w:rPr>
      </w:pPr>
      <w:r>
        <w:rPr>
          <w:noProof/>
        </w:rPr>
        <w:t>E program keretében a Bizottság valamely tagállam kérésére nyújt támogatást, amely az alábbiak elősegítéséhez áll rendelkezésre: i. a gazdasági kormányzási folyamatokkal – különösen az európai szemeszter keretében kiadott országspecifikus ajánlásokkal és/vagy az uniós jog végrehajtásával kapcsolatos egyéb fellépésekkel – összefüggő reformok végrehajtása, ii. a gazdasági kiigazítási programok végrehajtásához kapcsolódó reformok az uniós pénzügyi támogatásban részesülő tagállamok esetében, valamint iii. a tagállamok saját kezdeményezésű reformjai, amelyek célja, hogy azok fenntartható beruházásokat, növekedést és munkahelyteremtést valósítsanak meg.</w:t>
      </w:r>
    </w:p>
    <w:p>
      <w:pPr>
        <w:autoSpaceDE w:val="0"/>
        <w:rPr>
          <w:noProof/>
        </w:rPr>
      </w:pPr>
      <w:r>
        <w:rPr>
          <w:noProof/>
        </w:rPr>
        <w:t>A reformok támogatása – többek között az uniós alapok (vagyis a közös rendelkezésekről szóló rendelet</w:t>
      </w:r>
      <w:r>
        <w:rPr>
          <w:rStyle w:val="FootnoteReference"/>
          <w:noProof/>
        </w:rPr>
        <w:footnoteReference w:id="5"/>
      </w:r>
      <w:r>
        <w:rPr>
          <w:noProof/>
        </w:rPr>
        <w:t xml:space="preserve"> meghatározása szerinti európai strukturális és beruházási alapok (esb-alapok), a leginkább rászoruló személyeket támogató európai segítségnyújtási alap</w:t>
      </w:r>
      <w:r>
        <w:rPr>
          <w:rStyle w:val="FootnoteReference"/>
          <w:noProof/>
        </w:rPr>
        <w:footnoteReference w:id="6"/>
      </w:r>
      <w:r>
        <w:rPr>
          <w:noProof/>
        </w:rPr>
        <w:t>, valamint a menekültüggyel, migrációval és határellenőrzéssel kapcsolatos alapok</w:t>
      </w:r>
      <w:r>
        <w:rPr>
          <w:rStyle w:val="FootnoteReference"/>
          <w:noProof/>
        </w:rPr>
        <w:footnoteReference w:id="7"/>
      </w:r>
      <w:r>
        <w:rPr>
          <w:noProof/>
        </w:rPr>
        <w:t>) hatékony és eredményes felhasználásának elősegítése – konkrét szakpolitikai területekre vonatkozik, különösen az alábbiakra: államháztartási gazdálkodás, költségvetési folyamat, adósságkezelés és adóigazgatás, intézményi reform és a közigazgatás hatékony és szolgáltatásorientált működése, hatékony jogállamiság, az igazságügyi rendszer reformja, valamint a csalás, a korrupció és a pénzmosás elleni küzdelem megerősítése, az üzleti környezet és a magánszektor fejlesztése, finanszírozási eszközökhöz való hozzáférés, beruházások, pénzügyi ágazatbeli politikák, privatizációs folyamatok, kereskedelem és közvetlen külföldi befektetések, verseny és közbeszerzés, fenntartható ágazati fejlesztés és az innováció támogatása, oktatás és képzés, munkaerő-piaci politikák, társadalmi befogadás, szociális biztonság és szociális jóléti rendszerek, közegészségügy és egészségügyi rendszerek, menekültügyi, migrációs és határellenőrzési politikák, valamint a mezőgazdasági ágazatra és a vidéki területek fenntartható fejlődésére vonatkozó politikák.</w:t>
      </w:r>
    </w:p>
    <w:p>
      <w:pPr>
        <w:autoSpaceDE w:val="0"/>
        <w:rPr>
          <w:noProof/>
        </w:rPr>
      </w:pPr>
    </w:p>
    <w:p>
      <w:pPr>
        <w:pStyle w:val="ManualHeading2"/>
        <w:rPr>
          <w:rFonts w:eastAsia="Arial Unicode MS"/>
          <w:noProof/>
          <w:color w:val="000000"/>
          <w:u w:color="000000"/>
          <w:bdr w:val="nil"/>
        </w:rPr>
      </w:pPr>
      <w:r>
        <w:rPr>
          <w:noProof/>
          <w:color w:val="000000"/>
          <w:u w:color="000000"/>
          <w:bdr w:val="nil"/>
        </w:rPr>
        <w:t>•</w:t>
      </w:r>
      <w:r>
        <w:rPr>
          <w:noProof/>
        </w:rPr>
        <w:tab/>
        <w:t>A javaslatnak a szabályozási terület jelenlegi rendelkezéseivel való összhangja</w:t>
      </w:r>
    </w:p>
    <w:p>
      <w:pPr>
        <w:tabs>
          <w:tab w:val="left" w:pos="0"/>
        </w:tabs>
        <w:autoSpaceDE w:val="0"/>
        <w:rPr>
          <w:noProof/>
        </w:rPr>
      </w:pPr>
      <w:r>
        <w:rPr>
          <w:noProof/>
        </w:rPr>
        <w:t>A program kiegészíti a többéves pénzügyi keret szerinti más uniós finanszírozási programokban rendelkezésre álló, kapacitásépítésre és technikai segítségnyújtásra szolgáló meglévő forrásokat, valamint az uniós alapokból finanszírozott technikai segítségnyújtást és más intézkedéseket.</w:t>
      </w:r>
    </w:p>
    <w:p>
      <w:pPr>
        <w:tabs>
          <w:tab w:val="left" w:pos="0"/>
        </w:tabs>
        <w:autoSpaceDE w:val="0"/>
        <w:rPr>
          <w:noProof/>
        </w:rPr>
      </w:pPr>
      <w:r>
        <w:rPr>
          <w:noProof/>
        </w:rPr>
        <w:t>Több uniós program valóban előirányozza a technikai segítségnyújtás lehetőségét azoknak a tagállamoknak, amelyek bizonyos közpolitikai intézkedéseket vezetnek be egyes konkrét területeken. Ezeket úgy alakították ki, hogy – a konkrét célkitűzés és terület függvényében – elősegítsék a gazdasági növekedéshez kedvező feltételek megteremtését, a társadalom és a környezet védelmét és javítását. Az e programok keretében nyújtott támogatást konkrét tematikus irányultság jellemzi, ami elősegíti a vonatkozó programok konkrét célkitűzéseinek elérését.</w:t>
      </w:r>
    </w:p>
    <w:p>
      <w:pPr>
        <w:autoSpaceDE w:val="0"/>
        <w:rPr>
          <w:noProof/>
        </w:rPr>
      </w:pPr>
      <w:r>
        <w:rPr>
          <w:noProof/>
        </w:rPr>
        <w:t>A javasolt program célja, hogy hozzáadott értéket teremtsen és kiegészítse a meglévő támogatási intézkedések már eddig is sikeres eredményeit azáltal, hogy a támogatás azon vonatkozásaira összpontosít, amelyek szorosabban kapcsolódnak a tanácsadás és a szakértelem helyszíni biztosításához, vagyis (lehetőség szerint kirendelt szakértő révén) segítséget nyújt a kérelmező tagállamok nemzeti hatóságainak a reformfolyamat során vagy e folyamat meghatározott állomásai vagy különböző szakaszai alkalmával. Ez az ország legsürgetőbb szükségletein alapul, amelyekről a Bizottság és az érintett tagállam kölcsönösen megállapodik.</w:t>
      </w:r>
    </w:p>
    <w:p>
      <w:pPr>
        <w:autoSpaceDE w:val="0"/>
        <w:rPr>
          <w:noProof/>
        </w:rPr>
      </w:pPr>
      <w:r>
        <w:rPr>
          <w:noProof/>
        </w:rPr>
        <w:t>Ilyen módon növelni lehetne az uniós támogatás hatékonyságát, ha biztosítani tudnák az egyetlen platformon belül összehangolt uniós szakpolitikák szélesebb spektrumát felölelő átfogó megközelítést, valamint a Bizottság és a nemzeti szakértők – megkeresésre nyújtott – célzott helyszíni technikai támogatását. E kiegészítő támogatás a következő megkülönböztető jellemzőkkel rendelkezne: a) valamennyi tagállam számára technikai és pénzügyi támogatást biztosító kapacitás, az egyetlen platformba illeszkedő széles körű közpolitikai reformok tekintetében; valamint b) annak lehetősége, hogy igény esetén és az érintett tagállam hozzájárulásával, minden esetben stabil helyszíni fizikai jelenlétet biztosítsanak.</w:t>
      </w:r>
    </w:p>
    <w:p>
      <w:pPr>
        <w:autoSpaceDE w:val="0"/>
        <w:rPr>
          <w:noProof/>
        </w:rPr>
      </w:pPr>
      <w:r>
        <w:rPr>
          <w:noProof/>
        </w:rPr>
        <w:t>Ez összhangban van az egyes nemzetközi szervezetek, köztük a nemzetközi pénzügyi szervezetek gyakorlatával, amelyek az érintett országoknak biztosítandó technikai segítségnyújtási kapacitást évek óta integrálják hitelezési és nem hitelezési tevékenységeik keretébe.</w:t>
      </w:r>
    </w:p>
    <w:p>
      <w:pPr>
        <w:rPr>
          <w:noProof/>
        </w:rPr>
      </w:pPr>
      <w:r>
        <w:rPr>
          <w:noProof/>
        </w:rPr>
        <w:t>A javasolt program még inkább horizontális szempontot vezet be a technikai segítségnyújtásba. A program keretében nyújtott támogatás az alkalmazási körébe tartozó konkrét területek tekintetében átfogó, ugyanakkor a makrogazdasági felügyelet során az érintett ország tekintetében azonosított legsürgetőbb igényekre, vagy az uniós vívmányok végrehajtása során felmerülő hiányosságokra/hatékonysági problémákra összpontosít. A program hozzáadott értéket képvisel a különböző ágazati uniós programokhoz és az uniós alapok keretében végrehajtott fellépésekhez képest, mivel makroszintű országspecifikus szempontot biztosít, miközben támogatja a tagállamokban zajló legfontosabb strukturális reformokat, összhangban az Unió legfontosabb szakpolitikai célkitűzéseivel. Az e program keretében végrehajtott intézkedések hozzáadott értékét más uniós eszközök tekintetében annak szem előtt tartásával fogják biztosítani, hogy a kérelmező tagállamnak nyújtott támogatásra vonatkozó döntés kellően figyelembe vegye az uniós alapokból finanszírozott meglévő fellépéseket és intézkedéseket, illetve az érintett tagállamban folytatott más uniós programokat.</w:t>
      </w:r>
    </w:p>
    <w:p>
      <w:pPr>
        <w:rPr>
          <w:noProof/>
        </w:rPr>
      </w:pPr>
      <w:r>
        <w:rPr>
          <w:noProof/>
        </w:rPr>
        <w:t>A Bizottság és a kedvezményezett tagállamok – megfelelő felelősségi területükön belül – elősegítik a szinergiákat, és gondoskodnak a program, illetve más uniós programok és eszközök, különösen az uniós alapokból finanszírozott intézkedések közötti hatékony koordinációról. Az említettek megteszik a megfelelő intézkedéseket a következetesség biztosítására, valamint annak elkerülésére, hogy a programozás és végrehajtás szakaszában párhuzamosságok keletkezzenek az e programból támogatott fellépések, illetve a más uniós programok keretében végrehajtott intézkedések között.</w:t>
      </w:r>
    </w:p>
    <w:p>
      <w:pPr>
        <w:rPr>
          <w:noProof/>
        </w:rPr>
      </w:pPr>
      <w:r>
        <w:rPr>
          <w:noProof/>
        </w:rPr>
        <w:t>Először is a Bizottság – a leginkább érintett szolgálatok képviselőinek bevonásával működő koordinációs mechanizmus létrehozásával – megerősíti a belső munkaszervezés megfelelő koordinációját annak érdekében, hogy az uniós programok és alapok keretében nyújtott támogatás következetes legyen és elkerülje a párhuzamosságokat.</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javaslat egyéb uniós politikákkal való összhangja</w:t>
      </w:r>
    </w:p>
    <w:p>
      <w:pPr>
        <w:autoSpaceDE w:val="0"/>
        <w:rPr>
          <w:noProof/>
        </w:rPr>
      </w:pPr>
      <w:r>
        <w:rPr>
          <w:noProof/>
        </w:rPr>
        <w:t>Az Európa 2020 stratégia</w:t>
      </w:r>
      <w:r>
        <w:rPr>
          <w:rStyle w:val="FootnoteReference"/>
          <w:noProof/>
        </w:rPr>
        <w:footnoteReference w:id="8"/>
      </w:r>
      <w:r>
        <w:rPr>
          <w:noProof/>
        </w:rPr>
        <w:t xml:space="preserve"> célja az intelligens, fenntartható és inkluzív növekedés feltételeinek megteremtése minden tagállamban. A gazdasági növekedés alapvetően fontos a munkanélküliség csökkentéséhez, a társadalmi kohézió erősítéséhez és az életszínvonal emeléséhez. Az Unió szakpolitikai prioritásai közé emelte a strukturális reformok végrehajtását, hogy fenntartható pályára állítsa a gazdasági fellendülést, felszabadítsa a növekedési potenciált a kiigazítási kapacitás megerősítése céljából, és támogatást nyújtson a konvergenciafolyamathoz.</w:t>
      </w:r>
    </w:p>
    <w:p>
      <w:pPr>
        <w:autoSpaceDE w:val="0"/>
        <w:rPr>
          <w:noProof/>
        </w:rPr>
      </w:pPr>
      <w:r>
        <w:rPr>
          <w:noProof/>
        </w:rPr>
        <w:t>A reformfolyamat bonyolult, gyakran költséges, a különböző területeken egyidejűleg kíván szakértelmet, és határon átnyúló hatással járhat. Az uniós támogatás elősegíti, hogy olyan mélyreható, növekedésösztönző reformokat tudjanak végrehajtani a tagállamokban, amelyek az Unió egészére is kihatnak.</w:t>
      </w:r>
    </w:p>
    <w:p>
      <w:pPr>
        <w:autoSpaceDE w:val="0"/>
        <w:rPr>
          <w:noProof/>
        </w:rPr>
      </w:pPr>
      <w:r>
        <w:rPr>
          <w:noProof/>
        </w:rPr>
        <w:t>Az érintett nemzeti hatóságokkal szoros együttműködésben végrehajtandó program tevékenyen hozzájárul majd az említett tagállamok azon kapacitásának erősítéséhez, hogy intézményi, igazgatási, gazdasági és társadalmi reformokat hajtsanak végre, a polgárokat és a vállalkozásokat szolgáló, egyszerűsített, hatékony és korszerű szervezetek kialakítása érdekében.</w:t>
      </w:r>
    </w:p>
    <w:p>
      <w:pPr>
        <w:autoSpaceDE w:val="0"/>
        <w:spacing w:after="0"/>
        <w:rPr>
          <w:noProof/>
        </w:rPr>
      </w:pPr>
      <w:r>
        <w:rPr>
          <w:noProof/>
        </w:rPr>
        <w:t>A program végezetül lehetővé teszi technikai támogatás nyújtását, ami alapvető fontosságú az egységes piac fontos új elemeinek (annak digitális részét is beleértve) sikeres megvalósításához. Például a tőkepiaci unió cselekvési terve</w:t>
      </w:r>
      <w:r>
        <w:rPr>
          <w:rStyle w:val="FootnoteReference"/>
          <w:noProof/>
        </w:rPr>
        <w:footnoteReference w:id="9"/>
      </w:r>
      <w:r>
        <w:rPr>
          <w:noProof/>
        </w:rPr>
        <w:t xml:space="preserve"> technikai támogatást irányoz elő a tőkepiac fejlesztésére. A program biztosítja a szükséges keretet és finanszírozást ehhez a támogatáshoz.</w:t>
      </w:r>
    </w:p>
    <w:p>
      <w:pPr>
        <w:pStyle w:val="ManualHeading1"/>
        <w:rPr>
          <w:noProof/>
        </w:rPr>
      </w:pPr>
      <w:r>
        <w:rPr>
          <w:noProof/>
        </w:rPr>
        <w:t>2.</w:t>
      </w:r>
      <w:r>
        <w:rPr>
          <w:noProof/>
        </w:rPr>
        <w:tab/>
        <w:t>JOGALAP, SZUBSZIDIARITÁS ÉS ARÁNYOSSÁG</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Jogalap</w:t>
      </w:r>
    </w:p>
    <w:p>
      <w:pPr>
        <w:rPr>
          <w:noProof/>
        </w:rPr>
      </w:pPr>
      <w:r>
        <w:rPr>
          <w:noProof/>
        </w:rPr>
        <w:t>A javaslat az Európai Unió működéséről szóló szerződés 175. cikkén (harmadik bekezdés), valamint 197. cikkének (2) bekezdésén alapul.</w:t>
      </w:r>
    </w:p>
    <w:p>
      <w:pPr>
        <w:rPr>
          <w:noProof/>
        </w:rPr>
      </w:pPr>
      <w:r>
        <w:rPr>
          <w:noProof/>
        </w:rPr>
        <w:t>Az EUMSZ 175. cikke (harmadik bekezdés) úgy rendelkezik, hogy ha az alapokon kívül és az egyéb uniós politikák keretében elhatározott intézkedések sérelme nélkül egyedi fellépések bizonyulnak szükségesnek, akkor az ilyen fellépéseket az Európai Parlament és a Tanács a rendes jogalkotási eljárás keretében, a Gazdasági és Szociális Bizottsággal és a Régiók Bizottságával folytatott konzultációt követően fogadhatja el.</w:t>
      </w:r>
    </w:p>
    <w:p>
      <w:pPr>
        <w:tabs>
          <w:tab w:val="left" w:pos="0"/>
        </w:tabs>
        <w:rPr>
          <w:noProof/>
        </w:rPr>
      </w:pPr>
      <w:r>
        <w:rPr>
          <w:noProof/>
        </w:rPr>
        <w:t>Az EUMSZ 197. cikkének (2) bekezdés előírja, hogy az Unió – többek között az információk cseréjének megkönnyítése, valamint a képzési programok támogatása révén – támogathatja a tagállamok azon erőfeszítéseit, amelyek az uniós jog végrehajtásához szükséges közigazgatási kapacitásaik javítására irányulnak. Az ilyen támogatás igénybevételére egyik tagállam sem kötelezhető. Az e célból szükséges intézkedéseket rendes jogalkotási eljárás keretében eljárva az Európai Parlament és a Tanács állapítja meg, kizárva azonban a tagállamok törvényi, rendeleti vagy közigazgatási rendelkezéseinek bármilyen harmonizációját.</w:t>
      </w:r>
    </w:p>
    <w:p>
      <w:pPr>
        <w:rPr>
          <w:noProof/>
        </w:rPr>
      </w:pPr>
      <w:r>
        <w:rPr>
          <w:noProof/>
        </w:rPr>
        <w:t>A 175. cikk (harmadik bekezdés) és a 197. cikk (2) bekezdésének együttes alkalmazása átfogó megközelítést tesz lehetővé olyan uniós programok kialakítása tekintetében, amelyek támogatják a tagállamok nemzeti hatóságainak arra vonatkozó kapacitását és erőfeszítéseit, hogy növekedésösztönző reformokat valósítsanak meg és hajtsanak végre (intézményi – így többek között kormányzati vonatkozásokkal rendelkező – strukturális és/vagy igazgatási reformokat), hogy elősegítsék a fenntartható fejlődést és az innovációt, és ezzel összefüggésben eredményesebbé és hatékonyabb tegyék az uniós alapok felhasználását.</w:t>
      </w:r>
    </w:p>
    <w:p>
      <w:pPr>
        <w:rPr>
          <w:noProof/>
        </w:rPr>
      </w:pPr>
      <w:r>
        <w:rPr>
          <w:noProof/>
        </w:rPr>
        <w:t>Ugyanakkor a 121. cikk úgy rendelkezik, hogy a tagállamok gazdaságpolitikájának összehangolása közös érdekű ügy.</w:t>
      </w:r>
    </w:p>
    <w:p>
      <w:pPr>
        <w:rPr>
          <w:noProof/>
        </w:rPr>
      </w:pPr>
      <w:r>
        <w:rPr>
          <w:noProof/>
        </w:rPr>
        <w:t>A 175. és a 197. cikkre figyelemmel, e program döntő hozzájárulást nyújthat az alábbiakhoz: i. a tagállamok igazgatási kapacitásának erősítése az uniós jog hatékony végrehajtása tekintetében, a tagállamok nemzeti hatóságai közötti igazgatási együttműködés révén, valamint ii. az Unión belüli gazdasági, társadalmi és területi kohézió erősítése, az esb-alapok alapján hozott intézkedéseken kívül; ez a koordinált fellépés végső soron elősegíti iii. a tagállamok gazdaságpolitikái közötti jobb koordináció megvalósítását.</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Szubszidiaritás (nem kizárólagos hatáskör esetén)</w:t>
      </w:r>
    </w:p>
    <w:p>
      <w:pPr>
        <w:rPr>
          <w:noProof/>
        </w:rPr>
      </w:pPr>
      <w:r>
        <w:rPr>
          <w:noProof/>
        </w:rPr>
        <w:t>A javasolt intézkedéseknek a tervezett programból történő finanszírozása tiszteletben tartja az európai hozzáadott érték és a szubszidiaritás elveit. Az uniós költségvetésből származó finanszírozás azon tevékenységekre összpontosul, amelyek célkitűzéseit a tagállamok önmagukban nem tudják kellően megvalósítani („szükségesség vizsgálata”), így az Unió beavatkozása hozzáadott értéket képvisel ahhoz képest, mintha a tagállamok egyedül járnának el.</w:t>
      </w:r>
    </w:p>
    <w:p>
      <w:pPr>
        <w:rPr>
          <w:noProof/>
        </w:rPr>
      </w:pPr>
      <w:r>
        <w:rPr>
          <w:noProof/>
        </w:rPr>
        <w:t>Az Unió a tagállamokhoz viszonyítva jobb helyzetben van ahhoz, hogy azonosítsa, mozgósítsa és összehangolja az (akár az uniós intézmények szolgálatain belülről, akár más országoktól, illetve nemzetközi szervezetektől származó) elérhető legjobb szaktudást, és elősegítse a bevált gyakorlatok cseréjét (valamint biztosítsa azok következetes terjesztését az Unió egészében) a növekedésösztönző célzott reformok tagállami végrehajtásának támogatására.</w:t>
      </w:r>
    </w:p>
    <w:p>
      <w:pPr>
        <w:rPr>
          <w:noProof/>
        </w:rPr>
      </w:pPr>
      <w:r>
        <w:rPr>
          <w:noProof/>
        </w:rPr>
        <w:t>Ezenfelül a szakértelem Unió általi mozgósítása eredményesebb is lenne, mivel méret- és választékgazdaságosságot eredményezne azáltal, hogy uniós szintű platformot hoz létre a bevált gyakorlatok biztosítására és megosztására.</w:t>
      </w:r>
    </w:p>
    <w:p>
      <w:pPr>
        <w:rPr>
          <w:noProof/>
        </w:rPr>
      </w:pPr>
      <w:r>
        <w:rPr>
          <w:noProof/>
        </w:rPr>
        <w:t>E tekintetben a végrehajtandó intézkedéseket tagállami erőfeszítéseknek kell kísérniük, és ki kell egészíteni egyéb nemzeti, uniós és nemzetközi szintű programokkal és politikákkal; ez főként olyan támogató fellépések biztosításában ölt testet, amelyek a helyszínen (lehetőség szerint kirendelt szakértők révén) segítik a nemzeti hatóságok reform erőfeszítéseit a reformfolyamat különböző állomásaikor vagy szakaszaiban, különösen olyan beavatkozásokat célozva, amelyek még nem részesülnek támogatásban az uniós alapok más uniós programjai vagy nemzeti kezdeményezések keretébe illeszkedő támogatási intézkedésekből.</w:t>
      </w:r>
    </w:p>
    <w:p>
      <w:pPr>
        <w:rPr>
          <w:noProof/>
        </w:rPr>
      </w:pPr>
      <w:r>
        <w:rPr>
          <w:noProof/>
        </w:rPr>
        <w:t>A program keretében végrehajtott intézkedéseknek először is lehetővé kell tenniük olyan megoldások kidolgozását és végrehajtását, amelyek a nemzeti kihívások kezelése mellett határon átnyúló és uniós szintű hatást fejthetnek ki, valamint hozzájárulnak a bevált gyakorlatok megosztásához és elősegítik a rendelkezésre álló szakértők hálózatának kiépítését. Végül a program keretében végrehajtott intézkedések hozzájárulnak a kedvezményezett tagállamok és a Bizottság közötti kölcsönös bizalom további előmozdításához.</w:t>
      </w:r>
    </w:p>
    <w:p>
      <w:pPr>
        <w:rPr>
          <w:noProof/>
        </w:rPr>
      </w:pPr>
      <w:r>
        <w:rPr>
          <w:noProof/>
        </w:rPr>
        <w:t>A javasolt program a legalkalmasabb eszköz a növekedésösztönző reformokat végrehajtó tagállamok helyszíni támogatására, mivel az Unió jobb helyzetben van a tagállamoknál ahhoz, hogy azonosítsa, mozgósítsa és összehangolja a legjobb rendelkezésre álló szakértelmet, valamint hogy koordinált megközelítést biztosítson a segítséget igénylő tagállamok technikai támogatásához.</w:t>
      </w:r>
    </w:p>
    <w:p>
      <w:pPr>
        <w:pStyle w:val="ManualHeading2"/>
        <w:rPr>
          <w:rFonts w:eastAsia="Arial Unicode MS"/>
          <w:noProof/>
          <w:color w:val="000000"/>
          <w:u w:color="000000"/>
          <w:bdr w:val="nil"/>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Arányosság</w:t>
      </w:r>
    </w:p>
    <w:p>
      <w:pPr>
        <w:rPr>
          <w:noProof/>
        </w:rPr>
      </w:pPr>
      <w:r>
        <w:rPr>
          <w:noProof/>
        </w:rPr>
        <w:t>A javaslat megfelel az arányosság elvének, mivel az említett célkitűzés európai szintű megvalósításához szükséges minimumra szorítkozik, és nem lépi túl az ehhez szükséges mértéket. A tagállamoknak nyújtandó segítség maguktól a tagállamoktól érkező, támogatás iránti kérelmen alapul. A támogatás alkalmazási körét a Bizottság és az érintett tagállam közötti kölcsönös megállapodással állapítják meg.</w:t>
      </w:r>
    </w:p>
    <w:p>
      <w:pPr>
        <w:rPr>
          <w:noProof/>
        </w:rPr>
      </w:pPr>
    </w:p>
    <w:p>
      <w:pPr>
        <w:pStyle w:val="ManualHeading1"/>
        <w:rPr>
          <w:noProof/>
        </w:rPr>
      </w:pPr>
      <w:r>
        <w:rPr>
          <w:noProof/>
        </w:rPr>
        <w:t>3.</w:t>
      </w:r>
      <w:r>
        <w:rPr>
          <w:noProof/>
        </w:rPr>
        <w:tab/>
        <w:t>A GÖRÖGORSZÁGGAL FOGLALKOZÓ MUNKACSOPORT TEVÉKENYSÉGÉNEK EREDMÉNYEI, A JAVASOLT PROGRAM ELŐZETES ÉRTÉKELÉSE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Görögországgal foglalkozó munkacsoport értékelése</w:t>
      </w:r>
    </w:p>
    <w:p>
      <w:pPr>
        <w:rPr>
          <w:noProof/>
        </w:rPr>
      </w:pPr>
      <w:r>
        <w:rPr>
          <w:noProof/>
        </w:rPr>
        <w:t>Egy független tanácsadó cég 2014. júliusban</w:t>
      </w:r>
      <w:r>
        <w:rPr>
          <w:rStyle w:val="FootnoteReference"/>
          <w:noProof/>
        </w:rPr>
        <w:footnoteReference w:id="10"/>
      </w:r>
      <w:r>
        <w:rPr>
          <w:noProof/>
        </w:rPr>
        <w:t xml:space="preserve"> elvégezte azon technikai támogatás értékelését, amelyet a Bizottság szolgálatai (a Görögországgal foglalkozó munkacsoport koordinálásával) nyújtottak Görögországnak a gazdasági kiigazítási program végrehajtásának támogatása céljából. Ez az értékelés a nemzeti hatóságoknak nyújtott technikai segítségnyújtást vizsgálta két kulcsterületen – vagyis az adóigazgatás és a központi igazgatás terén – több mint negyven interjú alapján, amelyeket a technikai segítséget nyújtó és az abban részesülő legfontosabb szereplőkkel készítettek, beleértve Görögország, más részt vevő tagállamok és nemzetközi szervezetek politikai vezetését, felsővezetőit, középvezetőit és beosztottait.</w:t>
      </w:r>
    </w:p>
    <w:p>
      <w:pPr>
        <w:rPr>
          <w:noProof/>
        </w:rPr>
      </w:pPr>
      <w:r>
        <w:rPr>
          <w:noProof/>
        </w:rPr>
        <w:t>Ez az értékelés összességében véve arra a következtetésre jutott, hogy a Görögországgal foglalkozó munkacsoport által nyújtott és koordinált technikai segítségnyújtás hozzájárult az adóigazgatás és a központi igazgatás terén zajló görögországi reformprogram végrehajtásához a 2011–2013 közötti időszakban. Ez a következtetés a segítségnyújtás eredményességének, hatékonyságának, relevanciájának és fenntarthatóságának értékelésén alapult, és a következtetést a legtöbb érdekelt fél válasza is megerősítette, akik azt közölték, hogy a Görögországgal foglalkozó munkacsoport által nyújtott segítség hiányában a vállalt reformok végrehajtása nem valósult volna meg.</w:t>
      </w:r>
    </w:p>
    <w:p>
      <w:pPr>
        <w:rPr>
          <w:noProof/>
        </w:rPr>
      </w:pPr>
      <w:r>
        <w:rPr>
          <w:noProof/>
        </w:rPr>
        <w:t>A jövőbeni technikai segítségnyújtás tekintetében a jelentés az alábbiakat állapította meg: „</w:t>
      </w:r>
      <w:r>
        <w:rPr>
          <w:i/>
          <w:noProof/>
        </w:rPr>
        <w:t>Nem csupán akkor kell technikai segítséget nyújtani, ha egy uniós ország válságban van. Ennek szokásos tevékenységnek kell lennie az Unión belül. Az Európai Bizottság együttműködhet a tagállamokkal olyan, külön költségvetéssel rendelkező állandó szervezet létrehozásában, amely lehetővé teszi a tagállamok közötti együttműködést és a szakértelem cseréjét, valamint összehangolja a technikai segítségnyújtást a tagállamok számára, hogy azok megoszthassák és elfogadhassák a bevált gyakorlatot. A kapott visszajelzésekben kiemelték a bevált gyakorlat megosztásának fontosságát, nem csupán az elképzelések, hanem az elképzelések végrehajtása tekintetében is.</w:t>
      </w:r>
      <w:r>
        <w:rPr>
          <w:noProof/>
        </w:rPr>
        <w:t>”</w:t>
      </w:r>
    </w:p>
    <w:p>
      <w:pPr>
        <w:autoSpaceDE w:val="0"/>
        <w:spacing w:before="0" w:after="0"/>
        <w:rPr>
          <w:noProof/>
        </w:rPr>
      </w:pPr>
      <w:r>
        <w:rPr>
          <w:noProof/>
        </w:rPr>
        <w:t>Ezzel összefüggésben a javasolt program lehetővé teszi a technikai segítségnyújtás fokozását, valamint arra törekszik, hogy az Unió konkrét együttműködést folytathasson a tagállamok nemzeti hatóságaival és helyszíni technikai támogatást nyújthasson az erőfeszítéseikhez a növekedésösztönző strukturális reformok kialakítása és végrehajtása során, azon országok körén túl is, amelyek a gazdasági kiigazítási program alapján uniós pénzügyi támogatásban részesülnek.</w:t>
      </w:r>
    </w:p>
    <w:p>
      <w:pPr>
        <w:autoSpaceDE w:val="0"/>
        <w:spacing w:before="0" w:after="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strukturálisreform-támogató program előzetes értékelése</w:t>
      </w:r>
    </w:p>
    <w:p>
      <w:pPr>
        <w:rPr>
          <w:noProof/>
        </w:rPr>
      </w:pPr>
      <w:r>
        <w:rPr>
          <w:noProof/>
        </w:rPr>
        <w:t>A Bizottság szolgálatai 2015 második félévében elvégezték a javasolt program előzetes értékelését</w:t>
      </w:r>
      <w:r>
        <w:rPr>
          <w:rStyle w:val="FootnoteReference"/>
          <w:noProof/>
        </w:rPr>
        <w:footnoteReference w:id="11"/>
      </w:r>
      <w:r>
        <w:rPr>
          <w:noProof/>
        </w:rPr>
        <w:t>.</w:t>
      </w:r>
    </w:p>
    <w:p>
      <w:pPr>
        <w:spacing w:before="0" w:after="0"/>
        <w:rPr>
          <w:rFonts w:eastAsia="Calibri"/>
          <w:noProof/>
          <w:szCs w:val="24"/>
        </w:rPr>
      </w:pPr>
      <w:r>
        <w:rPr>
          <w:noProof/>
        </w:rPr>
        <w:t>Az előzetes értékelés támogatja a strukturálisreform-támogató program 2017–2020-as időszakra vonatkozó létrehozásáról szóló európai parlamenti és tanácsi rendeletre irányuló bizottsági javaslatot. Az előzetes értékelés a 966/2012/EU, Euratom rendelet (az Unió általános költségvetésére alkalmazandó pénzügyi szabályokról szóló rendelet) 30. cikkének (4) bekezdésében foglalt követelményeket vizsgálja.</w:t>
      </w:r>
    </w:p>
    <w:p>
      <w:pPr>
        <w:spacing w:before="0" w:after="0"/>
        <w:rPr>
          <w:rFonts w:eastAsia="Calibri"/>
          <w:noProof/>
          <w:szCs w:val="24"/>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Szakértői vélemények összegyűjtése és felhasználása</w:t>
      </w:r>
    </w:p>
    <w:p>
      <w:pPr>
        <w:pBdr>
          <w:top w:val="nil"/>
          <w:left w:val="nil"/>
          <w:bottom w:val="nil"/>
          <w:right w:val="nil"/>
          <w:between w:val="nil"/>
          <w:bar w:val="nil"/>
        </w:pBdr>
        <w:spacing w:before="0" w:after="0"/>
        <w:rPr>
          <w:rFonts w:eastAsia="Arial Unicode MS"/>
          <w:noProof/>
        </w:rPr>
      </w:pPr>
      <w:r>
        <w:rPr>
          <w:noProof/>
        </w:rPr>
        <w:t>Az e javaslatot alátámasztó külső szakértői anyagként használtuk fel a Görögországgal foglalkozó munkacsoport által az adóigazgatás és a központi igazgatás reformja terén nyújtott technikai segítség értékelését. Továbbá figyelembe vettük az azon tagállamoktól érkezett visszajelzéseket, amelyek részt vettek a Görögországnak és Ciprusnak történő technikai segítségnyújtásban.</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szakpolitikai lehetőségek értékelése</w:t>
      </w:r>
    </w:p>
    <w:p>
      <w:pPr>
        <w:pBdr>
          <w:top w:val="nil"/>
          <w:left w:val="nil"/>
          <w:bottom w:val="nil"/>
          <w:right w:val="nil"/>
          <w:between w:val="nil"/>
          <w:bar w:val="nil"/>
        </w:pBdr>
        <w:spacing w:before="0" w:after="240"/>
        <w:rPr>
          <w:rFonts w:eastAsia="Arial Unicode MS"/>
          <w:noProof/>
        </w:rPr>
      </w:pPr>
      <w:r>
        <w:rPr>
          <w:noProof/>
        </w:rPr>
        <w:t>A Bizottság az e javaslatot kísérő előzetes értékelésben az alábbi két szakpolitikai lehetőséget vizsgálta meg: alapforgatókönyv, amely a jelenlegi helyzet változatlanságát irányozza elő, valamint egy második lehetőség, amely célzott finanszírozási programot vezetne be.</w:t>
      </w:r>
    </w:p>
    <w:p>
      <w:pPr>
        <w:pBdr>
          <w:top w:val="nil"/>
          <w:left w:val="nil"/>
          <w:bottom w:val="nil"/>
          <w:right w:val="nil"/>
          <w:between w:val="nil"/>
          <w:bar w:val="nil"/>
        </w:pBdr>
        <w:spacing w:before="0" w:after="240"/>
        <w:rPr>
          <w:noProof/>
          <w:szCs w:val="24"/>
        </w:rPr>
      </w:pPr>
      <w:r>
        <w:rPr>
          <w:noProof/>
        </w:rPr>
        <w:t>Az alapforgatókönyv szerint a technikai támogatást továbbra is az alábbiak keretében nyújtanák: a) konkrét szakpolitikai területekre vonatkozó, a többéves pénzügyi keretbe illeszkedő (minden tagállam számára nyitott) uniós pénzügyi programok révén; valamint b) az uniós pénzügyi segítségnyújtásban részesülő tagállamok (ez a helyzet jelenleg Görögország és Ciprus esetében) gazdasági kiigazítási programja keretében zajló reformok végrehajtásához kapcsolódó „kiterjedt” technikai támogatás révén (vagyis az adott ország igényeihez igazított támogatás révén, amely több közpolitikai területen ível át, és amelyet átfogó módon, az ország átfogó jövőképéhez illeszkedve nyújtanak).</w:t>
      </w:r>
    </w:p>
    <w:p>
      <w:pPr>
        <w:pBdr>
          <w:top w:val="nil"/>
          <w:left w:val="nil"/>
          <w:bottom w:val="nil"/>
          <w:right w:val="nil"/>
          <w:between w:val="nil"/>
          <w:bar w:val="nil"/>
        </w:pBdr>
        <w:spacing w:before="0" w:after="240"/>
        <w:rPr>
          <w:noProof/>
        </w:rPr>
      </w:pPr>
      <w:r>
        <w:rPr>
          <w:noProof/>
        </w:rPr>
        <w:t>Ezt a támogatást a megfelelő uniós program célkitűzései alapján nyújtanák, valamint – a kiterjedt technikai támogatás tekintetében – az 1303/2013/EU rendelet pénzügyi nehézségekkel küzdő tagállamokra vonatkozó konkrét rendelkezésének céljai alapján</w:t>
      </w:r>
      <w:r>
        <w:rPr>
          <w:rStyle w:val="FootnoteReference"/>
          <w:noProof/>
        </w:rPr>
        <w:footnoteReference w:id="12"/>
      </w:r>
      <w:r>
        <w:rPr>
          <w:noProof/>
        </w:rPr>
        <w:t>.</w:t>
      </w:r>
    </w:p>
    <w:p>
      <w:pPr>
        <w:pBdr>
          <w:top w:val="nil"/>
          <w:left w:val="nil"/>
          <w:bottom w:val="nil"/>
          <w:right w:val="nil"/>
          <w:between w:val="nil"/>
          <w:bar w:val="nil"/>
        </w:pBdr>
        <w:spacing w:before="0" w:after="240"/>
        <w:rPr>
          <w:noProof/>
          <w:szCs w:val="24"/>
        </w:rPr>
      </w:pPr>
      <w:r>
        <w:rPr>
          <w:noProof/>
        </w:rPr>
        <w:t>A második szakpolitikai lehetőség szerint célzott finanszírozási program keretében létrehozzák a strukturálisreform-támogató programot, és a tagállamoktól érkező kérelem alapján technikai támogatást nyújtanak, hogy potenciálisan az összes tagállamot segítsék a gazdasági kormányzat folyamatainak keretében zajló – különösen az országspecifikus ajánlásokból és az uniós jog végrehajtásával összefüggő intézkedésekből eredő – növekedésösztönző reformok végrehajtásának támogatása érdekében, valamint hogy segítséget nyújtsanak a tagállamoknak a saját kezdeményezésre, különösen a fenntartható beruházások, a növekedés és a munkahelyteremtés megvalósítása céljából vállalt reformok végrehajtásában. A program emellett lehetővé tenné a folyamatos segítségnyújtást a gazdasági kiigazítási programhoz kötött uniós pénzügyi támogatásban részesülő tagállamok számára.</w:t>
      </w:r>
    </w:p>
    <w:p>
      <w:pPr>
        <w:pBdr>
          <w:top w:val="nil"/>
          <w:left w:val="nil"/>
          <w:bottom w:val="nil"/>
          <w:right w:val="nil"/>
          <w:between w:val="nil"/>
          <w:bar w:val="nil"/>
        </w:pBdr>
        <w:spacing w:before="0" w:after="0"/>
        <w:rPr>
          <w:rFonts w:eastAsia="Arial Unicode MS"/>
          <w:noProof/>
        </w:rPr>
      </w:pPr>
      <w:r>
        <w:rPr>
          <w:noProof/>
        </w:rPr>
        <w:t>Az előzetes értékelés alapján a második forgatókönyv a legcélravezetőbb szakpolitikai választás, mivel lehetővé teszi, hogy szervezett és szisztematikus támogatást nyújtsanak az összes tagállamnak.</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Célravezető szabályozás és egyszerűsítés</w:t>
      </w:r>
    </w:p>
    <w:p>
      <w:pPr>
        <w:pBdr>
          <w:top w:val="nil"/>
          <w:left w:val="nil"/>
          <w:bottom w:val="nil"/>
          <w:right w:val="nil"/>
          <w:between w:val="nil"/>
          <w:bar w:val="nil"/>
        </w:pBdr>
        <w:spacing w:before="0" w:after="0"/>
        <w:rPr>
          <w:noProof/>
        </w:rPr>
      </w:pPr>
      <w:r>
        <w:rPr>
          <w:noProof/>
        </w:rPr>
        <w:t>A javaslat nem kapcsolódik a célravezető szabályozásra és a szabályozás egyszerűsítésre irányuló tevékenységhez, és nem jelent megfelelési költségeket a kkv-k és az egyéb érdekeltek számára.</w:t>
      </w:r>
    </w:p>
    <w:p>
      <w:pPr>
        <w:pBdr>
          <w:top w:val="nil"/>
          <w:left w:val="nil"/>
          <w:bottom w:val="nil"/>
          <w:right w:val="nil"/>
          <w:between w:val="nil"/>
          <w:bar w:val="nil"/>
        </w:pBdr>
        <w:spacing w:before="0" w:after="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Alapvető jogok</w:t>
      </w:r>
    </w:p>
    <w:p>
      <w:pPr>
        <w:pBdr>
          <w:top w:val="nil"/>
          <w:left w:val="nil"/>
          <w:bottom w:val="nil"/>
          <w:right w:val="nil"/>
          <w:between w:val="nil"/>
          <w:bar w:val="nil"/>
        </w:pBdr>
        <w:rPr>
          <w:rFonts w:eastAsia="Arial Unicode MS"/>
          <w:noProof/>
        </w:rPr>
      </w:pPr>
      <w:r>
        <w:rPr>
          <w:noProof/>
        </w:rPr>
        <w:t>A javaslat kedvező hatást gyakorolhat az uniós alapvető jogok megőrzésére és fejlesztésére, feltéve, hogy a tagállamok igénylik és megkapják a segítségnyújtást a vonatkozó területeken. A technikai segítségnyújtás például olyan területeken nyújthat támogatást, mint a migráció, a munkaerőpiac és a társadalombiztosítás, az egészségügyi ellátás, az oktatás, a környezet, a tulajdonjog, a közigazgatás, az igazságszolgáltatási rendszer pedig támogathatja az uniós alapvető jogokat, például a méltóságot, a szabadságot, az egyenlőséget, a szolidaritást, a polgári jogokat és az igazságszolgáltatást.</w:t>
      </w:r>
    </w:p>
    <w:p>
      <w:pPr>
        <w:pBdr>
          <w:top w:val="nil"/>
          <w:left w:val="nil"/>
          <w:bottom w:val="nil"/>
          <w:right w:val="nil"/>
          <w:between w:val="nil"/>
          <w:bar w:val="nil"/>
        </w:pBdr>
        <w:rPr>
          <w:rFonts w:eastAsia="Arial Unicode MS"/>
          <w:noProof/>
        </w:rPr>
      </w:pPr>
    </w:p>
    <w:p>
      <w:pPr>
        <w:pStyle w:val="ManualHeading1"/>
        <w:rPr>
          <w:noProof/>
        </w:rPr>
      </w:pPr>
      <w:r>
        <w:rPr>
          <w:noProof/>
        </w:rPr>
        <w:t>4.</w:t>
      </w:r>
      <w:r>
        <w:rPr>
          <w:noProof/>
        </w:rPr>
        <w:tab/>
        <w:t>KÖLTSÉGVETÉSI VONZATOK</w:t>
      </w:r>
    </w:p>
    <w:p>
      <w:pPr>
        <w:rPr>
          <w:noProof/>
        </w:rPr>
      </w:pPr>
      <w:r>
        <w:rPr>
          <w:noProof/>
        </w:rPr>
        <w:t>A strukturálisreform-támogató program 2017. január 1. és 2020. december 31. közötti végrehajtásának pénzügyi keretösszege legfeljebb 142 800 000 EUR (folyó árakon) a 4 éves időszakra. A megfelelő magyarázatok a pénzügyi kimutatásban szerepelnek.</w:t>
      </w:r>
    </w:p>
    <w:p>
      <w:pPr>
        <w:rPr>
          <w:noProof/>
        </w:rPr>
      </w:pPr>
    </w:p>
    <w:p>
      <w:pPr>
        <w:pStyle w:val="ManualHeading1"/>
        <w:rPr>
          <w:noProof/>
        </w:rPr>
      </w:pPr>
      <w:r>
        <w:rPr>
          <w:noProof/>
        </w:rPr>
        <w:t>5.</w:t>
      </w:r>
      <w:r>
        <w:rPr>
          <w:noProof/>
        </w:rPr>
        <w:tab/>
        <w:t>EGYÉB ELEMEK</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Végrehajtási tervek, valamint a nyomon követés, az értékelés és a jelentéstétel szabályai</w:t>
      </w:r>
    </w:p>
    <w:p>
      <w:pPr>
        <w:rPr>
          <w:rFonts w:eastAsia="Calibri"/>
          <w:noProof/>
        </w:rPr>
      </w:pPr>
      <w:r>
        <w:rPr>
          <w:noProof/>
        </w:rPr>
        <w:t>A program konkrét célkitűzéseinek megvalósítását a technikai támogatási tevékenységekhez kapcsolódó több mutató alapján fogják nyomon követni és értékelni</w:t>
      </w:r>
      <w:r>
        <w:rPr>
          <w:rStyle w:val="FootnoteReference"/>
          <w:noProof/>
        </w:rPr>
        <w:footnoteReference w:id="13"/>
      </w:r>
      <w:r>
        <w:rPr>
          <w:noProof/>
        </w:rPr>
        <w:t>. Ezek az alábbiak: a támogatásban részesülő nemzeti hatóságok száma és típusa, a támogatásnyújtók száma és típusa, a végrehajtott támogatható fellépések száma és típusa (pl. szakértők, képzések, szemináriumok biztosítása stb.) a szakpolitikai kezdeményezések száma (pl. cselekvési tervek, ütemtervek, iránymutatások, ajánlások, ajánlott vagy elfogadott jogszabályok). Az említett kvantitatív információkat az országspecifikus ajánlások, az uniós jog végrehajtásával kapcsolatos intézkedések, a gazdasági kiigazítási programok vagy a tagállam saját kezdeményezésű reformjai tekintetében fogják összegyűjteni. A várható eredményekre vonatkozó mutatók a program keretében biztosított támogató intézkedések eredményeként a kedvezményezett tagállamok által meghozott, vonatkozó intézkedésekből származnak; ezeket az információkat szintén az országspecifikus ajánlások, az uniós jog végrehajtásával kapcsolatos intézkedések, a gazdasági kiigazítási programok, illetve a tagállam saját kezdeményezésű reformjai szerinti bontásban közlik. Ezenfelül a várható eredményekre vonatkozó kvalitatív jelzésként szolgálnak a támogatásban részesülő nemzeti hatóságoktól származó, illetve a támogatásnyújtóktól eredő visszajelzések a támogatás szakpolitikai területek és érintett tagállamok szerinti hatásáról és/vagy eredményéről. Továbbá alapvető mutató lesz az érdekeltek véleményének alakulása is arról, hogy a program mennyiben járul hozzá a reformok megvalósításához. Megfelelő kvantitatív és empirikus adatokat is felhasználnak majd értékelési célokra, amennyiben ezek rendelkezésre állnak.</w:t>
      </w:r>
    </w:p>
    <w:p>
      <w:pPr>
        <w:spacing w:before="0" w:after="0"/>
        <w:rPr>
          <w:rFonts w:eastAsia="Calibri"/>
          <w:noProof/>
        </w:rPr>
      </w:pPr>
      <w:r>
        <w:rPr>
          <w:noProof/>
        </w:rPr>
        <w:t>A fenti mutatókat a rendelkezésre álló adatoknak és információknak megfelelően lehet felhasználni, és a Bizottság – a rá ruházott, felhatalmazáson alapuló jogkör alapján – adott esetben kiigazíthatná azokat a program folyamán.</w:t>
      </w:r>
    </w:p>
    <w:p>
      <w:pPr>
        <w:spacing w:before="0" w:after="0"/>
        <w:rPr>
          <w:rFonts w:eastAsia="Calibri"/>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 javaslat egyes rendelkezéseinek részletes magyarázata</w:t>
      </w:r>
    </w:p>
    <w:p>
      <w:pPr>
        <w:autoSpaceDE w:val="0"/>
        <w:rPr>
          <w:rFonts w:eastAsia="Calibri"/>
          <w:noProof/>
        </w:rPr>
      </w:pPr>
      <w:r>
        <w:rPr>
          <w:noProof/>
        </w:rPr>
        <w:t>A program általános célkitűzése a tagállami reformok elősegítése azáltal, hogy támogatást nyújt a nemzeti hatóságoknak a gazdasági és társadalmi kihívásokra reagáló, az intézményi, kormányzati, igazgatási, gazdasági és társadalmi reformokra irányuló intézkedések tekintetében, amelyek célja a versenyképesség, a növekedés, a munkahelyteremtés és a beruházások erősítése, többek között az uniós alapok hatékony és eredményes felhasználásának elősegítése révén, elsősorban a gazdasági kormányzási folyamatok keretében (4. cikk).</w:t>
      </w:r>
    </w:p>
    <w:p>
      <w:pPr>
        <w:autoSpaceDE w:val="0"/>
        <w:rPr>
          <w:noProof/>
        </w:rPr>
      </w:pPr>
      <w:r>
        <w:rPr>
          <w:noProof/>
        </w:rPr>
        <w:t>A program konkrét célkitűzései a következők: a nemzeti hatóságok azon kezdeményezéseinek támogatása, hogy a prioritásoknak megfelelően alakítsák ki a reformjaikat, erősítsék a reformpolitikák és stratégiák megfogalmazását, kidolgozását és végrehajtását, valamint olyan integrált megközelítést alkalmazzanak, amely szektorokon átívelő következetességet biztosít a célok és az eszközök között, továbbá segítségnyújtás a megfelelő eljárások és módszerek meghatározására és végrehajtására irányuló tagállami erőfeszítésekhez, és a tagállamok segítése emberierőforrás-menedzsmentjük hatékonyságának és eredményességének erősítése céljából. A fentiekben említett támogatás konkrét szakpolitikai területekre vonatkozik, például a következőkre: államháztartási gazdálkodás, költségvetési folyamat, adósságkezelés és adóigazgatás, intézményi reform és a közigazgatás hatékony és szolgáltatásorientált működése, hatékony jogállamiság, az igazságügyi rendszer reformja, valamint a csalás, a korrupció és a pénzmosás elleni küzdelem megerősítése, az üzleti környezet és a magánszektor fejlesztése, finanszírozási eszközökhöz való hozzáférés, beruházások, pénzügyi ágazatbeli politikák, privatizációs folyamatok, kereskedelem és közvetlen külföldi befektetések, verseny, közbeszerzés, fenntartható ágazati fejlesztés és az innováció támogatása, oktatás és képzés, munkaerő-piaci politikák, társadalmi befogadás, szociális biztonság és szociális jóléti rendszerek, közegészségügy és egészségügyi rendszerek, menekültügyi, migrációs és határellenőrzési politikák, valamint a mezőgazdasági ágazatra és a vidéki területek fenntartható fejlődésére vonatkozó politikák (5. cikk).</w:t>
      </w:r>
    </w:p>
    <w:p>
      <w:pPr>
        <w:autoSpaceDE w:val="0"/>
        <w:rPr>
          <w:noProof/>
        </w:rPr>
      </w:pPr>
      <w:r>
        <w:rPr>
          <w:noProof/>
        </w:rPr>
        <w:t>A program keretében finanszírozott fellépések típusai közé tartoznak többek között a szemináriumok, konferenciák és munkaértekezletek, munkalátogatások, tanulmányok, kutatás, elemezések és felmérések, értékelések és hatásvizsgálatok, projekt-előkészítés, végrehajtás és értékelés, IT kapacitásépítés, szakpolitikai tanácsadással kapcsolatos szakértelem, szakpolitikai változtatás, jogalkotási, intézményi, strukturális és/vagy igazgatási reformok, valamint (helyi) szakértők biztosítása, a helyszíni operatív támogatás megszervezése olyan területeken, mint a menekültügy, a migráció és a határellenőrzés (6. cikk). Az említett fellépések a reformfolyamat különböző szakaszaira vonatkozhatnak.</w:t>
      </w:r>
    </w:p>
    <w:p>
      <w:pPr>
        <w:autoSpaceDE w:val="0"/>
        <w:rPr>
          <w:noProof/>
        </w:rPr>
      </w:pPr>
      <w:r>
        <w:rPr>
          <w:noProof/>
        </w:rPr>
        <w:t>A Bizottság és az érintett tagállamok gondoskodnak az e program keretében végrehajtott fellépések, valamint az érintett tagállamokban más uniós eszközök alapján végrehajtott intézkedések, különösen az uniós alapokból finanszírozott intézkedések közötti következetességről, kiegészítő jellegről és szinergiáról (13. cikk); ugyanazon kiadások kettős finanszírozását el fogják kerülni (11. cikk).</w:t>
      </w:r>
    </w:p>
    <w:p>
      <w:pPr>
        <w:autoSpaceDE w:val="0"/>
        <w:rPr>
          <w:noProof/>
        </w:rPr>
      </w:pPr>
      <w:r>
        <w:rPr>
          <w:noProof/>
        </w:rPr>
        <w:t>Az e program szerinti támogatás iránti kérelmet az ilyen támogatásban részesülni kívánó tagállamnak kell benyújtania. A kérelmet az európai szemeszter keretében lehet benyújtani minden esetben az adott naptári év október 31-ig. A támogatás iránti kérelem az alábbi három körülményre vonatkozhat: a) a gazdasági kormányzási folyamatok, különösen az európai szemeszter keretében kibocsátott vonatkozó országspecifikus ajánlások vagy az uniós joggal kapcsolatos egyéb intézkedések végrehajtása keretében tett reformok megvalósítása; b) a meglévő eszközök alapján uniós pénzügyi támogatásban részesülő tagállamok gazdasági kiigazítási programjaival összefüggő reformok végrehajtása; valamint c) a tagállamok saját kezdeményezésre vállalt, különösen a fenntartható beruházásokra, a növekedésre és a munkahelyteremtésre irányuló reformok végrehajtása.</w:t>
      </w:r>
    </w:p>
    <w:p>
      <w:pPr>
        <w:autoSpaceDE w:val="0"/>
        <w:rPr>
          <w:noProof/>
        </w:rPr>
      </w:pPr>
      <w:r>
        <w:rPr>
          <w:noProof/>
        </w:rPr>
        <w:t>A feltárt problémák sürgőssége, kiterjedtsége és mélysége, a szakpolitikai területenkénti támogatási igény, valamint a társadalmi-gazdasági mutatók elemzése és a tagállam általános igazgatási kapacitása alapján a Bizottság elemzi a tagállam támogatás iránti kérelmét, szem előtt tartva az átláthatóság, az egyenlő bánásmód és a hatékony és eredményes pénzgazdálkodás elveit. A fentiek alapján, valamint figyelembe véve az uniós alapokból vagy más uniós programokból finanszírozott meglévő fellépéseket és intézkedéseket, a Bizottság az érintett tagállamokkal szorosan együttműködve meghatározza a nyújtandó támogatás kiemelt területeit és alkalmazási körét, és a globális pénzügyi hozzájárulást.</w:t>
      </w:r>
    </w:p>
    <w:p>
      <w:pPr>
        <w:autoSpaceDE w:val="0"/>
        <w:rPr>
          <w:noProof/>
        </w:rPr>
      </w:pPr>
      <w:r>
        <w:rPr>
          <w:noProof/>
        </w:rPr>
        <w:t>E rendelet végrehajtása során a Bizottság többéves munkaprogramokat hoz létre, amelyek meghatározzák a tervezett támogatás révén megvalósítandó szakpolitikai célokat és a várható eredményeket, valamint az érintett szakpolitikai területek finanszírozási prioritásait. A többéves munkaprogramok további részleteit az éves végrehajtási munkaprogramok határozzák meg végrehajtási határozatok útján (12. cikk).</w:t>
      </w:r>
    </w:p>
    <w:p>
      <w:pPr>
        <w:autoSpaceDE w:val="0"/>
        <w:rPr>
          <w:noProof/>
        </w:rPr>
      </w:pPr>
      <w:r>
        <w:rPr>
          <w:noProof/>
        </w:rPr>
        <w:t>A program végrehajtására biztosított pénzügyi keretösszeg legfeljebb 142 800 000 EUR (9. cikk). Ezt az összeget az 1303/2013/EU és az 1305/2013/EU rendelet alapján, a Bizottság kezdeményezésére létrehozott technikai segítségnyújtási forrásokból bocsátják rendelkezésre, és megfelelően elkülönítik a program alkalmazási körének és céljának keretei közötti felhasználásra. E célból a Bizottság javasolja az 1303/2013/EU rendelet 91. cikke (3) bekezdésének, valamint az 1305/2013/EU rendelet 51. cikke (1) bekezdésének módosítását (17., 18. cikk).</w:t>
      </w:r>
    </w:p>
    <w:p>
      <w:pPr>
        <w:autoSpaceDE w:val="0"/>
        <w:rPr>
          <w:noProof/>
        </w:rPr>
      </w:pPr>
      <w:r>
        <w:rPr>
          <w:noProof/>
        </w:rPr>
        <w:t>Ezenfelül a program további pénzügyi forrásokat is kaphat a tagállami kezdeményezésre létrejött, technikai segítségnyújtásra vonatkozó pénzügyi forrásokból származó önkéntes juttatásokból. A Bizottság ezért javasolja az 1303/2013/EU rendelet 25. cikkének módosítását annak érdekében, hogy minden tagállam (és ne csupán – a jelenlegi helyzetnek megfelelően – az ideiglenes pénzügyi nehézségekkel küzdő tagállamok) számára lehetővé tegyék, hogy hozzájáruljanak a program pénzügyi keretösszegéhez az 1303/2013/EU rendelet 59. cikke alapján rendelkezésre álló, a tagállamok kezdeményezésére létrejött technikai segítségnyújtási források egy részének átcsoportosítása révén (17. cikk). Az említett további finanszírozási források olyan fellépések támogatására használhatók fel, amelyek elősegítik az Unió intelligens, fenntartható és inkluzív növekedési stratégiájának kizárólag a kedvezményezett tagállamokban történő megvalósítását (10.cikk).</w:t>
      </w:r>
    </w:p>
    <w:p>
      <w:pPr>
        <w:autoSpaceDE w:val="0"/>
        <w:rPr>
          <w:noProof/>
        </w:rPr>
        <w:sectPr>
          <w:footerReference w:type="default" r:id="rId11"/>
          <w:footerReference w:type="first" r:id="rId12"/>
          <w:pgSz w:w="11907" w:h="16840" w:code="9"/>
          <w:pgMar w:top="1134" w:right="1418" w:bottom="1134" w:left="1418" w:header="709" w:footer="709" w:gutter="0"/>
          <w:cols w:space="708"/>
          <w:docGrid w:linePitch="360"/>
        </w:sectPr>
      </w:pPr>
    </w:p>
    <w:p>
      <w:pPr>
        <w:pStyle w:val="Rfrenceinterinstitutionnelle"/>
        <w:rPr>
          <w:noProof/>
        </w:rPr>
      </w:pPr>
      <w:r>
        <w:rPr>
          <w:noProof/>
        </w:rPr>
        <w:t>2015/0263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strukturálisreform-támogató program 2017–2020-as időszakra vonatkozó létrehozásáról, valamint az 1303/2013/EU és az 1305/2013/EU rendelet módosításáról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különösen annak 175. cikke harmadik bekezdésére és 197. cikke (2)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p>
    <w:p>
      <w:pPr>
        <w:rPr>
          <w:noProof/>
        </w:rPr>
      </w:pPr>
      <w:r>
        <w:rPr>
          <w:noProof/>
        </w:rPr>
        <w:t>tekintettel a Régiók Bizottságának véleményére,</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Az Európai Unió működéséről szóló szerződés 9. cikke szerint szakpolitikái és tevékenységei meghatározása és végrehajtása során az Unió figyelembe veszi a foglalkoztatás magas szintjének előmozdítására, a megfelelő szociális biztonság biztosítására, a társadalmi kirekesztés elleni küzdelemre, valamint az oktatás, a képzés és az emberi egészség védelmének magas szintjére vonatkozó követelményeket. Ezenfelül az Európai Unió működéséről szóló szerződés 11. cikke előírja, hogy a környezetvédelmi követelményeket — különösen a fenntartható fejlődés előmozdítására tekintettel — be kell illeszteni az uniós politikákba.</w:t>
      </w:r>
    </w:p>
    <w:p>
      <w:pPr>
        <w:pStyle w:val="ManualConsidrant"/>
        <w:rPr>
          <w:noProof/>
        </w:rPr>
      </w:pPr>
      <w:r>
        <w:t>(2)</w:t>
      </w:r>
      <w:r>
        <w:tab/>
      </w:r>
      <w:r>
        <w:rPr>
          <w:noProof/>
        </w:rPr>
        <w:t>Az Európai Unió működéséről szóló szerződés 120. és 121. cikke úgy rendelkezik, hogy a tagállamok azzal a szándékkal folytatják gazdaságpolitikájukat, hogy a Tanács által megfogalmazott átfogó iránymutatások szerint hozzájáruljanak az Unió célkitűzéseinek megvalósításához. Ily módon a tagállamok gazdaságpolitikájának összehangolása közös érdekű ügy.</w:t>
      </w:r>
    </w:p>
    <w:p>
      <w:pPr>
        <w:pStyle w:val="ManualConsidrant"/>
        <w:rPr>
          <w:noProof/>
        </w:rPr>
      </w:pPr>
      <w:r>
        <w:t>(3)</w:t>
      </w:r>
      <w:r>
        <w:tab/>
      </w:r>
      <w:r>
        <w:rPr>
          <w:noProof/>
        </w:rPr>
        <w:t>Több tagállamban zajlott le, illetve van folyamatban a múltban felhalmozódott makrogazdasági egyensúlyhiányok kiigazítása, sok tagállam pedig az alacsony potenciális növekedés okozta kihívással néz szembe. Az Unió szakpolitikai prioritásai közé emelte a strukturális reformok végrehajtását, hogy fenntartható pályára állítsa a gazdasági fellendülést, felszabadítsa a növekedési potenciált a kiigazítási kapacitás megerősítése céljából, és támogatást nyújtson a konvergenciafolyamathoz.</w:t>
      </w:r>
    </w:p>
    <w:p>
      <w:pPr>
        <w:pStyle w:val="ManualConsidrant"/>
        <w:rPr>
          <w:noProof/>
        </w:rPr>
      </w:pPr>
      <w:r>
        <w:t>(4)</w:t>
      </w:r>
      <w:r>
        <w:tab/>
      </w:r>
      <w:r>
        <w:rPr>
          <w:noProof/>
        </w:rPr>
        <w:t>A reformok jellegűknél fogva bonyolult folyamatok, amelyekhez rendkívül speciális ismeretek és szakértelem egész láncolatára van szükség. A különféle közpolitikai területeken végzett reformok kezelése nehéz feladat, mivel azok eredményei gyakran csak bizonyos idő elteltével érzékelhetők. Ezért a korai és hatékony tervezés és végrehajtás döntő fontosságú a válság sújtotta vagy strukturális gyengeséggel küzdő gazdaságok számára. Ezzel összefüggésben döntő fontosságú volt az Unió technikai segítségnyújtás formájában biztosított támogatása az elmúlt években végrehajtott görögországi és ciprusi gazdasági kiigazítás elősegítéséhez.</w:t>
      </w:r>
    </w:p>
    <w:p>
      <w:pPr>
        <w:pStyle w:val="ManualConsidrant"/>
        <w:rPr>
          <w:noProof/>
        </w:rPr>
      </w:pPr>
      <w:r>
        <w:t>(5)</w:t>
      </w:r>
      <w:r>
        <w:tab/>
      </w:r>
      <w:r>
        <w:rPr>
          <w:noProof/>
        </w:rPr>
        <w:t>A tagállamok igénybe vehetik a támogatást a strukturális reformok kialakítása és végrehajtása tekintetében mutatkozó kihívások kezeléséhez. A kihívások különféle tényezőktől függhetnek, ideértve a korlátozott igazgatási és intézményi kapacitást vagy az uniós jogszabályok nem megfelelő alkalmazását és végrehajtását.</w:t>
      </w:r>
    </w:p>
    <w:p>
      <w:pPr>
        <w:pStyle w:val="ManualConsidrant"/>
        <w:rPr>
          <w:noProof/>
          <w:shd w:val="clear" w:color="auto" w:fill="FFFF00"/>
        </w:rPr>
      </w:pPr>
      <w:r>
        <w:t>(6)</w:t>
      </w:r>
      <w:r>
        <w:tab/>
      </w:r>
      <w:r>
        <w:rPr>
          <w:noProof/>
        </w:rPr>
        <w:t>Az Unió sokéves tapasztalattal rendelkezik abban a tekintetben, hogy egyedi támogatást nyújt a nemzeti közigazgatásoknak és más tagállami hatóságoknak a kapacitásépítéshez és bizonyos szektorok (pl. adórendszer, vámügy, kis- és középvállalkozásoknak nyújtott támogatás) hasonló intézkedéseihez, valamint a kohéziós politika végrehajtása tekintetében. A reformok végrehajtásához a nemzeti hatóságoknak biztosított segítségnyújtás terén szerzett uniós tapasztalatot fel kell használni a tagállamoknak nyújtandó uniós támogatási kapacitás erősítése érdekében. Valóban átfogó és integrált fellépés szükséges ahhoz, hogy támogatást nyújtsanak azoknak a tagállamoknak, amelyek növekedésösztönző reformokat hajtanak végre, és uniós segítségnyújtást igényelnek ebben a tekintetben.</w:t>
      </w:r>
    </w:p>
    <w:p>
      <w:pPr>
        <w:pStyle w:val="ManualConsidrant"/>
        <w:rPr>
          <w:noProof/>
        </w:rPr>
      </w:pPr>
      <w:r>
        <w:t>(7)</w:t>
      </w:r>
      <w:r>
        <w:tab/>
      </w:r>
      <w:r>
        <w:rPr>
          <w:noProof/>
        </w:rPr>
        <w:t>Ezzel összefüggésben strukturálisreform-támogató programot kell kialakítania (a továbbiakban: a program) a tagállamok azon képességének erősítése céljából, hogy növekedésösztönző intézményi és strukturális reformokat dolgozzanak ki és hajtsanak végre, többek között az uniós alapok hatékony és eredményes felhasználásának elősegítése révén. A program célja, hogy elősegítse a gazdaságélénkítés, a munkahelyteremtés, az európai versenyképesség erősítése és a reálgazdaságba történő beruházások terén elérendő közös célkitűzések megvalósítását.</w:t>
      </w:r>
    </w:p>
    <w:p>
      <w:pPr>
        <w:pStyle w:val="ManualConsidrant"/>
        <w:rPr>
          <w:noProof/>
        </w:rPr>
      </w:pPr>
      <w:r>
        <w:t>(8)</w:t>
      </w:r>
      <w:r>
        <w:tab/>
      </w:r>
      <w:r>
        <w:rPr>
          <w:noProof/>
        </w:rPr>
        <w:t>A program szerinti támogatást a Bizottságnak egy tagállam megkeresésére kell nyújtania olyan területeken, mint a költségvetés és az adórendszer, a közfeladatok, az intézmények és igazgatási reformok, az igazságszolgáltatási rendszer, a csalás, a korrupció és a pénzmosás elleni küzdelem, az üzleti környezet, a magánszektor fejlesztése, a beruházások, a verseny, a közbeszerzés, a privatizációs folyamatok, a finanszírozási eszközökhöz való hozzáférés, a beruházások, a kereskedelem, a fenntartható fejlődés, az innováció, az oktatás és a képzés, a munkaügyi politikák, a közegészségügy, a menekültügyi és migrációs politikák, a mezőgazdaság és vidékfejlesztés, valamint a pénzügyi szektorra vonatkozó politikák.</w:t>
      </w:r>
    </w:p>
    <w:p>
      <w:pPr>
        <w:pStyle w:val="ManualConsidrant"/>
        <w:rPr>
          <w:noProof/>
        </w:rPr>
      </w:pPr>
      <w:r>
        <w:t>(9)</w:t>
      </w:r>
      <w:r>
        <w:tab/>
      </w:r>
      <w:r>
        <w:rPr>
          <w:noProof/>
        </w:rPr>
        <w:t>A tagállamok számára lehetővé kell tenni, hogy a program alapján támogatást kérhessenek a Bizottságtól a gazdasági kormányzási folyamatok, különösen az európai szemeszteren belüli országspecifikus ajánlások keretébe illeszkedő reformok végrehajtása, az uniós jog végrehajtásával kapcsolatos intézkedések, valamint a gazdasági kiigazítási programok végrehajtása tekintetében. Lehetővé kell tenni számukra azt is, hogy támogatást kérhessenek a saját kezdeményezésükre vállalt reformok tekintetében, amelyek célja a fenntartható beruházások, a gazdasági növekedés és a munkahelyteremtés megvalósítása.</w:t>
      </w:r>
    </w:p>
    <w:p>
      <w:pPr>
        <w:pStyle w:val="ManualConsidrant"/>
        <w:rPr>
          <w:noProof/>
        </w:rPr>
      </w:pPr>
      <w:r>
        <w:t>(10)</w:t>
      </w:r>
      <w:r>
        <w:tab/>
      </w:r>
      <w:r>
        <w:rPr>
          <w:noProof/>
        </w:rPr>
        <w:t>A kérelmező tagállammal – többek között az európai szemeszter keretében – folytatott párbeszédet követően a Bizottságnak az átláthatóság, az egyenlő bánásmód és a hatékony és eredményes pénzgazdálkodás elveit szem előtt tartva kell elemeznie a kérelmet, továbbá a nyújtandó támogatást a feltárt problémák sürgőssége, kiterjedtsége és mélysége, a mérlegelt szakpolitikai területekkel kapcsolatos támogatási igény, a társadalmi-gazdasági mutatók elemzése és a tagállam általános igazgatási kapacitása alapján kell meghatároznia. A Bizottságnak emellett – az érintett tagállammal szorosan együttműködve – meg kell határoznia a kiemelt területeket, a nyújtandó támogatási intézkedések alkalmazási körét, valamint az e támogatáshoz való globális pénzügyi hozzájárulást, figyelembe véve az uniós alapokból vagy más uniós programokból finanszírozott meglévő fellépéseket és intézkedéseket.</w:t>
      </w:r>
    </w:p>
    <w:p>
      <w:pPr>
        <w:pStyle w:val="ManualConsidrant"/>
        <w:rPr>
          <w:noProof/>
        </w:rPr>
      </w:pPr>
      <w:r>
        <w:t>(11)</w:t>
      </w:r>
      <w:r>
        <w:tab/>
      </w:r>
      <w:r>
        <w:rPr>
          <w:noProof/>
        </w:rPr>
        <w:t>A Bizottság „Az uniós költségvetés felülvizsgálata”</w:t>
      </w:r>
      <w:r>
        <w:rPr>
          <w:rStyle w:val="FootnoteReference"/>
          <w:noProof/>
        </w:rPr>
        <w:footnoteReference w:id="14"/>
      </w:r>
      <w:r>
        <w:rPr>
          <w:noProof/>
        </w:rPr>
        <w:t xml:space="preserve"> és „Az Európa 2020 költségvetése”</w:t>
      </w:r>
      <w:r>
        <w:rPr>
          <w:rStyle w:val="FootnoteReference"/>
          <w:noProof/>
        </w:rPr>
        <w:footnoteReference w:id="15"/>
      </w:r>
      <w:r>
        <w:rPr>
          <w:noProof/>
        </w:rPr>
        <w:t xml:space="preserve"> című közleményeiben hangsúlyozta annak fontosságát, hogy a finanszírozás az egyértelmű európai hozzáadott értékkel rendelkező tevékenységekre összpontosuljon, vagyis azokra, ahol az uniós beavatkozás többletértéket biztosíthat a tagállamok önálló fellépéséhez képest. Ezzel összefüggésben a program alapján végrehajtott támogatási intézkedéseknek biztosítaniuk kell a kiegészítő jelleget és a szinergiát egyéb nemzeti, uniós és nemzetközi szintű programokkal és politikákkal. A program szerinti fellépéseknek lehetővé kell tenniük olyan megoldások kidolgozását és végrehajtását, amelyek kezelik a határon átnyúló hatású nemzeti kihívásokat, illetve az egész Uniót érintő kihívásokat, és megvalósítják az uniós jog következetes és koherens végrehajtását. Ezenfelül elő kell segíteniük a bizalom továbbfejlesztését és az együttműködés előmozdítását a Bizottság és a tagállamok kapcsolatában, valamint a tagállamok között. Továbbá az Unió jobb helyzetben van a tagállamoknál ahhoz, hogy platformot biztosítson a partnerek bevált gyakorlatainak megosztásához és a szakértelem mozgósításához.</w:t>
      </w:r>
    </w:p>
    <w:p>
      <w:pPr>
        <w:pStyle w:val="ManualConsidrant"/>
        <w:rPr>
          <w:noProof/>
        </w:rPr>
      </w:pPr>
      <w:r>
        <w:t>(12)</w:t>
      </w:r>
      <w:r>
        <w:tab/>
      </w:r>
      <w:r>
        <w:rPr>
          <w:noProof/>
        </w:rPr>
        <w:t>A programra vonatkozóan pénzügyi keretösszeget kell meghatározni, amelynek négyéves időszakot kell lefednie, hogy a program időtartama összhangba kerüljön az 1311/2013/EU, Euratom tanácsi rendeletben</w:t>
      </w:r>
      <w:r>
        <w:rPr>
          <w:rStyle w:val="FootnoteReference"/>
          <w:noProof/>
        </w:rPr>
        <w:footnoteReference w:id="16"/>
      </w:r>
      <w:r>
        <w:rPr>
          <w:noProof/>
        </w:rPr>
        <w:t xml:space="preserve"> megállapított többéves pénzügyi keret időszakával.</w:t>
      </w:r>
    </w:p>
    <w:p>
      <w:pPr>
        <w:pStyle w:val="ManualConsidrant"/>
        <w:rPr>
          <w:noProof/>
        </w:rPr>
      </w:pPr>
      <w:r>
        <w:t>(13)</w:t>
      </w:r>
      <w:r>
        <w:tab/>
      </w:r>
      <w:r>
        <w:rPr>
          <w:noProof/>
        </w:rPr>
        <w:t>A program pénzügyi keretösszegét a Bizottság kezdeményezésére az 1303/2013/EU európai parlamenti és tanácsi rendelet</w:t>
      </w:r>
      <w:r>
        <w:rPr>
          <w:rStyle w:val="FootnoteReference"/>
          <w:noProof/>
        </w:rPr>
        <w:footnoteReference w:id="17"/>
      </w:r>
      <w:r>
        <w:rPr>
          <w:noProof/>
        </w:rPr>
        <w:t>, valamint az 1305/2013/EU európai parlamenti és tanácsi rendelet</w:t>
      </w:r>
      <w:r>
        <w:rPr>
          <w:rStyle w:val="FootnoteReference"/>
          <w:noProof/>
        </w:rPr>
        <w:footnoteReference w:id="18"/>
      </w:r>
      <w:r>
        <w:rPr>
          <w:noProof/>
        </w:rPr>
        <w:t xml:space="preserve"> alapján megállapított technikai segítségnyújtási juttatásokból rendelkezésre bocsátott pénzügyi forrásoknak kell alkotniuk. E rendelkezésre bocsátás lehetővé tétele érdekében módosítani kell az említett rendeleteket.</w:t>
      </w:r>
    </w:p>
    <w:p>
      <w:pPr>
        <w:pStyle w:val="ManualConsidrant"/>
        <w:rPr>
          <w:noProof/>
        </w:rPr>
      </w:pPr>
      <w:r>
        <w:t>(14)</w:t>
      </w:r>
      <w:r>
        <w:tab/>
      </w:r>
      <w:r>
        <w:rPr>
          <w:noProof/>
        </w:rPr>
        <w:t xml:space="preserve">A támogatást igénylő tagállamoknak képesnek kell lenniük arra, hogy további pénzeszközökkel hozzájáruljanak a program pénzügyi keretösszegéhez. Jelenleg az </w:t>
      </w:r>
      <w:r>
        <w:rPr>
          <w:rStyle w:val="Strong"/>
          <w:b w:val="0"/>
          <w:noProof/>
        </w:rPr>
        <w:t>1303/2013/EU rendelet</w:t>
      </w:r>
      <w:r>
        <w:rPr>
          <w:noProof/>
        </w:rPr>
        <w:t xml:space="preserve"> az ideiglenes költségvetési nehézségekkel küzdő tagállamokra korlátozza annak lehetőségét, hogy átcsoportosítsák a tagállami kezdeményezésre technikai segítségnyújtásra elkülönített forrásokat. Ezért az </w:t>
      </w:r>
      <w:r>
        <w:rPr>
          <w:rStyle w:val="Strong"/>
          <w:b w:val="0"/>
          <w:noProof/>
        </w:rPr>
        <w:t>1303/2013/EU rendeletet</w:t>
      </w:r>
      <w:r>
        <w:rPr>
          <w:noProof/>
        </w:rPr>
        <w:t xml:space="preserve"> módosítani kell annak érdekében, hogy minden tagállam pénzügyileg szerepet vállalhasson a programban. Az uniós költségvetésbe átcsoportosított forrásokat olyan intézkedések támogatására kell fordítani, amelyek az érintett tagállamokban elősegítik az intelligens, fenntartható és inkluzív növekedést vagy az egyes alapok célkitűzéseit.</w:t>
      </w:r>
    </w:p>
    <w:p>
      <w:pPr>
        <w:pStyle w:val="ManualConsidrant"/>
        <w:rPr>
          <w:noProof/>
        </w:rPr>
      </w:pPr>
      <w:r>
        <w:t>(15)</w:t>
      </w:r>
      <w:r>
        <w:tab/>
      </w:r>
      <w:r>
        <w:rPr>
          <w:noProof/>
        </w:rPr>
        <w:t>Ezt a rendeletet az Unió általános költségvetésére alkalmazandó pénzügyi szabályokról szóló 966/2012/EU, Euratom</w:t>
      </w:r>
      <w:r>
        <w:rPr>
          <w:rStyle w:val="FootnoteReference"/>
          <w:noProof/>
        </w:rPr>
        <w:footnoteReference w:id="19"/>
      </w:r>
      <w:r>
        <w:rPr>
          <w:noProof/>
        </w:rPr>
        <w:t xml:space="preserve"> európai parlamenti és tanácsi rendelettel összhangban kell végrehajtani. A Bizottságnak olyan többéves programokat kell elfogadnia, amelyek meghatározzák a megvalósítandó politikai célkitűzéseket, a támogatás várható eredményeit és a megfelelő szakpolitikai területek finanszírozási prioritásait. Ezeket az elemeket tovább kell pontosítani a végrehajtási aktusokkal elfogadott éves munkaprogramokban.</w:t>
      </w:r>
    </w:p>
    <w:p>
      <w:pPr>
        <w:pStyle w:val="ManualConsidrant"/>
        <w:rPr>
          <w:noProof/>
        </w:rPr>
      </w:pPr>
      <w:r>
        <w:t>(16)</w:t>
      </w:r>
      <w:r>
        <w:tab/>
      </w:r>
      <w:r>
        <w:rPr>
          <w:noProof/>
        </w:rPr>
        <w:t>Figyelemmel annak fontosságára, hogy fenntartsák a strukturális, intézményi és igazgatási reformok végrehajtására irányuló tagállami erőfeszítéseket, a program célkitűzéseinek eléréshez az elszámolható költségek 100 %-os társfinanszírozási arányára van szükség, ugyanakkor biztosítani kell az összhangot a társfinanszírozási és a nonprofit elvvel.</w:t>
      </w:r>
    </w:p>
    <w:p>
      <w:pPr>
        <w:pStyle w:val="ManualConsidrant"/>
        <w:rPr>
          <w:noProof/>
        </w:rPr>
      </w:pPr>
      <w:r>
        <w:t>(17)</w:t>
      </w:r>
      <w:r>
        <w:tab/>
      </w:r>
      <w:r>
        <w:rPr>
          <w:noProof/>
        </w:rPr>
        <w:t>Azonnali reagálást igénylő, előreláthatatlan és megfelelően indokolt sürgős esetekben, például a gazdaság súlyos zavara, vagy az adott tagállam gazdasági vagy társadalmi feltételeit súlyosan érintő és általa nem befolyásolható lényeges körülmény esetén lehetővé kell tenni a Bizottság számára, hogy a tagállam kérésére – a program alapján támogatható célkitűzéseknek és fellépéseknek megfelelően – különleges intézkedéseket fogadhasson el az éves munkaprogram egy korlátozott hányada tekintetében, hogy támogatást nyújtson a nemzeti hatóságoknak a sürgős szükségletek kezeléséhez.</w:t>
      </w:r>
    </w:p>
    <w:p>
      <w:pPr>
        <w:pStyle w:val="ManualConsidrant"/>
        <w:rPr>
          <w:noProof/>
        </w:rPr>
      </w:pPr>
      <w:r>
        <w:t>(18)</w:t>
      </w:r>
      <w:r>
        <w:tab/>
      </w:r>
      <w:r>
        <w:rPr>
          <w:noProof/>
        </w:rPr>
        <w:t>Az uniós költségvetésből származó pénzeszközök hatékony és következetes elosztása, valamint a hatékony és eredményes pénzgazdálkodás elvének érvényesítése érdekében az e program alapján hozott intézkedéseknek ki kell egészíteniük a folyamatban lévő uniós programokat és hozzá kell járulniuk azokhoz, ugyanakkor el kell kerülniük ugyanazon kiadások kettős finanszírozását. A Bizottságnak és az érintett tagállamoknak saját felelősségi területükön belül, uniós és tagállami szinten a folyamat minden szakaszában gondoskodniuk kell a hatékony koordinációról, hogy következetességet, kiegészítő jelleget és szinergiát biztosítsanak azokkal a finanszírozási forrásokkal, amelyek az e programhoz szorosan kapcsolódó fellépéseket támogatnak az érintett tagállamokban, különösen az uniós alapokból finanszírozott tagállamokbeli intézkedésekkel.</w:t>
      </w:r>
    </w:p>
    <w:p>
      <w:pPr>
        <w:pStyle w:val="ManualConsidrant"/>
        <w:rPr>
          <w:noProof/>
        </w:rPr>
      </w:pPr>
      <w:r>
        <w:t>(19)</w:t>
      </w:r>
      <w:r>
        <w:tab/>
      </w:r>
      <w:r>
        <w:rPr>
          <w:noProof/>
        </w:rPr>
        <w:t>Az Unió pénzügyi érdekeit a kiadási ciklus egészében arányos intézkedésekkel kell védeni, beleértve a szabálytalanságok megelőzését, feltárását és kivizsgálását, az elveszített, jogtalanul kifizetett vagy szabálytalanul felhasznált pénzösszegek visszafizettetését, valamint – adott esetben – a szankciókat is.</w:t>
      </w:r>
    </w:p>
    <w:p>
      <w:pPr>
        <w:pStyle w:val="ManualConsidrant"/>
        <w:rPr>
          <w:noProof/>
        </w:rPr>
      </w:pPr>
      <w:r>
        <w:t>(20)</w:t>
      </w:r>
      <w:r>
        <w:tab/>
      </w:r>
      <w:r>
        <w:rPr>
          <w:noProof/>
        </w:rPr>
        <w:t>A program értékelésének megkönnyítése érdekében kezdettől fogva megfelelő keretet kell létrehozni a program eredményeinek nyomon követésére. Félidős értékelést kell végezni, amely megvizsgálja a program célkitűzéseinek megvalósulását, hatékonyságát és európai szintű hozzáadott értékét. A záró értékelésnek emellett a program hosszú távú hatását és fenntarthatósági hatásait is vizsgálnia kell. Az említett értékeléseknek a program hatásait mérő mutatókra kell épülniük.</w:t>
      </w:r>
    </w:p>
    <w:p>
      <w:pPr>
        <w:pStyle w:val="ManualConsidrant"/>
        <w:rPr>
          <w:noProof/>
        </w:rPr>
      </w:pPr>
      <w:r>
        <w:t>(21)</w:t>
      </w:r>
      <w:r>
        <w:tab/>
      </w:r>
      <w:r>
        <w:rPr>
          <w:noProof/>
        </w:rPr>
        <w:t>Annak érdekében, hogy a program végrehajtása során szerzett tapasztalatok fényében a Bizottság kiigazítsa a program célkitűzéseinek megvalósítását mérő mutatók listáját, az Európai Unió működéséről szóló szerződés 290. cikke szerinti, felhatalmazáson alapuló jogi aktusok elfogadására vonatkozó hatáskört kell a Bizottságra ruházni a lista módosítása tekintetében. Kiemelt fontosságú, hogy a Bizottság előkészítő munkája során megfelelő konzultációkat folytasson, többek között szakértői szinten. A felhatalmazáson alapuló jogi aktus elkészítésekor és szövegezésekor a Bizottságnak gondoskodnia kell a vonatkozó dokumentumoknak az Európai Parlament és a Tanács részére történő egyidejű, kellő időben és megfelelő módon történő továbbításáról.</w:t>
      </w:r>
    </w:p>
    <w:p>
      <w:pPr>
        <w:pStyle w:val="ManualConsidrant"/>
        <w:rPr>
          <w:noProof/>
        </w:rPr>
      </w:pPr>
      <w:r>
        <w:t>(22)</w:t>
      </w:r>
      <w:r>
        <w:tab/>
      </w:r>
      <w:r>
        <w:rPr>
          <w:noProof/>
        </w:rPr>
        <w:t xml:space="preserve">Az e rendeletnek a többéves és éves munkaprogramok elfogadása tekintetében történő végrehajtására vonatkozó egységes feltételek biztosítása érdekében végrehajtási hatáskört kell ruházni a Bizottságra. </w:t>
      </w:r>
    </w:p>
    <w:p>
      <w:pPr>
        <w:pStyle w:val="ManualConsidrant"/>
        <w:rPr>
          <w:noProof/>
        </w:rPr>
      </w:pPr>
      <w:r>
        <w:t>(23)</w:t>
      </w:r>
      <w:r>
        <w:tab/>
      </w:r>
      <w:r>
        <w:rPr>
          <w:noProof/>
        </w:rPr>
        <w:t>Mivel e rendelet célkitűzéseit, nevezetesen a tagállamok intézményi, igazgatási és strukturális reformjainak elősegítését azáltal, hogy többek között az uniós alapok hatékony és eredményes felhasználásának elősegítése révén támogatást nyújtanak a nemzeti hatóságoknak az intézményi, kormányzati, igazgatási, gazdasági és társadalmi reformokra irányuló intézkedések tekintetében, a tagállamok önmagukban nem tudják kielégítően megvalósítani, hanem a célkitűzések terjedelme és hatásai miatt azok uniós szinten jobban megvalósíthatók, az Unió az Európai Unióról szóló szerződés 5. cikkében meghatározott szubszidiaritás elvével összhangban intézkedéseket fogadhat el. Az említett cikkben foglalt arányosság elvének megfelelően ez a rendelet nem lépi túl az e cél eléréséhez szükséges mértéket, mivel a támogatás alkalmazási körét az érintett tagállammal kötött kölcsönös megállapodással állapítják meg.</w:t>
      </w:r>
    </w:p>
    <w:p>
      <w:pPr>
        <w:pStyle w:val="ManualConsidrant"/>
        <w:rPr>
          <w:noProof/>
        </w:rPr>
      </w:pPr>
      <w:r>
        <w:t>(24)</w:t>
      </w:r>
      <w:r>
        <w:tab/>
      </w:r>
      <w:r>
        <w:rPr>
          <w:noProof/>
        </w:rPr>
        <w:t>Az e rendeletben foglalt intézkedések azonnali alkalmazása érdekében e rendeletnek az Európai Unió Hivatalos Lapjában való kihirdetését követő napon kell hatályba lépnie,</w:t>
      </w:r>
    </w:p>
    <w:p>
      <w:pPr>
        <w:rPr>
          <w:noProof/>
        </w:rPr>
      </w:pPr>
    </w:p>
    <w:p>
      <w:pPr>
        <w:pStyle w:val="Formuledadoption"/>
        <w:rPr>
          <w:noProof/>
        </w:rPr>
      </w:pPr>
      <w:r>
        <w:rPr>
          <w:noProof/>
        </w:rPr>
        <w:t>ELFOGADTA EZT A RENDELETET:</w:t>
      </w:r>
    </w:p>
    <w:p>
      <w:pPr>
        <w:pStyle w:val="Titrearticle"/>
        <w:rPr>
          <w:noProof/>
        </w:rPr>
      </w:pPr>
      <w:r>
        <w:rPr>
          <w:noProof/>
        </w:rPr>
        <w:t>1. cikk</w:t>
      </w:r>
      <w:r>
        <w:rPr>
          <w:noProof/>
        </w:rPr>
        <w:br/>
        <w:t>A program létrehozása és időtartama</w:t>
      </w:r>
    </w:p>
    <w:p>
      <w:pPr>
        <w:rPr>
          <w:noProof/>
        </w:rPr>
      </w:pPr>
      <w:r>
        <w:rPr>
          <w:noProof/>
        </w:rPr>
        <w:t>Ez a rendelet a 2017. január 1-jétől 2020. december 31-ig tartó időszakra létrehozza a strukturálisreform-támogató programot (a továbbiakban: „a program”).</w:t>
      </w:r>
    </w:p>
    <w:p>
      <w:pPr>
        <w:pStyle w:val="Titrearticle"/>
        <w:spacing w:before="240"/>
        <w:rPr>
          <w:noProof/>
        </w:rPr>
      </w:pPr>
      <w:r>
        <w:rPr>
          <w:noProof/>
        </w:rPr>
        <w:t>2. cikk</w:t>
      </w:r>
      <w:r>
        <w:rPr>
          <w:noProof/>
        </w:rPr>
        <w:br/>
        <w:t>Fogalommeghatározások</w:t>
      </w:r>
    </w:p>
    <w:p>
      <w:pPr>
        <w:rPr>
          <w:noProof/>
        </w:rPr>
      </w:pPr>
      <w:r>
        <w:rPr>
          <w:noProof/>
        </w:rPr>
        <w:t>E rendelet alkalmazásában:</w:t>
      </w:r>
    </w:p>
    <w:p>
      <w:pPr>
        <w:pStyle w:val="ManualNumPar1"/>
        <w:rPr>
          <w:noProof/>
        </w:rPr>
      </w:pPr>
      <w:r>
        <w:rPr>
          <w:noProof/>
        </w:rPr>
        <w:t>1.</w:t>
      </w:r>
      <w:r>
        <w:rPr>
          <w:noProof/>
        </w:rPr>
        <w:tab/>
        <w:t>„kedvezményezett tagállam”: az e program alapján az Uniótól támogatásban részesülő tagállam;</w:t>
      </w:r>
    </w:p>
    <w:p>
      <w:pPr>
        <w:pStyle w:val="ManualNumPar1"/>
        <w:rPr>
          <w:noProof/>
        </w:rPr>
      </w:pPr>
      <w:r>
        <w:rPr>
          <w:noProof/>
        </w:rPr>
        <w:t>2.</w:t>
      </w:r>
      <w:r>
        <w:rPr>
          <w:noProof/>
        </w:rPr>
        <w:tab/>
        <w:t>„uniós alapok”: az 1303/2013/EU rendelet 1. cikkében említett európai strukturális és beruházási alapok, a 223/2014/EU európai parlamenti és tanácsi rendelettel</w:t>
      </w:r>
      <w:r>
        <w:rPr>
          <w:rStyle w:val="FootnoteReference"/>
          <w:noProof/>
        </w:rPr>
        <w:footnoteReference w:id="20"/>
      </w:r>
      <w:r>
        <w:rPr>
          <w:noProof/>
        </w:rPr>
        <w:t xml:space="preserve"> létrehozott, a leginkább rászoruló személyeket támogató európai segítségnyújtási alap, az 516/2014/EU európai parlamenti és tanácsi rendelettel</w:t>
      </w:r>
      <w:r>
        <w:rPr>
          <w:rStyle w:val="FootnoteReference"/>
          <w:noProof/>
        </w:rPr>
        <w:footnoteReference w:id="21"/>
      </w:r>
      <w:r>
        <w:rPr>
          <w:noProof/>
        </w:rPr>
        <w:t xml:space="preserve"> létrehozott, Menekültügyi, Migrációs és Integrációs Alap, az 513/2014/EU európai parlamenti és tanácsi rendelettel</w:t>
      </w:r>
      <w:r>
        <w:rPr>
          <w:rStyle w:val="FootnoteReference"/>
          <w:noProof/>
        </w:rPr>
        <w:footnoteReference w:id="22"/>
      </w:r>
      <w:r>
        <w:rPr>
          <w:noProof/>
        </w:rPr>
        <w:t xml:space="preserve"> létrehozott, a Belső Biztonsági Alap részét képező, a rendőrségi együttműködés, a bűnmegelőzés és a bűnözés elleni küzdelem, valamint a válságkezelés pénzügyi támogatására szolgáló eszköz, továbbá az 515/2014/EU európai parlamenti és tanácsi rendelettel</w:t>
      </w:r>
      <w:r>
        <w:rPr>
          <w:rStyle w:val="FootnoteReference"/>
          <w:noProof/>
        </w:rPr>
        <w:footnoteReference w:id="23"/>
      </w:r>
      <w:r>
        <w:rPr>
          <w:noProof/>
        </w:rPr>
        <w:t xml:space="preserve"> létrehozott, a Belső Biztonsági Alap részét képező, a külső határok és a vízumügy pénzügyi támogatására szolgáló eszköz.</w:t>
      </w:r>
    </w:p>
    <w:p>
      <w:pPr>
        <w:pStyle w:val="Titrearticle"/>
        <w:rPr>
          <w:noProof/>
        </w:rPr>
      </w:pPr>
      <w:r>
        <w:rPr>
          <w:noProof/>
        </w:rPr>
        <w:t>3. cikk</w:t>
      </w:r>
      <w:r>
        <w:rPr>
          <w:noProof/>
        </w:rPr>
        <w:br/>
        <w:t>Európai hozzáadott érték</w:t>
      </w:r>
    </w:p>
    <w:p>
      <w:pPr>
        <w:pStyle w:val="ManualNumPar1"/>
        <w:rPr>
          <w:noProof/>
        </w:rPr>
      </w:pPr>
      <w:r>
        <w:rPr>
          <w:noProof/>
        </w:rPr>
        <w:t>(1)</w:t>
      </w:r>
      <w:r>
        <w:rPr>
          <w:noProof/>
        </w:rPr>
        <w:tab/>
        <w:t>A program európai hozzáadott értékkel rendelkező fellépéseket finanszíroz. Ennek érdekében a Bizottság gondoskodik arról, hogy a finanszírozásra kiválasztott fellépések valószínűsíthetően európai hozzáadott értékű eredményt érjenek el, és nyomon követi, hogy az európai hozzáadott érték ténylegesen megvalósult-e.</w:t>
      </w:r>
    </w:p>
    <w:p>
      <w:pPr>
        <w:pStyle w:val="ManualNumPar1"/>
        <w:rPr>
          <w:noProof/>
          <w:szCs w:val="24"/>
        </w:rPr>
      </w:pPr>
      <w:r>
        <w:rPr>
          <w:noProof/>
        </w:rPr>
        <w:t>(2)</w:t>
      </w:r>
      <w:r>
        <w:rPr>
          <w:noProof/>
        </w:rPr>
        <w:tab/>
        <w:t>A program fellépései és tevékenységei különösen az alábbiak révén biztosítanak európai hozzáadott értéket:</w:t>
      </w:r>
    </w:p>
    <w:p>
      <w:pPr>
        <w:pStyle w:val="Point1"/>
        <w:rPr>
          <w:noProof/>
        </w:rPr>
      </w:pPr>
      <w:r>
        <w:rPr>
          <w:noProof/>
        </w:rPr>
        <w:t>a)</w:t>
      </w:r>
      <w:r>
        <w:rPr>
          <w:noProof/>
        </w:rPr>
        <w:tab/>
        <w:t>a határon átnyúló hatású nemzeti kihívásokat vagy az egész Uniót érintő kihívásokat kezelő megoldások kidolgozása és végrehajtása;</w:t>
      </w:r>
    </w:p>
    <w:p>
      <w:pPr>
        <w:pStyle w:val="Point1"/>
        <w:rPr>
          <w:noProof/>
        </w:rPr>
      </w:pPr>
      <w:r>
        <w:rPr>
          <w:noProof/>
        </w:rPr>
        <w:t>b)</w:t>
      </w:r>
      <w:r>
        <w:rPr>
          <w:noProof/>
        </w:rPr>
        <w:tab/>
        <w:t>azok kiegészítő jellege és szinergiája egyéb uniós programokkal és szakpolitikákkal nemzeti, uniós és nemzetközi szinten;</w:t>
      </w:r>
    </w:p>
    <w:p>
      <w:pPr>
        <w:pStyle w:val="Point1"/>
        <w:rPr>
          <w:noProof/>
        </w:rPr>
      </w:pPr>
      <w:r>
        <w:rPr>
          <w:noProof/>
        </w:rPr>
        <w:t>c)</w:t>
      </w:r>
      <w:r>
        <w:rPr>
          <w:noProof/>
        </w:rPr>
        <w:tab/>
        <w:t>azok hozzájárulása az uniós jog következetes és koherens végrehajtásához;</w:t>
      </w:r>
    </w:p>
    <w:p>
      <w:pPr>
        <w:pStyle w:val="Point1"/>
        <w:rPr>
          <w:noProof/>
        </w:rPr>
      </w:pPr>
      <w:r>
        <w:rPr>
          <w:noProof/>
        </w:rPr>
        <w:t>d)</w:t>
      </w:r>
      <w:r>
        <w:rPr>
          <w:noProof/>
        </w:rPr>
        <w:tab/>
        <w:t xml:space="preserve">azok hozzájárulása a bevált gyakorlatok megosztásához, valamint az egész Unióra kiterjedő platform és szakértői hálózat kiépítéséhez; </w:t>
      </w:r>
    </w:p>
    <w:p>
      <w:pPr>
        <w:pStyle w:val="Point1"/>
        <w:rPr>
          <w:noProof/>
        </w:rPr>
      </w:pPr>
      <w:r>
        <w:rPr>
          <w:noProof/>
        </w:rPr>
        <w:t>e)</w:t>
      </w:r>
      <w:r>
        <w:rPr>
          <w:noProof/>
        </w:rPr>
        <w:tab/>
        <w:t>a kedvezményezett tagállamok és a Bizottság közötti kölcsönös bizalom, valamint a tagállamok közötti együttműködés előmozdítása.</w:t>
      </w:r>
    </w:p>
    <w:p>
      <w:pPr>
        <w:pStyle w:val="Titrearticle"/>
        <w:rPr>
          <w:noProof/>
        </w:rPr>
      </w:pPr>
      <w:r>
        <w:rPr>
          <w:noProof/>
        </w:rPr>
        <w:t>4. cikk</w:t>
      </w:r>
      <w:r>
        <w:rPr>
          <w:noProof/>
        </w:rPr>
        <w:br/>
        <w:t>Általános célkitűzés</w:t>
      </w:r>
    </w:p>
    <w:p>
      <w:pPr>
        <w:rPr>
          <w:noProof/>
        </w:rPr>
      </w:pPr>
      <w:r>
        <w:rPr>
          <w:noProof/>
        </w:rPr>
        <w:t>A program általános célkitűzése a tagállamok intézményi, igazgatási és strukturális reformjainak elősegítése azáltal, hogy támogatást nyújt a nemzeti hatóságoknak a gazdasági és társadalmi kihívásokra reagáló, intézményi, kormányzati, igazgatási, gazdasági és társadalmi reformokra irányuló intézkedések tekintetében, amelyek célja a versenyképesség, a növekedés, a munkahelyteremtés és a beruházások erősítése többek között az uniós alapok hatékony és eredményes felhasználásának elősegítése révén, elsősorban a gazdasági kormányzási folyamatok keretében.</w:t>
      </w:r>
    </w:p>
    <w:p>
      <w:pPr>
        <w:pStyle w:val="Titrearticle"/>
        <w:rPr>
          <w:noProof/>
        </w:rPr>
      </w:pPr>
      <w:r>
        <w:rPr>
          <w:noProof/>
        </w:rPr>
        <w:t>5. cikk</w:t>
      </w:r>
      <w:r>
        <w:rPr>
          <w:noProof/>
        </w:rPr>
        <w:br/>
        <w:t>A program konkrét célkitűzései és alkalmazási köre</w:t>
      </w:r>
    </w:p>
    <w:p>
      <w:pPr>
        <w:pStyle w:val="ManualNumPar1"/>
        <w:rPr>
          <w:noProof/>
        </w:rPr>
      </w:pPr>
      <w:r>
        <w:rPr>
          <w:noProof/>
        </w:rPr>
        <w:t>(1)</w:t>
      </w:r>
      <w:r>
        <w:rPr>
          <w:noProof/>
        </w:rPr>
        <w:tab/>
        <w:t>A 4. cikkben meghatározott általános célkitűzés megvalósítása érdekében a program a következő konkrét célkitűzésekkel rendelkezik:</w:t>
      </w:r>
    </w:p>
    <w:p>
      <w:pPr>
        <w:pStyle w:val="Point1"/>
        <w:rPr>
          <w:noProof/>
        </w:rPr>
      </w:pPr>
      <w:r>
        <w:rPr>
          <w:noProof/>
        </w:rPr>
        <w:t>a)</w:t>
      </w:r>
      <w:r>
        <w:rPr>
          <w:noProof/>
        </w:rPr>
        <w:tab/>
        <w:t>a nemzeti hatóságok azon kezdeményezéseinek támogatása, hogy a prioritásoknak megfelelően alakítsák ki reformjaikat, figyelembe véve a kezdeti feltételeket és a várt társadalmi-gazdasági hatásokat;</w:t>
      </w:r>
    </w:p>
    <w:p>
      <w:pPr>
        <w:pStyle w:val="Point1"/>
        <w:rPr>
          <w:noProof/>
        </w:rPr>
      </w:pPr>
      <w:r>
        <w:rPr>
          <w:noProof/>
        </w:rPr>
        <w:t>b)</w:t>
      </w:r>
      <w:r>
        <w:rPr>
          <w:noProof/>
        </w:rPr>
        <w:tab/>
        <w:t>a nemzeti hatóságok támogatása, hogy erősítsék a reformpolitikák és stratégiák megfogalmazására, kidolgozására és végrehajtására irányuló kapacitásukat, valamint olyan integrált megközelítést alkalmazzanak, amely szektorokon átívelő következetességet biztosít a célok és az eszközök között;</w:t>
      </w:r>
    </w:p>
    <w:p>
      <w:pPr>
        <w:pStyle w:val="Point1"/>
        <w:rPr>
          <w:noProof/>
        </w:rPr>
      </w:pPr>
      <w:r>
        <w:rPr>
          <w:noProof/>
        </w:rPr>
        <w:t>c)</w:t>
      </w:r>
      <w:r>
        <w:rPr>
          <w:noProof/>
        </w:rPr>
        <w:tab/>
        <w:t>a nemzeti hatóságok arra irányuló erőfeszítéseinek támogatása, hogy a más országok által hasonló helyzetek kezelése során bevált gyakorlatok és levont tanulságok figyelembevételével megfelelő folyamatokat és módszertanokat határozzanak meg és alkalmazzanak;</w:t>
      </w:r>
    </w:p>
    <w:p>
      <w:pPr>
        <w:pStyle w:val="Point1"/>
        <w:rPr>
          <w:noProof/>
        </w:rPr>
      </w:pPr>
      <w:r>
        <w:rPr>
          <w:noProof/>
        </w:rPr>
        <w:t>d)</w:t>
      </w:r>
      <w:r>
        <w:rPr>
          <w:noProof/>
        </w:rPr>
        <w:tab/>
        <w:t>segítségnyújtás a nemzeti hatóságoknak az emberierőforrás-menedzsment hatékonyságának és eredményességének fokozásához, adott esetben a felelősségi területek világos meghatározása, valamint a szaktudás és szakértelem erősítése révén.</w:t>
      </w:r>
    </w:p>
    <w:p>
      <w:pPr>
        <w:pStyle w:val="Text1"/>
        <w:rPr>
          <w:noProof/>
        </w:rPr>
      </w:pPr>
      <w:r>
        <w:rPr>
          <w:noProof/>
        </w:rPr>
        <w:t>E célkitűzéseket a kedvezményezett tagállamokkal szoros együttműködésben kell megvalósítani.</w:t>
      </w:r>
    </w:p>
    <w:p>
      <w:pPr>
        <w:ind w:left="720" w:hanging="720"/>
        <w:rPr>
          <w:noProof/>
        </w:rPr>
      </w:pPr>
      <w:r>
        <w:rPr>
          <w:noProof/>
        </w:rPr>
        <w:t>(2)</w:t>
      </w:r>
      <w:r>
        <w:rPr>
          <w:noProof/>
        </w:rPr>
        <w:tab/>
        <w:t>Az (1) bekezdésben meghatározott konkrét célkitűzések a versenyképességgel, a gazdasági növekedéssel, a munkahelyteremtéssel és a beruházásokkal összefüggő – különösen az alábbi – szakpolitikai területekre utalnak:</w:t>
      </w:r>
    </w:p>
    <w:p>
      <w:pPr>
        <w:pStyle w:val="Point1"/>
        <w:rPr>
          <w:noProof/>
        </w:rPr>
      </w:pPr>
      <w:r>
        <w:rPr>
          <w:noProof/>
        </w:rPr>
        <w:t>a)</w:t>
      </w:r>
      <w:r>
        <w:rPr>
          <w:noProof/>
        </w:rPr>
        <w:tab/>
        <w:t>államháztartási gazdálkodás, költségvetési folyamat, adósságkezelés és adóigazgatás;</w:t>
      </w:r>
    </w:p>
    <w:p>
      <w:pPr>
        <w:pStyle w:val="Point1"/>
        <w:rPr>
          <w:noProof/>
        </w:rPr>
      </w:pPr>
      <w:r>
        <w:rPr>
          <w:noProof/>
        </w:rPr>
        <w:t>b)</w:t>
      </w:r>
      <w:r>
        <w:rPr>
          <w:noProof/>
        </w:rPr>
        <w:tab/>
        <w:t>intézményi reform és a közigazgatás hatékony és szolgáltatásorientált működése, hatékony jogállamiság, az igazságszolgáltatási rendszer reformja, valamint a csalás, a korrupció és a pénzmosás elleni küzdelem megerősítése;</w:t>
      </w:r>
    </w:p>
    <w:p>
      <w:pPr>
        <w:pStyle w:val="Point1"/>
        <w:rPr>
          <w:noProof/>
        </w:rPr>
      </w:pPr>
      <w:r>
        <w:rPr>
          <w:noProof/>
        </w:rPr>
        <w:t>c)</w:t>
      </w:r>
      <w:r>
        <w:rPr>
          <w:noProof/>
        </w:rPr>
        <w:tab/>
        <w:t>üzleti környezet, a magánszektor fejlesztése, beruházások, privatizációs folyamatok, kereskedelem és közvetlen külföldi befektetések, verseny és közbeszerzés, fenntartható ágazati fejlesztés és az innováció támogatása;</w:t>
      </w:r>
    </w:p>
    <w:p>
      <w:pPr>
        <w:pStyle w:val="Point1"/>
        <w:rPr>
          <w:noProof/>
        </w:rPr>
      </w:pPr>
      <w:r>
        <w:rPr>
          <w:noProof/>
        </w:rPr>
        <w:t>d)</w:t>
      </w:r>
      <w:r>
        <w:rPr>
          <w:noProof/>
        </w:rPr>
        <w:tab/>
        <w:t>oktatás és képzés, munkaerő-piaci politikák, társadalmi befogadás, szociális biztonság és szociális jóléti rendszerek, közegészségügy és egészségügyi rendszerek, menekültügyi, migrációs és határellenőrzési politikák;</w:t>
      </w:r>
    </w:p>
    <w:p>
      <w:pPr>
        <w:pStyle w:val="Point1"/>
        <w:rPr>
          <w:noProof/>
        </w:rPr>
      </w:pPr>
      <w:r>
        <w:rPr>
          <w:noProof/>
        </w:rPr>
        <w:t>e)</w:t>
      </w:r>
      <w:r>
        <w:rPr>
          <w:noProof/>
        </w:rPr>
        <w:tab/>
        <w:t>a mezőgazdasági ágazatra, valamint a vidéki térségek fenntartható fejlődésére vonatkozó politikák;</w:t>
      </w:r>
    </w:p>
    <w:p>
      <w:pPr>
        <w:pStyle w:val="Point1"/>
        <w:rPr>
          <w:noProof/>
        </w:rPr>
      </w:pPr>
      <w:r>
        <w:rPr>
          <w:noProof/>
        </w:rPr>
        <w:t>f)</w:t>
      </w:r>
      <w:r>
        <w:rPr>
          <w:noProof/>
        </w:rPr>
        <w:tab/>
        <w:t>a pénzügyi szektorra vonatkozó politikák és a finanszírozási eszközökhöz való hozzáférés.</w:t>
      </w:r>
    </w:p>
    <w:p>
      <w:pPr>
        <w:pStyle w:val="Titrearticle"/>
        <w:spacing w:before="120"/>
        <w:rPr>
          <w:noProof/>
        </w:rPr>
      </w:pPr>
    </w:p>
    <w:p>
      <w:pPr>
        <w:pStyle w:val="Titrearticle"/>
        <w:spacing w:before="120"/>
        <w:rPr>
          <w:noProof/>
        </w:rPr>
      </w:pPr>
      <w:r>
        <w:rPr>
          <w:noProof/>
        </w:rPr>
        <w:t>6. cikk</w:t>
      </w:r>
      <w:r>
        <w:rPr>
          <w:noProof/>
        </w:rPr>
        <w:br/>
        <w:t>Támogatható fellépések</w:t>
      </w:r>
    </w:p>
    <w:p>
      <w:pPr>
        <w:rPr>
          <w:noProof/>
        </w:rPr>
      </w:pPr>
      <w:r>
        <w:rPr>
          <w:noProof/>
        </w:rPr>
        <w:t>A 4. és az 5. cikkben meghatározott célkitűzések megvalósítása érdekében a program különösen a következő fellépés-típusokat finanszírozhatja:</w:t>
      </w:r>
    </w:p>
    <w:p>
      <w:pPr>
        <w:pStyle w:val="Point0"/>
        <w:rPr>
          <w:noProof/>
        </w:rPr>
      </w:pPr>
      <w:r>
        <w:rPr>
          <w:noProof/>
        </w:rPr>
        <w:t>a)</w:t>
      </w:r>
      <w:r>
        <w:rPr>
          <w:noProof/>
        </w:rPr>
        <w:tab/>
        <w:t>a szakpolitikai tanácsadással, a szakpolitikai változtatással, valamint a jogalkotási, intézményi, strukturális és igazgatási reformokkal kapcsolatos szakismeret biztosítása;</w:t>
      </w:r>
    </w:p>
    <w:p>
      <w:pPr>
        <w:pStyle w:val="Point0"/>
        <w:rPr>
          <w:noProof/>
        </w:rPr>
      </w:pPr>
      <w:r>
        <w:rPr>
          <w:noProof/>
        </w:rPr>
        <w:t>b)</w:t>
      </w:r>
      <w:r>
        <w:rPr>
          <w:noProof/>
        </w:rPr>
        <w:tab/>
        <w:t>szakértő(k) (többek között helyi szakértők) biztosítása rövid vagy hosszú időszakra, konkrét területeken feladatok elvégzése vagy operatív tevékenység folytatása céljából, szükség esetén tolmácsolási, fordítási és együttműködési támogatással, igazgatási segítségnyújtással, valamint infrastrukturális létesítményekkel és felszereléssel együtt;</w:t>
      </w:r>
    </w:p>
    <w:p>
      <w:pPr>
        <w:pStyle w:val="Point0"/>
        <w:rPr>
          <w:noProof/>
        </w:rPr>
      </w:pPr>
      <w:r>
        <w:rPr>
          <w:noProof/>
        </w:rPr>
        <w:t>c)</w:t>
      </w:r>
      <w:r>
        <w:rPr>
          <w:noProof/>
        </w:rPr>
        <w:tab/>
        <w:t>intézményi, igazgatási vagy ágazati kapacitásépítés és a kapcsolódó támogató intézkedések, nevezetesen:</w:t>
      </w:r>
    </w:p>
    <w:p>
      <w:pPr>
        <w:pStyle w:val="Point1"/>
        <w:rPr>
          <w:noProof/>
        </w:rPr>
      </w:pPr>
      <w:r>
        <w:rPr>
          <w:noProof/>
        </w:rPr>
        <w:t>i.</w:t>
      </w:r>
      <w:r>
        <w:rPr>
          <w:noProof/>
        </w:rPr>
        <w:tab/>
        <w:t>szemináriumok, konferenciák és munkaértekezletek;</w:t>
      </w:r>
    </w:p>
    <w:p>
      <w:pPr>
        <w:pStyle w:val="Point1"/>
        <w:rPr>
          <w:noProof/>
        </w:rPr>
      </w:pPr>
      <w:r>
        <w:rPr>
          <w:noProof/>
        </w:rPr>
        <w:t>ii.</w:t>
      </w:r>
      <w:r>
        <w:rPr>
          <w:noProof/>
        </w:rPr>
        <w:tab/>
        <w:t>munkalátogatások az érintett tagállamokba vagy harmadik országba, hogy a tisztviselők szakértelemre és szaktudásra tegyenek szert az adott ügyekben vagy növeljék a meglévő szakismeretüket;</w:t>
      </w:r>
    </w:p>
    <w:p>
      <w:pPr>
        <w:pStyle w:val="Point1"/>
        <w:rPr>
          <w:noProof/>
        </w:rPr>
      </w:pPr>
      <w:r>
        <w:rPr>
          <w:noProof/>
        </w:rPr>
        <w:t>iii.</w:t>
      </w:r>
      <w:r>
        <w:rPr>
          <w:noProof/>
        </w:rPr>
        <w:tab/>
        <w:t xml:space="preserve">képzések és online vagy egyéb képzési modulok kidolgozása az érintett reformokkal kapcsolatos, szükséges szakértelem és szaktudás támogatása céljából; </w:t>
      </w:r>
    </w:p>
    <w:p>
      <w:pPr>
        <w:pStyle w:val="Point0"/>
        <w:rPr>
          <w:noProof/>
        </w:rPr>
      </w:pPr>
      <w:r>
        <w:rPr>
          <w:noProof/>
        </w:rPr>
        <w:t>d)</w:t>
      </w:r>
      <w:r>
        <w:rPr>
          <w:noProof/>
        </w:rPr>
        <w:tab/>
        <w:t>adatok és statisztikák gyűjtése; közös módszertanok, valamint adott esetben mutatók és teljesítménymérő referenciaértékek kidolgozása;</w:t>
      </w:r>
    </w:p>
    <w:p>
      <w:pPr>
        <w:pStyle w:val="Point0"/>
        <w:rPr>
          <w:noProof/>
        </w:rPr>
      </w:pPr>
      <w:r>
        <w:rPr>
          <w:noProof/>
        </w:rPr>
        <w:t>e)</w:t>
      </w:r>
      <w:r>
        <w:rPr>
          <w:noProof/>
        </w:rPr>
        <w:tab/>
        <w:t>a helyi operatív támogatás szervezése olyan területeken, mint a menekültügy, a migráció és a határellenőrzés;</w:t>
      </w:r>
    </w:p>
    <w:p>
      <w:pPr>
        <w:pStyle w:val="Point0"/>
        <w:rPr>
          <w:noProof/>
        </w:rPr>
      </w:pPr>
      <w:r>
        <w:rPr>
          <w:noProof/>
        </w:rPr>
        <w:t>f)</w:t>
      </w:r>
      <w:r>
        <w:rPr>
          <w:noProof/>
        </w:rPr>
        <w:tab/>
        <w:t>IT kapacitásépítés: az érintett reformok végrehajtásához szükséges IT infrastruktúra és alkalmazások fejlesztése, karbantartása, üzemeltetése és minőségellenőrzése;</w:t>
      </w:r>
    </w:p>
    <w:p>
      <w:pPr>
        <w:pStyle w:val="Point0"/>
        <w:rPr>
          <w:noProof/>
        </w:rPr>
      </w:pPr>
      <w:r>
        <w:rPr>
          <w:noProof/>
        </w:rPr>
        <w:t>g)</w:t>
      </w:r>
      <w:r>
        <w:rPr>
          <w:noProof/>
        </w:rPr>
        <w:tab/>
        <w:t>tanulmányok, kutatások, elemzések és felmérések; értékelések és hatásvizsgálatok; útmutatók, jelentések és oktatási anyagok kidolgozása és közzététele;</w:t>
      </w:r>
    </w:p>
    <w:p>
      <w:pPr>
        <w:pStyle w:val="Point0"/>
        <w:rPr>
          <w:noProof/>
        </w:rPr>
      </w:pPr>
      <w:r>
        <w:rPr>
          <w:noProof/>
        </w:rPr>
        <w:t>h)</w:t>
      </w:r>
      <w:r>
        <w:rPr>
          <w:noProof/>
        </w:rPr>
        <w:tab/>
        <w:t>kommunikációs projektek: oktatási, együttműködési, figyelemfelhívó és terjesztési tevékenységek, valamint a bevált gyakorlatok cseréje; figyelemfelhívó és tájékoztató kampányok, médiakampányok és események szervezése, az intézményi kommunikációt is beleértve;</w:t>
      </w:r>
    </w:p>
    <w:p>
      <w:pPr>
        <w:pStyle w:val="Point0"/>
        <w:rPr>
          <w:noProof/>
        </w:rPr>
      </w:pPr>
      <w:r>
        <w:rPr>
          <w:noProof/>
        </w:rPr>
        <w:t>i)</w:t>
      </w:r>
      <w:r>
        <w:rPr>
          <w:noProof/>
        </w:rPr>
        <w:tab/>
        <w:t>anyagok összeállítása és közzététele, információk terjesztése és a program eredményeinek megismertetése céljából; információs és kommunikációs technológiákat alkalmazó rendszerek és eszközök kifejlesztése, üzemeltetése és karbantartása;</w:t>
      </w:r>
    </w:p>
    <w:p>
      <w:pPr>
        <w:pStyle w:val="Point0"/>
        <w:rPr>
          <w:noProof/>
        </w:rPr>
      </w:pPr>
      <w:r>
        <w:rPr>
          <w:noProof/>
        </w:rPr>
        <w:t>j)</w:t>
      </w:r>
      <w:r>
        <w:rPr>
          <w:noProof/>
        </w:rPr>
        <w:tab/>
        <w:t>a 4. és az 5. cikkben meghatározott általános és konkrét célkitűzéseket elősegítő bármely egyéb tevékenység.</w:t>
      </w:r>
    </w:p>
    <w:p>
      <w:pPr>
        <w:pStyle w:val="Titrearticle"/>
        <w:rPr>
          <w:noProof/>
        </w:rPr>
      </w:pPr>
      <w:r>
        <w:rPr>
          <w:noProof/>
        </w:rPr>
        <w:t>7. cikk</w:t>
      </w:r>
      <w:r>
        <w:rPr>
          <w:noProof/>
        </w:rPr>
        <w:br/>
        <w:t>A támogatás iránti kérelem</w:t>
      </w:r>
    </w:p>
    <w:p>
      <w:pPr>
        <w:pStyle w:val="ManualNumPar1"/>
        <w:rPr>
          <w:noProof/>
        </w:rPr>
      </w:pPr>
      <w:r>
        <w:rPr>
          <w:noProof/>
        </w:rPr>
        <w:t>(1)</w:t>
      </w:r>
      <w:r>
        <w:rPr>
          <w:noProof/>
        </w:rPr>
        <w:tab/>
        <w:t>A program alapján támogatásban részesülni kívánó tagállam támogatás iránti kérelmet nyújt be a Bizottsághoz, amelyben meghatározza a támogatandó szakpolitikai területeket és prioritásokat a programnak az 5. cikk (2) bekezdésében meghatározott alkalmazási körén belül. Ezt a kérelmet legkésőbb az adott naptári év október 31-ig kell benyújtani.</w:t>
      </w:r>
    </w:p>
    <w:p>
      <w:pPr>
        <w:pStyle w:val="ManualNumPar1"/>
        <w:rPr>
          <w:noProof/>
        </w:rPr>
      </w:pPr>
      <w:r>
        <w:rPr>
          <w:noProof/>
        </w:rPr>
        <w:t>(2)</w:t>
      </w:r>
      <w:r>
        <w:rPr>
          <w:noProof/>
        </w:rPr>
        <w:tab/>
        <w:t>Az átláthatóság, az egyenlő bánásmód és a hatékony és eredményes pénzgazdálkodás elveit szem előtt tartva, a tagállammal – többek között az európai szemeszter keretében – folytatott párbeszédet követően a Bizottság elemzi az (1) bekezdésben említett, támogatás iránti kérelmet, a feltárt problémák sürgőssége, kiterjedtsége és mélysége, az érintett szakpolitikai területekkel kapcsolatos támogatási igény, a társadalmi-gazdasági mutatók elemzése és a tagállam általános igazgatási kapacitása alapján. Az uniós alapokból vagy más uniós programokból finanszírozott meglévő fellépéseket és intézkedéseket figyelembe véve, a Bizottság az érintett tagállamokkal szorosan együttműködve meghatározza a kiemelt támogatandó területeket, a nyújtandó támogatási intézkedések alkalmazási körét, és az e támogatáshoz nyújtott globális pénzügyi hozzájárulást.</w:t>
      </w:r>
    </w:p>
    <w:p>
      <w:pPr>
        <w:pStyle w:val="ManualNumPar1"/>
        <w:spacing w:after="200" w:line="276" w:lineRule="auto"/>
        <w:rPr>
          <w:noProof/>
        </w:rPr>
      </w:pPr>
      <w:r>
        <w:rPr>
          <w:noProof/>
        </w:rPr>
        <w:t>(3)</w:t>
      </w:r>
      <w:r>
        <w:rPr>
          <w:noProof/>
        </w:rPr>
        <w:tab/>
        <w:t>A támogatás iránti kérelem az alábbiak tekintetében nyújtható be:</w:t>
      </w:r>
    </w:p>
    <w:p>
      <w:pPr>
        <w:pStyle w:val="Point1"/>
        <w:rPr>
          <w:noProof/>
        </w:rPr>
      </w:pPr>
      <w:r>
        <w:rPr>
          <w:noProof/>
        </w:rPr>
        <w:t>a)</w:t>
      </w:r>
      <w:r>
        <w:rPr>
          <w:noProof/>
        </w:rPr>
        <w:tab/>
        <w:t>a gazdasági kormányzás folyamataiba illeszkedő reformok, különösen az európai szemeszter keretében kibocsátott vonatkozó országspecifikus ajánlások vagy az uniós jog végrehajtásával kapcsolatos vonatkozó intézkedések végrehajtása;</w:t>
      </w:r>
    </w:p>
    <w:p>
      <w:pPr>
        <w:pStyle w:val="Point1"/>
        <w:rPr>
          <w:noProof/>
        </w:rPr>
      </w:pPr>
      <w:r>
        <w:rPr>
          <w:noProof/>
        </w:rPr>
        <w:t>b)</w:t>
      </w:r>
      <w:r>
        <w:rPr>
          <w:noProof/>
        </w:rPr>
        <w:tab/>
        <w:t>az euróövezeti tagállamok esetében a 472/2013/EU európai parlamenti és tanácsi rendeletnek</w:t>
      </w:r>
      <w:r>
        <w:rPr>
          <w:rStyle w:val="FootnoteReference"/>
          <w:noProof/>
        </w:rPr>
        <w:footnoteReference w:id="24"/>
      </w:r>
      <w:r>
        <w:rPr>
          <w:noProof/>
        </w:rPr>
        <w:t>, a nem euróövezeti tagállamok esetében pedig a 332/2002/EK tanácsi rendeletnek</w:t>
      </w:r>
      <w:r>
        <w:rPr>
          <w:rStyle w:val="FootnoteReference"/>
          <w:noProof/>
        </w:rPr>
        <w:footnoteReference w:id="25"/>
      </w:r>
      <w:r>
        <w:rPr>
          <w:noProof/>
        </w:rPr>
        <w:t xml:space="preserve"> megfelelően, a meglévő eszközök alapján uniós pénzügyi támogatásban részesülő tagállamok gazdasági kiigazítási programjainak végrehajtása;</w:t>
      </w:r>
    </w:p>
    <w:p>
      <w:pPr>
        <w:pStyle w:val="Point1"/>
        <w:rPr>
          <w:noProof/>
        </w:rPr>
      </w:pPr>
      <w:r>
        <w:rPr>
          <w:noProof/>
        </w:rPr>
        <w:t>c)</w:t>
      </w:r>
      <w:r>
        <w:rPr>
          <w:noProof/>
        </w:rPr>
        <w:tab/>
        <w:t>a tagállamok saját kezdeményezésére, különösen a fenntartható beruházások, a gazdasági növekedés és a munkahelyteremtés megvalósítása céljából vállalt reformjainak végrehajtása.</w:t>
      </w:r>
    </w:p>
    <w:p>
      <w:pPr>
        <w:pStyle w:val="Titrearticle"/>
        <w:rPr>
          <w:noProof/>
        </w:rPr>
      </w:pPr>
      <w:r>
        <w:rPr>
          <w:noProof/>
        </w:rPr>
        <w:t>8. cikk</w:t>
      </w:r>
      <w:r>
        <w:rPr>
          <w:noProof/>
        </w:rPr>
        <w:br/>
        <w:t>A támogatás szervezése</w:t>
      </w:r>
    </w:p>
    <w:p>
      <w:pPr>
        <w:pStyle w:val="ManualNumPar1"/>
        <w:rPr>
          <w:noProof/>
        </w:rPr>
      </w:pPr>
      <w:r>
        <w:rPr>
          <w:noProof/>
        </w:rPr>
        <w:t>(1)</w:t>
      </w:r>
      <w:r>
        <w:rPr>
          <w:noProof/>
        </w:rPr>
        <w:tab/>
        <w:t>A Bizottság más tagállamokkal vagy nemzetközi szervezetekkel együttműködve állapíthatja meg a kedvezményezett tagállamok részére tervezett támogatást.</w:t>
      </w:r>
    </w:p>
    <w:p>
      <w:pPr>
        <w:pStyle w:val="ManualNumPar1"/>
        <w:rPr>
          <w:noProof/>
        </w:rPr>
      </w:pPr>
      <w:r>
        <w:rPr>
          <w:noProof/>
        </w:rPr>
        <w:t>(2)</w:t>
      </w:r>
      <w:r>
        <w:rPr>
          <w:noProof/>
        </w:rPr>
        <w:tab/>
        <w:t>A kedvezményezett tagállam a Bizottság koordinálásával partnerségi megállapodást köthet egy vagy több tagállammal, amelyek reformpartnerekként járnak el a konkrét reformterületek tekintetében. A reformpartner a Bizottság koordinálásával elősegíti a stratégia és a reformütemtervek kidolgozását, magas színvonalú segítségnyújtás megtervezését vagy a stratégia és a projektek végrehajtásának felügyeletét.</w:t>
      </w:r>
    </w:p>
    <w:p>
      <w:pPr>
        <w:pStyle w:val="Titrearticle"/>
        <w:rPr>
          <w:noProof/>
        </w:rPr>
      </w:pPr>
      <w:r>
        <w:rPr>
          <w:noProof/>
        </w:rPr>
        <w:t>9. cikk</w:t>
      </w:r>
      <w:r>
        <w:rPr>
          <w:noProof/>
        </w:rPr>
        <w:br/>
        <w:t>Pénzügyi keretösszeg</w:t>
      </w:r>
    </w:p>
    <w:p>
      <w:pPr>
        <w:pStyle w:val="ManualNumPar1"/>
        <w:rPr>
          <w:noProof/>
        </w:rPr>
      </w:pPr>
      <w:r>
        <w:rPr>
          <w:noProof/>
        </w:rPr>
        <w:t>(1)</w:t>
      </w:r>
      <w:r>
        <w:rPr>
          <w:noProof/>
        </w:rPr>
        <w:tab/>
        <w:t>A program végrehajtására biztosított pénzügyi keretösszeg legfeljebb 142 800 000 EUR.</w:t>
      </w:r>
    </w:p>
    <w:p>
      <w:pPr>
        <w:pStyle w:val="ManualNumPar1"/>
        <w:rPr>
          <w:noProof/>
        </w:rPr>
      </w:pPr>
      <w:r>
        <w:rPr>
          <w:noProof/>
        </w:rPr>
        <w:t>(2)</w:t>
      </w:r>
      <w:r>
        <w:rPr>
          <w:noProof/>
        </w:rPr>
        <w:tab/>
        <w:t>A program pénzügyi allokációja fedezheti a program irányításához és a program célkitűzéseinek megvalósításához szükséges előkészítő, nyomon követési, ellenőrzési és értékelési tevékenységekkel – különösen tanulmányokkal, szakértői ülésekkel, információs és kommunikációs fellépésekkel, többek között az Unió politikai prioritásaira vonatkozó intézményi kommunikációval – kapcsolatos kiadásokat, amennyiben azok kapcsolódnak e rendelet általános célkitűzéseihez, továbbá az információk feldolgozására és cseréjére összpontosító IT hálózatokkal kapcsolatos kiadásokat, valamint a program irányítása tekintetében a Bizottságnál felmerült minden egyéb technikai és igazgatási segítségnyújtási kiadást.</w:t>
      </w:r>
    </w:p>
    <w:p>
      <w:pPr>
        <w:pStyle w:val="ManualNumPar1"/>
        <w:rPr>
          <w:noProof/>
        </w:rPr>
      </w:pPr>
      <w:r>
        <w:rPr>
          <w:noProof/>
        </w:rPr>
        <w:t>(3)</w:t>
      </w:r>
      <w:r>
        <w:rPr>
          <w:noProof/>
        </w:rPr>
        <w:tab/>
        <w:t>A költségvetési hatóság az 1311/2013/EU, Euratom rendelettel létrehozott többéves pénzügyi keret korlátai között engedélyezi a rendelkezésre álló éves előirányzatokat.</w:t>
      </w:r>
    </w:p>
    <w:p>
      <w:pPr>
        <w:pStyle w:val="Titrearticle"/>
        <w:rPr>
          <w:noProof/>
        </w:rPr>
      </w:pPr>
      <w:r>
        <w:rPr>
          <w:noProof/>
        </w:rPr>
        <w:t>10. cikk</w:t>
      </w:r>
      <w:r>
        <w:rPr>
          <w:noProof/>
        </w:rPr>
        <w:br/>
        <w:t>A program költségvetéséhez való egyéb pénzügyi hozzájárulások</w:t>
      </w:r>
    </w:p>
    <w:p>
      <w:pPr>
        <w:pStyle w:val="ManualNumPar1"/>
        <w:rPr>
          <w:noProof/>
        </w:rPr>
      </w:pPr>
      <w:r>
        <w:rPr>
          <w:noProof/>
        </w:rPr>
        <w:t>(1)</w:t>
      </w:r>
      <w:r>
        <w:rPr>
          <w:noProof/>
        </w:rPr>
        <w:tab/>
        <w:t>A 9. cikkben meghatározott pénzügyi keretösszeg mellett a program a tagállamok kiegészítő hozzájárulásaiból is finanszírozható.</w:t>
      </w:r>
    </w:p>
    <w:p>
      <w:pPr>
        <w:pStyle w:val="ManualNumPar1"/>
        <w:ind w:left="855" w:hanging="855"/>
        <w:rPr>
          <w:noProof/>
        </w:rPr>
      </w:pPr>
      <w:r>
        <w:rPr>
          <w:noProof/>
        </w:rPr>
        <w:t>(2)</w:t>
      </w:r>
      <w:r>
        <w:rPr>
          <w:noProof/>
        </w:rPr>
        <w:tab/>
        <w:t>Az (1) bekezdésben említett kiegészítő hozzájárulásokat azok a hozzájárulások alkothatják, amelyeket az 1303/2013/EU rendelet 59. cikke alapján a tagállamok kezdeményezésére technikai segítségnyújtás céljából biztosított és az említett rendelet 25. cikke szerint átcsoportosított forrásokból bocsátanak rendelkezésre.</w:t>
      </w:r>
    </w:p>
    <w:p>
      <w:pPr>
        <w:pStyle w:val="ManualNumPar1"/>
        <w:rPr>
          <w:noProof/>
        </w:rPr>
      </w:pPr>
      <w:r>
        <w:rPr>
          <w:noProof/>
        </w:rPr>
        <w:t>(3)</w:t>
      </w:r>
      <w:r>
        <w:rPr>
          <w:noProof/>
        </w:rPr>
        <w:tab/>
        <w:t>Az (1) bekezdésben említett kiegészítő hozzájárulások olyan támogató intézkedésekre kell fordítani, amelyek elősegítik az intelligens, fenntartható és inkluzív növekedésre vonatkozó uniós stratégia megvalósítását. A kedvezményezett tagállam (2) bekezdés szerinti hozzájárulása kizárólag az adott tagállamban használható fel.</w:t>
      </w:r>
    </w:p>
    <w:p>
      <w:pPr>
        <w:pStyle w:val="Titrearticle"/>
        <w:rPr>
          <w:noProof/>
        </w:rPr>
      </w:pPr>
      <w:r>
        <w:rPr>
          <w:noProof/>
        </w:rPr>
        <w:t>11. cikk</w:t>
      </w:r>
      <w:r>
        <w:rPr>
          <w:noProof/>
        </w:rPr>
        <w:br/>
        <w:t>A kettős finanszírozás tilalma</w:t>
      </w:r>
    </w:p>
    <w:p>
      <w:pPr>
        <w:rPr>
          <w:noProof/>
        </w:rPr>
      </w:pPr>
      <w:r>
        <w:rPr>
          <w:noProof/>
        </w:rPr>
        <w:t>Az e rendelet alapján finanszírozott fellépések támogatásban részesülhetnek az uniós költségvetés szerinti más uniós programokból, eszközökből vagy alapokból, feltéve, hogy a támogatás nem ugyanazokat a költségtételeket fedezi.</w:t>
      </w:r>
    </w:p>
    <w:p>
      <w:pPr>
        <w:pStyle w:val="Titrearticle"/>
        <w:rPr>
          <w:noProof/>
        </w:rPr>
      </w:pPr>
      <w:r>
        <w:rPr>
          <w:noProof/>
        </w:rPr>
        <w:t>12. cikk</w:t>
      </w:r>
      <w:r>
        <w:rPr>
          <w:noProof/>
        </w:rPr>
        <w:br/>
        <w:t>A program végrehajtása</w:t>
      </w:r>
    </w:p>
    <w:p>
      <w:pPr>
        <w:pStyle w:val="ManualNumPar1"/>
        <w:rPr>
          <w:noProof/>
        </w:rPr>
      </w:pPr>
      <w:r>
        <w:rPr>
          <w:noProof/>
        </w:rPr>
        <w:t>(1)</w:t>
      </w:r>
      <w:r>
        <w:rPr>
          <w:noProof/>
        </w:rPr>
        <w:tab/>
        <w:t>A Bizottság a 966/2012/EU, Euratom rendeletnek megfelelően hajtja végre a programot.</w:t>
      </w:r>
    </w:p>
    <w:p>
      <w:pPr>
        <w:pStyle w:val="ManualNumPar1"/>
        <w:rPr>
          <w:noProof/>
        </w:rPr>
      </w:pPr>
      <w:r>
        <w:rPr>
          <w:noProof/>
        </w:rPr>
        <w:t>(2)</w:t>
      </w:r>
      <w:r>
        <w:rPr>
          <w:noProof/>
        </w:rPr>
        <w:tab/>
        <w:t>A program intézkedéseit vagy közvetlenül a Bizottság, vagy közvetetten a tagállamoktól eltérő szerv vagy személy hatja végre a 966/2012/EU, Euratom rendelet 60. cikkével összhangban. Az e rendelet 6. cikkében foglalt fellépések uniós pénzügyi támogatása az alábbi formában történik:</w:t>
      </w:r>
    </w:p>
    <w:p>
      <w:pPr>
        <w:pStyle w:val="Point1"/>
        <w:rPr>
          <w:noProof/>
        </w:rPr>
      </w:pPr>
      <w:r>
        <w:rPr>
          <w:noProof/>
        </w:rPr>
        <w:t>a)</w:t>
      </w:r>
      <w:r>
        <w:rPr>
          <w:noProof/>
        </w:rPr>
        <w:tab/>
        <w:t>vissza nem térítendő támogatás (többek között a tagállamok nemzeti hatóságai javára nyújtott támogatások is);</w:t>
      </w:r>
    </w:p>
    <w:p>
      <w:pPr>
        <w:pStyle w:val="Point1"/>
        <w:rPr>
          <w:noProof/>
        </w:rPr>
      </w:pPr>
      <w:r>
        <w:rPr>
          <w:noProof/>
        </w:rPr>
        <w:t>b)</w:t>
      </w:r>
      <w:r>
        <w:rPr>
          <w:noProof/>
        </w:rPr>
        <w:tab/>
        <w:t>közbeszerzési szerződések;</w:t>
      </w:r>
    </w:p>
    <w:p>
      <w:pPr>
        <w:pStyle w:val="Point1"/>
        <w:rPr>
          <w:noProof/>
        </w:rPr>
      </w:pPr>
      <w:r>
        <w:rPr>
          <w:noProof/>
        </w:rPr>
        <w:t>c)</w:t>
      </w:r>
      <w:r>
        <w:rPr>
          <w:noProof/>
        </w:rPr>
        <w:tab/>
        <w:t>külső szakértőknél felmerült költségek megtérítése;</w:t>
      </w:r>
    </w:p>
    <w:p>
      <w:pPr>
        <w:pStyle w:val="Point1"/>
        <w:rPr>
          <w:noProof/>
        </w:rPr>
      </w:pPr>
      <w:r>
        <w:rPr>
          <w:noProof/>
        </w:rPr>
        <w:t>d)</w:t>
      </w:r>
      <w:r>
        <w:rPr>
          <w:noProof/>
        </w:rPr>
        <w:tab/>
        <w:t>vagyonkezelői alapokhoz való hozzájárulások;</w:t>
      </w:r>
    </w:p>
    <w:p>
      <w:pPr>
        <w:pStyle w:val="Point1"/>
        <w:rPr>
          <w:noProof/>
        </w:rPr>
      </w:pPr>
      <w:r>
        <w:rPr>
          <w:noProof/>
        </w:rPr>
        <w:t>e)</w:t>
      </w:r>
      <w:r>
        <w:rPr>
          <w:noProof/>
        </w:rPr>
        <w:tab/>
        <w:t>közvetett irányítás keretében végrehajtott intézkedések.</w:t>
      </w:r>
    </w:p>
    <w:p>
      <w:pPr>
        <w:pStyle w:val="ManualNumPar1"/>
        <w:rPr>
          <w:noProof/>
        </w:rPr>
      </w:pPr>
      <w:r>
        <w:rPr>
          <w:noProof/>
        </w:rPr>
        <w:t>(3)</w:t>
      </w:r>
      <w:r>
        <w:rPr>
          <w:noProof/>
        </w:rPr>
        <w:tab/>
        <w:t>Vissza nem térítendő támogatás a tagállamok nemzeti hatóságai, az Európai Beruházási Bank csoportja, nemzetközi szervezetek, valamint az alábbiak bármelyikének területén jogszerűen letelepedett állami és/vagy magán szervezetek és jogalanyok számára ítélhető oda:</w:t>
      </w:r>
    </w:p>
    <w:p>
      <w:pPr>
        <w:pStyle w:val="Point1"/>
        <w:rPr>
          <w:noProof/>
        </w:rPr>
      </w:pPr>
      <w:r>
        <w:rPr>
          <w:noProof/>
        </w:rPr>
        <w:t>a)</w:t>
      </w:r>
      <w:r>
        <w:rPr>
          <w:noProof/>
        </w:rPr>
        <w:tab/>
        <w:t xml:space="preserve"> tagállamok;</w:t>
      </w:r>
    </w:p>
    <w:p>
      <w:pPr>
        <w:pStyle w:val="Point1"/>
        <w:rPr>
          <w:noProof/>
        </w:rPr>
      </w:pPr>
      <w:r>
        <w:rPr>
          <w:noProof/>
        </w:rPr>
        <w:t>b)</w:t>
      </w:r>
      <w:r>
        <w:rPr>
          <w:noProof/>
        </w:rPr>
        <w:tab/>
        <w:t>az Európai Gazdasági Térségről szóló megállapodásban részes EFTA-országok, az EGT-megállapodásban foglalt feltételeknek megfelelően.</w:t>
      </w:r>
    </w:p>
    <w:p>
      <w:pPr>
        <w:pStyle w:val="ManualNumPar1"/>
        <w:ind w:firstLine="0"/>
        <w:rPr>
          <w:noProof/>
        </w:rPr>
      </w:pPr>
      <w:r>
        <w:rPr>
          <w:noProof/>
        </w:rPr>
        <w:t>A vissza nem térítendő támogatások társfinanszírozási rátája az elszámolható költségek legfeljebb 100 %-a, a társfinanszírozási és a nonprofit elv sérelme nélkül.</w:t>
      </w:r>
    </w:p>
    <w:p>
      <w:pPr>
        <w:pStyle w:val="ManualNumPar1"/>
        <w:rPr>
          <w:noProof/>
        </w:rPr>
      </w:pPr>
      <w:r>
        <w:rPr>
          <w:noProof/>
        </w:rPr>
        <w:t>(4)</w:t>
      </w:r>
      <w:r>
        <w:rPr>
          <w:noProof/>
        </w:rPr>
        <w:tab/>
        <w:t>A támogatás egyéni szakértők révén is nyújtható, akiket felkérhetnek arra, hogy segítsék elő a program keretében szervezett, kiválasztott tevékenységeket, amennyiben ez az 5. cikkben meghatározott konkrét célkitűzések megvalósításához szükséges.</w:t>
      </w:r>
    </w:p>
    <w:p>
      <w:pPr>
        <w:pStyle w:val="ManualNumPar1"/>
        <w:rPr>
          <w:noProof/>
        </w:rPr>
      </w:pPr>
      <w:r>
        <w:rPr>
          <w:noProof/>
        </w:rPr>
        <w:t>(5)</w:t>
      </w:r>
      <w:r>
        <w:rPr>
          <w:noProof/>
        </w:rPr>
        <w:tab/>
        <w:t>A program végrehajtása érdekében a Bizottság végrehajtási aktusok útján többéves munkaprogramokat fogad el. A többéves munkaprogramok meghatározzák a tervezett támogatás révén megvalósítandó szakpolitikai célokat és a várható eredményeket, valamint az érintett szakpolitikai területek finanszírozási prioritásait. A többéves munkaprogramokat végrehajtási aktusok útján elfogadott éves munkaprogramokban kell tovább pontosítani, amelyek a 966/2012/EU, Euratom rendeletben előírt összes elemmel együtt meghatározzák a végrehajtásukhoz szükséges intézkedéseket.</w:t>
      </w:r>
    </w:p>
    <w:p>
      <w:pPr>
        <w:pStyle w:val="ManualNumPar1"/>
        <w:rPr>
          <w:noProof/>
        </w:rPr>
      </w:pPr>
      <w:r>
        <w:rPr>
          <w:noProof/>
        </w:rPr>
        <w:t>(6)</w:t>
      </w:r>
      <w:r>
        <w:rPr>
          <w:noProof/>
        </w:rPr>
        <w:tab/>
        <w:t>A források kellő időben történő rendelkezésre állása céljából az éves munkaprogram feltüntetheti, hogy azonnali reagálást igénylő, előreláthatatlan és megfelelően indokolt sürgős esetekben, többek között a gazdaság súlyos zavara, vagy az adott tagállam gazdasági vagy társadalmi feltételeit súlyosan érintő és általa nem befolyásolható lényeges körülmény esetén a Bizottság egy tagállam kérésére különleges intézkedéseket fogadhat el az e rendeletben meghatározott célkitűzéseknek és fellépéseknek megfelelően, hogy támogatást nyújtson a nemzeti hatóságoknak a sürgős szükségletek kezeléséhez. E különleges intézkedések csupán az éves munkaprogram korlátozott hányadára vonatkozhatnak, és nem tartoznak a 7. cikkben meghatározott feltételek hatálya alá.</w:t>
      </w:r>
    </w:p>
    <w:p>
      <w:pPr>
        <w:pStyle w:val="Titrearticle"/>
        <w:rPr>
          <w:noProof/>
        </w:rPr>
      </w:pPr>
      <w:r>
        <w:rPr>
          <w:noProof/>
        </w:rPr>
        <w:t>13. cikk</w:t>
      </w:r>
      <w:r>
        <w:rPr>
          <w:noProof/>
        </w:rPr>
        <w:br/>
        <w:t>Koordináció és kiegészítő jelleg</w:t>
      </w:r>
    </w:p>
    <w:p>
      <w:pPr>
        <w:pStyle w:val="ManualNumPar1"/>
        <w:ind w:left="0" w:firstLine="0"/>
        <w:rPr>
          <w:noProof/>
        </w:rPr>
      </w:pPr>
      <w:r>
        <w:rPr>
          <w:noProof/>
        </w:rPr>
        <w:t>A Bizottság és a kedvezményezett tagállamok – megfelelő felelősségi területükön belül – elősegítik a szinergiákat, és gondoskodnak a program, illetve más uniós programok és eszközök, különösen az uniós alapokból finanszírozott intézkedések közötti hatékony koordinációról. Ennek érdekében:</w:t>
      </w:r>
    </w:p>
    <w:p>
      <w:pPr>
        <w:pStyle w:val="Point0"/>
        <w:rPr>
          <w:noProof/>
        </w:rPr>
      </w:pPr>
      <w:r>
        <w:rPr>
          <w:noProof/>
        </w:rPr>
        <w:t>a)</w:t>
      </w:r>
      <w:r>
        <w:rPr>
          <w:noProof/>
        </w:rPr>
        <w:tab/>
        <w:t>biztosítják a kiegészítő jelleget és a szinergiát a különböző uniós és nemzeti szintű eszközök között, különösen az uniós alapokból finanszírozott intézkedések tekintetében, a tervezési szakaszban és a végrehajtás során egyaránt;</w:t>
      </w:r>
    </w:p>
    <w:p>
      <w:pPr>
        <w:pStyle w:val="Point0"/>
        <w:rPr>
          <w:noProof/>
        </w:rPr>
      </w:pPr>
      <w:r>
        <w:rPr>
          <w:noProof/>
        </w:rPr>
        <w:t>b)</w:t>
      </w:r>
      <w:r>
        <w:rPr>
          <w:noProof/>
        </w:rPr>
        <w:tab/>
        <w:t>optimalizálják a párhuzamos erőfeszítések elkerülésére szolgáló koordinációs mechanizmusokat;</w:t>
      </w:r>
    </w:p>
    <w:p>
      <w:pPr>
        <w:pStyle w:val="Point0"/>
        <w:rPr>
          <w:noProof/>
        </w:rPr>
      </w:pPr>
      <w:r>
        <w:rPr>
          <w:noProof/>
        </w:rPr>
        <w:t>c)</w:t>
      </w:r>
      <w:r>
        <w:rPr>
          <w:noProof/>
        </w:rPr>
        <w:tab/>
        <w:t>biztosítják a szoros együttműködést a végrehajtás uniós és nemzeti szintű felelősei között, hogy koherens és egyszerűsített támogató intézkedéseket végezzenek.</w:t>
      </w:r>
    </w:p>
    <w:p>
      <w:pPr>
        <w:pStyle w:val="ManualNumPar1"/>
        <w:ind w:left="0" w:firstLine="0"/>
        <w:rPr>
          <w:noProof/>
        </w:rPr>
      </w:pPr>
      <w:r>
        <w:rPr>
          <w:noProof/>
        </w:rPr>
        <w:t>A vonatkozó többéves és éves munkaprogramok koordinációs keretként szolgálhatnak, amennyiben támogatást terveznek az 5. cikk (2) bekezdésében említett valamelyik területen.</w:t>
      </w:r>
    </w:p>
    <w:p>
      <w:pPr>
        <w:pStyle w:val="Titrearticle"/>
        <w:spacing w:before="240"/>
        <w:rPr>
          <w:noProof/>
        </w:rPr>
      </w:pPr>
      <w:r>
        <w:rPr>
          <w:noProof/>
        </w:rPr>
        <w:t>14. cikk</w:t>
      </w:r>
      <w:r>
        <w:rPr>
          <w:noProof/>
        </w:rPr>
        <w:br/>
        <w:t>Az Unió pénzügyi érdekeinek védelme</w:t>
      </w:r>
    </w:p>
    <w:p>
      <w:pPr>
        <w:pStyle w:val="ManualNumPar1"/>
        <w:rPr>
          <w:noProof/>
        </w:rPr>
      </w:pPr>
      <w:r>
        <w:rPr>
          <w:noProof/>
        </w:rPr>
        <w:t>(1)</w:t>
      </w:r>
      <w:r>
        <w:rPr>
          <w:noProof/>
        </w:rPr>
        <w:tab/>
        <w:t>A Bizottság megfelelő intézkedésekkel – csalás, korrupció és más jogellenes cselekmények elleni megelőző intézkedésekkel, tényleges ellenőrzésekkel, szabálytalanság feltárása esetén a jogtalanul kifizetett összegek visszafizettetésével, valamint szükség esetén hatékony, arányos és visszatartó erejű szankciókkal – biztosítja, hogy az Európai Unió pénzügyi érdekei az e rendelet alapján finanszírozott intézkedések végrehajtása során ne sérüljenek.</w:t>
      </w:r>
    </w:p>
    <w:p>
      <w:pPr>
        <w:pStyle w:val="ManualNumPar1"/>
        <w:rPr>
          <w:noProof/>
        </w:rPr>
      </w:pPr>
      <w:r>
        <w:rPr>
          <w:noProof/>
        </w:rPr>
        <w:t>(2)</w:t>
      </w:r>
      <w:r>
        <w:rPr>
          <w:noProof/>
        </w:rPr>
        <w:tab/>
        <w:t>A Bizottság vagy képviselői, valamint a Számvevőszék a dokumentumok alapján és a helyszínen történő ellenőrzési hatáskörrel rendelkezik a vissza nem térítendő támogatások kedvezményezettjei, valamint a program alapján uniós forrásokból részesülő kivitelezők és alvállalkozók felett.</w:t>
      </w:r>
    </w:p>
    <w:p>
      <w:pPr>
        <w:pStyle w:val="Text1"/>
        <w:rPr>
          <w:noProof/>
        </w:rPr>
      </w:pPr>
      <w:r>
        <w:rPr>
          <w:noProof/>
        </w:rPr>
        <w:t>Az Európai Csalás Elleni Hivatal (OLAF) jogosult az ilyen finanszírozás által közvetlenül vagy közvetetten érintett gazdasági szereplőknél a 2185/96/Euratom, EK tanácsi rendeletben</w:t>
      </w:r>
      <w:r>
        <w:rPr>
          <w:rStyle w:val="FootnoteReference"/>
          <w:noProof/>
        </w:rPr>
        <w:footnoteReference w:id="26"/>
      </w:r>
      <w:r>
        <w:rPr>
          <w:noProof/>
        </w:rPr>
        <w:t xml:space="preserve"> előírt eljárásoknak megfelelően helyszíni ellenőrzéseket és vizsgálatokat végezni annak megállapítására, hogy történt-e az uniós finanszírozásra vonatkozó támogatási megállapodással, támogatási határozattal vagy szerződéssel összefüggésben olyan csalás, korrupciós vagy más jogellenes cselekmény, amely az Unió pénzügyi érdekeit sérti.</w:t>
      </w:r>
    </w:p>
    <w:p>
      <w:pPr>
        <w:pStyle w:val="Text1"/>
        <w:rPr>
          <w:noProof/>
        </w:rPr>
      </w:pPr>
      <w:r>
        <w:rPr>
          <w:noProof/>
        </w:rPr>
        <w:t>Az első és második albekezdés sérelme nélkül az e rendelet végrehajtása keretében nemzetközi szervezetekkel kötött együttműködési megállapodásokban, az e rendelet végrehajtása keretében létrejött támogatási megállapodásokban, támogatási határozatokban és szerződésekben kifejezetten rendelkezni kell arról, hogy a Bizottság, a Számvevőszék és az OLAF elvégezheti az említett helyszíni és egyéb ellenőrzéseket és vizsgálatokat.</w:t>
      </w:r>
    </w:p>
    <w:p>
      <w:pPr>
        <w:pStyle w:val="Titrearticle"/>
        <w:spacing w:before="240"/>
        <w:rPr>
          <w:noProof/>
        </w:rPr>
      </w:pPr>
      <w:r>
        <w:rPr>
          <w:noProof/>
        </w:rPr>
        <w:t>15. cikk</w:t>
      </w:r>
      <w:r>
        <w:rPr>
          <w:noProof/>
        </w:rPr>
        <w:br/>
        <w:t>Nyomon követés és értékelés</w:t>
      </w:r>
    </w:p>
    <w:p>
      <w:pPr>
        <w:pStyle w:val="ManualNumPar1"/>
        <w:rPr>
          <w:noProof/>
        </w:rPr>
      </w:pPr>
      <w:r>
        <w:rPr>
          <w:noProof/>
        </w:rPr>
        <w:t>(1)</w:t>
      </w:r>
      <w:r>
        <w:rPr>
          <w:noProof/>
        </w:rPr>
        <w:tab/>
        <w:t>A Bizottság nyomon követi a programból finanszírozott fellépések végrehajtását, valamint a mellékletben foglalt mutatóknak megfelelően méri az 5. cikk (1) bekezdésében említett konkrét célkitűzések megvalósulását.</w:t>
      </w:r>
    </w:p>
    <w:p>
      <w:pPr>
        <w:pStyle w:val="Point1"/>
        <w:ind w:left="850" w:firstLine="0"/>
        <w:rPr>
          <w:noProof/>
        </w:rPr>
      </w:pPr>
      <w:r>
        <w:rPr>
          <w:noProof/>
        </w:rPr>
        <w:t>A Bizottság felhatalmazást kap arra, hogy a 16. cikknek megfelelően felhatalmazáson alapuló jogi aktusokat fogadjon el a mellékletben foglalt mutatók listájának módosításai tekintetében.</w:t>
      </w:r>
    </w:p>
    <w:p>
      <w:pPr>
        <w:pStyle w:val="ManualNumPar1"/>
        <w:rPr>
          <w:noProof/>
        </w:rPr>
      </w:pPr>
      <w:r>
        <w:rPr>
          <w:noProof/>
        </w:rPr>
        <w:t>(2)</w:t>
      </w:r>
      <w:r>
        <w:rPr>
          <w:noProof/>
        </w:rPr>
        <w:tab/>
        <w:t>A Bizottság időközi értékelő jelentést nyújt be az Európai Parlamentnek és a Tanácsnak legkésőbb 2019 közepéig, majd egy utólagos értékelő jelentést 2021. december végéig.</w:t>
      </w:r>
    </w:p>
    <w:p>
      <w:pPr>
        <w:pStyle w:val="ManualNumPar1"/>
        <w:rPr>
          <w:noProof/>
        </w:rPr>
      </w:pPr>
      <w:r>
        <w:rPr>
          <w:noProof/>
        </w:rPr>
        <w:t>(3)</w:t>
      </w:r>
      <w:r>
        <w:rPr>
          <w:noProof/>
        </w:rPr>
        <w:tab/>
        <w:t>Az időközi értékelő jelentés a program célkitűzéseinek megvalósítására, a források felhasználásának hatékonyságára, valamint a program által nyújtott európai hozzáadott értékre vonatkozó információkat, és arra vonatkozó értékelést tartalmaz, hogy a program alkalmazási körébe tartozó területeken biztosított finanszírozást ki kell-e igazítani vagy meg kell-e hosszabbítani 2020 utánra is. Az időközi jelentés azzal is foglalkozik, hogy továbbra is releváns-e mindegyik célkitűzés és fellépés. Az utólagos értékelési jelentés információkat tartalmaz a program hosszabb távú hatásáról.</w:t>
      </w:r>
    </w:p>
    <w:p>
      <w:pPr>
        <w:pStyle w:val="Titrearticle"/>
        <w:spacing w:before="240"/>
        <w:rPr>
          <w:noProof/>
        </w:rPr>
      </w:pPr>
      <w:r>
        <w:rPr>
          <w:noProof/>
        </w:rPr>
        <w:t>16. cikk</w:t>
      </w:r>
      <w:r>
        <w:rPr>
          <w:noProof/>
        </w:rPr>
        <w:br/>
        <w:t>A felhatalmazás gyakorlása</w:t>
      </w:r>
    </w:p>
    <w:p>
      <w:pPr>
        <w:pStyle w:val="ManualNumPar1"/>
        <w:spacing w:before="60" w:after="60"/>
        <w:rPr>
          <w:noProof/>
        </w:rPr>
      </w:pPr>
      <w:r>
        <w:rPr>
          <w:noProof/>
        </w:rPr>
        <w:t>(1)</w:t>
      </w:r>
      <w:r>
        <w:rPr>
          <w:noProof/>
        </w:rPr>
        <w:tab/>
        <w:t>A felhatalmazáson alapuló jogi aktusok elfogadására vonatkozóan a Bizottság részére adott felhatalmazás feltételeit ez a cikk határozza meg.</w:t>
      </w:r>
    </w:p>
    <w:p>
      <w:pPr>
        <w:pStyle w:val="ManualNumPar1"/>
        <w:spacing w:before="60" w:after="60"/>
        <w:rPr>
          <w:noProof/>
        </w:rPr>
      </w:pPr>
      <w:r>
        <w:rPr>
          <w:noProof/>
        </w:rPr>
        <w:t>(2)</w:t>
      </w:r>
      <w:r>
        <w:rPr>
          <w:noProof/>
        </w:rPr>
        <w:tab/>
        <w:t>A Bizottság a 15. cikk (1) bekezdésének második albekezdésében említett, felhatalmazáson alapuló jogi aktus elfogadására vonatkozó felhatalmazása négy éves időtartamra szól 2017. január 1-jétől kezdődő hatállyal.</w:t>
      </w:r>
    </w:p>
    <w:p>
      <w:pPr>
        <w:pStyle w:val="ManualNumPar1"/>
        <w:spacing w:before="60" w:after="60"/>
        <w:rPr>
          <w:noProof/>
        </w:rPr>
      </w:pPr>
      <w:r>
        <w:rPr>
          <w:noProof/>
        </w:rPr>
        <w:t>(3)</w:t>
      </w:r>
      <w:r>
        <w:rPr>
          <w:noProof/>
        </w:rPr>
        <w:tab/>
        <w:t>Az Európai Parlament vagy a Tanács bármikor visszavonhatja a 15. cikk (1) bekezdésének második albekezdésében említett felhatalmazást. A visszavonásról szóló határozat megszünteti az abban meghatározott felhatalmazást. A határozat az Európai Unió Hivatalos Lapjában való kihirdetést követő napon, vagy a benne megjelölt későbbi időpontban lép hatályba. A határozat nem érinti a már hatályban lévő felhatalmazáson alapuló jogi aktusok érvényességét.</w:t>
      </w:r>
    </w:p>
    <w:p>
      <w:pPr>
        <w:pStyle w:val="ManualNumPar1"/>
        <w:spacing w:before="60" w:after="60"/>
        <w:rPr>
          <w:noProof/>
        </w:rPr>
      </w:pPr>
      <w:r>
        <w:rPr>
          <w:noProof/>
        </w:rPr>
        <w:t>(4)</w:t>
      </w:r>
      <w:r>
        <w:rPr>
          <w:noProof/>
        </w:rPr>
        <w:tab/>
        <w:t>A Bizottság a felhatalmazáson alapuló jogi aktus elfogadását követően haladéktalanul és egyidejűleg értesíti arról az Európai Parlamentet és a Tanácsot.</w:t>
      </w:r>
    </w:p>
    <w:p>
      <w:pPr>
        <w:pStyle w:val="ManualNumPar1"/>
        <w:rPr>
          <w:noProof/>
        </w:rPr>
      </w:pPr>
      <w:r>
        <w:rPr>
          <w:noProof/>
        </w:rPr>
        <w:t>(5)</w:t>
      </w:r>
      <w:r>
        <w:rPr>
          <w:noProof/>
        </w:rPr>
        <w:tab/>
        <w:t>A 15. cikk (1) bekezdésének második albekezdése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Titrearticle"/>
        <w:spacing w:before="240"/>
        <w:rPr>
          <w:noProof/>
        </w:rPr>
      </w:pPr>
      <w:r>
        <w:rPr>
          <w:noProof/>
        </w:rPr>
        <w:t>17. cikk</w:t>
      </w:r>
      <w:r>
        <w:rPr>
          <w:noProof/>
        </w:rPr>
        <w:br/>
        <w:t>Az 1303/2013/EU rendelet módosításai</w:t>
      </w:r>
    </w:p>
    <w:p>
      <w:pPr>
        <w:rPr>
          <w:noProof/>
        </w:rPr>
      </w:pPr>
      <w:r>
        <w:rPr>
          <w:noProof/>
        </w:rPr>
        <w:t>Az 1303/2013/EU rendelet a következőképpen módosul:</w:t>
      </w:r>
    </w:p>
    <w:p>
      <w:pPr>
        <w:rPr>
          <w:noProof/>
        </w:rPr>
      </w:pPr>
      <w:r>
        <w:rPr>
          <w:noProof/>
        </w:rPr>
        <w:t>1.</w:t>
      </w:r>
      <w:r>
        <w:rPr>
          <w:noProof/>
        </w:rPr>
        <w:tab/>
        <w:t>A 25. cikk a következőképpen módosul:</w:t>
      </w:r>
    </w:p>
    <w:p>
      <w:pPr>
        <w:ind w:firstLine="720"/>
        <w:rPr>
          <w:noProof/>
        </w:rPr>
      </w:pPr>
      <w:r>
        <w:rPr>
          <w:noProof/>
        </w:rPr>
        <w:t>a) a cím helyébe a következő szöveg lép:</w:t>
      </w:r>
    </w:p>
    <w:p>
      <w:pPr>
        <w:ind w:firstLine="720"/>
        <w:rPr>
          <w:noProof/>
        </w:rPr>
      </w:pPr>
      <w:r>
        <w:rPr>
          <w:noProof/>
        </w:rPr>
        <w:t>„A tagállamok számára nyújtott technikai segítségnyújtás igazgatása”;</w:t>
      </w:r>
    </w:p>
    <w:p>
      <w:pPr>
        <w:ind w:firstLine="720"/>
        <w:rPr>
          <w:noProof/>
        </w:rPr>
      </w:pPr>
      <w:r>
        <w:rPr>
          <w:noProof/>
        </w:rPr>
        <w:t>b) az (1) bekezdés helyébe a következő szöveg lép:</w:t>
      </w:r>
    </w:p>
    <w:p>
      <w:pPr>
        <w:pStyle w:val="ti-art"/>
        <w:ind w:left="720"/>
        <w:jc w:val="both"/>
        <w:rPr>
          <w:noProof/>
        </w:rPr>
      </w:pPr>
      <w:r>
        <w:rPr>
          <w:noProof/>
        </w:rPr>
        <w:t>„(1) Egy tagállamnak az (EU) 2015/XXX európai parlamenti és tanácsi rendelet (*) 10. cikke szerinti kérésére az 59. cikkben előírt és az alapspecifikus szabályokkal összhangban programozott források egy része a Bizottsággal egyetértésben és a Bizottság kezdeményezésére az e rendelet 58. cikke (1) bekezdése harmadik albekezdésének l) pontjával összhangban átcsoportosítható technikai segítségnyújtás céljából az érintett tagállammal kapcsolatos intézkedések közvetlen vagy közvetett igazgatás révén történő végrehajtására.”</w:t>
      </w:r>
    </w:p>
    <w:p>
      <w:pPr>
        <w:pStyle w:val="ti-art"/>
        <w:ind w:left="720"/>
        <w:jc w:val="both"/>
        <w:rPr>
          <w:noProof/>
        </w:rPr>
      </w:pPr>
      <w:r>
        <w:rPr>
          <w:noProof/>
        </w:rPr>
        <w:t>(*) HL […]”</w:t>
      </w:r>
    </w:p>
    <w:p>
      <w:pPr>
        <w:ind w:firstLine="720"/>
        <w:rPr>
          <w:noProof/>
        </w:rPr>
      </w:pPr>
      <w:r>
        <w:rPr>
          <w:noProof/>
        </w:rPr>
        <w:t>c) a (3) bekezdés első albekezdése helyébe a következő szöveg lép:</w:t>
      </w:r>
    </w:p>
    <w:p>
      <w:pPr>
        <w:pStyle w:val="Normal1"/>
        <w:ind w:left="720"/>
        <w:jc w:val="both"/>
        <w:rPr>
          <w:noProof/>
        </w:rPr>
      </w:pPr>
      <w:r>
        <w:rPr>
          <w:noProof/>
        </w:rPr>
        <w:t>„A tagállam az (1) bekezdésben említett átcsoportosítást azon naptári év január 31-ig kéri, amely évben az átcsoportosítást végre kell hajtani. A kérelemhez egy azon program vagy programok módosítására irányuló javaslatot kell fűzni, amelyből vagy amelyekből az átcsoportosítás végrehajtásra kerül. A 30. cikk (2) bekezdése értelmében ennek megfelelő módosításokat kell végrehajtani a partnerségi megállapodásban is, amelynek meg kell állapítania az évente a Bizottsághoz átcsoportosított teljes összeget.”;</w:t>
      </w:r>
    </w:p>
    <w:p>
      <w:pPr>
        <w:ind w:firstLine="720"/>
        <w:rPr>
          <w:noProof/>
        </w:rPr>
      </w:pPr>
      <w:r>
        <w:rPr>
          <w:noProof/>
        </w:rPr>
        <w:t>d) a szöveg a következő (4) bekezdéssel egészül ki:</w:t>
      </w:r>
    </w:p>
    <w:p>
      <w:pPr>
        <w:ind w:left="720"/>
        <w:rPr>
          <w:noProof/>
        </w:rPr>
      </w:pPr>
      <w:r>
        <w:rPr>
          <w:noProof/>
        </w:rPr>
        <w:t>„(4) A tagállamok által az (1) bekezdésnek megfelelően átcsoportosított források a 136. cikkben foglalt, kötelezettségvállalások visszavonására vonatkozó szabályok hatálya alá tartoznak.”;</w:t>
      </w:r>
    </w:p>
    <w:p>
      <w:pPr>
        <w:ind w:left="720" w:hanging="720"/>
        <w:rPr>
          <w:noProof/>
        </w:rPr>
      </w:pPr>
      <w:r>
        <w:rPr>
          <w:noProof/>
        </w:rPr>
        <w:t>2.</w:t>
      </w:r>
      <w:r>
        <w:rPr>
          <w:noProof/>
        </w:rPr>
        <w:tab/>
        <w:t>az 58. cikk (1) bekezdése harmadik albekezdésének l) pontja helyébe a következő szöveg lép:</w:t>
      </w:r>
    </w:p>
    <w:p>
      <w:pPr>
        <w:pStyle w:val="Text1"/>
        <w:ind w:left="720"/>
        <w:rPr>
          <w:noProof/>
        </w:rPr>
      </w:pPr>
      <w:r>
        <w:rPr>
          <w:noProof/>
        </w:rPr>
        <w:t>„l)</w:t>
      </w:r>
      <w:r>
        <w:rPr>
          <w:noProof/>
        </w:rPr>
        <w:tab/>
        <w:t>az (EU) 2015/XXX rendelet értelmében finanszírozott intézkedések, az intelligens, fenntartható és inkluzív növekedésre vonatkozó uniós stratégia megvalósításának elősegítése érdekében.”;</w:t>
      </w:r>
    </w:p>
    <w:p>
      <w:pPr>
        <w:rPr>
          <w:noProof/>
        </w:rPr>
      </w:pPr>
      <w:r>
        <w:rPr>
          <w:noProof/>
        </w:rPr>
        <w:t>3.</w:t>
      </w:r>
      <w:r>
        <w:rPr>
          <w:noProof/>
        </w:rPr>
        <w:tab/>
        <w:t>a 91. cikk (3) bekezdése helyébe a következő szöveg lép:</w:t>
      </w:r>
    </w:p>
    <w:p>
      <w:pPr>
        <w:autoSpaceDE w:val="0"/>
        <w:autoSpaceDN w:val="0"/>
        <w:adjustRightInd w:val="0"/>
        <w:spacing w:after="0"/>
        <w:ind w:left="720"/>
        <w:rPr>
          <w:noProof/>
        </w:rPr>
      </w:pPr>
      <w:r>
        <w:rPr>
          <w:noProof/>
        </w:rPr>
        <w:t>„(3) A globális források 0,35 %-át – a 92. cikk (6) bekezdésében említett Európai Hálózatfinanszírozási Eszközhöz nyújtott támogatás és a 92. cikk (7) bekezdésében említett, a leginkább rászoruló személyek számára nyújtott támogatás levonását követően – a Bizottság kezdeményezésére technikai segítségnyújtásra kell fordítani, amelyből legfeljebb 112 233 000 EUR-t a strukturálisreform-támogató program számára kell elkülöníteni, az említett program alkalmazási körének és céljának keretei közötti felhasználásra.”.</w:t>
      </w:r>
    </w:p>
    <w:p>
      <w:pPr>
        <w:autoSpaceDE w:val="0"/>
        <w:autoSpaceDN w:val="0"/>
        <w:adjustRightInd w:val="0"/>
        <w:spacing w:after="0"/>
        <w:rPr>
          <w:noProof/>
        </w:rPr>
      </w:pPr>
    </w:p>
    <w:p>
      <w:pPr>
        <w:pStyle w:val="Titrearticle"/>
        <w:spacing w:before="120"/>
        <w:rPr>
          <w:noProof/>
        </w:rPr>
      </w:pPr>
      <w:r>
        <w:rPr>
          <w:noProof/>
        </w:rPr>
        <w:t>18. cikk</w:t>
      </w:r>
      <w:r>
        <w:rPr>
          <w:noProof/>
        </w:rPr>
        <w:br/>
        <w:t>Az 1305/2013/EU rendelet módosítása</w:t>
      </w:r>
    </w:p>
    <w:p>
      <w:pPr>
        <w:rPr>
          <w:noProof/>
        </w:rPr>
      </w:pPr>
      <w:r>
        <w:rPr>
          <w:noProof/>
        </w:rPr>
        <w:t>Az 1305/2013/EU rendelet 51. cikke (1) bekezdése első albekezdésének helyébe a következő szöveg lép:</w:t>
      </w:r>
    </w:p>
    <w:p>
      <w:pPr>
        <w:autoSpaceDE w:val="0"/>
        <w:autoSpaceDN w:val="0"/>
        <w:adjustRightInd w:val="0"/>
        <w:spacing w:after="0"/>
        <w:rPr>
          <w:noProof/>
        </w:rPr>
      </w:pPr>
      <w:r>
        <w:rPr>
          <w:noProof/>
        </w:rPr>
        <w:t>Az 1306/2013/EU rendelet 6. cikkének megfelelően az EMVA-ból évente szétosztható pénzeszközök legfeljebb 0,25 %-a fordítható az 1303/2013/EU rendelet 58. cikkében említett feladatok finanszírozására, beleértve az 52. cikkben említett európai vidékfejlesztési hálózat és az 53. cikkben említett EIP-hálózat létrehozásához és működtetéséhez kapcsolódó költségek finanszírozását is, a Bizottság kezdeményezésére és/vagy annak nevében, amelyből legfeljebb 30 567 000 EUR-t a strukturálisreform-támogató program számára kell elkülöníteni, az említett program alkalmazási körének és céljának keretei közötti felhasználásra.”</w:t>
      </w:r>
    </w:p>
    <w:p>
      <w:pPr>
        <w:pStyle w:val="Titrearticle"/>
        <w:spacing w:before="240"/>
        <w:rPr>
          <w:noProof/>
        </w:rPr>
      </w:pPr>
      <w:r>
        <w:rPr>
          <w:noProof/>
        </w:rPr>
        <w:t>19. cikk</w:t>
      </w:r>
      <w:r>
        <w:rPr>
          <w:noProof/>
        </w:rPr>
        <w:br/>
        <w:t>Hatálybalépés</w:t>
      </w:r>
    </w:p>
    <w:p>
      <w:pPr>
        <w:rPr>
          <w:noProof/>
        </w:rPr>
      </w:pPr>
      <w:r>
        <w:rPr>
          <w:noProof/>
        </w:rPr>
        <w:t xml:space="preserve">Ez a rendelet az </w:t>
      </w:r>
      <w:r>
        <w:rPr>
          <w:i/>
          <w:noProof/>
        </w:rPr>
        <w:t>Európai Unió Hivatalos Lapjában</w:t>
      </w:r>
      <w:r>
        <w:rPr>
          <w:noProof/>
        </w:rPr>
        <w:t xml:space="preserve"> való kihirdetését követő napon lép hatályba.</w:t>
      </w:r>
    </w:p>
    <w:p>
      <w:pPr>
        <w:pStyle w:val="Fait"/>
        <w:rPr>
          <w:noProof/>
        </w:rPr>
      </w:pPr>
      <w:r>
        <w:rPr>
          <w:noProof/>
        </w:rPr>
        <w:t xml:space="preserve">Kelt Brüsszelben, </w:t>
      </w:r>
    </w:p>
    <w:p>
      <w:pPr>
        <w:pStyle w:val="Institutionquisigne"/>
        <w:rPr>
          <w:noProof/>
        </w:rPr>
      </w:pPr>
      <w:r>
        <w:rPr>
          <w:noProof/>
        </w:rPr>
        <w:t>az Európai Parlament részéről</w:t>
      </w:r>
      <w:r>
        <w:rPr>
          <w:noProof/>
        </w:rPr>
        <w:tab/>
      </w:r>
      <w:r>
        <w:rPr>
          <w:noProof/>
        </w:rPr>
        <w:tab/>
      </w:r>
      <w:r>
        <w:rPr>
          <w:noProof/>
        </w:rPr>
        <w:tab/>
        <w:t>a Tanács részéről</w:t>
      </w:r>
    </w:p>
    <w:p>
      <w:pPr>
        <w:pStyle w:val="Personnequisigne"/>
        <w:rPr>
          <w:noProof/>
        </w:rPr>
      </w:pPr>
      <w:r>
        <w:rPr>
          <w:noProof/>
        </w:rPr>
        <w:t>az elnök</w:t>
      </w:r>
      <w:r>
        <w:rPr>
          <w:noProof/>
        </w:rPr>
        <w:tab/>
      </w:r>
      <w:r>
        <w:rPr>
          <w:noProof/>
        </w:rPr>
        <w:tab/>
      </w:r>
      <w:r>
        <w:rPr>
          <w:noProof/>
        </w:rPr>
        <w:tab/>
        <w:t>az elnök</w:t>
      </w:r>
    </w:p>
    <w:p>
      <w:pPr>
        <w:spacing w:before="0" w:after="0" w:line="276" w:lineRule="auto"/>
        <w:jc w:val="left"/>
        <w:rPr>
          <w:i/>
          <w:noProof/>
        </w:rPr>
        <w:sectPr>
          <w:pgSz w:w="11907" w:h="16840"/>
          <w:pgMar w:top="1134" w:right="1418" w:bottom="1134" w:left="1418" w:header="709" w:footer="709" w:gutter="0"/>
          <w:cols w:space="720"/>
          <w:docGrid w:linePitch="326"/>
        </w:sectPr>
      </w:pPr>
    </w:p>
    <w:p>
      <w:pPr>
        <w:pStyle w:val="Fichefinanciretitre"/>
        <w:rPr>
          <w:noProof/>
        </w:rPr>
      </w:pPr>
      <w:r>
        <w:rPr>
          <w:noProof/>
        </w:rPr>
        <w:t>PÉNZÜGYI KIMUTATÁS</w:t>
      </w:r>
    </w:p>
    <w:p>
      <w:pPr>
        <w:pStyle w:val="ManualHeading1"/>
        <w:rPr>
          <w:noProof/>
        </w:rPr>
      </w:pPr>
      <w:r>
        <w:t>1.</w:t>
      </w:r>
      <w:r>
        <w:tab/>
      </w:r>
      <w:r>
        <w:rPr>
          <w:noProof/>
        </w:rPr>
        <w:t>A JAVASLAT/KEZDEMÉNYEZÉS FŐBB ADATAI</w:t>
      </w:r>
    </w:p>
    <w:p>
      <w:pPr>
        <w:pStyle w:val="ManualHeading2"/>
        <w:rPr>
          <w:noProof/>
        </w:rPr>
      </w:pPr>
      <w:r>
        <w:t>1.1.</w:t>
      </w:r>
      <w:r>
        <w:tab/>
      </w:r>
      <w:r>
        <w:rPr>
          <w:noProof/>
        </w:rPr>
        <w:t>A javaslat/kezdeményezés címe</w:t>
      </w:r>
    </w:p>
    <w:p>
      <w:pPr>
        <w:pStyle w:val="Text1"/>
        <w:pBdr>
          <w:top w:val="single" w:sz="4" w:space="1" w:color="auto"/>
          <w:left w:val="single" w:sz="4" w:space="4" w:color="auto"/>
          <w:bottom w:val="single" w:sz="4" w:space="1" w:color="auto"/>
          <w:right w:val="single" w:sz="4" w:space="4" w:color="auto"/>
        </w:pBdr>
        <w:rPr>
          <w:noProof/>
        </w:rPr>
      </w:pPr>
      <w:r>
        <w:rPr>
          <w:noProof/>
        </w:rPr>
        <w:t>Javaslat: Az Európai Parlament és a Tanács rendelete a strukturálisreform-támogató program 2017–2020-as időszakra vonatkozó létrehozásáról</w:t>
      </w:r>
    </w:p>
    <w:p>
      <w:pPr>
        <w:pStyle w:val="ManualHeading2"/>
        <w:rPr>
          <w:noProof/>
          <w:szCs w:val="24"/>
        </w:rPr>
      </w:pPr>
      <w:r>
        <w:t>1.2.</w:t>
      </w:r>
      <w:r>
        <w:tab/>
      </w:r>
      <w:r>
        <w:rPr>
          <w:noProof/>
        </w:rPr>
        <w:t>A tevékenységalapú irányítás / tevékenységalapú költségvetés-tervezés keretébe tartozó érintett szakpolitikai terület(ek)</w:t>
      </w:r>
      <w:r>
        <w:rPr>
          <w:rStyle w:val="FootnoteReference"/>
          <w:noProof/>
        </w:rPr>
        <w:footnoteReference w:id="27"/>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Szakpolitikai terület: </w:t>
      </w:r>
      <w:r>
        <w:rPr>
          <w:caps/>
          <w:noProof/>
        </w:rPr>
        <w:t>Bizottsági szakpolitikai koordináció és jogi tanácsadás</w:t>
      </w:r>
    </w:p>
    <w:p>
      <w:pPr>
        <w:pStyle w:val="Text1"/>
        <w:pBdr>
          <w:top w:val="single" w:sz="4" w:space="1" w:color="auto"/>
          <w:left w:val="single" w:sz="4" w:space="4" w:color="auto"/>
          <w:bottom w:val="single" w:sz="4" w:space="1" w:color="auto"/>
          <w:right w:val="single" w:sz="4" w:space="4" w:color="auto"/>
        </w:pBdr>
        <w:jc w:val="left"/>
        <w:rPr>
          <w:noProof/>
        </w:rPr>
      </w:pPr>
      <w:r>
        <w:rPr>
          <w:noProof/>
        </w:rPr>
        <w:t>Tevékenység a tevékenységalapú költségvetésben: Strukturálisreform-támogató program</w:t>
      </w:r>
    </w:p>
    <w:p>
      <w:pPr>
        <w:pStyle w:val="Text1"/>
        <w:pBdr>
          <w:top w:val="single" w:sz="4" w:space="1" w:color="auto"/>
          <w:left w:val="single" w:sz="4" w:space="4" w:color="auto"/>
          <w:bottom w:val="single" w:sz="4" w:space="1" w:color="auto"/>
          <w:right w:val="single" w:sz="4" w:space="4" w:color="auto"/>
        </w:pBdr>
        <w:jc w:val="left"/>
        <w:rPr>
          <w:noProof/>
        </w:rPr>
      </w:pPr>
      <w:r>
        <w:rPr>
          <w:noProof/>
        </w:rPr>
        <w:t>A tevékenységalapú költségvetés-tervezés keretébe tartozó tevékenységek részletes leírását lásd a 3.2. szakaszban.</w:t>
      </w:r>
    </w:p>
    <w:p>
      <w:pPr>
        <w:pStyle w:val="Text1"/>
        <w:pBdr>
          <w:top w:val="single" w:sz="4" w:space="1" w:color="auto"/>
          <w:left w:val="single" w:sz="4" w:space="4" w:color="auto"/>
          <w:bottom w:val="single" w:sz="4" w:space="1" w:color="auto"/>
          <w:right w:val="single" w:sz="4" w:space="4" w:color="auto"/>
        </w:pBdr>
        <w:jc w:val="left"/>
        <w:rPr>
          <w:noProof/>
        </w:rPr>
      </w:pPr>
      <w:r>
        <w:rPr>
          <w:noProof/>
        </w:rPr>
        <w:t>Szakpolitikai terület: Foglalkoztatás, szociális ügyek és társadalmi befogadás</w:t>
      </w:r>
    </w:p>
    <w:p>
      <w:pPr>
        <w:pStyle w:val="Text1"/>
        <w:pBdr>
          <w:top w:val="single" w:sz="4" w:space="1" w:color="auto"/>
          <w:left w:val="single" w:sz="4" w:space="4" w:color="auto"/>
          <w:bottom w:val="single" w:sz="4" w:space="1" w:color="auto"/>
          <w:right w:val="single" w:sz="4" w:space="4" w:color="auto"/>
        </w:pBdr>
        <w:jc w:val="left"/>
        <w:rPr>
          <w:noProof/>
        </w:rPr>
      </w:pPr>
      <w:r>
        <w:rPr>
          <w:noProof/>
        </w:rPr>
        <w:t>Szakpolitikai terület: Regionális és várospolitika</w:t>
      </w:r>
    </w:p>
    <w:p>
      <w:pPr>
        <w:pStyle w:val="Text1"/>
        <w:pBdr>
          <w:top w:val="single" w:sz="4" w:space="1" w:color="auto"/>
          <w:left w:val="single" w:sz="4" w:space="4" w:color="auto"/>
          <w:bottom w:val="single" w:sz="4" w:space="1" w:color="auto"/>
          <w:right w:val="single" w:sz="4" w:space="4" w:color="auto"/>
        </w:pBdr>
        <w:rPr>
          <w:noProof/>
        </w:rPr>
      </w:pPr>
      <w:r>
        <w:rPr>
          <w:noProof/>
        </w:rPr>
        <w:t>Szakpolitikai terület: Mezőgazdaság és vidékfejlesztés</w:t>
      </w:r>
    </w:p>
    <w:p>
      <w:pPr>
        <w:pStyle w:val="Text1"/>
        <w:pBdr>
          <w:top w:val="single" w:sz="4" w:space="1" w:color="auto"/>
          <w:left w:val="single" w:sz="4" w:space="4" w:color="auto"/>
          <w:bottom w:val="single" w:sz="4" w:space="1" w:color="auto"/>
          <w:right w:val="single" w:sz="4" w:space="4" w:color="auto"/>
        </w:pBdr>
        <w:rPr>
          <w:noProof/>
        </w:rPr>
      </w:pPr>
      <w:r>
        <w:rPr>
          <w:noProof/>
        </w:rPr>
        <w:t>Szakpolitikai terület: Migráció és menekültügy</w:t>
      </w:r>
    </w:p>
    <w:p>
      <w:pPr>
        <w:pStyle w:val="ManualHeading2"/>
        <w:rPr>
          <w:bCs/>
          <w:noProof/>
          <w:szCs w:val="24"/>
        </w:rPr>
      </w:pPr>
      <w:r>
        <w:t>1.3.</w:t>
      </w:r>
      <w:r>
        <w:tab/>
      </w:r>
      <w:r>
        <w:rPr>
          <w:noProof/>
        </w:rPr>
        <w:t>A javaslat/kezdeményezés típusa</w:t>
      </w:r>
    </w:p>
    <w:p>
      <w:pPr>
        <w:pStyle w:val="Text1"/>
        <w:rPr>
          <w:b/>
          <w:noProof/>
          <w:sz w:val="22"/>
        </w:rPr>
      </w:pPr>
      <w:r>
        <w:rPr>
          <w:noProof/>
          <w:sz w:val="22"/>
        </w:rPr>
        <w:sym w:font="Wingdings" w:char="F0A8"/>
      </w:r>
      <w:r>
        <w:rPr>
          <w:noProof/>
        </w:rPr>
        <w:t xml:space="preserve">A javaslat/kezdeményezés </w:t>
      </w:r>
      <w:r>
        <w:rPr>
          <w:b/>
          <w:noProof/>
        </w:rPr>
        <w:t>új intézkedésre</w:t>
      </w:r>
      <w:r>
        <w:rPr>
          <w:noProof/>
        </w:rPr>
        <w:t xml:space="preserve"> irányul</w:t>
      </w:r>
    </w:p>
    <w:p>
      <w:pPr>
        <w:pStyle w:val="Text1"/>
        <w:rPr>
          <w:b/>
          <w:noProof/>
        </w:rPr>
      </w:pPr>
      <w:r>
        <w:rPr>
          <w:noProof/>
          <w:sz w:val="22"/>
        </w:rPr>
        <w:sym w:font="Wingdings" w:char="F078"/>
      </w:r>
      <w:r>
        <w:rPr>
          <w:noProof/>
        </w:rPr>
        <w:t xml:space="preserve">A javaslat/kezdeményezés </w:t>
      </w:r>
      <w:r>
        <w:rPr>
          <w:b/>
          <w:noProof/>
        </w:rPr>
        <w:t>kísérleti projektet / előkészítő intézkedést követő új intézkedésre</w:t>
      </w:r>
      <w:r>
        <w:rPr>
          <w:rStyle w:val="FootnoteReference"/>
          <w:b/>
          <w:noProof/>
        </w:rPr>
        <w:footnoteReference w:id="28"/>
      </w:r>
      <w:r>
        <w:rPr>
          <w:rStyle w:val="FootnoteReference"/>
          <w:b/>
          <w:noProof/>
        </w:rPr>
        <w:footnoteReference w:id="29"/>
      </w:r>
      <w:r>
        <w:rPr>
          <w:noProof/>
        </w:rPr>
        <w:t xml:space="preserve"> irányul</w:t>
      </w:r>
    </w:p>
    <w:p>
      <w:pPr>
        <w:pStyle w:val="Text1"/>
        <w:rPr>
          <w:noProof/>
          <w:sz w:val="22"/>
        </w:rPr>
      </w:pPr>
      <w:r>
        <w:rPr>
          <w:noProof/>
          <w:sz w:val="22"/>
        </w:rPr>
        <w:sym w:font="Wingdings" w:char="F0A8"/>
      </w:r>
      <w:r>
        <w:rPr>
          <w:noProof/>
        </w:rPr>
        <w:t xml:space="preserve">A javaslat/kezdeményezés </w:t>
      </w:r>
      <w:r>
        <w:rPr>
          <w:b/>
          <w:noProof/>
        </w:rPr>
        <w:t>jelenlegi intézkedés meghosszabbítására</w:t>
      </w:r>
      <w:r>
        <w:rPr>
          <w:noProof/>
        </w:rPr>
        <w:t xml:space="preserve"> irányul</w:t>
      </w:r>
    </w:p>
    <w:p>
      <w:pPr>
        <w:pStyle w:val="Text1"/>
        <w:rPr>
          <w:noProof/>
        </w:rPr>
      </w:pPr>
      <w:r>
        <w:rPr>
          <w:noProof/>
          <w:sz w:val="22"/>
        </w:rPr>
        <w:sym w:font="Wingdings" w:char="F0A8"/>
      </w:r>
      <w:r>
        <w:rPr>
          <w:noProof/>
        </w:rPr>
        <w:t xml:space="preserve">A javaslat/kezdeményezés </w:t>
      </w:r>
      <w:r>
        <w:rPr>
          <w:b/>
          <w:noProof/>
        </w:rPr>
        <w:t>új intézkedésnek megfelelően módosított intézkedésre</w:t>
      </w:r>
      <w:r>
        <w:rPr>
          <w:noProof/>
        </w:rPr>
        <w:t xml:space="preserve"> irányul</w:t>
      </w:r>
    </w:p>
    <w:p>
      <w:pPr>
        <w:pStyle w:val="ManualHeading2"/>
        <w:rPr>
          <w:bCs/>
          <w:noProof/>
          <w:szCs w:val="24"/>
        </w:rPr>
      </w:pPr>
      <w:r>
        <w:t>1.4.</w:t>
      </w:r>
      <w:r>
        <w:tab/>
      </w:r>
      <w:r>
        <w:rPr>
          <w:noProof/>
        </w:rPr>
        <w:t>Célkitűzés(ek)</w:t>
      </w:r>
    </w:p>
    <w:p>
      <w:pPr>
        <w:pStyle w:val="ManualHeading3"/>
        <w:rPr>
          <w:noProof/>
        </w:rPr>
      </w:pPr>
      <w:r>
        <w:t>1.4.1.</w:t>
      </w:r>
      <w:r>
        <w:tab/>
      </w:r>
      <w:r>
        <w:rPr>
          <w:noProof/>
        </w:rPr>
        <w:t>A javaslat/kezdeményezés által érintett többéves bizottsági stratégiai célkitűzés(ek)</w:t>
      </w:r>
    </w:p>
    <w:p>
      <w:pPr>
        <w:pStyle w:val="Text1"/>
        <w:pBdr>
          <w:top w:val="single" w:sz="4" w:space="1" w:color="auto"/>
          <w:left w:val="single" w:sz="4" w:space="4" w:color="auto"/>
          <w:bottom w:val="single" w:sz="4" w:space="1" w:color="auto"/>
          <w:right w:val="single" w:sz="4" w:space="4" w:color="auto"/>
        </w:pBdr>
        <w:rPr>
          <w:noProof/>
        </w:rPr>
      </w:pPr>
      <w:r>
        <w:rPr>
          <w:noProof/>
        </w:rPr>
        <w:t>A program általános célkitűzése a tagállamok intézményi, igazgatási és strukturális reformjainak elősegítése azáltal, hogy támogatást nyújt a nemzeti hatóságoknak a gazdasági és társadalmi kihívásokra reagáló intézményi, kormányzati, igazgatási, gazdasági és társadalmi reformokra irányuló intézkedések tekintetében, amelyek célja a versenyképesség, a növekedés, a munkahelyteremtés és a beruházások erősítése többek között az uniós alapok hatékony és eredményes felhasználásának elősegítése révén, elsősorban a gazdasági kormányzási folyamatok keretében.</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u w:val="single"/>
        </w:rPr>
        <w:t>Konkrét célkitűzés(ek) és a tevékenységalapú irányítás/tevékenységalapú költségvetés-tervezés keretébe tartozó érintett tevékenység(ek)</w:t>
      </w:r>
    </w:p>
    <w:p>
      <w:pPr>
        <w:pStyle w:val="Text1"/>
        <w:pBdr>
          <w:top w:val="single" w:sz="4" w:space="1" w:color="auto"/>
          <w:left w:val="single" w:sz="4" w:space="4" w:color="auto"/>
          <w:bottom w:val="single" w:sz="4" w:space="1" w:color="auto"/>
          <w:right w:val="single" w:sz="4" w:space="4" w:color="auto"/>
        </w:pBdr>
        <w:rPr>
          <w:noProof/>
        </w:rPr>
      </w:pPr>
      <w:r>
        <w:rPr>
          <w:noProof/>
        </w:rPr>
        <w:t>A program konkrét célkitűzései a következők:</w:t>
      </w:r>
    </w:p>
    <w:p>
      <w:pPr>
        <w:pStyle w:val="Text1"/>
        <w:pBdr>
          <w:top w:val="single" w:sz="4" w:space="1" w:color="auto"/>
          <w:left w:val="single" w:sz="4" w:space="4" w:color="auto"/>
          <w:bottom w:val="single" w:sz="4" w:space="1" w:color="auto"/>
          <w:right w:val="single" w:sz="4" w:space="4" w:color="auto"/>
        </w:pBdr>
        <w:rPr>
          <w:noProof/>
        </w:rPr>
      </w:pPr>
      <w:r>
        <w:rPr>
          <w:noProof/>
        </w:rPr>
        <w:t>1. sz. konkrét célkitűzés</w:t>
      </w:r>
    </w:p>
    <w:p>
      <w:pPr>
        <w:pStyle w:val="Text1"/>
        <w:pBdr>
          <w:top w:val="single" w:sz="4" w:space="1" w:color="auto"/>
          <w:left w:val="single" w:sz="4" w:space="4" w:color="auto"/>
          <w:bottom w:val="single" w:sz="4" w:space="1" w:color="auto"/>
          <w:right w:val="single" w:sz="4" w:space="4" w:color="auto"/>
        </w:pBdr>
        <w:rPr>
          <w:noProof/>
        </w:rPr>
      </w:pPr>
      <w:r>
        <w:rPr>
          <w:noProof/>
        </w:rPr>
        <w:t>A nemzeti hatóságok azon kezdeményezéseinek támogatása, hogy a prioritásoknak megfelelően alakítsák ki reformjaikat, figyelembe véve a kezdeti feltételeket és a várt társadalmi-gazdasági hatásokat.2. sz. konkrét célkitűzés</w:t>
      </w:r>
    </w:p>
    <w:p>
      <w:pPr>
        <w:pStyle w:val="Text1"/>
        <w:pBdr>
          <w:top w:val="single" w:sz="4" w:space="1" w:color="auto"/>
          <w:left w:val="single" w:sz="4" w:space="4" w:color="auto"/>
          <w:bottom w:val="single" w:sz="4" w:space="1" w:color="auto"/>
          <w:right w:val="single" w:sz="4" w:space="4" w:color="auto"/>
        </w:pBdr>
        <w:rPr>
          <w:noProof/>
        </w:rPr>
      </w:pPr>
      <w:r>
        <w:rPr>
          <w:noProof/>
        </w:rPr>
        <w:t>A nemzeti hatóságok támogatása, hogy erősítsék a reformpolitikák és stratégiák megfogalmazására, kidolgozására és végrehajtására irányuló kapacitásukat, valamint olyan integrált megközelítést alkalmazzanak, amely szektorokon átívelő következetességet biztosít a célok és az eszközök között.</w:t>
      </w:r>
    </w:p>
    <w:p>
      <w:pPr>
        <w:pStyle w:val="Text1"/>
        <w:pBdr>
          <w:top w:val="single" w:sz="4" w:space="1" w:color="auto"/>
          <w:left w:val="single" w:sz="4" w:space="4" w:color="auto"/>
          <w:bottom w:val="single" w:sz="4" w:space="1" w:color="auto"/>
          <w:right w:val="single" w:sz="4" w:space="4" w:color="auto"/>
        </w:pBdr>
        <w:rPr>
          <w:noProof/>
        </w:rPr>
      </w:pPr>
      <w:r>
        <w:rPr>
          <w:noProof/>
        </w:rPr>
        <w:t>3. sz. konkrét célkitűzés</w:t>
      </w:r>
    </w:p>
    <w:p>
      <w:pPr>
        <w:pStyle w:val="Text1"/>
        <w:pBdr>
          <w:top w:val="single" w:sz="4" w:space="1" w:color="auto"/>
          <w:left w:val="single" w:sz="4" w:space="4" w:color="auto"/>
          <w:bottom w:val="single" w:sz="4" w:space="1" w:color="auto"/>
          <w:right w:val="single" w:sz="4" w:space="4" w:color="auto"/>
        </w:pBdr>
        <w:rPr>
          <w:noProof/>
        </w:rPr>
      </w:pPr>
      <w:r>
        <w:rPr>
          <w:noProof/>
        </w:rPr>
        <w:t>A nemzeti hatóságok arra irányuló erőfeszítéseinek támogatása, hogy a más országok által hasonló helyzetek kezelése során bevált gyakorlatok és levont tanulságok figyelembevételével megfelelő folyamatokat és módszertanokat határozzanak meg és alkalmazzanak.</w:t>
      </w:r>
    </w:p>
    <w:p>
      <w:pPr>
        <w:pStyle w:val="Text1"/>
        <w:pBdr>
          <w:top w:val="single" w:sz="4" w:space="1" w:color="auto"/>
          <w:left w:val="single" w:sz="4" w:space="4" w:color="auto"/>
          <w:bottom w:val="single" w:sz="4" w:space="1" w:color="auto"/>
          <w:right w:val="single" w:sz="4" w:space="4" w:color="auto"/>
        </w:pBdr>
        <w:rPr>
          <w:noProof/>
        </w:rPr>
      </w:pPr>
      <w:r>
        <w:rPr>
          <w:noProof/>
        </w:rPr>
        <w:t>4. sz. konkrét célkitűzés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Segítségnyújtás a nemzeti hatóságoknak az emberierőforrás-menedzsment hatékonyságának és eredményességének fokozásához, adott esetben a felelősségi területek világos meghatározása, valamint a szaktudás és szakértelem erősítése révén. </w:t>
      </w:r>
    </w:p>
    <w:p>
      <w:pPr>
        <w:pStyle w:val="Text1"/>
        <w:pBdr>
          <w:top w:val="single" w:sz="4" w:space="1" w:color="auto"/>
          <w:left w:val="single" w:sz="4" w:space="4" w:color="auto"/>
          <w:bottom w:val="single" w:sz="4" w:space="1" w:color="auto"/>
          <w:right w:val="single" w:sz="4" w:space="4" w:color="auto"/>
        </w:pBdr>
        <w:rPr>
          <w:noProof/>
        </w:rPr>
      </w:pPr>
      <w:r>
        <w:rPr>
          <w:noProof/>
        </w:rPr>
        <w:t>E célkitűzéseket a kedvezményezett tagállamokkal szoros együttműködésben kell megvalósítani.</w:t>
      </w:r>
    </w:p>
    <w:p>
      <w:pPr>
        <w:pStyle w:val="Text1"/>
        <w:pBdr>
          <w:top w:val="single" w:sz="4" w:space="1" w:color="auto"/>
          <w:left w:val="single" w:sz="4" w:space="4" w:color="auto"/>
          <w:bottom w:val="single" w:sz="4" w:space="1" w:color="auto"/>
          <w:right w:val="single" w:sz="4" w:space="4" w:color="auto"/>
        </w:pBdr>
        <w:rPr>
          <w:noProof/>
        </w:rPr>
      </w:pPr>
      <w:r>
        <w:rPr>
          <w:noProof/>
        </w:rPr>
        <w:t>A reformok támogatása – többek között az uniós alapok (vagyis a közös rendelkezésekről szóló rendelet meghatározása szerinti európai strukturális és beruházási alapok (esb-alapok), a leginkább rászoruló személyeket támogató európai segítségnyújtási alap, valamint a menekültüggyel, migrációval és határellenőrzéssel kapcsolatos alapok) hatékony és eredményes felhasználásának elősegítése – konkrét szakpolitikai területekre vonatkozik, különösen az alábbiakra: államháztartási gazdálkodás, költségvetési folyamat, adósságkezelés és adóigazgatás, intézményi reform és a közigazgatás hatékony és szolgáltatásorientált működése, hatékony jogállamiság, az igazságügyi rendszer reformja, valamint a csalás, a korrupció és a pénzmosás elleni küzdelem megerősítése, az üzleti környezet és a magánszektor fejlesztése, finanszírozási eszközökhöz való hozzáférés, beruházások, pénzügyi ágazatbeli politikák, privatizációs folyamatok, kereskedelem és közvetlen külföldi befektetések, verseny és közbeszerzés, fenntartható ágazati fejlesztés és az innováció támogatása, oktatás és képzés, munkaerő-piaci politikák, társadalmi befogadás, szociális biztonság és szociális jóléti rendszerek, közegészségügy és egészségügyi rendszerek, menekültügyi, migrációs és határellenőrzési politikák, valamint a mezőgazdasági ágazatra és a vidéki területek fenntartható fejlődésére vonatkozó politikák.</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 tevékenységalapú irányítás/tevékenységalapú költségvetés-tervezés keretébe tartozó érintett tevékenység(ek)</w:t>
      </w:r>
    </w:p>
    <w:p>
      <w:pPr>
        <w:pStyle w:val="Text1"/>
        <w:pBdr>
          <w:top w:val="single" w:sz="4" w:space="1" w:color="auto"/>
          <w:left w:val="single" w:sz="4" w:space="4" w:color="auto"/>
          <w:bottom w:val="single" w:sz="4" w:space="1" w:color="auto"/>
          <w:right w:val="single" w:sz="4" w:space="4" w:color="auto"/>
        </w:pBdr>
        <w:rPr>
          <w:noProof/>
        </w:rPr>
      </w:pPr>
      <w:r>
        <w:rPr>
          <w:noProof/>
        </w:rPr>
        <w:t>REGIO, EMPL, MARE, AGRI, TAXUD, JUST, HOME, GROW, MARKT, RTD, CNECT, COMP.</w:t>
      </w:r>
    </w:p>
    <w:p>
      <w:pPr>
        <w:pStyle w:val="Text1"/>
        <w:rPr>
          <w:noProof/>
        </w:rPr>
      </w:pPr>
    </w:p>
    <w:p>
      <w:pPr>
        <w:spacing w:before="0" w:after="200" w:line="276" w:lineRule="auto"/>
        <w:jc w:val="left"/>
        <w:rPr>
          <w:rFonts w:eastAsiaTheme="majorEastAsia"/>
          <w:bCs/>
          <w:i/>
          <w:noProof/>
        </w:rPr>
      </w:pPr>
      <w:r>
        <w:rPr>
          <w:noProof/>
        </w:rPr>
        <w:br w:type="page"/>
      </w:r>
    </w:p>
    <w:p>
      <w:pPr>
        <w:pStyle w:val="ManualHeading3"/>
        <w:rPr>
          <w:bCs/>
          <w:noProof/>
          <w:szCs w:val="24"/>
        </w:rPr>
      </w:pPr>
      <w:r>
        <w:t>1.4.2.</w:t>
      </w:r>
      <w:r>
        <w:tab/>
      </w:r>
      <w:r>
        <w:rPr>
          <w:noProof/>
        </w:rPr>
        <w:t>Várható eredmény(ek) és hatás(ok)</w:t>
      </w:r>
    </w:p>
    <w:p>
      <w:pPr>
        <w:pStyle w:val="Text1"/>
        <w:rPr>
          <w:i/>
          <w:noProof/>
          <w:sz w:val="20"/>
        </w:rPr>
      </w:pPr>
      <w:r>
        <w:rPr>
          <w:i/>
          <w:noProof/>
          <w:sz w:val="20"/>
        </w:rPr>
        <w:t>Tüntesse fel, milyen hatásokat gyakorolhat a javaslat/kezdeményezés a kedvezményezettekre/célcsoportokra.</w:t>
      </w:r>
    </w:p>
    <w:p>
      <w:pPr>
        <w:pStyle w:val="Text1"/>
        <w:pBdr>
          <w:top w:val="single" w:sz="4" w:space="1" w:color="auto"/>
          <w:left w:val="single" w:sz="4" w:space="4" w:color="auto"/>
          <w:bottom w:val="single" w:sz="4" w:space="1" w:color="auto"/>
          <w:right w:val="single" w:sz="4" w:space="4" w:color="auto"/>
        </w:pBdr>
        <w:rPr>
          <w:noProof/>
        </w:rPr>
      </w:pPr>
      <w:r>
        <w:rPr>
          <w:noProof/>
        </w:rPr>
        <w:t>A tagállamok azon megerősített kapacitása, hogy többek között az uniós alapok hatékony és eredményes felhasználása révén intézményi, igazgatási, gazdasági és társadalmi reformokat hajtsanak végre a polgárokat és a vállalkozásokat szolgáló, egyszerűsített, hatékony és korszerű szervezetek kialakítása érdekében: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tagállamok nemzeti hatóságainak arra irányuló fokozott képessége, hogy azonosítsák és kezeljék a gazdasági és strukturális hiányosságokat,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tagállamok nemzeti hatóságainak megerősített kompetenciája és képessége a reformpolitikák kidolgozása, megtervezése és végrehajtása terén a prioritások szerint,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tagállamok nemzeti hatóságainak arra irányuló fokozott kapacitása, hogy szakpolitikai területeken átívelő integrált megközelítést alkalmazzanak, ezzel párhuzamosan pedig biztosítsák a célok és az eszközök közötti következetességet,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tagállamok nemzeti hatóságainak arra irányuló fokozott kapacitása, hogy nemzeti szintű folyamatokat és módszertant határozzanak meg a reformok kialakításának, irányításának és végrehajtásának támogatása érdekében a bevált gyakorlatok és a partnerek által levont tanulságok cseréjének következményeként,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tagállamok nemzeti hatóságainak a szaktudás, a szakértelem, valamint a változáshoz való alkalmazkodással kapcsolatos folyamatok fokozása révén megerősített hatékonysága és eredményessége,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Bizottsággal, a tagállamokkal és a nemzetközi szervezetekkel létrehozott kommunikációs csatornák megerősítése annak érdekében, hogy javítsák a reformerőfeszítések kommunikálását és koordinációját, valamint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tagállamok nemzeti hatóságainak arra irányuló fokozott kapacitása, hogy biztosítsák az európai szemeszter ciklusa keretében ajánlott reformok, a gazdasági kiigazítási programok és a tagállam saját kezdeményezésű reformjai előrehaladását, valamint az uniós jog következetes és koherens alkalmazását.</w:t>
      </w:r>
    </w:p>
    <w:p>
      <w:pPr>
        <w:pStyle w:val="Text1"/>
        <w:pBdr>
          <w:top w:val="single" w:sz="4" w:space="1" w:color="auto"/>
          <w:left w:val="single" w:sz="4" w:space="4" w:color="auto"/>
          <w:bottom w:val="single" w:sz="4" w:space="1" w:color="auto"/>
          <w:right w:val="single" w:sz="4" w:space="4" w:color="auto"/>
        </w:pBdr>
        <w:rPr>
          <w:noProof/>
        </w:rPr>
      </w:pPr>
      <w:r>
        <w:rPr>
          <w:noProof/>
        </w:rPr>
        <w:t>A várt eredmények nagymértékben ország- és projektfüggők, és megvalósításuk a szakpolitikai terület és a nyújtott támogatás volumene és mélysége alapján eltérő lesz. Továbbá az eredmények várhatóan a szakpolitikai területenként és kedvezményezett tagállamonként végrehajtott intézkedéseken fognak alapulni a program keretében biztosított támogató fellépések eredményeképpen.</w:t>
      </w:r>
    </w:p>
    <w:p>
      <w:pPr>
        <w:pStyle w:val="ManualHeading3"/>
        <w:rPr>
          <w:bCs/>
          <w:noProof/>
          <w:szCs w:val="24"/>
        </w:rPr>
      </w:pPr>
      <w:r>
        <w:t>1.4.3.</w:t>
      </w:r>
      <w:r>
        <w:tab/>
      </w:r>
      <w:r>
        <w:rPr>
          <w:noProof/>
        </w:rPr>
        <w:t>Eredmény- és hatásmutatók</w:t>
      </w:r>
    </w:p>
    <w:p>
      <w:pPr>
        <w:pStyle w:val="Text1"/>
        <w:rPr>
          <w:i/>
          <w:noProof/>
          <w:sz w:val="20"/>
        </w:rPr>
      </w:pPr>
      <w:r>
        <w:rPr>
          <w:i/>
          <w:noProof/>
          <w:sz w:val="20"/>
        </w:rPr>
        <w:t>Tüntesse fel a javaslat/kezdeményezés megvalósításának nyomon követését lehetővé tevő mutatókat.</w:t>
      </w:r>
    </w:p>
    <w:p>
      <w:pPr>
        <w:pStyle w:val="Text1"/>
        <w:pBdr>
          <w:top w:val="single" w:sz="4" w:space="1" w:color="auto"/>
          <w:left w:val="single" w:sz="4" w:space="4" w:color="auto"/>
          <w:bottom w:val="single" w:sz="4" w:space="1" w:color="auto"/>
          <w:right w:val="single" w:sz="4" w:space="4" w:color="auto"/>
        </w:pBdr>
        <w:rPr>
          <w:noProof/>
        </w:rPr>
      </w:pPr>
      <w:r>
        <w:rPr>
          <w:noProof/>
        </w:rPr>
        <w:t>A konkrét célkitűzések megvalósítását az alábbi mutatók alapján kell mérni; ezeket a mutatókat a rendelkezésre álló adatok és információk (köztük megfelelő kvantitatív vagy empirikus adatok) alapján fogják alkalmazni, és a program során adott esetben a Bizottság kiigazíthatja azokat a rendelet 15. cikke alapján:</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 nemzeti hatóságok, az adminisztrációs szolgálatok és egyéb közigazgatási intézmények – mint például a nemzeti minisztériumok vagy a szabályozó hatóságok – száma és típusa, azon kedvezményezett tagállamonként, amelynek a program értelmében támogatást nyújtanak;</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a támogatásnyújtók – mint például kormányzati szervek, közjogi szervek, valamint a magánjog hatálya alá tartozó, közfeladatot ellátó szervek, nemzetközi szervezetek – száma és típusa konkrét célkitűzésenként, szakpolitikai területenként és kedvezményezett tagállamonként;</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a 6. cikk szerinti támogatható fellépések – mint például szakértők biztosítása, képzések, szemináriumok stb. – száma és típusa, az alábbiak szerinti bontásban:</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országspecifikus ajánlások vagy az uniós jog alkalmazásához kapcsolódó vonatkozó intézkedések, gazdasági kiigazítási programok és a tagállam saját kezdeményezésű reformjai;</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konkrét célkitűzés, szakpolitikai terület és kedvezményezett tagállam;</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támogatásnyújtók, mint például kormányzati szervek, közjogi szervek, a magánjog hatálya alá tartozó, közfeladatot ellátó szervek, nemzetközi szervezetek;</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a kedvezményezett tagállamtól támogatásban részesülők, mint például nemzeti hatóságok;</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a szakpolitikai és jogi megállapodások – mint például a Bizottság, a reformpartnerek (adott esetben) és a program szerinti tevékenységekre támogatást nyújtók közötti politikai egyetértési megállapodások vagy szándéknyilatkozatok, megállapodások, szerződések – száma és típusa konkrét célkitűzésenként, szakpolitikai területenként és kedvezményezett tagállamonként;</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az elfogadott szakpolitikai kezdeményezések (például cselekvési tervek, ütemtervek, iránymutatások, ajánlások, ajánlott jogszabályok) száma konkrét célkitűzésenként, szakpolitikai területenként és kedvezményezett tagállamonként, a program által támogatott vonatkozó tevékenységeket követően;</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a program szerinti támogató fellépések eredményeként elfogadott intézkedések száma szakpolitikai területenként és kedvezményezett tagállamonként az országspecifikus ajánlások, illetve az uniós jog végrehajtásához kapcsolódó releváns intézkedések, gazdasági kiigazítási programok és a tagállam saját kezdeményezésű reformjai szerinti bontásban;</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nemzeti hatóságoktól, adminisztrációs szolgálatoktól és a program alapján támogatásban részesült egyéb közigazgatási intézményektől, valamint (ha van ilyen) egyéb érdekelt felektől/résztvevőktől kapott visszajelzések a program szerinti fellépések eredményeire és/vagy hatására vonatkozóan, konkrét célkitűzésenként, szakpolitikai területenként és kedvezményezett tagállamonként, kvantitatív vagy empirikus adatokkal alátámasztva, ha azok rendelkezésre állnak;</w:t>
      </w:r>
    </w:p>
    <w:p>
      <w:pPr>
        <w:pStyle w:val="Text1"/>
        <w:pBdr>
          <w:top w:val="single" w:sz="4" w:space="1" w:color="auto"/>
          <w:left w:val="single" w:sz="4" w:space="4" w:color="auto"/>
          <w:bottom w:val="single" w:sz="4" w:space="1" w:color="auto"/>
          <w:right w:val="single" w:sz="4" w:space="4" w:color="auto"/>
        </w:pBdr>
        <w:rPr>
          <w:noProof/>
        </w:rPr>
      </w:pPr>
      <w:r>
        <w:rPr>
          <w:noProof/>
        </w:rPr>
        <w:t>h)</w:t>
      </w:r>
      <w:r>
        <w:rPr>
          <w:noProof/>
        </w:rPr>
        <w:tab/>
        <w:t>a támogatásnyújtóktól kapott visszajelzések a program értelmében általuk nyújtott támogatás eredményeire és/vagy hatására vonatkozóan azon a konkrét célkitűzési és szakpolitikai területen, amelyen működnek, kedvezményezett tagállamonként, kvantitatív vagy empirikus adatokkal alátámasztva, ha azok rendelkezésre állnak;</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az érintett érdekelt felek véleményének alakulása abban a tekintetben, hogy a program mennyiben járul hozzá a reformok megvalósításához, konkrét célkitűzésenként, szakpolitikai területenként és kedvezményezett tagállamonként, kvantitatív vagy empirikus adatokkal alátámasztva, ha azok rendelkezésre állnak.</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1.5.</w:t>
      </w:r>
      <w:r>
        <w:tab/>
      </w:r>
      <w:r>
        <w:rPr>
          <w:noProof/>
        </w:rPr>
        <w:t>A javaslat/kezdeményezés indoklása</w:t>
      </w:r>
    </w:p>
    <w:p>
      <w:pPr>
        <w:pStyle w:val="ManualHeading3"/>
        <w:rPr>
          <w:noProof/>
        </w:rPr>
      </w:pPr>
      <w:r>
        <w:t>1.5.1.</w:t>
      </w:r>
      <w:r>
        <w:tab/>
      </w:r>
      <w:r>
        <w:rPr>
          <w:noProof/>
        </w:rPr>
        <w:t>Rövid vagy hosszú távon kielégítendő szükséglet(ek)</w:t>
      </w:r>
    </w:p>
    <w:p>
      <w:pPr>
        <w:pStyle w:val="Text1"/>
        <w:pBdr>
          <w:top w:val="single" w:sz="4" w:space="1" w:color="auto"/>
          <w:left w:val="single" w:sz="4" w:space="4" w:color="auto"/>
          <w:bottom w:val="single" w:sz="4" w:space="1" w:color="auto"/>
          <w:right w:val="single" w:sz="4" w:space="4" w:color="auto"/>
        </w:pBdr>
        <w:rPr>
          <w:noProof/>
        </w:rPr>
      </w:pPr>
      <w:r>
        <w:rPr>
          <w:noProof/>
        </w:rPr>
        <w:t>A szilárd szabályozási és intézményi környezet és a zavartalanul működő gazdaság kialakítása elengedhetetlen ahhoz, hogy növeljék a gazdaság versenyképességét, ösztönözzék a beruházásokat, elősegítsék a munkahelyteremtést, emeljék az életszínvonalat és fenntartható növekedést érjenek el az uniós tagállamokban. Számos uniós gazdaságban zajlott le, illetve van folyamatban a múltban felhalmozódott makrogazdasági egyensúlyhiányok kiigazítása, sok tagállam pedig az alacsony potenciális növekedés okozta kihívással néz szembe. Ez a helyzet gyakran annak eredményeként alakult ki, hogy az érintett gazdaságokban késedelmesen vagy nem megfelelően hajtották végre a strukturális reformokat. Az Unió szakpolitikai prioritásai közé emelte a strukturális reformok végrehajtását, hogy fenntartható pályára állítsa a gazdasági fellendülést, felszabadítsa a növekedési potenciált a kiigazítási kapacitás megerősítése céljából, és támogatást nyújtson a konvergenciafolyamathoz.</w:t>
      </w:r>
    </w:p>
    <w:p>
      <w:pPr>
        <w:pStyle w:val="Text1"/>
        <w:pBdr>
          <w:top w:val="single" w:sz="4" w:space="1" w:color="auto"/>
          <w:left w:val="single" w:sz="4" w:space="4" w:color="auto"/>
          <w:bottom w:val="single" w:sz="4" w:space="1" w:color="auto"/>
          <w:right w:val="single" w:sz="4" w:space="4" w:color="auto"/>
        </w:pBdr>
        <w:rPr>
          <w:noProof/>
        </w:rPr>
      </w:pPr>
      <w:r>
        <w:rPr>
          <w:noProof/>
        </w:rPr>
        <w:t>A reformokat helyesen kell megtervezni, jogszabályi formába kell önteni és hatékonyan végre kell hajtani. A sikeres reformok többet igényelnek a szükséges jogszabályok puszta elfogadásánál, hatékonyan végre is kell hajtani azokat, ami azt jelenti, hogy kezelni kell a közigazgatás strukturális problémáit (pl. hatáskörök, mobilitás, ösztönzők, munkafolyamatok változtatásai stb.), valamint a gazdasági és társadalmi területeken jelentkező kihívásokat. A reformok eredményei gyakran csak bizonyos idő elteltével érzékelhetők. Ezért a korai és hatékony végrehajtás döntő fontosságú a válság sújtotta vagy strukturális gyengeséggel küzdő gazdaságok számára.</w:t>
      </w:r>
    </w:p>
    <w:p>
      <w:pPr>
        <w:pStyle w:val="Text1"/>
        <w:pBdr>
          <w:top w:val="single" w:sz="4" w:space="1" w:color="auto"/>
          <w:left w:val="single" w:sz="4" w:space="4" w:color="auto"/>
          <w:bottom w:val="single" w:sz="4" w:space="1" w:color="auto"/>
          <w:right w:val="single" w:sz="4" w:space="4" w:color="auto"/>
        </w:pBdr>
        <w:rPr>
          <w:noProof/>
        </w:rPr>
      </w:pPr>
      <w:r>
        <w:rPr>
          <w:noProof/>
        </w:rPr>
        <w:t>Ezen túlmenően az uniós vívmányok végrehajtásának javítása a Bizottság egyik prioritása. E tekintetben a Bizottság jelezte annak szükségességét, hogy „(e)gyüttműködik a tagállamokkal annak érdekében, hogy megvizsgálja, melyek a legjobb módjai az uniós és nemzeti jog közötti megfelelés biztosításának”.</w:t>
      </w:r>
    </w:p>
    <w:p>
      <w:pPr>
        <w:pStyle w:val="Text1"/>
        <w:pBdr>
          <w:top w:val="single" w:sz="4" w:space="1" w:color="auto"/>
          <w:left w:val="single" w:sz="4" w:space="4" w:color="auto"/>
          <w:bottom w:val="single" w:sz="4" w:space="1" w:color="auto"/>
          <w:right w:val="single" w:sz="4" w:space="4" w:color="auto"/>
        </w:pBdr>
        <w:rPr>
          <w:noProof/>
        </w:rPr>
      </w:pPr>
      <w:r>
        <w:rPr>
          <w:noProof/>
        </w:rPr>
        <w:t>A strukturálisreform-támogató program keretében nyújtott támogatás így mind a 28 uniós tagállam számára rendelkezésre állna.</w:t>
      </w:r>
    </w:p>
    <w:p>
      <w:pPr>
        <w:pStyle w:val="ManualHeading3"/>
        <w:rPr>
          <w:noProof/>
        </w:rPr>
      </w:pPr>
      <w:r>
        <w:t>1.5.2.</w:t>
      </w:r>
      <w:r>
        <w:tab/>
      </w:r>
      <w:r>
        <w:rPr>
          <w:noProof/>
        </w:rPr>
        <w:t>Az uniós részvételből adódó többletérték</w:t>
      </w:r>
    </w:p>
    <w:p>
      <w:pPr>
        <w:pStyle w:val="Text1"/>
        <w:pBdr>
          <w:top w:val="single" w:sz="4" w:space="1" w:color="auto"/>
          <w:left w:val="single" w:sz="4" w:space="4" w:color="auto"/>
          <w:bottom w:val="single" w:sz="4" w:space="1" w:color="auto"/>
          <w:right w:val="single" w:sz="4" w:space="4" w:color="auto"/>
        </w:pBdr>
        <w:rPr>
          <w:noProof/>
        </w:rPr>
      </w:pPr>
      <w:r>
        <w:rPr>
          <w:noProof/>
        </w:rPr>
        <w:t>Az Unió a tagállamokhoz viszonyítva jobb helyzetben van ahhoz, hogy azonosítsa, mozgósítsa és összehangolja az (akár az uniós intézmények szolgálatain belülről, akár más országoktól, illetve nemzetközi szervezetektől származó) elérhető legjobb szakértelmet, és elősegítse a bevált gyakorlatok cseréjét (valamint biztosítsa azok következetes terjesztését az Unió egészében) a növekedésösztönző célzott reformoknak a tagállamokban történő végrehajtásának támogatására.</w:t>
      </w:r>
    </w:p>
    <w:p>
      <w:pPr>
        <w:pStyle w:val="Text1"/>
        <w:pBdr>
          <w:top w:val="single" w:sz="4" w:space="1" w:color="auto"/>
          <w:left w:val="single" w:sz="4" w:space="4" w:color="auto"/>
          <w:bottom w:val="single" w:sz="4" w:space="1" w:color="auto"/>
          <w:right w:val="single" w:sz="4" w:space="4" w:color="auto"/>
        </w:pBdr>
        <w:rPr>
          <w:noProof/>
        </w:rPr>
      </w:pPr>
      <w:r>
        <w:rPr>
          <w:noProof/>
        </w:rPr>
        <w:t>Ezenfelül a szakértelem Unió általi mozgósítása eredményesebb is lenne, mivel méret- és választékgazdaságosságot eredményezne azáltal, hogy uniós szintű platformot hoz létre a bevált gyakorlatok biztosítására és megosztására.</w:t>
      </w:r>
    </w:p>
    <w:p>
      <w:pPr>
        <w:pStyle w:val="Text1"/>
        <w:pBdr>
          <w:top w:val="single" w:sz="4" w:space="1" w:color="auto"/>
          <w:left w:val="single" w:sz="4" w:space="4" w:color="auto"/>
          <w:bottom w:val="single" w:sz="4" w:space="1" w:color="auto"/>
          <w:right w:val="single" w:sz="4" w:space="4" w:color="auto"/>
        </w:pBdr>
        <w:rPr>
          <w:noProof/>
        </w:rPr>
      </w:pPr>
      <w:r>
        <w:rPr>
          <w:noProof/>
        </w:rPr>
        <w:t>E tekintetben a végrehajtandó fellépéseket tagállami erőfeszítéseknek kell kísérniük, és ki kell egészíteni egyéb nemzeti, uniós és nemzetközi szintű programokkal és politikákkal; ez főként olyan támogató fellépések biztosításában ölt testet, amelyek a helyszínen (lehetőség szerint kirendelt szakértők révén) segítik a nemzeti hatóságok reformerőfeszítéseit a reformfolyamat különböző állomásaikor vagy szakaszaiban, különösen olyan beavatkozásokat célozva, amelyek még nem részesülnek támogatásban az uniós alapok más uniós programjai vagy nemzeti kezdeményezések keretébe illeszkedő támogatási intézkedésekből.</w:t>
      </w:r>
    </w:p>
    <w:p>
      <w:pPr>
        <w:pStyle w:val="Text1"/>
        <w:pBdr>
          <w:top w:val="single" w:sz="4" w:space="1" w:color="auto"/>
          <w:left w:val="single" w:sz="4" w:space="4" w:color="auto"/>
          <w:bottom w:val="single" w:sz="4" w:space="1" w:color="auto"/>
          <w:right w:val="single" w:sz="4" w:space="4" w:color="auto"/>
        </w:pBdr>
        <w:rPr>
          <w:noProof/>
        </w:rPr>
      </w:pPr>
      <w:r>
        <w:rPr>
          <w:noProof/>
        </w:rPr>
        <w:t>A program keretében végrehajtott fellépéseknek különösen olyan megoldások kidolgozását és végrehajtását kell lehetővé tenniük, amelyek a nemzeti kihívások kezelése mellett határon átnyúló és uniós szintű hatást fejthetnek ki, valamint hozzájárulnak a bevált gyakorlatok megosztásához és elősegítik a rendelkezésre álló szakértők hálózatának kiépítését. Végül a program keretében végrehajtott fellépések hozzájárulnak a kedvezményezett tagállamok és a Bizottság közötti kölcsönös bizalom további előmozdításához.</w:t>
      </w:r>
    </w:p>
    <w:p>
      <w:pPr>
        <w:pStyle w:val="Text1"/>
        <w:pBdr>
          <w:top w:val="single" w:sz="4" w:space="1" w:color="auto"/>
          <w:left w:val="single" w:sz="4" w:space="4" w:color="auto"/>
          <w:bottom w:val="single" w:sz="4" w:space="1" w:color="auto"/>
          <w:right w:val="single" w:sz="4" w:space="4" w:color="auto"/>
        </w:pBdr>
        <w:rPr>
          <w:noProof/>
        </w:rPr>
      </w:pPr>
      <w:r>
        <w:rPr>
          <w:noProof/>
        </w:rPr>
        <w:t>A javasolt program a legalkalmasabb eszköz a növekedésösztönző reformokat végrehajtó tagállamok helyszíni támogatására, mivel az Unió jobb helyzetben van a tagállamoknál ahhoz, hogy azonosítsa, mozgósítsa és összehangolja a rendelkezésre álló legjobb szakértelmet, valamint hogy koordinált megközelítést biztosítson a segítséget igénylő tagállamok technikai támogatásához.</w:t>
      </w:r>
    </w:p>
    <w:p>
      <w:pPr>
        <w:pStyle w:val="Text1"/>
        <w:pBdr>
          <w:top w:val="single" w:sz="4" w:space="1" w:color="auto"/>
          <w:left w:val="single" w:sz="4" w:space="4" w:color="auto"/>
          <w:bottom w:val="single" w:sz="4" w:space="1" w:color="auto"/>
          <w:right w:val="single" w:sz="4" w:space="4" w:color="auto"/>
        </w:pBdr>
        <w:rPr>
          <w:noProof/>
        </w:rPr>
      </w:pPr>
      <w:r>
        <w:rPr>
          <w:noProof/>
        </w:rPr>
        <w:t>A strukturálisreform-támogató program bevezetése által nyújtott európai hozzáadott értéket az alábbiakban mutatjuk be: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strukturálisreform-támogató program keretében végrehajtott fellépések biztosítják az egyéb nemzeti, uniós és nemzetközi szintű programokkal és politikákkal való kiegészítő jelleget és szinergiát, hozzájárulnak a kedvezményezett tagállamok és a Bizottság közötti kölcsönös bizalom és együttműködés további előmozdításához, valamint biztosítják az uniós jog következetes és koherens végrehajtását. Ezenfelül az e program keretében végrehajtott fellépések különösen olyan megoldások kidolgozását és végrehajtását teszik lehetővé, amelyek a nemzeti kihívások kezelése mellett kedvező határon átnyúló és/vagy uniós szintű hatást fejthetnek ki. Ez a kezdeményezés hozzájárul a tagállamok gazdasági és ágazati szakpolitikái összehangolásának megerősítéséhez és az uniós jog végrehajtásának javításához. A program ezenfelül „együttműködő” szempontot támaszt alá az uniós jog és szakpolitika tagállamok és az Unió általi hatékony végrehajtásában: ez azért is van így, mert egy adott szakpolitika/reform egy adott országban való végrehajtása során nagyon hasznosnak bizonyulhatnak a hasonló szakpolitikát/reformokat végrehajtó egy vagy több hasonló ország tapasztalatai (és cserében az előbbi is ötleteket adhat az utóbbi(ak)nak).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támogatást a különböző szakpolitikai területeken összehangolt módon nyújtják a tagállamoknak. A nemzeti hatóságoknak a reformpolitikák és -stratégiák megfogalmazására, kidolgozására és végrehajtására irányuló kapacitásai megerősítését célzó erőfeszítéseket a célok és eszközök közötti, szektorokon átívelő következetességet biztosító átfogó megközelítéssel valósítják meg.</w:t>
      </w:r>
    </w:p>
    <w:p>
      <w:pPr>
        <w:pStyle w:val="Text1"/>
        <w:pBdr>
          <w:top w:val="single" w:sz="4" w:space="1" w:color="auto"/>
          <w:left w:val="single" w:sz="4" w:space="4" w:color="auto"/>
          <w:bottom w:val="single" w:sz="4" w:space="1" w:color="auto"/>
          <w:right w:val="single" w:sz="4" w:space="4" w:color="auto"/>
        </w:pBdr>
        <w:rPr>
          <w:noProof/>
        </w:rPr>
      </w:pPr>
      <w:r>
        <w:rPr>
          <w:noProof/>
        </w:rPr>
        <w:t>Az e program keretében végrehajtott fellépések hozzáadott értékét más uniós eszközök tekintetében annak szem előtt tartásával fogják biztosítani, hogy a kérelmező tagállamnak nyújtott támogatásra vonatkozó döntés kellően figyelembe vegye az uniós alapokból finanszírozott meglévő fellépéseket és intézkedéseket, illetve az érintett tagállamban folytatott más uniós programokat.</w:t>
      </w:r>
    </w:p>
    <w:p>
      <w:pPr>
        <w:pStyle w:val="Text1"/>
        <w:pBdr>
          <w:top w:val="single" w:sz="4" w:space="1" w:color="auto"/>
          <w:left w:val="single" w:sz="4" w:space="4" w:color="auto"/>
          <w:bottom w:val="single" w:sz="4" w:space="1" w:color="auto"/>
          <w:right w:val="single" w:sz="4" w:space="4" w:color="auto"/>
        </w:pBdr>
        <w:rPr>
          <w:noProof/>
        </w:rPr>
      </w:pPr>
      <w:r>
        <w:rPr>
          <w:noProof/>
        </w:rPr>
        <w:t>Annak érdekében, hogy a legjobban kezeljék a technikai segítségnyújtási kérelmeket, valamint megvalósítsák a technikai segítségnyújtási tevékenységek közötti összhangot és szinergiát, a strukturálisreform-támogató program a Görögország és Ciprus esetében követett integrált megközelítéshez hasonlót valósít meg, amikor is az ágazatközi technikai segítségnyújtást a Bizottság koordinálta (a Görögországgal foglalkozó munkacsoport és a Ciprust támogató csoport útján), míg tagállami szinten a munkát a nemzeti közigazgatásokon belüli meghatározott szervezet (például Görögországban az SGCO, Cipruson pedig a DGEPCD) hangolta össze.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tagállamoknak nyújtott támogatást a bevált gyakorlatoknak a tagállamok és nemzetközi szervezetek közötti megosztására és elfogadására szolgáló platform alkalmazásával erősítik. Az Unió az egyes tagállamokhoz viszonyítva jobb helyzetben van a legjobb gyakorlat azonosítására. Ez továbbá hatékonyságnövekedést biztosít abban a tekintetben, hogy gyorsan mozgósítja a szakértelmet és megosztja a legjobb szakértelmet olyan szakértők állománya révén, akiket könnyen és mindenekelőtt gyorsan mozgósítani lehet a támogatás nyújtására irányuló tagállami kérés esetén.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program lehetővé teszi a méret- és választékgazdaságosság megvalósítását. A tagállamok gyakran hasonló kihívásokkal néznek szembe, és a reformok végrehajtása kapcsán hasonló gyakorlati problémákat kell kezelniük. Az uniós fellépés révén megelőzhetők a párhuzamos erőfeszítések, valamint előmozdítható a tagállamokkal való együttműködés és a nemzetközi szervezetekkel való koordináció.</w:t>
      </w:r>
    </w:p>
    <w:p>
      <w:pPr>
        <w:pStyle w:val="ManualHeading3"/>
        <w:rPr>
          <w:bCs/>
          <w:noProof/>
          <w:szCs w:val="24"/>
        </w:rPr>
      </w:pPr>
      <w:r>
        <w:t>1.5.3.</w:t>
      </w:r>
      <w:r>
        <w:tab/>
      </w:r>
      <w:r>
        <w:rPr>
          <w:noProof/>
        </w:rPr>
        <w:t>Hasonló korábbi tapasztalatok tanulsága</w:t>
      </w:r>
    </w:p>
    <w:p>
      <w:pPr>
        <w:pStyle w:val="Text1"/>
        <w:pBdr>
          <w:top w:val="single" w:sz="4" w:space="1" w:color="auto"/>
          <w:left w:val="single" w:sz="4" w:space="4" w:color="auto"/>
          <w:bottom w:val="single" w:sz="4" w:space="0" w:color="auto"/>
          <w:right w:val="single" w:sz="4" w:space="4" w:color="auto"/>
        </w:pBdr>
        <w:rPr>
          <w:noProof/>
        </w:rPr>
      </w:pPr>
      <w:r>
        <w:rPr>
          <w:noProof/>
        </w:rPr>
        <w:t>A közpolitika szintet teljes spektrumát felölelő területeken Görögországnak és Ciprusnak nyújtott technikai segítségnyújtás (TA) múltbeli tapasztalatai hasznos tanulságokkal szolgálnak a jövőre nézve, amikor potenciálisan valamennyi tagállam számára elérhetővé teszik a technikai segítségnyújtást. A technikai segítségnyújtás rendkívül fontos a ciprusi és görögországi gazdasági kiigazítás támogatásához (a Ciprust támogató csoport, valamint a Görögországgal foglalkozó munkacsoport útján).</w:t>
      </w:r>
    </w:p>
    <w:p>
      <w:pPr>
        <w:pStyle w:val="Text1"/>
        <w:pBdr>
          <w:top w:val="single" w:sz="4" w:space="1" w:color="auto"/>
          <w:left w:val="single" w:sz="4" w:space="4" w:color="auto"/>
          <w:bottom w:val="single" w:sz="4" w:space="0" w:color="auto"/>
          <w:right w:val="single" w:sz="4" w:space="4" w:color="auto"/>
        </w:pBdr>
        <w:rPr>
          <w:noProof/>
        </w:rPr>
      </w:pPr>
      <w:r>
        <w:rPr>
          <w:noProof/>
        </w:rPr>
        <w:t>Felismerve a támogatás által a reformokhoz nyújtott hozzáadott értéket, Görögország és Ciprus (vagyis az a két ország, amely jogosult technikai segítségnyújtást kérni a Ciprust támogató csoport és a Görögországgal foglalkozó munkacsoport útján) a gazdasági kiigazítási programjukon túlmutató technikai támogatást kért és kapott a szakpolitikai területek széles skálájára vonatkozóan. A tervezett strukturálisreform-támogató program keretében ez a „kiterjedt” technikai támogatás valamennyi tagállam rendelkezésére áll majd „programország” státuszuktól függetlenül.</w:t>
      </w:r>
    </w:p>
    <w:p>
      <w:pPr>
        <w:pStyle w:val="Text1"/>
        <w:pBdr>
          <w:top w:val="single" w:sz="4" w:space="1" w:color="auto"/>
          <w:left w:val="single" w:sz="4" w:space="4" w:color="auto"/>
          <w:bottom w:val="single" w:sz="4" w:space="0" w:color="auto"/>
          <w:right w:val="single" w:sz="4" w:space="4" w:color="auto"/>
        </w:pBdr>
        <w:rPr>
          <w:noProof/>
        </w:rPr>
      </w:pPr>
      <w:r>
        <w:rPr>
          <w:noProof/>
        </w:rPr>
        <w:t>A Görögországgal foglalkozó munkacsoport révén Görögországnak biztosított technikai segítségnyújtást független külső értékelésnek vetették alá, amely megállapította, hogy a technikai segítségnyújtás hozzájárult a reformprogram végrehajtásához Görögországban az értékelt területeken, vagyis az adóigazgatási és központi igazgatási reformhoz a 2011–2013 közötti időszakban.</w:t>
      </w:r>
    </w:p>
    <w:p>
      <w:pPr>
        <w:pStyle w:val="Text1"/>
        <w:pBdr>
          <w:top w:val="single" w:sz="4" w:space="1" w:color="auto"/>
          <w:left w:val="single" w:sz="4" w:space="4" w:color="auto"/>
          <w:bottom w:val="single" w:sz="4" w:space="0" w:color="auto"/>
          <w:right w:val="single" w:sz="4" w:space="4" w:color="auto"/>
        </w:pBdr>
        <w:rPr>
          <w:noProof/>
        </w:rPr>
      </w:pPr>
      <w:r>
        <w:rPr>
          <w:noProof/>
        </w:rPr>
        <w:t>A fentiek alapján a technikai segítségnyújtást – a Strukturálisreform-támogató Szolgálat égisze alatt – szeretnék kiterjeszteni az összes tagállamra. Ugyanis a tagállamok kihívásokkal szembesülhetnek a strukturális és igazgatási reformok kialakítása és végrehajtása tekintetében. Ez olyan tényezőkkel függhet össze, mint például a korlátozott közigazgatási és intézményi kapacitás, valamint az uniós jog nem megfelelő alkalmazása és végrehajtása.</w:t>
      </w:r>
    </w:p>
    <w:p>
      <w:pPr>
        <w:pStyle w:val="Text1"/>
        <w:pBdr>
          <w:top w:val="single" w:sz="4" w:space="1" w:color="auto"/>
          <w:left w:val="single" w:sz="4" w:space="4" w:color="auto"/>
          <w:bottom w:val="single" w:sz="4" w:space="0" w:color="auto"/>
          <w:right w:val="single" w:sz="4" w:space="4" w:color="auto"/>
        </w:pBdr>
        <w:rPr>
          <w:noProof/>
        </w:rPr>
      </w:pPr>
      <w:r>
        <w:rPr>
          <w:noProof/>
        </w:rPr>
        <w:t>E tapasztalatra tekintettel a javasolt strukturálisreform-támogató program célja, hogy meghosszabbítsa a technikai támogatást, amelyet kérésre valamennyi tagállam rendelkezésére bocsátanak. Konkrétabban a Bizottság – kérésre – technikai támogatást nyújt.</w:t>
      </w:r>
    </w:p>
    <w:p>
      <w:pPr>
        <w:pStyle w:val="ManualHeading3"/>
        <w:rPr>
          <w:bCs/>
          <w:noProof/>
          <w:szCs w:val="24"/>
        </w:rPr>
      </w:pPr>
      <w:r>
        <w:t>1.5.4.</w:t>
      </w:r>
      <w:r>
        <w:tab/>
      </w:r>
      <w:r>
        <w:rPr>
          <w:noProof/>
        </w:rPr>
        <w:t>Egyéb pénzügyi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A program kiegészíti a többéves pénzügyi keret szerinti más uniós finanszírozási programokban rendelkezésre álló, kapacitásépítésre és technikai segítségnyújtásra szolgáló meglévő forrásokat, valamint az uniós alapokból finanszírozott technikai segítségnyújtást és más fellépéseket.</w:t>
      </w:r>
    </w:p>
    <w:p>
      <w:pPr>
        <w:pStyle w:val="Text1"/>
        <w:pBdr>
          <w:top w:val="single" w:sz="4" w:space="1" w:color="auto"/>
          <w:left w:val="single" w:sz="4" w:space="4" w:color="auto"/>
          <w:bottom w:val="single" w:sz="4" w:space="1" w:color="auto"/>
          <w:right w:val="single" w:sz="4" w:space="4" w:color="auto"/>
        </w:pBdr>
        <w:rPr>
          <w:noProof/>
        </w:rPr>
      </w:pPr>
      <w:r>
        <w:rPr>
          <w:noProof/>
        </w:rPr>
        <w:t>A program hozzáadott értéket képvisel a különböző ágazati uniós programokhoz és az uniós alapok keretében végrehajtott fellépésekhez képest, mivel makroszintű országspecifikus szempontot biztosít, miközben támogatja a tagállamokban zajló legfontosabb strukturális reformokat, összhangban az Unió legfontosabb szakpolitikai célkitűzéseivel.</w:t>
      </w:r>
    </w:p>
    <w:p>
      <w:pPr>
        <w:pStyle w:val="Text1"/>
        <w:pBdr>
          <w:top w:val="single" w:sz="4" w:space="1" w:color="auto"/>
          <w:left w:val="single" w:sz="4" w:space="4" w:color="auto"/>
          <w:bottom w:val="single" w:sz="4" w:space="1" w:color="auto"/>
          <w:right w:val="single" w:sz="4" w:space="4" w:color="auto"/>
        </w:pBdr>
        <w:rPr>
          <w:noProof/>
        </w:rPr>
      </w:pPr>
      <w:r>
        <w:rPr>
          <w:noProof/>
        </w:rPr>
        <w:t>A Bizottság ezenfelül biztosítja a belső munkaszervezés szükséges koordinációját, különösen a munkaprogram(ok) elfogadásához vezető folyamat alatt. Az érintett szolgálatok együttműködnek annak biztosítása érdekében, hogy a strukturálisreform-támogató program munkaprogramjában/munkaprogramjaiban javasolt végrehajtandó fellépések valóban kiegészítsék egymást és ne legyenek átfedésben az említett egyéb uniós programok és alapok intézkedéseivel (ideértve az uniós alapokat, különösen az európai strukturális és beruházási alapokat). Ahogyan azt már korábban említettük, e tekintetben a tagállamok javára nyújtandó támogatásra vonatkozó döntés figyelembe veszi többek között az uniós alapokból vagy egyéb uniós programok keretében finanszírozott már létező tevékenységeket és intézkedéseket.</w:t>
      </w:r>
    </w:p>
    <w:p>
      <w:pPr>
        <w:pStyle w:val="Text1"/>
        <w:pBdr>
          <w:top w:val="single" w:sz="4" w:space="1" w:color="auto"/>
          <w:left w:val="single" w:sz="4" w:space="4" w:color="auto"/>
          <w:bottom w:val="single" w:sz="4" w:space="1" w:color="auto"/>
          <w:right w:val="single" w:sz="4" w:space="4" w:color="auto"/>
        </w:pBdr>
        <w:rPr>
          <w:noProof/>
        </w:rPr>
      </w:pPr>
      <w:r>
        <w:rPr>
          <w:noProof/>
        </w:rPr>
        <w:t>Több uniós program valóban előirányozza a technikai segítségnyújtás lehetőségét azoknak a tagállamoknak, amelyek bizonyos közpolitikai intézkedéseket vezetnek be egyes konkrét területeken. Ezeket úgy alakították ki, hogy – a konkrét célkitűzés és terület függvényében – elősegítsék a gazdasági növekedéshez kedvező feltételek megteremtését, a társadalom és a környezet védelmét és javítását. Az e programok keretében nyújtott támogatást a konkrét tematikus irányultság jellemzi, ami elősegíti a vonatkozó programok egyedi célkitűzéseinek elérését.</w:t>
      </w:r>
    </w:p>
    <w:p>
      <w:pPr>
        <w:pStyle w:val="Text1"/>
        <w:pBdr>
          <w:top w:val="single" w:sz="4" w:space="1" w:color="auto"/>
          <w:left w:val="single" w:sz="4" w:space="4" w:color="auto"/>
          <w:bottom w:val="single" w:sz="4" w:space="1" w:color="auto"/>
          <w:right w:val="single" w:sz="4" w:space="4" w:color="auto"/>
        </w:pBdr>
        <w:rPr>
          <w:noProof/>
        </w:rPr>
      </w:pPr>
      <w:r>
        <w:rPr>
          <w:noProof/>
        </w:rPr>
        <w:t>Az Európa 2020 stratégia célja az intelligens, fenntartható és inkluzív növekedés feltételeinek megteremtése minden tagállamban. A gazdasági növekedés alapvetően fontos a munkanélküliség csökkentéséhez, a társadalmi kohézió erősítéséhez és az életszínvonal emeléséhez. Az Unió szakpolitikai prioritásai közé emelte a strukturális reformok végrehajtását, hogy fenntartható pályára állítsa a gazdasági fellendülést, felszabadítsa a növekedési potenciált a kiigazítási kapacitás megerősítése céljából, és támogatást nyújtson a konvergenciafolyamathoz.</w:t>
      </w:r>
    </w:p>
    <w:p>
      <w:pPr>
        <w:pStyle w:val="Text1"/>
        <w:pBdr>
          <w:top w:val="single" w:sz="4" w:space="1" w:color="auto"/>
          <w:left w:val="single" w:sz="4" w:space="4" w:color="auto"/>
          <w:bottom w:val="single" w:sz="4" w:space="1" w:color="auto"/>
          <w:right w:val="single" w:sz="4" w:space="4" w:color="auto"/>
        </w:pBdr>
        <w:rPr>
          <w:noProof/>
        </w:rPr>
      </w:pPr>
      <w:r>
        <w:rPr>
          <w:noProof/>
        </w:rPr>
        <w:t>A reformfolyamat bonyolult, gyakran költséges, a különböző területeken egyidejűleg kíván szakértelmet, és határon átnyúló hatással járhat. Az uniós támogatás elősegíti, hogy olyan mélyreható, növekedésösztönző reformokat tudjanak végrehajtani a tagállamokban, amelyek az Unió egészére is kihatnak.</w:t>
      </w:r>
    </w:p>
    <w:p>
      <w:pPr>
        <w:pStyle w:val="Text1"/>
        <w:pBdr>
          <w:top w:val="single" w:sz="4" w:space="1" w:color="auto"/>
          <w:left w:val="single" w:sz="4" w:space="4" w:color="auto"/>
          <w:bottom w:val="single" w:sz="4" w:space="1" w:color="auto"/>
          <w:right w:val="single" w:sz="4" w:space="4" w:color="auto"/>
        </w:pBdr>
        <w:rPr>
          <w:noProof/>
        </w:rPr>
      </w:pPr>
      <w:r>
        <w:rPr>
          <w:noProof/>
        </w:rPr>
        <w:t>Az érintett nemzeti hatóságokkal szoros együttműködésben végrehajtandó program tevékenyen hozzájárul majd az említett tagállamok azon kapacitásának erősítéséhez, hogy intézményi, igazgatási, gazdasági és társadalmi reformokat hajtsanak végre, a polgárokat és a vállalatokat szolgáló, egyszerűsített, hatékony és korszerű szervezetek kialakítása érdekében.</w:t>
      </w:r>
    </w:p>
    <w:p>
      <w:pPr>
        <w:pStyle w:val="Text1"/>
        <w:pBdr>
          <w:top w:val="single" w:sz="4" w:space="1" w:color="auto"/>
          <w:left w:val="single" w:sz="4" w:space="4" w:color="auto"/>
          <w:bottom w:val="single" w:sz="4" w:space="1" w:color="auto"/>
          <w:right w:val="single" w:sz="4" w:space="4" w:color="auto"/>
        </w:pBdr>
        <w:rPr>
          <w:noProof/>
        </w:rPr>
      </w:pPr>
      <w:r>
        <w:rPr>
          <w:noProof/>
        </w:rPr>
        <w:t>A program végezetül lehetővé teszi technikai támogatás nyújtását, ami alapvető fontosságú az egységes piac fontos új elemeinek (annak digitális részét is beleértve) sikeres megvalósításához. Például a tőkepiaci unió cselekvési terve technikai támogatást irányoz elő a tőkepiac fejlesztése érdekében. A program biztosítja a szükséges keretet és finanszírozást ehhez a támogatáshoz.</w:t>
      </w:r>
    </w:p>
    <w:p>
      <w:pPr>
        <w:pStyle w:val="Text1"/>
        <w:pBdr>
          <w:top w:val="single" w:sz="4" w:space="1" w:color="auto"/>
          <w:left w:val="single" w:sz="4" w:space="4" w:color="auto"/>
          <w:bottom w:val="single" w:sz="4" w:space="1" w:color="auto"/>
          <w:right w:val="single" w:sz="4" w:space="4" w:color="auto"/>
        </w:pBdr>
        <w:rPr>
          <w:noProof/>
        </w:rPr>
      </w:pPr>
      <w:r>
        <w:rPr>
          <w:noProof/>
        </w:rPr>
        <w:t>Arányosság</w:t>
      </w:r>
    </w:p>
    <w:p>
      <w:pPr>
        <w:pStyle w:val="Text1"/>
        <w:pBdr>
          <w:top w:val="single" w:sz="4" w:space="1" w:color="auto"/>
          <w:left w:val="single" w:sz="4" w:space="4" w:color="auto"/>
          <w:bottom w:val="single" w:sz="4" w:space="1" w:color="auto"/>
          <w:right w:val="single" w:sz="4" w:space="4" w:color="auto"/>
        </w:pBdr>
        <w:rPr>
          <w:noProof/>
        </w:rPr>
      </w:pPr>
      <w:r>
        <w:rPr>
          <w:noProof/>
        </w:rPr>
        <w:t>A javaslat megfelel az arányosság elvének, mivel az említett célkitűzés európai szintű megvalósításához szükséges minimumra szorítkozik, és nem lépi túl az ehhez szükséges mértéket. Ezt támasztja alá először is az a tény, hogy a tagállamok (azok nemzeti hatóságait is beleértve) javára nyújtandó segítség magától a tagállamtól származó, támogatás iránti kérelmen alapul, másodszor pedig az a tény, hogy a támogatás alkalmazási körét a Bizottság és az érintett tagállam közötti kölcsönös megállapodásban határozzák meg.</w:t>
      </w:r>
    </w:p>
    <w:p>
      <w:pPr>
        <w:pStyle w:val="ManualHeading2"/>
        <w:rPr>
          <w:bCs/>
          <w:noProof/>
          <w:szCs w:val="24"/>
        </w:rPr>
      </w:pPr>
      <w:r>
        <w:t>1.6.</w:t>
      </w:r>
      <w:r>
        <w:tab/>
      </w:r>
      <w:r>
        <w:rPr>
          <w:noProof/>
        </w:rPr>
        <w:t>Az intézkedés időtartama és pénzügyi hatása</w:t>
      </w:r>
    </w:p>
    <w:p>
      <w:pPr>
        <w:pStyle w:val="Text1"/>
        <w:rPr>
          <w:noProof/>
        </w:rPr>
      </w:pPr>
      <w:r>
        <w:rPr>
          <w:noProof/>
        </w:rPr>
        <w:sym w:font="Wingdings" w:char="F078"/>
      </w:r>
      <w:r>
        <w:rPr>
          <w:noProof/>
        </w:rPr>
        <w:t xml:space="preserve">A javaslat/kezdeményezés </w:t>
      </w:r>
      <w:r>
        <w:rPr>
          <w:b/>
          <w:noProof/>
        </w:rPr>
        <w:t>határozott időtartamra</w:t>
      </w:r>
      <w:r>
        <w:rPr>
          <w:noProof/>
        </w:rPr>
        <w:t xml:space="preserve"> vonatkozik</w:t>
      </w:r>
    </w:p>
    <w:p>
      <w:pPr>
        <w:pStyle w:val="ListDash2"/>
        <w:ind w:left="1134"/>
        <w:rPr>
          <w:noProof/>
        </w:rPr>
      </w:pPr>
      <w:r>
        <w:rPr>
          <w:noProof/>
        </w:rPr>
        <w:sym w:font="Wingdings" w:char="F078"/>
      </w:r>
      <w:r>
        <w:rPr>
          <w:noProof/>
        </w:rPr>
        <w:t>A javaslat/kezdeményezés időtartama: 2017.01.01-től 2020.12.31-ig.</w:t>
      </w:r>
    </w:p>
    <w:p>
      <w:pPr>
        <w:pStyle w:val="ListDash2"/>
        <w:ind w:left="1134"/>
        <w:rPr>
          <w:noProof/>
        </w:rPr>
      </w:pPr>
      <w:r>
        <w:rPr>
          <w:noProof/>
        </w:rPr>
        <w:sym w:font="Wingdings" w:char="F078"/>
      </w:r>
      <w:r>
        <w:rPr>
          <w:noProof/>
        </w:rPr>
        <w:t>Pénzügyi hatás: 2017.01.01-től 2020.12.31-ig és tovább.</w:t>
      </w:r>
    </w:p>
    <w:p>
      <w:pPr>
        <w:pStyle w:val="Text1"/>
        <w:rPr>
          <w:noProof/>
        </w:rPr>
      </w:pPr>
      <w:r>
        <w:rPr>
          <w:noProof/>
        </w:rPr>
        <w:sym w:font="Wingdings" w:char="F0A8"/>
      </w:r>
      <w:r>
        <w:rPr>
          <w:noProof/>
        </w:rPr>
        <w:t xml:space="preserve">A javaslat/kezdeményezés </w:t>
      </w:r>
      <w:r>
        <w:rPr>
          <w:b/>
          <w:noProof/>
        </w:rPr>
        <w:t>határozatlan időtartamra</w:t>
      </w:r>
      <w:r>
        <w:rPr>
          <w:noProof/>
        </w:rPr>
        <w:t xml:space="preserve"> vonatkozik</w:t>
      </w:r>
    </w:p>
    <w:p>
      <w:pPr>
        <w:pStyle w:val="ListDash1"/>
        <w:ind w:left="1134"/>
        <w:rPr>
          <w:noProof/>
        </w:rPr>
      </w:pPr>
      <w:r>
        <w:rPr>
          <w:noProof/>
        </w:rPr>
        <w:t>Beindítási időszak: ÉÉÉÉ-tól/-től ÉÉÉÉ-ig</w:t>
      </w:r>
    </w:p>
    <w:p>
      <w:pPr>
        <w:pStyle w:val="ListDash1"/>
        <w:ind w:left="1134"/>
        <w:rPr>
          <w:noProof/>
        </w:rPr>
      </w:pPr>
      <w:r>
        <w:rPr>
          <w:noProof/>
        </w:rPr>
        <w:t>azt követően: rendes ütem.</w:t>
      </w:r>
    </w:p>
    <w:p>
      <w:pPr>
        <w:pStyle w:val="ManualHeading2"/>
        <w:rPr>
          <w:bCs/>
          <w:noProof/>
          <w:szCs w:val="24"/>
        </w:rPr>
      </w:pPr>
      <w:r>
        <w:t>1.7.</w:t>
      </w:r>
      <w:r>
        <w:tab/>
      </w:r>
      <w:r>
        <w:rPr>
          <w:noProof/>
        </w:rPr>
        <w:t>Tervezett irányítási módszer(ek)</w:t>
      </w:r>
      <w:r>
        <w:rPr>
          <w:rStyle w:val="FootnoteReference"/>
          <w:noProof/>
        </w:rPr>
        <w:footnoteReference w:id="30"/>
      </w:r>
    </w:p>
    <w:p>
      <w:pPr>
        <w:pStyle w:val="Text1"/>
        <w:rPr>
          <w:noProof/>
        </w:rPr>
      </w:pPr>
      <w:r>
        <w:rPr>
          <w:noProof/>
        </w:rPr>
        <w:sym w:font="Wingdings" w:char="F078"/>
      </w:r>
      <w:r>
        <w:rPr>
          <w:noProof/>
        </w:rPr>
        <w:t xml:space="preserve">Bizottság általi </w:t>
      </w:r>
      <w:r>
        <w:rPr>
          <w:b/>
          <w:noProof/>
        </w:rPr>
        <w:t>közvetlen irányítás</w:t>
      </w:r>
    </w:p>
    <w:p>
      <w:pPr>
        <w:pStyle w:val="ListDash2"/>
        <w:ind w:left="1134"/>
        <w:rPr>
          <w:rFonts w:cs="EUAlbertina"/>
          <w:noProof/>
        </w:rPr>
      </w:pPr>
      <w:r>
        <w:rPr>
          <w:noProof/>
        </w:rPr>
        <w:sym w:font="Wingdings" w:char="F078"/>
      </w:r>
      <w:r>
        <w:rPr>
          <w:noProof/>
        </w:rPr>
        <w:t>a Bizottság szervezeti egységein keresztül, ideértve az uniós küldöttségek személyzetét</w:t>
      </w:r>
    </w:p>
    <w:p>
      <w:pPr>
        <w:pStyle w:val="ListDash2"/>
        <w:ind w:left="1134"/>
        <w:rPr>
          <w:noProof/>
        </w:rPr>
      </w:pPr>
      <w:r>
        <w:rPr>
          <w:noProof/>
        </w:rPr>
        <w:sym w:font="Wingdings" w:char="F0A8"/>
      </w:r>
      <w:r>
        <w:rPr>
          <w:noProof/>
        </w:rPr>
        <w:t>végrehajtó ügynökségen keresztül</w:t>
      </w:r>
    </w:p>
    <w:p>
      <w:pPr>
        <w:pStyle w:val="Text1"/>
        <w:rPr>
          <w:noProof/>
        </w:rPr>
      </w:pPr>
      <w:r>
        <w:rPr>
          <w:noProof/>
        </w:rPr>
        <w:sym w:font="Wingdings" w:char="F0A8"/>
      </w:r>
      <w:r>
        <w:rPr>
          <w:b/>
          <w:noProof/>
        </w:rPr>
        <w:t>Megosztott irányítás</w:t>
      </w:r>
      <w:r>
        <w:rPr>
          <w:noProof/>
        </w:rPr>
        <w:t xml:space="preserve"> a tagállamokkal</w:t>
      </w:r>
    </w:p>
    <w:p>
      <w:pPr>
        <w:pStyle w:val="Text1"/>
        <w:rPr>
          <w:noProof/>
        </w:rPr>
      </w:pPr>
      <w:r>
        <w:rPr>
          <w:noProof/>
        </w:rPr>
        <w:sym w:font="Wingdings" w:char="F078"/>
      </w:r>
      <w:r>
        <w:rPr>
          <w:b/>
          <w:noProof/>
        </w:rPr>
        <w:t>Közvetett irányítás</w:t>
      </w:r>
      <w:r>
        <w:rPr>
          <w:noProof/>
        </w:rPr>
        <w:t xml:space="preserve"> a költségvetés végrehajtásával kapcsolatos feladatoknak a következőkre történő átruházásával:</w:t>
      </w:r>
    </w:p>
    <w:p>
      <w:pPr>
        <w:pStyle w:val="ListDash2"/>
        <w:ind w:left="1134"/>
        <w:rPr>
          <w:noProof/>
        </w:rPr>
      </w:pPr>
      <w:r>
        <w:rPr>
          <w:noProof/>
        </w:rPr>
        <w:sym w:font="Wingdings" w:char="F0A8"/>
      </w:r>
      <w:r>
        <w:rPr>
          <w:noProof/>
        </w:rPr>
        <w:t>harmadik országok vagy az általuk kijelölt szervek</w:t>
      </w:r>
    </w:p>
    <w:p>
      <w:pPr>
        <w:pStyle w:val="ListDash2"/>
        <w:ind w:left="1134"/>
        <w:rPr>
          <w:noProof/>
        </w:rPr>
      </w:pPr>
      <w:r>
        <w:rPr>
          <w:noProof/>
        </w:rPr>
        <w:sym w:font="Wingdings" w:char="F078"/>
      </w:r>
      <w:r>
        <w:rPr>
          <w:noProof/>
        </w:rPr>
        <w:t>nemzetközi szervezetek és ügynökségeik (nevezze meg)</w:t>
      </w:r>
    </w:p>
    <w:p>
      <w:pPr>
        <w:pStyle w:val="ListDash2"/>
        <w:ind w:left="1134"/>
        <w:rPr>
          <w:noProof/>
        </w:rPr>
      </w:pPr>
      <w:r>
        <w:rPr>
          <w:noProof/>
        </w:rPr>
        <w:sym w:font="Wingdings" w:char="F078"/>
      </w:r>
      <w:r>
        <w:rPr>
          <w:noProof/>
        </w:rPr>
        <w:t>az EBB és az Európai Beruházási Alap</w:t>
      </w:r>
    </w:p>
    <w:p>
      <w:pPr>
        <w:pStyle w:val="ListDash2"/>
        <w:ind w:left="1134"/>
        <w:rPr>
          <w:noProof/>
        </w:rPr>
      </w:pPr>
      <w:r>
        <w:rPr>
          <w:noProof/>
        </w:rPr>
        <w:sym w:font="Wingdings" w:char="F0A8"/>
      </w:r>
      <w:r>
        <w:rPr>
          <w:noProof/>
        </w:rPr>
        <w:t>a költségvetési rendelet 208. és 209. cikkében említett szervek</w:t>
      </w:r>
    </w:p>
    <w:p>
      <w:pPr>
        <w:pStyle w:val="ListDash2"/>
        <w:ind w:left="1134"/>
        <w:rPr>
          <w:noProof/>
        </w:rPr>
      </w:pPr>
      <w:r>
        <w:rPr>
          <w:noProof/>
        </w:rPr>
        <w:sym w:font="Wingdings" w:char="F078"/>
      </w:r>
      <w:r>
        <w:rPr>
          <w:noProof/>
        </w:rPr>
        <w:t>közjogi szervek</w:t>
      </w:r>
    </w:p>
    <w:p>
      <w:pPr>
        <w:pStyle w:val="ListDash2"/>
        <w:ind w:left="1134"/>
        <w:rPr>
          <w:noProof/>
        </w:rPr>
      </w:pPr>
      <w:r>
        <w:rPr>
          <w:noProof/>
        </w:rPr>
        <w:sym w:font="Wingdings" w:char="F078"/>
      </w:r>
      <w:r>
        <w:rPr>
          <w:noProof/>
        </w:rPr>
        <w:t>magánjog alapján működő, közfeladatot ellátó szervek, olyan mértékben, amennyiben megfelelő pénzügyi garanciákat nyújtanak;</w:t>
      </w:r>
    </w:p>
    <w:p>
      <w:pPr>
        <w:pStyle w:val="ListDash2"/>
        <w:ind w:left="1134"/>
        <w:rPr>
          <w:noProof/>
        </w:rPr>
      </w:pPr>
      <w:r>
        <w:rPr>
          <w:noProof/>
        </w:rPr>
        <w:sym w:font="Wingdings" w:char="F078"/>
      </w:r>
      <w:r>
        <w:rPr>
          <w:noProof/>
        </w:rPr>
        <w:t>a valamely tagállam magánjoga alapján működő, köz- és magánszféra közötti partnerség végrehajtásával megbízott és megfelelő pénzügyi garanciákat nyújtó szervek</w:t>
      </w:r>
    </w:p>
    <w:p>
      <w:pPr>
        <w:pStyle w:val="ListDash2"/>
        <w:ind w:left="1134"/>
        <w:rPr>
          <w:noProof/>
        </w:rPr>
      </w:pPr>
      <w:r>
        <w:rPr>
          <w:noProof/>
        </w:rPr>
        <w:sym w:font="Wingdings" w:char="F0A8"/>
      </w:r>
      <w:r>
        <w:rPr>
          <w:noProof/>
        </w:rPr>
        <w:t>az EUSZ V. címének értelmében a KKBP terén konkrét fellépések végrehajtásával megbízott, és a vonatkozó alap-jogiaktusban meghatározott személyek.</w:t>
      </w:r>
    </w:p>
    <w:p>
      <w:pPr>
        <w:pStyle w:val="ListDash2"/>
        <w:ind w:left="1134"/>
        <w:rPr>
          <w:i/>
          <w:noProof/>
          <w:sz w:val="18"/>
          <w:u w:val="single"/>
        </w:rPr>
      </w:pPr>
      <w:r>
        <w:rPr>
          <w:i/>
          <w:noProof/>
          <w:sz w:val="18"/>
        </w:rPr>
        <w:t>Egynél több irányítási módszer feltüntetése esetén kérjük, adjon részletes felvilágosítást a „Megjegyzések” rovatban.</w:t>
      </w:r>
    </w:p>
    <w:p>
      <w:pPr>
        <w:pStyle w:val="ManualHeading1"/>
        <w:rPr>
          <w:bCs/>
          <w:noProof/>
          <w:szCs w:val="24"/>
        </w:rPr>
      </w:pPr>
      <w:r>
        <w:t>2.</w:t>
      </w:r>
      <w:r>
        <w:tab/>
      </w:r>
      <w:r>
        <w:rPr>
          <w:noProof/>
        </w:rPr>
        <w:t>IRÁNYÍTÁSI INTÉZKEDÉSEK</w:t>
      </w:r>
    </w:p>
    <w:p>
      <w:pPr>
        <w:pStyle w:val="ManualHeading2"/>
        <w:rPr>
          <w:noProof/>
        </w:rPr>
      </w:pPr>
      <w:r>
        <w:t>2.1.</w:t>
      </w:r>
      <w:r>
        <w:tab/>
      </w:r>
      <w:r>
        <w:rPr>
          <w:noProof/>
        </w:rPr>
        <w:t>A nyomon követésre és a jelentéstételre vonatkozó rendelkezések</w:t>
      </w:r>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A javaslat nyomonkövetési és értékelési kötelezettségeket tartalmaz. A konkrét célkitűzések megvalósulását a javaslatban foglalt mutatók alapján követik nyomon.</w:t>
      </w:r>
    </w:p>
    <w:p>
      <w:pPr>
        <w:pStyle w:val="Text1"/>
        <w:pBdr>
          <w:top w:val="single" w:sz="4" w:space="1" w:color="auto"/>
          <w:left w:val="single" w:sz="4" w:space="4" w:color="auto"/>
          <w:bottom w:val="single" w:sz="4" w:space="1" w:color="auto"/>
          <w:right w:val="single" w:sz="4" w:space="4" w:color="auto"/>
        </w:pBdr>
        <w:rPr>
          <w:noProof/>
        </w:rPr>
      </w:pPr>
      <w:r>
        <w:rPr>
          <w:noProof/>
        </w:rPr>
        <w:t>A Bizottság időközi értékelő jelentést nyújt be az Európai Parlamentnek és a Tanácsnak legkésőbb 2019 közepéig, majd egy utólagos értékelő jelentést 2021. december végéig.</w:t>
      </w:r>
    </w:p>
    <w:p>
      <w:pPr>
        <w:pStyle w:val="Text1"/>
        <w:pBdr>
          <w:top w:val="single" w:sz="4" w:space="1" w:color="auto"/>
          <w:left w:val="single" w:sz="4" w:space="4" w:color="auto"/>
          <w:bottom w:val="single" w:sz="4" w:space="1" w:color="auto"/>
          <w:right w:val="single" w:sz="4" w:space="4" w:color="auto"/>
        </w:pBdr>
        <w:rPr>
          <w:noProof/>
        </w:rPr>
      </w:pPr>
      <w:r>
        <w:rPr>
          <w:noProof/>
        </w:rPr>
        <w:t>Az időközi értékelő jelentésben megvizsgálják a program célkitűzéseinek megvalósítását, a források felhasználásának hatékonyságát, valamint a program európai hozzáadott értékét, valamint értékelik, hogy a program alkalmazási körébe tartozó területeken biztosított finanszírozást ki kell-e igazítani vagy meg kell-e hosszabbítani 2020 utánra is. Az időközi jelentés azzal is foglalkozik, hogy továbbra is releváns-e az összes célkitűzés és fellépés. Az utólagos értékelési jelentés információkat tartalmaz a program hosszabb távú hatásáról.</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Irányítási és kontrollrendszer</w:t>
      </w:r>
    </w:p>
    <w:p>
      <w:pPr>
        <w:pStyle w:val="ManualHeading3"/>
        <w:rPr>
          <w:noProof/>
        </w:rPr>
      </w:pPr>
      <w:r>
        <w:t>2.2.1.</w:t>
      </w:r>
      <w:r>
        <w:tab/>
      </w:r>
      <w:r>
        <w:rPr>
          <w:noProof/>
        </w:rPr>
        <w:t>Felismert kockázat(ok)</w:t>
      </w:r>
    </w:p>
    <w:p>
      <w:pPr>
        <w:pStyle w:val="Text1"/>
        <w:pBdr>
          <w:top w:val="single" w:sz="4" w:space="1" w:color="auto"/>
          <w:left w:val="single" w:sz="4" w:space="4" w:color="auto"/>
          <w:bottom w:val="single" w:sz="4" w:space="1" w:color="auto"/>
          <w:right w:val="single" w:sz="4" w:space="4" w:color="auto"/>
        </w:pBdr>
        <w:rPr>
          <w:noProof/>
        </w:rPr>
      </w:pPr>
      <w:r>
        <w:rPr>
          <w:noProof/>
        </w:rPr>
        <w:t>A program végrehajtható vagy közvetlenül a Bizottság által, vagy közvetve a tagállamoktól eltérő szervezetek vagy személyek által, a költségvetési rendelet 60. cikkének megfelelően. A tevékenységre vonatkozó uniós pénzügyi támogatás különösen a következő formákban valósul meg:</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vissza nem térítendő támogatás (többek között a tagállamok nemzeti hatóságai javára is);</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közbeszerzési szerződések;</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külső szakértőknél felmerült költségek megtérítése;</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vagyonkezelői alapokhoz való hozzájárulás;</w:t>
      </w:r>
    </w:p>
    <w:p>
      <w:pPr>
        <w:pStyle w:val="Text1"/>
        <w:pBdr>
          <w:top w:val="single" w:sz="4" w:space="1" w:color="auto"/>
          <w:left w:val="single" w:sz="4" w:space="4" w:color="auto"/>
          <w:bottom w:val="single" w:sz="4" w:space="1" w:color="auto"/>
          <w:right w:val="single" w:sz="4" w:space="4" w:color="auto"/>
        </w:pBdr>
        <w:rPr>
          <w:noProof/>
        </w:rPr>
      </w:pPr>
      <w:r>
        <w:rPr>
          <w:noProof/>
        </w:rPr>
        <w:t>v.</w:t>
      </w:r>
      <w:r>
        <w:rPr>
          <w:noProof/>
        </w:rPr>
        <w:tab/>
        <w:t>közvetett irányítás keretében végrehajtott intézkedések.</w:t>
      </w:r>
    </w:p>
    <w:p>
      <w:pPr>
        <w:pStyle w:val="Text1"/>
        <w:pBdr>
          <w:top w:val="single" w:sz="4" w:space="1" w:color="auto"/>
          <w:left w:val="single" w:sz="4" w:space="4" w:color="auto"/>
          <w:bottom w:val="single" w:sz="4" w:space="1" w:color="auto"/>
          <w:right w:val="single" w:sz="4" w:space="4" w:color="auto"/>
        </w:pBdr>
        <w:rPr>
          <w:noProof/>
        </w:rPr>
      </w:pPr>
      <w:r>
        <w:rPr>
          <w:noProof/>
        </w:rPr>
        <w:t>A vissza nem térítendő támogatások társfinanszírozási rátája az elszámolható költségek legfeljebb 100 %-a, a társfinanszírozási és a nonprofit elv sérelme nélkül.</w:t>
      </w:r>
    </w:p>
    <w:p>
      <w:pPr>
        <w:pStyle w:val="Text1"/>
        <w:pBdr>
          <w:top w:val="single" w:sz="4" w:space="1" w:color="auto"/>
          <w:left w:val="single" w:sz="4" w:space="4" w:color="auto"/>
          <w:bottom w:val="single" w:sz="4" w:space="1" w:color="auto"/>
          <w:right w:val="single" w:sz="4" w:space="4" w:color="auto"/>
        </w:pBdr>
        <w:rPr>
          <w:noProof/>
        </w:rPr>
      </w:pPr>
      <w:r>
        <w:rPr>
          <w:noProof/>
        </w:rPr>
        <w:t>A Számvevőszék és a Bizottság a hasonló végrehajtási intézkedésekkel rendelkező programra vonatkozó utólagos ellenőrzései során az alábbi főbb kockázatokat tárták fel:</w:t>
      </w:r>
    </w:p>
    <w:p>
      <w:pPr>
        <w:pStyle w:val="Text1"/>
        <w:pBdr>
          <w:top w:val="single" w:sz="4" w:space="1" w:color="auto"/>
          <w:left w:val="single" w:sz="4" w:space="4" w:color="auto"/>
          <w:bottom w:val="single" w:sz="4" w:space="1" w:color="auto"/>
          <w:right w:val="single" w:sz="4" w:space="4" w:color="auto"/>
        </w:pBdr>
        <w:rPr>
          <w:noProof/>
        </w:rPr>
      </w:pPr>
      <w:r>
        <w:rPr>
          <w:noProof/>
        </w:rPr>
        <w:t>– a kiválasztott projektek gyenge minőségének és a projekt gyenge technikai végrehajtásának a kockázata, amely csökkenti a program hatását; a nem megfelelő kiválasztási eljárások miatti szakértelemhiány vagy elégtelen nyomon követés;</w:t>
      </w:r>
    </w:p>
    <w:p>
      <w:pPr>
        <w:pStyle w:val="Text1"/>
        <w:pBdr>
          <w:top w:val="single" w:sz="4" w:space="1" w:color="auto"/>
          <w:left w:val="single" w:sz="4" w:space="4" w:color="auto"/>
          <w:bottom w:val="single" w:sz="4" w:space="1" w:color="auto"/>
          <w:right w:val="single" w:sz="4" w:space="4" w:color="auto"/>
        </w:pBdr>
        <w:rPr>
          <w:noProof/>
        </w:rPr>
      </w:pPr>
      <w:r>
        <w:rPr>
          <w:noProof/>
        </w:rPr>
        <w:t>– az odaítélt források nem hatékony vagy nem gazdaságos felhasználásának kockázata:</w:t>
      </w:r>
    </w:p>
    <w:p>
      <w:pPr>
        <w:pStyle w:val="Text1"/>
        <w:pBdr>
          <w:top w:val="single" w:sz="4" w:space="1" w:color="auto"/>
          <w:left w:val="single" w:sz="4" w:space="4" w:color="auto"/>
          <w:bottom w:val="single" w:sz="4" w:space="1" w:color="auto"/>
          <w:right w:val="single" w:sz="4" w:space="4" w:color="auto"/>
        </w:pBdr>
        <w:rPr>
          <w:noProof/>
        </w:rPr>
      </w:pPr>
      <w:r>
        <w:rPr>
          <w:noProof/>
        </w:rPr>
        <w:tab/>
        <w:t xml:space="preserve">* a támogatások vonatkozásában a támogathatósági szabályok végrehajtása helytelenül bejelentett költségek kockázatát eredményezheti; </w:t>
      </w:r>
    </w:p>
    <w:p>
      <w:pPr>
        <w:pStyle w:val="Text1"/>
        <w:pBdr>
          <w:top w:val="single" w:sz="4" w:space="1" w:color="auto"/>
          <w:left w:val="single" w:sz="4" w:space="4" w:color="auto"/>
          <w:bottom w:val="single" w:sz="4" w:space="1" w:color="auto"/>
          <w:right w:val="single" w:sz="4" w:space="4" w:color="auto"/>
        </w:pBdr>
        <w:rPr>
          <w:noProof/>
        </w:rPr>
      </w:pPr>
      <w:r>
        <w:rPr>
          <w:noProof/>
        </w:rPr>
        <w:tab/>
        <w:t>* a közbeszerzés vonatkozásában a fel nem tárt hibák, illetve az ajánlatokban vagy a kiírási feltételekben szereplő ki nem javított pontatlanságok a szerződés nem megfelelő teljesítését eredményezhetik;</w:t>
      </w:r>
    </w:p>
    <w:p>
      <w:pPr>
        <w:pStyle w:val="Text1"/>
        <w:pBdr>
          <w:top w:val="single" w:sz="4" w:space="1" w:color="auto"/>
          <w:left w:val="single" w:sz="4" w:space="4" w:color="auto"/>
          <w:bottom w:val="single" w:sz="4" w:space="1" w:color="auto"/>
          <w:right w:val="single" w:sz="4" w:space="4" w:color="auto"/>
        </w:pBdr>
        <w:rPr>
          <w:noProof/>
        </w:rPr>
      </w:pPr>
      <w:r>
        <w:rPr>
          <w:noProof/>
        </w:rPr>
        <w:tab/>
        <w:t>* a támogathatósággal (a nemzetközi pénzügyi közvetítők és a végső kedvezményezettek támogathatósága), a szerződések megfelelésével (a Bizottság követelményeinek átültetése a szerződéses okmányokba), a folyamatok teljesítésével (a Bizottság által előírt folyamatok betartásának elmulasztása), valamint a teljesítéssel (az előre meghatározott célok/célkitűzések megvalósításának elmaradása) kapcsolatos kockázatok.</w:t>
      </w:r>
    </w:p>
    <w:p>
      <w:pPr>
        <w:pStyle w:val="Text1"/>
        <w:pBdr>
          <w:top w:val="single" w:sz="4" w:space="1" w:color="auto"/>
          <w:left w:val="single" w:sz="4" w:space="4" w:color="auto"/>
          <w:bottom w:val="single" w:sz="4" w:space="1" w:color="auto"/>
          <w:right w:val="single" w:sz="4" w:space="4" w:color="auto"/>
        </w:pBdr>
        <w:rPr>
          <w:noProof/>
        </w:rPr>
      </w:pPr>
      <w:r>
        <w:rPr>
          <w:noProof/>
        </w:rPr>
        <w:t>A nemzetközi szervezetekkel és a hét pillér alapján értékelt tagállami ügynökségekkel kötött hatályos keretmegállapodások azonban olyan szilárd jogi keretet biztosítanak, amely a költségvetési rendeletben és az alkalmazási szabályokban szereplő kötelezettségeknek megfelelő előzetes és utólagos nyomonkövetési és értékelési rendszert foglal magában.</w:t>
      </w:r>
    </w:p>
    <w:p>
      <w:pPr>
        <w:pStyle w:val="Text1"/>
        <w:pBdr>
          <w:top w:val="single" w:sz="4" w:space="1" w:color="auto"/>
          <w:left w:val="single" w:sz="4" w:space="4" w:color="auto"/>
          <w:bottom w:val="single" w:sz="4" w:space="1" w:color="auto"/>
          <w:right w:val="single" w:sz="4" w:space="4" w:color="auto"/>
        </w:pBdr>
        <w:rPr>
          <w:noProof/>
        </w:rPr>
      </w:pPr>
      <w:r>
        <w:rPr>
          <w:noProof/>
        </w:rPr>
        <w:t>A Bizottság hírneve csorbulásának a kockázata, ha csalást vagy bűntettet tárnak fel.</w:t>
      </w:r>
    </w:p>
    <w:p>
      <w:pPr>
        <w:pStyle w:val="ManualHeading3"/>
        <w:rPr>
          <w:bCs/>
          <w:noProof/>
          <w:szCs w:val="24"/>
        </w:rPr>
      </w:pPr>
      <w:r>
        <w:t>2.2.2.</w:t>
      </w:r>
      <w:r>
        <w:tab/>
      </w:r>
      <w:r>
        <w:rPr>
          <w:noProof/>
        </w:rPr>
        <w:t>A működő belső kontrollrendszerrel kapcsolatos információk</w:t>
      </w:r>
    </w:p>
    <w:p>
      <w:pPr>
        <w:pStyle w:val="Text1"/>
        <w:pBdr>
          <w:top w:val="single" w:sz="4" w:space="1" w:color="auto"/>
          <w:left w:val="single" w:sz="4" w:space="4" w:color="auto"/>
          <w:bottom w:val="single" w:sz="4" w:space="1" w:color="auto"/>
          <w:right w:val="single" w:sz="4" w:space="4" w:color="auto"/>
        </w:pBdr>
        <w:rPr>
          <w:noProof/>
        </w:rPr>
      </w:pPr>
      <w:r>
        <w:rPr>
          <w:noProof/>
        </w:rPr>
        <w:t>A jövőbeli programra vonatkozóan tervezett ellenőrzési rendszer különböző alkotóelemekből fog állni: a műveletek operatív igazgatási szolgálat általi felügyelete, központi költségvetési és ellenőrzési szolgálat általi előzetes ellenőrzés (pénzügyi ellenőrzés), a vissza nem térítendő támogatásokra vonatkozó utólagos ellenőrzések és/vagy pénzügyi ellenőrzések.</w:t>
      </w:r>
    </w:p>
    <w:p>
      <w:pPr>
        <w:pStyle w:val="Text1"/>
        <w:pBdr>
          <w:top w:val="single" w:sz="4" w:space="1" w:color="auto"/>
          <w:left w:val="single" w:sz="4" w:space="4" w:color="auto"/>
          <w:bottom w:val="single" w:sz="4" w:space="1" w:color="auto"/>
          <w:right w:val="single" w:sz="4" w:space="4" w:color="auto"/>
        </w:pBdr>
        <w:rPr>
          <w:noProof/>
        </w:rPr>
      </w:pPr>
      <w:r>
        <w:rPr>
          <w:noProof/>
        </w:rPr>
        <w:t>A programirányítási szolgálat előzetes ellenőrzést, a költségvetési és ellenőrzési szolgálat pedig pénzügyi ellenőrzést végezhet minden művelet esetében (kivéve az alacsony kockázatú előfinanszírozást).</w:t>
      </w:r>
    </w:p>
    <w:p>
      <w:pPr>
        <w:pStyle w:val="Text1"/>
        <w:pBdr>
          <w:top w:val="single" w:sz="4" w:space="1" w:color="auto"/>
          <w:left w:val="single" w:sz="4" w:space="4" w:color="auto"/>
          <w:bottom w:val="single" w:sz="4" w:space="1" w:color="auto"/>
          <w:right w:val="single" w:sz="4" w:space="4" w:color="auto"/>
        </w:pBdr>
        <w:rPr>
          <w:noProof/>
        </w:rPr>
      </w:pPr>
      <w:r>
        <w:rPr>
          <w:noProof/>
        </w:rPr>
        <w:t>A támogatások esetében a pénzügyi jelentéseket a végrehajtási jelentésekkel együtt alaposan ellenőrzik, és értékelik mind a pénzügyi, mind az operatív eredményeket: amennyiben kockázatértékelés alapján szükségesnek tartják, kiegészítő információkat és igazoló dokumentumokat kell benyújtani. Az odaítélésről szóló határozat elfogadása előtt belső közbeszerzési ellenőrzést végeznek minden nyílt és meghívásos közbeszerzési eljárás, valamint minden, 60 000 EUR-t meghaladó tárgyalásos eljárás tekintetében.</w:t>
      </w:r>
    </w:p>
    <w:p>
      <w:pPr>
        <w:pStyle w:val="Text1"/>
        <w:pBdr>
          <w:top w:val="single" w:sz="4" w:space="1" w:color="auto"/>
          <w:left w:val="single" w:sz="4" w:space="4" w:color="auto"/>
          <w:bottom w:val="single" w:sz="4" w:space="1" w:color="auto"/>
          <w:right w:val="single" w:sz="4" w:space="4" w:color="auto"/>
        </w:pBdr>
        <w:rPr>
          <w:noProof/>
        </w:rPr>
      </w:pPr>
      <w:r>
        <w:rPr>
          <w:noProof/>
        </w:rPr>
        <w:t>Az utólagos ellenőrzés során „felderítési stratégiát” alkalmaznak, amelynek célja, hogy a jogosulatlan kifizetések visszafizettetése céljából a legtöbb anomáliát felderítse. E stratégia alapján az ellenőrzéseket a projektek egy szinte teljes egészében kockázatelemzés alapján kiválasztott mintáján végzik.</w:t>
      </w:r>
    </w:p>
    <w:p>
      <w:pPr>
        <w:pStyle w:val="ManualHeading3"/>
        <w:rPr>
          <w:noProof/>
        </w:rPr>
      </w:pPr>
      <w:r>
        <w:t>2.2.3.</w:t>
      </w:r>
      <w:r>
        <w:tab/>
      </w:r>
      <w:r>
        <w:rPr>
          <w:noProof/>
        </w:rPr>
        <w:t>Az ellenőrzések költsége és haszna, a várt hibaarány értékelése</w:t>
      </w:r>
    </w:p>
    <w:p>
      <w:pPr>
        <w:pStyle w:val="Text1"/>
        <w:pBdr>
          <w:top w:val="single" w:sz="4" w:space="1" w:color="auto"/>
          <w:left w:val="single" w:sz="4" w:space="4" w:color="auto"/>
          <w:bottom w:val="single" w:sz="4" w:space="0" w:color="auto"/>
          <w:right w:val="single" w:sz="4" w:space="4" w:color="auto"/>
        </w:pBdr>
        <w:rPr>
          <w:noProof/>
        </w:rPr>
      </w:pPr>
      <w:r>
        <w:rPr>
          <w:noProof/>
        </w:rPr>
        <w:t>A program irányításában érintett teljes személyzet mintegy 70 %-a fog végezni tágabb értelemben vett ellenőrzési feladatokat (a kedvezményezettek/szerződő felek kiválasztásától az ellenőrzés eredmények alkalmazásáig). Ezen túlmenően néhány külső pénzügyi ellenőrzés az igazgatási támogatási előirányzatokból finanszírozható.</w:t>
      </w:r>
    </w:p>
    <w:p>
      <w:pPr>
        <w:pStyle w:val="Text1"/>
        <w:pBdr>
          <w:top w:val="single" w:sz="4" w:space="1" w:color="auto"/>
          <w:left w:val="single" w:sz="4" w:space="4" w:color="auto"/>
          <w:bottom w:val="single" w:sz="4" w:space="0" w:color="auto"/>
          <w:right w:val="single" w:sz="4" w:space="4" w:color="auto"/>
        </w:pBdr>
        <w:rPr>
          <w:noProof/>
        </w:rPr>
      </w:pPr>
      <w:r>
        <w:rPr>
          <w:noProof/>
        </w:rPr>
        <w:t>Az eljárások számának csökkentése mellett összehangolt szabályokat és eljárásokat kell alkalmazni, ami csökkenti a hibakockázatot. Ezen túlmenően az új költségvetési rendelet értelmében rendelkezésre álló egyszerűsítési eszközök stabilabb keretet biztosítanak a különféle intézkedések végrehajtásához.</w:t>
      </w:r>
    </w:p>
    <w:p>
      <w:pPr>
        <w:pStyle w:val="ManualHeading2"/>
        <w:rPr>
          <w:bCs/>
          <w:noProof/>
          <w:szCs w:val="24"/>
        </w:rPr>
      </w:pPr>
      <w:r>
        <w:t>2.3.</w:t>
      </w:r>
      <w:r>
        <w:tab/>
      </w:r>
      <w:r>
        <w:rPr>
          <w:noProof/>
        </w:rPr>
        <w:t>A csalások és a szabálytalanságok megelőzésére vonatkozó intézkedések</w:t>
      </w:r>
    </w:p>
    <w:p>
      <w:pPr>
        <w:pStyle w:val="Text1"/>
        <w:rPr>
          <w:i/>
          <w:noProof/>
          <w:sz w:val="20"/>
        </w:rPr>
      </w:pPr>
      <w:r>
        <w:rPr>
          <w:i/>
          <w:noProof/>
          <w:sz w:val="20"/>
        </w:rPr>
        <w:t>Tüntesse fel a meglévő vagy tervezett megelőző és védintézkedéseket.</w:t>
      </w:r>
    </w:p>
    <w:p>
      <w:pPr>
        <w:pStyle w:val="Text1"/>
        <w:pBdr>
          <w:top w:val="single" w:sz="4" w:space="1" w:color="auto"/>
          <w:left w:val="single" w:sz="4" w:space="4" w:color="auto"/>
          <w:bottom w:val="single" w:sz="4" w:space="1" w:color="auto"/>
          <w:right w:val="single" w:sz="4" w:space="4" w:color="auto"/>
        </w:pBdr>
        <w:rPr>
          <w:noProof/>
        </w:rPr>
      </w:pPr>
      <w:r>
        <w:rPr>
          <w:noProof/>
        </w:rPr>
        <w:t>A csalások és szabálytalanságok megelőzése érdekében különféle intézkedések kerülnek bevezetésre a programmal kapcsolatban; a javaslat 14. cikke az Európai Unió pénzügyi érdekeinek védelmére vonatkozó rendelkezéssel egészül ki.</w:t>
      </w:r>
    </w:p>
    <w:p>
      <w:pPr>
        <w:pStyle w:val="Text1"/>
        <w:pBdr>
          <w:top w:val="single" w:sz="4" w:space="1" w:color="auto"/>
          <w:left w:val="single" w:sz="4" w:space="4" w:color="auto"/>
          <w:bottom w:val="single" w:sz="4" w:space="1" w:color="auto"/>
          <w:right w:val="single" w:sz="4" w:space="4" w:color="auto"/>
        </w:pBdr>
        <w:rPr>
          <w:noProof/>
        </w:rPr>
      </w:pPr>
      <w:r>
        <w:rPr>
          <w:noProof/>
        </w:rPr>
        <w:t>A teljes kiadási ciklusra kiterjedő, csalás elleni bizottsági stratégiával összhangban a végrehajtásért felelős szolgálat e kiadásokra vonatkozó külön csalás elleni cselekvési tervet fog végrehajtani, figyelembe véve a végrehajtandó intézkedések arányosságát és költséghatékonyságát.</w:t>
      </w:r>
    </w:p>
    <w:p>
      <w:pPr>
        <w:pStyle w:val="Text1"/>
        <w:pBdr>
          <w:top w:val="single" w:sz="4" w:space="1" w:color="auto"/>
          <w:left w:val="single" w:sz="4" w:space="4" w:color="auto"/>
          <w:bottom w:val="single" w:sz="4" w:space="1" w:color="auto"/>
          <w:right w:val="single" w:sz="4" w:space="4" w:color="auto"/>
        </w:pBdr>
        <w:rPr>
          <w:noProof/>
        </w:rPr>
      </w:pPr>
      <w:r>
        <w:rPr>
          <w:noProof/>
        </w:rPr>
        <w:t>Ezen intézkedés alapját a megelőzés, a hatékony ellenőrzések és – amennyiben csalást vagy szabálytalanságot tárnak fel – megfelelő válaszintézkedés képezi, amely a jogosulatlanul kifizetett összegek visszafizettetéséből, és adott esetben hatékony, arányos és visszatartó erejű szankciókból áll.</w:t>
      </w:r>
    </w:p>
    <w:p>
      <w:pPr>
        <w:pStyle w:val="Text1"/>
        <w:pBdr>
          <w:top w:val="single" w:sz="4" w:space="1" w:color="auto"/>
          <w:left w:val="single" w:sz="4" w:space="4" w:color="auto"/>
          <w:bottom w:val="single" w:sz="4" w:space="1" w:color="auto"/>
          <w:right w:val="single" w:sz="4" w:space="4" w:color="auto"/>
        </w:pBdr>
        <w:rPr>
          <w:noProof/>
        </w:rPr>
      </w:pPr>
      <w:r>
        <w:rPr>
          <w:noProof/>
        </w:rPr>
        <w:t>A csalás elleni cselekvési terv ismertetni fogja a figyelmeztető jelzésekre épülő, előzetes és utólagos ellenőrzési rendszereket, továbbá meghatározza az alkalmazottak által csalás vagy szabálytalanság feltárása esetén követendő eljárásokat. Emellett a cselekvési terv tájékoztatást nyújt az OLAF-fal való munkamegállapodásról is.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A JAVASLAT/KEZDEMÉNYEZÉS BECSÜLT PÉNZÜGYI HATÁSA</w:t>
      </w:r>
    </w:p>
    <w:p>
      <w:pPr>
        <w:pStyle w:val="ManualHeading2"/>
        <w:rPr>
          <w:noProof/>
        </w:rPr>
      </w:pPr>
      <w:r>
        <w:t>3.1.</w:t>
      </w:r>
      <w:r>
        <w:tab/>
      </w:r>
      <w:r>
        <w:rPr>
          <w:noProof/>
        </w:rPr>
        <w:t>A többéves pénzügyi keret mely fejezetét/fejezeteit és a költségvetés mely kiadási tételét/tételeit érintik a kiadások?</w:t>
      </w:r>
    </w:p>
    <w:p>
      <w:pPr>
        <w:pStyle w:val="ListBullet1"/>
        <w:ind w:left="1134"/>
        <w:rPr>
          <w:noProof/>
        </w:rPr>
      </w:pPr>
      <w:r>
        <w:rPr>
          <w:noProof/>
        </w:rPr>
        <w:t>Jelenlegi költségvetési tételek</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35"/>
        <w:gridCol w:w="1134"/>
        <w:gridCol w:w="1275"/>
        <w:gridCol w:w="1276"/>
        <w:gridCol w:w="992"/>
        <w:gridCol w:w="1276"/>
      </w:tblGrid>
      <w:tr>
        <w:tc>
          <w:tcPr>
            <w:tcW w:w="1135" w:type="dxa"/>
            <w:vMerge w:val="restart"/>
            <w:vAlign w:val="center"/>
          </w:tcPr>
          <w:p>
            <w:pPr>
              <w:spacing w:before="60" w:after="60"/>
              <w:jc w:val="center"/>
              <w:rPr>
                <w:noProof/>
              </w:rPr>
            </w:pPr>
            <w:r>
              <w:rPr>
                <w:noProof/>
                <w:sz w:val="18"/>
              </w:rPr>
              <w:t>A többéves pénzügyi keret fejezete</w:t>
            </w:r>
          </w:p>
        </w:tc>
        <w:tc>
          <w:tcPr>
            <w:tcW w:w="2835" w:type="dxa"/>
            <w:vAlign w:val="center"/>
          </w:tcPr>
          <w:p>
            <w:pPr>
              <w:spacing w:before="60" w:after="60"/>
              <w:jc w:val="center"/>
              <w:rPr>
                <w:noProof/>
              </w:rPr>
            </w:pPr>
            <w:r>
              <w:rPr>
                <w:noProof/>
                <w:sz w:val="20"/>
              </w:rPr>
              <w:t>Költségvetési tétel</w:t>
            </w:r>
          </w:p>
        </w:tc>
        <w:tc>
          <w:tcPr>
            <w:tcW w:w="1134" w:type="dxa"/>
            <w:vAlign w:val="center"/>
          </w:tcPr>
          <w:p>
            <w:pPr>
              <w:spacing w:before="60" w:after="60"/>
              <w:jc w:val="center"/>
              <w:rPr>
                <w:noProof/>
              </w:rPr>
            </w:pPr>
            <w:r>
              <w:rPr>
                <w:noProof/>
              </w:rPr>
              <w:t>Kiadás</w:t>
            </w:r>
            <w:r>
              <w:rPr>
                <w:noProof/>
              </w:rPr>
              <w:br/>
            </w:r>
            <w:r>
              <w:rPr>
                <w:noProof/>
                <w:sz w:val="18"/>
              </w:rPr>
              <w:t>típusa</w:t>
            </w:r>
          </w:p>
        </w:tc>
        <w:tc>
          <w:tcPr>
            <w:tcW w:w="4819" w:type="dxa"/>
            <w:gridSpan w:val="4"/>
            <w:vAlign w:val="center"/>
          </w:tcPr>
          <w:p>
            <w:pPr>
              <w:spacing w:before="60" w:after="60"/>
              <w:jc w:val="center"/>
              <w:rPr>
                <w:noProof/>
              </w:rPr>
            </w:pPr>
            <w:r>
              <w:rPr>
                <w:noProof/>
                <w:sz w:val="20"/>
              </w:rPr>
              <w:t xml:space="preserve">Hozzájárulás </w:t>
            </w:r>
          </w:p>
        </w:tc>
      </w:tr>
      <w:tr>
        <w:tc>
          <w:tcPr>
            <w:tcW w:w="1135" w:type="dxa"/>
            <w:vMerge/>
            <w:vAlign w:val="center"/>
          </w:tcPr>
          <w:p>
            <w:pPr>
              <w:jc w:val="center"/>
              <w:rPr>
                <w:noProof/>
              </w:rPr>
            </w:pPr>
          </w:p>
        </w:tc>
        <w:tc>
          <w:tcPr>
            <w:tcW w:w="2835" w:type="dxa"/>
            <w:vAlign w:val="center"/>
          </w:tcPr>
          <w:p>
            <w:pPr>
              <w:rPr>
                <w:noProof/>
              </w:rPr>
            </w:pPr>
            <w:r>
              <w:rPr>
                <w:noProof/>
              </w:rPr>
              <w:t>Szám</w:t>
            </w:r>
            <w:r>
              <w:rPr>
                <w:noProof/>
              </w:rPr>
              <w:br/>
            </w:r>
            <w:r>
              <w:rPr>
                <w:noProof/>
                <w:sz w:val="20"/>
              </w:rPr>
              <w:t>[Megnevezés…]</w:t>
            </w:r>
          </w:p>
        </w:tc>
        <w:tc>
          <w:tcPr>
            <w:tcW w:w="1134" w:type="dxa"/>
            <w:vAlign w:val="center"/>
          </w:tcPr>
          <w:p>
            <w:pPr>
              <w:jc w:val="center"/>
              <w:rPr>
                <w:noProof/>
              </w:rPr>
            </w:pPr>
            <w:r>
              <w:rPr>
                <w:noProof/>
                <w:sz w:val="18"/>
              </w:rPr>
              <w:t>diff./nem diff.</w:t>
            </w:r>
            <w:r>
              <w:rPr>
                <w:rStyle w:val="FootnoteReference"/>
                <w:noProof/>
                <w:sz w:val="18"/>
              </w:rPr>
              <w:footnoteReference w:id="31"/>
            </w:r>
          </w:p>
        </w:tc>
        <w:tc>
          <w:tcPr>
            <w:tcW w:w="1275" w:type="dxa"/>
            <w:vAlign w:val="center"/>
          </w:tcPr>
          <w:p>
            <w:pPr>
              <w:jc w:val="center"/>
              <w:rPr>
                <w:noProof/>
              </w:rPr>
            </w:pPr>
            <w:r>
              <w:rPr>
                <w:noProof/>
                <w:sz w:val="18"/>
              </w:rPr>
              <w:t>EFTA-országoktól</w:t>
            </w:r>
            <w:r>
              <w:rPr>
                <w:rStyle w:val="FootnoteReference"/>
                <w:noProof/>
                <w:sz w:val="18"/>
              </w:rPr>
              <w:footnoteReference w:id="32"/>
            </w:r>
          </w:p>
          <w:p>
            <w:pPr>
              <w:spacing w:before="0" w:after="0"/>
              <w:jc w:val="center"/>
              <w:rPr>
                <w:b/>
                <w:noProof/>
                <w:sz w:val="18"/>
              </w:rPr>
            </w:pPr>
          </w:p>
        </w:tc>
        <w:tc>
          <w:tcPr>
            <w:tcW w:w="1276" w:type="dxa"/>
            <w:vAlign w:val="center"/>
          </w:tcPr>
          <w:p>
            <w:pPr>
              <w:jc w:val="center"/>
              <w:rPr>
                <w:noProof/>
              </w:rPr>
            </w:pPr>
            <w:r>
              <w:rPr>
                <w:noProof/>
                <w:sz w:val="18"/>
              </w:rPr>
              <w:t>tagjelölt országoktól</w:t>
            </w:r>
            <w:r>
              <w:rPr>
                <w:rStyle w:val="FootnoteReference"/>
                <w:noProof/>
                <w:sz w:val="18"/>
              </w:rPr>
              <w:footnoteReference w:id="33"/>
            </w:r>
          </w:p>
          <w:p>
            <w:pPr>
              <w:spacing w:before="0" w:after="0"/>
              <w:jc w:val="center"/>
              <w:rPr>
                <w:noProof/>
                <w:sz w:val="18"/>
              </w:rPr>
            </w:pPr>
          </w:p>
        </w:tc>
        <w:tc>
          <w:tcPr>
            <w:tcW w:w="992" w:type="dxa"/>
            <w:vAlign w:val="center"/>
          </w:tcPr>
          <w:p>
            <w:pPr>
              <w:jc w:val="center"/>
              <w:rPr>
                <w:noProof/>
                <w:sz w:val="18"/>
              </w:rPr>
            </w:pPr>
            <w:r>
              <w:rPr>
                <w:noProof/>
                <w:sz w:val="18"/>
              </w:rPr>
              <w:t>harmadik országoktól</w:t>
            </w:r>
          </w:p>
        </w:tc>
        <w:tc>
          <w:tcPr>
            <w:tcW w:w="1276" w:type="dxa"/>
            <w:vAlign w:val="center"/>
          </w:tcPr>
          <w:p>
            <w:pPr>
              <w:jc w:val="center"/>
              <w:rPr>
                <w:noProof/>
              </w:rPr>
            </w:pPr>
            <w:r>
              <w:rPr>
                <w:noProof/>
                <w:sz w:val="16"/>
              </w:rPr>
              <w:t xml:space="preserve">a költségvetési rendelet 21. cikke (2) bekezdésének b) pontja értelmében </w:t>
            </w:r>
          </w:p>
        </w:tc>
      </w:tr>
      <w:tr>
        <w:tc>
          <w:tcPr>
            <w:tcW w:w="1135" w:type="dxa"/>
            <w:vAlign w:val="center"/>
          </w:tcPr>
          <w:p>
            <w:pPr>
              <w:jc w:val="center"/>
              <w:rPr>
                <w:noProof/>
                <w:color w:val="0000FF"/>
              </w:rPr>
            </w:pPr>
          </w:p>
        </w:tc>
        <w:tc>
          <w:tcPr>
            <w:tcW w:w="2835" w:type="dxa"/>
            <w:vAlign w:val="center"/>
          </w:tcPr>
          <w:p>
            <w:pPr>
              <w:spacing w:before="60"/>
              <w:rPr>
                <w:noProof/>
              </w:rPr>
            </w:pPr>
            <w:r>
              <w:rPr>
                <w:noProof/>
              </w:rPr>
              <w:t>XX.YY.YY.YY.]</w:t>
            </w:r>
          </w:p>
          <w:p>
            <w:pPr>
              <w:spacing w:after="60"/>
              <w:rPr>
                <w:noProof/>
              </w:rPr>
            </w:pPr>
          </w:p>
        </w:tc>
        <w:tc>
          <w:tcPr>
            <w:tcW w:w="1134" w:type="dxa"/>
            <w:vAlign w:val="center"/>
          </w:tcPr>
          <w:p>
            <w:pPr>
              <w:jc w:val="center"/>
              <w:rPr>
                <w:noProof/>
                <w:color w:val="0000FF"/>
              </w:rPr>
            </w:pPr>
            <w:r>
              <w:rPr>
                <w:noProof/>
              </w:rPr>
              <w:t>diff./nem diff.</w:t>
            </w:r>
          </w:p>
        </w:tc>
        <w:tc>
          <w:tcPr>
            <w:tcW w:w="1275" w:type="dxa"/>
            <w:vAlign w:val="center"/>
          </w:tcPr>
          <w:p>
            <w:pPr>
              <w:jc w:val="center"/>
              <w:rPr>
                <w:noProof/>
              </w:rPr>
            </w:pPr>
            <w:r>
              <w:rPr>
                <w:noProof/>
              </w:rPr>
              <w:t>IGEN/NEM</w:t>
            </w:r>
          </w:p>
        </w:tc>
        <w:tc>
          <w:tcPr>
            <w:tcW w:w="1276" w:type="dxa"/>
            <w:vAlign w:val="center"/>
          </w:tcPr>
          <w:p>
            <w:pPr>
              <w:jc w:val="center"/>
              <w:rPr>
                <w:noProof/>
              </w:rPr>
            </w:pPr>
            <w:r>
              <w:rPr>
                <w:noProof/>
              </w:rPr>
              <w:t>IGEN/NEM</w:t>
            </w:r>
          </w:p>
        </w:tc>
        <w:tc>
          <w:tcPr>
            <w:tcW w:w="992" w:type="dxa"/>
            <w:vAlign w:val="center"/>
          </w:tcPr>
          <w:p>
            <w:pPr>
              <w:jc w:val="center"/>
              <w:rPr>
                <w:noProof/>
              </w:rPr>
            </w:pPr>
            <w:r>
              <w:rPr>
                <w:noProof/>
              </w:rPr>
              <w:t>IGEN/NEM</w:t>
            </w:r>
          </w:p>
        </w:tc>
        <w:tc>
          <w:tcPr>
            <w:tcW w:w="1276" w:type="dxa"/>
            <w:vAlign w:val="center"/>
          </w:tcPr>
          <w:p>
            <w:pPr>
              <w:jc w:val="center"/>
              <w:rPr>
                <w:noProof/>
              </w:rPr>
            </w:pPr>
            <w:r>
              <w:rPr>
                <w:noProof/>
              </w:rPr>
              <w:t>IGEN/NEM</w:t>
            </w:r>
          </w:p>
        </w:tc>
      </w:tr>
    </w:tbl>
    <w:p>
      <w:pPr>
        <w:pStyle w:val="ListBullet1"/>
        <w:ind w:left="1134"/>
        <w:rPr>
          <w:noProof/>
        </w:rPr>
      </w:pPr>
      <w:r>
        <w:rPr>
          <w:noProof/>
        </w:rPr>
        <w:t xml:space="preserve">Létrehozandó új költségvetési tételek </w:t>
      </w:r>
    </w:p>
    <w:p>
      <w:pPr>
        <w:pStyle w:val="Text1"/>
        <w:rPr>
          <w:i/>
          <w:noProof/>
          <w:sz w:val="20"/>
        </w:rPr>
      </w:pPr>
      <w:r>
        <w:rPr>
          <w:i/>
          <w:noProof/>
        </w:rPr>
        <w:t>A többéves pénzügyi keret fejezetei, azon belül pedig a költségvetési tételek</w:t>
      </w:r>
      <w:r>
        <w:rPr>
          <w:noProof/>
        </w:rPr>
        <w:t xml:space="preserve"> </w:t>
      </w:r>
      <w:r>
        <w:rPr>
          <w:i/>
          <w:noProof/>
          <w:u w:val="single"/>
        </w:rPr>
        <w:t>sorrendjében</w:t>
      </w:r>
      <w:r>
        <w:rPr>
          <w:noProof/>
        </w:rPr>
        <w:t>.</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541"/>
        <w:gridCol w:w="1134"/>
        <w:gridCol w:w="1275"/>
        <w:gridCol w:w="1276"/>
        <w:gridCol w:w="992"/>
        <w:gridCol w:w="1276"/>
      </w:tblGrid>
      <w:tr>
        <w:tc>
          <w:tcPr>
            <w:tcW w:w="1080" w:type="dxa"/>
            <w:vMerge w:val="restart"/>
            <w:vAlign w:val="center"/>
          </w:tcPr>
          <w:p>
            <w:pPr>
              <w:spacing w:before="60" w:after="60"/>
              <w:jc w:val="center"/>
              <w:rPr>
                <w:noProof/>
                <w:sz w:val="18"/>
                <w:szCs w:val="18"/>
              </w:rPr>
            </w:pPr>
            <w:r>
              <w:rPr>
                <w:noProof/>
                <w:sz w:val="18"/>
              </w:rPr>
              <w:t>A többéves pénzügyi keret fejezete</w:t>
            </w:r>
          </w:p>
        </w:tc>
        <w:tc>
          <w:tcPr>
            <w:tcW w:w="2541" w:type="dxa"/>
            <w:vAlign w:val="center"/>
          </w:tcPr>
          <w:p>
            <w:pPr>
              <w:spacing w:before="60" w:after="60"/>
              <w:jc w:val="center"/>
              <w:rPr>
                <w:noProof/>
              </w:rPr>
            </w:pPr>
            <w:r>
              <w:rPr>
                <w:noProof/>
                <w:sz w:val="20"/>
              </w:rPr>
              <w:t>Költségvetési tétel</w:t>
            </w:r>
          </w:p>
        </w:tc>
        <w:tc>
          <w:tcPr>
            <w:tcW w:w="1134" w:type="dxa"/>
            <w:vAlign w:val="center"/>
          </w:tcPr>
          <w:p>
            <w:pPr>
              <w:spacing w:before="60" w:after="60"/>
              <w:jc w:val="center"/>
              <w:rPr>
                <w:noProof/>
              </w:rPr>
            </w:pPr>
            <w:r>
              <w:rPr>
                <w:noProof/>
              </w:rPr>
              <w:t>Kiadás</w:t>
            </w:r>
            <w:r>
              <w:rPr>
                <w:noProof/>
              </w:rPr>
              <w:br/>
            </w:r>
            <w:r>
              <w:rPr>
                <w:noProof/>
                <w:sz w:val="18"/>
              </w:rPr>
              <w:t>típusa</w:t>
            </w:r>
          </w:p>
        </w:tc>
        <w:tc>
          <w:tcPr>
            <w:tcW w:w="4819"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jc w:val="center"/>
              <w:rPr>
                <w:noProof/>
              </w:rPr>
            </w:pPr>
          </w:p>
        </w:tc>
        <w:tc>
          <w:tcPr>
            <w:tcW w:w="2541" w:type="dxa"/>
            <w:vAlign w:val="center"/>
          </w:tcPr>
          <w:p>
            <w:pPr>
              <w:rPr>
                <w:b/>
                <w:noProof/>
                <w:sz w:val="20"/>
                <w:szCs w:val="20"/>
              </w:rPr>
            </w:pPr>
            <w:r>
              <w:rPr>
                <w:noProof/>
              </w:rPr>
              <w:t xml:space="preserve">1b. </w:t>
            </w:r>
            <w:r>
              <w:rPr>
                <w:b/>
                <w:noProof/>
                <w:sz w:val="20"/>
              </w:rPr>
              <w:t>Gazdasági, társadalmi és területi kohézió / 2. Fenntartható növekedés: természeti erőforrások</w:t>
            </w:r>
          </w:p>
          <w:p>
            <w:pPr>
              <w:rPr>
                <w:noProof/>
                <w:sz w:val="20"/>
              </w:rPr>
            </w:pPr>
          </w:p>
        </w:tc>
        <w:tc>
          <w:tcPr>
            <w:tcW w:w="1134" w:type="dxa"/>
            <w:vAlign w:val="center"/>
          </w:tcPr>
          <w:p>
            <w:pPr>
              <w:jc w:val="center"/>
              <w:rPr>
                <w:noProof/>
              </w:rPr>
            </w:pPr>
            <w:r>
              <w:rPr>
                <w:noProof/>
                <w:sz w:val="18"/>
              </w:rPr>
              <w:t>diff./nem diff.</w:t>
            </w:r>
          </w:p>
        </w:tc>
        <w:tc>
          <w:tcPr>
            <w:tcW w:w="1275" w:type="dxa"/>
            <w:vAlign w:val="center"/>
          </w:tcPr>
          <w:p>
            <w:pPr>
              <w:jc w:val="center"/>
              <w:rPr>
                <w:noProof/>
                <w:sz w:val="18"/>
              </w:rPr>
            </w:pPr>
            <w:r>
              <w:rPr>
                <w:noProof/>
                <w:sz w:val="18"/>
              </w:rPr>
              <w:t>EFTA-országoktól</w:t>
            </w:r>
          </w:p>
        </w:tc>
        <w:tc>
          <w:tcPr>
            <w:tcW w:w="1276" w:type="dxa"/>
            <w:vAlign w:val="center"/>
          </w:tcPr>
          <w:p>
            <w:pPr>
              <w:jc w:val="center"/>
              <w:rPr>
                <w:noProof/>
                <w:sz w:val="18"/>
              </w:rPr>
            </w:pPr>
            <w:r>
              <w:rPr>
                <w:noProof/>
                <w:sz w:val="18"/>
              </w:rPr>
              <w:t>tagjelölt országoktól</w:t>
            </w:r>
          </w:p>
        </w:tc>
        <w:tc>
          <w:tcPr>
            <w:tcW w:w="992" w:type="dxa"/>
            <w:vAlign w:val="center"/>
          </w:tcPr>
          <w:p>
            <w:pPr>
              <w:jc w:val="center"/>
              <w:rPr>
                <w:noProof/>
                <w:sz w:val="18"/>
              </w:rPr>
            </w:pPr>
            <w:r>
              <w:rPr>
                <w:noProof/>
                <w:sz w:val="18"/>
              </w:rPr>
              <w:t>harmadik országoktól</w:t>
            </w:r>
          </w:p>
        </w:tc>
        <w:tc>
          <w:tcPr>
            <w:tcW w:w="1276"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rPr>
            </w:pPr>
            <w:r>
              <w:rPr>
                <w:noProof/>
              </w:rPr>
              <w:t>1b</w:t>
            </w:r>
          </w:p>
        </w:tc>
        <w:tc>
          <w:tcPr>
            <w:tcW w:w="2541" w:type="dxa"/>
            <w:vAlign w:val="center"/>
          </w:tcPr>
          <w:p>
            <w:pPr>
              <w:jc w:val="center"/>
              <w:rPr>
                <w:noProof/>
              </w:rPr>
            </w:pPr>
            <w:r>
              <w:rPr>
                <w:noProof/>
              </w:rPr>
              <w:t>13.01.04.04</w:t>
            </w:r>
          </w:p>
          <w:p>
            <w:pPr>
              <w:spacing w:after="60"/>
              <w:jc w:val="center"/>
              <w:rPr>
                <w:noProof/>
              </w:rPr>
            </w:pPr>
          </w:p>
        </w:tc>
        <w:tc>
          <w:tcPr>
            <w:tcW w:w="1134" w:type="dxa"/>
            <w:vAlign w:val="center"/>
          </w:tcPr>
          <w:p>
            <w:pPr>
              <w:jc w:val="center"/>
              <w:rPr>
                <w:noProof/>
              </w:rPr>
            </w:pPr>
            <w:r>
              <w:rPr>
                <w:noProof/>
              </w:rPr>
              <w:t>Nem diff.</w:t>
            </w:r>
          </w:p>
        </w:tc>
        <w:tc>
          <w:tcPr>
            <w:tcW w:w="1275" w:type="dxa"/>
            <w:vAlign w:val="center"/>
          </w:tcPr>
          <w:p>
            <w:pPr>
              <w:jc w:val="center"/>
              <w:rPr>
                <w:noProof/>
              </w:rPr>
            </w:pPr>
            <w:r>
              <w:rPr>
                <w:noProof/>
              </w:rPr>
              <w:t>IGEN</w:t>
            </w:r>
          </w:p>
        </w:tc>
        <w:tc>
          <w:tcPr>
            <w:tcW w:w="1276" w:type="dxa"/>
            <w:vAlign w:val="center"/>
          </w:tcPr>
          <w:p>
            <w:pPr>
              <w:jc w:val="center"/>
              <w:rPr>
                <w:noProof/>
                <w:sz w:val="18"/>
              </w:rPr>
            </w:pPr>
            <w:r>
              <w:rPr>
                <w:noProof/>
              </w:rPr>
              <w:t>NEM</w:t>
            </w:r>
          </w:p>
        </w:tc>
        <w:tc>
          <w:tcPr>
            <w:tcW w:w="992" w:type="dxa"/>
            <w:vAlign w:val="center"/>
          </w:tcPr>
          <w:p>
            <w:pPr>
              <w:jc w:val="center"/>
              <w:rPr>
                <w:noProof/>
                <w:sz w:val="18"/>
              </w:rPr>
            </w:pPr>
            <w:r>
              <w:rPr>
                <w:noProof/>
              </w:rPr>
              <w:t>NEM</w:t>
            </w:r>
          </w:p>
        </w:tc>
        <w:tc>
          <w:tcPr>
            <w:tcW w:w="1276" w:type="dxa"/>
            <w:vAlign w:val="center"/>
          </w:tcPr>
          <w:p>
            <w:pPr>
              <w:jc w:val="center"/>
              <w:rPr>
                <w:noProof/>
              </w:rPr>
            </w:pPr>
            <w:r>
              <w:rPr>
                <w:noProof/>
              </w:rPr>
              <w:t>NEM</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1b</w:t>
            </w:r>
          </w:p>
        </w:tc>
        <w:tc>
          <w:tcPr>
            <w:tcW w:w="2541"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13.08.01</w:t>
            </w:r>
          </w:p>
          <w:p>
            <w:pPr>
              <w:spacing w:before="6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Diff.</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IGEN</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NEM</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NEM</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NEM</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2</w:t>
            </w:r>
          </w:p>
        </w:tc>
        <w:tc>
          <w:tcPr>
            <w:tcW w:w="2541"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13.08.02</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Diff.</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IGEN</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NEM</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NEM</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NEM</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A kiadásokra gyakorolt becsült hatás</w:t>
      </w:r>
    </w:p>
    <w:p>
      <w:pPr>
        <w:pStyle w:val="ManualHeading3"/>
        <w:rPr>
          <w:noProof/>
          <w:u w:val="single"/>
        </w:rPr>
      </w:pPr>
      <w:r>
        <w:t>3.2.1.</w:t>
      </w:r>
      <w:r>
        <w:tab/>
      </w:r>
      <w:r>
        <w:rPr>
          <w:noProof/>
        </w:rPr>
        <w:t>A kiadásokra gyakorolt becsült hatás összegzése</w:t>
      </w:r>
    </w:p>
    <w:p>
      <w:pPr>
        <w:spacing w:before="0" w:after="0"/>
        <w:ind w:right="2238"/>
        <w:jc w:val="right"/>
        <w:rPr>
          <w:noProof/>
          <w:sz w:val="20"/>
        </w:rPr>
      </w:pPr>
      <w:r>
        <w:rPr>
          <w:noProof/>
          <w:sz w:val="20"/>
        </w:rPr>
        <w:t>millió EUR (három tizedesjegyig)</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756"/>
        <w:gridCol w:w="992"/>
        <w:gridCol w:w="320"/>
        <w:gridCol w:w="1066"/>
        <w:gridCol w:w="31"/>
        <w:gridCol w:w="993"/>
        <w:gridCol w:w="992"/>
        <w:gridCol w:w="992"/>
        <w:gridCol w:w="851"/>
        <w:gridCol w:w="992"/>
        <w:gridCol w:w="1276"/>
      </w:tblGrid>
      <w:tr>
        <w:trPr>
          <w:trHeight w:val="656"/>
        </w:trPr>
        <w:tc>
          <w:tcPr>
            <w:tcW w:w="4999" w:type="dxa"/>
            <w:gridSpan w:val="4"/>
            <w:shd w:val="thinDiagStripe" w:color="C0C0C0" w:fill="auto"/>
            <w:vAlign w:val="center"/>
          </w:tcPr>
          <w:p>
            <w:pPr>
              <w:spacing w:before="0" w:after="0"/>
              <w:jc w:val="center"/>
              <w:rPr>
                <w:b/>
                <w:noProof/>
              </w:rPr>
            </w:pPr>
            <w:r>
              <w:rPr>
                <w:b/>
                <w:noProof/>
              </w:rPr>
              <w:t>A többéves pénzügyi keret</w:t>
            </w:r>
            <w:r>
              <w:rPr>
                <w:noProof/>
              </w:rPr>
              <w:br/>
            </w:r>
            <w:r>
              <w:rPr>
                <w:b/>
                <w:noProof/>
              </w:rPr>
              <w:t xml:space="preserve">fejezete </w:t>
            </w:r>
          </w:p>
        </w:tc>
        <w:tc>
          <w:tcPr>
            <w:tcW w:w="1066" w:type="dxa"/>
            <w:vAlign w:val="center"/>
          </w:tcPr>
          <w:p>
            <w:pPr>
              <w:jc w:val="center"/>
              <w:rPr>
                <w:noProof/>
                <w:color w:val="0070C0"/>
              </w:rPr>
            </w:pPr>
            <w:r>
              <w:rPr>
                <w:noProof/>
                <w:sz w:val="22"/>
              </w:rPr>
              <w:t>1b/2</w:t>
            </w:r>
          </w:p>
        </w:tc>
        <w:tc>
          <w:tcPr>
            <w:tcW w:w="6127" w:type="dxa"/>
            <w:gridSpan w:val="7"/>
            <w:vAlign w:val="center"/>
          </w:tcPr>
          <w:p>
            <w:pPr>
              <w:pStyle w:val="CM1"/>
              <w:spacing w:before="200" w:after="200"/>
              <w:jc w:val="center"/>
              <w:rPr>
                <w:rFonts w:cs="EUAlbertina"/>
                <w:b/>
                <w:noProof/>
                <w:color w:val="000000"/>
              </w:rPr>
            </w:pPr>
            <w:r>
              <w:rPr>
                <w:rFonts w:ascii="Times New Roman" w:hAnsi="Times New Roman"/>
                <w:b/>
                <w:noProof/>
                <w:color w:val="000000"/>
                <w:sz w:val="20"/>
              </w:rPr>
              <w:t>Gazdasági, társadalmi és területi kohézió /</w:t>
            </w:r>
            <w:r>
              <w:rPr>
                <w:rFonts w:ascii="Times New Roman" w:hAnsi="Times New Roman"/>
                <w:b/>
                <w:noProof/>
                <w:sz w:val="20"/>
              </w:rPr>
              <w:t xml:space="preserve"> Fenntartható növekedés: természeti erőforrások</w:t>
            </w:r>
          </w:p>
        </w:tc>
      </w:tr>
      <w:tr>
        <w:trPr>
          <w:trHeight w:val="497"/>
        </w:trPr>
        <w:tc>
          <w:tcPr>
            <w:tcW w:w="3687" w:type="dxa"/>
            <w:gridSpan w:val="2"/>
            <w:vAlign w:val="center"/>
          </w:tcPr>
          <w:p>
            <w:pPr>
              <w:jc w:val="center"/>
              <w:rPr>
                <w:noProof/>
              </w:rPr>
            </w:pPr>
            <w:r>
              <w:rPr>
                <w:noProof/>
                <w:sz w:val="22"/>
              </w:rPr>
              <w:t xml:space="preserve">FŐIGAZGATÓSÁG: SG / </w:t>
            </w:r>
            <w:r>
              <w:rPr>
                <w:noProof/>
              </w:rPr>
              <w:t>SRSS</w:t>
            </w:r>
          </w:p>
        </w:tc>
        <w:tc>
          <w:tcPr>
            <w:tcW w:w="992" w:type="dxa"/>
          </w:tcPr>
          <w:p>
            <w:pPr>
              <w:rPr>
                <w:noProof/>
                <w:sz w:val="20"/>
              </w:rPr>
            </w:pPr>
          </w:p>
        </w:tc>
        <w:tc>
          <w:tcPr>
            <w:tcW w:w="1417" w:type="dxa"/>
            <w:gridSpan w:val="3"/>
          </w:tcPr>
          <w:p>
            <w:pPr>
              <w:jc w:val="center"/>
              <w:rPr>
                <w:noProof/>
                <w:sz w:val="20"/>
              </w:rPr>
            </w:pPr>
          </w:p>
        </w:tc>
        <w:tc>
          <w:tcPr>
            <w:tcW w:w="993" w:type="dxa"/>
            <w:vAlign w:val="center"/>
          </w:tcPr>
          <w:p>
            <w:pPr>
              <w:jc w:val="center"/>
              <w:rPr>
                <w:noProof/>
                <w:sz w:val="20"/>
              </w:rPr>
            </w:pPr>
            <w:r>
              <w:rPr>
                <w:noProof/>
              </w:rPr>
              <w:t>Év</w:t>
            </w:r>
            <w:r>
              <w:rPr>
                <w:noProof/>
              </w:rPr>
              <w:br/>
            </w:r>
            <w:r>
              <w:rPr>
                <w:b/>
                <w:noProof/>
                <w:sz w:val="20"/>
              </w:rPr>
              <w:t>2017</w:t>
            </w:r>
            <w:r>
              <w:rPr>
                <w:rStyle w:val="FootnoteReference"/>
                <w:b/>
                <w:noProof/>
                <w:sz w:val="20"/>
              </w:rPr>
              <w:footnoteReference w:id="34"/>
            </w:r>
          </w:p>
        </w:tc>
        <w:tc>
          <w:tcPr>
            <w:tcW w:w="992" w:type="dxa"/>
            <w:vAlign w:val="center"/>
          </w:tcPr>
          <w:p>
            <w:pPr>
              <w:jc w:val="center"/>
              <w:rPr>
                <w:noProof/>
                <w:sz w:val="20"/>
              </w:rPr>
            </w:pPr>
            <w:r>
              <w:rPr>
                <w:noProof/>
              </w:rPr>
              <w:t>Év</w:t>
            </w:r>
            <w:r>
              <w:rPr>
                <w:noProof/>
              </w:rPr>
              <w:br/>
            </w:r>
            <w:r>
              <w:rPr>
                <w:b/>
                <w:noProof/>
                <w:sz w:val="20"/>
              </w:rPr>
              <w:t>2018</w:t>
            </w:r>
          </w:p>
        </w:tc>
        <w:tc>
          <w:tcPr>
            <w:tcW w:w="992" w:type="dxa"/>
            <w:vAlign w:val="center"/>
          </w:tcPr>
          <w:p>
            <w:pPr>
              <w:jc w:val="center"/>
              <w:rPr>
                <w:noProof/>
                <w:sz w:val="20"/>
              </w:rPr>
            </w:pPr>
            <w:r>
              <w:rPr>
                <w:noProof/>
              </w:rPr>
              <w:t>Év</w:t>
            </w:r>
            <w:r>
              <w:rPr>
                <w:noProof/>
              </w:rPr>
              <w:br/>
            </w:r>
            <w:r>
              <w:rPr>
                <w:b/>
                <w:noProof/>
                <w:sz w:val="20"/>
              </w:rPr>
              <w:t>2019</w:t>
            </w:r>
          </w:p>
        </w:tc>
        <w:tc>
          <w:tcPr>
            <w:tcW w:w="851" w:type="dxa"/>
          </w:tcPr>
          <w:p>
            <w:pPr>
              <w:jc w:val="center"/>
              <w:rPr>
                <w:noProof/>
                <w:sz w:val="20"/>
              </w:rPr>
            </w:pPr>
            <w:r>
              <w:rPr>
                <w:noProof/>
              </w:rPr>
              <w:t>Év</w:t>
            </w:r>
            <w:r>
              <w:rPr>
                <w:noProof/>
              </w:rPr>
              <w:br/>
            </w:r>
            <w:r>
              <w:rPr>
                <w:b/>
                <w:noProof/>
                <w:sz w:val="20"/>
              </w:rPr>
              <w:t>2020</w:t>
            </w:r>
          </w:p>
        </w:tc>
        <w:tc>
          <w:tcPr>
            <w:tcW w:w="992" w:type="dxa"/>
            <w:vAlign w:val="center"/>
          </w:tcPr>
          <w:p>
            <w:pPr>
              <w:jc w:val="center"/>
              <w:rPr>
                <w:noProof/>
                <w:sz w:val="20"/>
              </w:rPr>
            </w:pPr>
            <w:r>
              <w:rPr>
                <w:noProof/>
              </w:rPr>
              <w:t>Év</w:t>
            </w:r>
            <w:r>
              <w:rPr>
                <w:noProof/>
              </w:rPr>
              <w:br/>
            </w:r>
            <w:r>
              <w:rPr>
                <w:b/>
                <w:noProof/>
                <w:sz w:val="20"/>
              </w:rPr>
              <w:t>2021 és 2022</w:t>
            </w:r>
          </w:p>
        </w:tc>
        <w:tc>
          <w:tcPr>
            <w:tcW w:w="1276" w:type="dxa"/>
            <w:vAlign w:val="center"/>
          </w:tcPr>
          <w:p>
            <w:pPr>
              <w:jc w:val="center"/>
              <w:rPr>
                <w:b/>
                <w:noProof/>
                <w:sz w:val="20"/>
              </w:rPr>
            </w:pPr>
            <w:r>
              <w:rPr>
                <w:b/>
                <w:noProof/>
                <w:sz w:val="20"/>
              </w:rPr>
              <w:t>ÖSSZESEN</w:t>
            </w:r>
          </w:p>
        </w:tc>
      </w:tr>
      <w:tr>
        <w:trPr>
          <w:trHeight w:val="310"/>
        </w:trPr>
        <w:tc>
          <w:tcPr>
            <w:tcW w:w="6096" w:type="dxa"/>
            <w:gridSpan w:val="6"/>
            <w:vAlign w:val="center"/>
          </w:tcPr>
          <w:p>
            <w:pPr>
              <w:spacing w:before="0" w:after="0"/>
              <w:rPr>
                <w:noProof/>
                <w:sz w:val="21"/>
              </w:rPr>
            </w:pPr>
            <w:r>
              <w:rPr>
                <w:b/>
                <w:noProof/>
                <w:sz w:val="18"/>
              </w:rPr>
              <w:t>Operatív előirányzatok</w:t>
            </w:r>
          </w:p>
        </w:tc>
        <w:tc>
          <w:tcPr>
            <w:tcW w:w="993" w:type="dxa"/>
            <w:vAlign w:val="center"/>
          </w:tcPr>
          <w:p>
            <w:pPr>
              <w:rPr>
                <w:noProof/>
                <w:sz w:val="20"/>
              </w:rPr>
            </w:pPr>
          </w:p>
        </w:tc>
        <w:tc>
          <w:tcPr>
            <w:tcW w:w="992" w:type="dxa"/>
            <w:vAlign w:val="center"/>
          </w:tcPr>
          <w:p>
            <w:pPr>
              <w:rPr>
                <w:noProof/>
                <w:sz w:val="20"/>
              </w:rPr>
            </w:pPr>
          </w:p>
        </w:tc>
        <w:tc>
          <w:tcPr>
            <w:tcW w:w="992" w:type="dxa"/>
            <w:vAlign w:val="center"/>
          </w:tcPr>
          <w:p>
            <w:pPr>
              <w:rPr>
                <w:noProof/>
                <w:sz w:val="20"/>
              </w:rPr>
            </w:pPr>
          </w:p>
        </w:tc>
        <w:tc>
          <w:tcPr>
            <w:tcW w:w="851" w:type="dxa"/>
          </w:tcPr>
          <w:p>
            <w:pPr>
              <w:rPr>
                <w:noProof/>
                <w:sz w:val="20"/>
              </w:rPr>
            </w:pPr>
          </w:p>
        </w:tc>
        <w:tc>
          <w:tcPr>
            <w:tcW w:w="992" w:type="dxa"/>
            <w:vAlign w:val="center"/>
          </w:tcPr>
          <w:p>
            <w:pPr>
              <w:rPr>
                <w:noProof/>
                <w:sz w:val="20"/>
              </w:rPr>
            </w:pPr>
          </w:p>
        </w:tc>
        <w:tc>
          <w:tcPr>
            <w:tcW w:w="1276" w:type="dxa"/>
            <w:vAlign w:val="center"/>
          </w:tcPr>
          <w:p>
            <w:pPr>
              <w:rPr>
                <w:b/>
                <w:noProof/>
                <w:sz w:val="20"/>
              </w:rPr>
            </w:pPr>
          </w:p>
        </w:tc>
      </w:tr>
      <w:tr>
        <w:trPr>
          <w:trHeight w:val="277"/>
        </w:trPr>
        <w:tc>
          <w:tcPr>
            <w:tcW w:w="2931" w:type="dxa"/>
            <w:vMerge w:val="restart"/>
            <w:vAlign w:val="center"/>
          </w:tcPr>
          <w:p>
            <w:pPr>
              <w:rPr>
                <w:b/>
                <w:noProof/>
              </w:rPr>
            </w:pPr>
            <w:r>
              <w:rPr>
                <w:b/>
                <w:noProof/>
              </w:rPr>
              <w:t>13.08.01</w:t>
            </w:r>
          </w:p>
        </w:tc>
        <w:tc>
          <w:tcPr>
            <w:tcW w:w="1748" w:type="dxa"/>
            <w:gridSpan w:val="2"/>
            <w:vAlign w:val="center"/>
          </w:tcPr>
          <w:p>
            <w:pPr>
              <w:spacing w:before="20" w:after="20"/>
              <w:rPr>
                <w:noProof/>
                <w:sz w:val="18"/>
              </w:rPr>
            </w:pPr>
            <w:r>
              <w:rPr>
                <w:noProof/>
                <w:sz w:val="18"/>
              </w:rPr>
              <w:t>Kötelezettségvállalási előirányzatok</w:t>
            </w:r>
          </w:p>
        </w:tc>
        <w:tc>
          <w:tcPr>
            <w:tcW w:w="1417" w:type="dxa"/>
            <w:gridSpan w:val="3"/>
            <w:vAlign w:val="center"/>
          </w:tcPr>
          <w:p>
            <w:pPr>
              <w:spacing w:before="20" w:after="20"/>
              <w:jc w:val="center"/>
              <w:rPr>
                <w:noProof/>
                <w:sz w:val="14"/>
              </w:rPr>
            </w:pPr>
            <w:r>
              <w:rPr>
                <w:noProof/>
                <w:sz w:val="14"/>
              </w:rPr>
              <w:t>(1)</w:t>
            </w:r>
          </w:p>
        </w:tc>
        <w:tc>
          <w:tcPr>
            <w:tcW w:w="993" w:type="dxa"/>
            <w:vAlign w:val="center"/>
          </w:tcPr>
          <w:p>
            <w:pPr>
              <w:spacing w:before="20" w:after="20"/>
              <w:jc w:val="right"/>
              <w:rPr>
                <w:b/>
                <w:noProof/>
                <w:sz w:val="20"/>
              </w:rPr>
            </w:pPr>
            <w:r>
              <w:rPr>
                <w:b/>
                <w:noProof/>
                <w:color w:val="000000"/>
                <w:sz w:val="20"/>
              </w:rPr>
              <w:t>17,443</w:t>
            </w:r>
          </w:p>
        </w:tc>
        <w:tc>
          <w:tcPr>
            <w:tcW w:w="992" w:type="dxa"/>
            <w:vAlign w:val="center"/>
          </w:tcPr>
          <w:p>
            <w:pPr>
              <w:spacing w:before="20" w:after="20"/>
              <w:jc w:val="right"/>
              <w:rPr>
                <w:b/>
                <w:bCs/>
                <w:noProof/>
                <w:color w:val="000000"/>
                <w:sz w:val="20"/>
              </w:rPr>
            </w:pPr>
            <w:r>
              <w:rPr>
                <w:b/>
                <w:noProof/>
                <w:color w:val="000000"/>
                <w:sz w:val="20"/>
              </w:rPr>
              <w:t>23,645</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29,847</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34,498</w:t>
            </w:r>
          </w:p>
          <w:p>
            <w:pPr>
              <w:spacing w:before="20" w:after="20"/>
              <w:jc w:val="right"/>
              <w:rPr>
                <w:b/>
                <w:noProof/>
                <w:sz w:val="20"/>
              </w:rPr>
            </w:pPr>
          </w:p>
        </w:tc>
        <w:tc>
          <w:tcPr>
            <w:tcW w:w="992" w:type="dxa"/>
            <w:vAlign w:val="center"/>
          </w:tcPr>
          <w:p>
            <w:pPr>
              <w:spacing w:before="20" w:after="20"/>
              <w:jc w:val="right"/>
              <w:rPr>
                <w:b/>
                <w:noProof/>
                <w:sz w:val="20"/>
              </w:rPr>
            </w:pPr>
            <w:r>
              <w:rPr>
                <w:b/>
                <w:noProof/>
                <w:color w:val="000000"/>
                <w:sz w:val="20"/>
              </w:rPr>
              <w:t>0,000</w:t>
            </w:r>
          </w:p>
        </w:tc>
        <w:tc>
          <w:tcPr>
            <w:tcW w:w="1276" w:type="dxa"/>
            <w:vAlign w:val="center"/>
          </w:tcPr>
          <w:p>
            <w:pPr>
              <w:spacing w:before="20" w:after="20"/>
              <w:jc w:val="right"/>
              <w:rPr>
                <w:b/>
                <w:bCs/>
                <w:noProof/>
                <w:color w:val="000000"/>
                <w:sz w:val="20"/>
                <w:szCs w:val="20"/>
              </w:rPr>
            </w:pPr>
            <w:r>
              <w:rPr>
                <w:b/>
                <w:noProof/>
                <w:color w:val="000000"/>
                <w:sz w:val="20"/>
              </w:rPr>
              <w:t>105,433</w:t>
            </w:r>
          </w:p>
          <w:p>
            <w:pPr>
              <w:spacing w:before="20" w:after="20"/>
              <w:jc w:val="right"/>
              <w:rPr>
                <w:b/>
                <w:noProof/>
                <w:sz w:val="20"/>
              </w:rPr>
            </w:pPr>
          </w:p>
        </w:tc>
      </w:tr>
      <w:tr>
        <w:trPr>
          <w:trHeight w:val="336"/>
        </w:trPr>
        <w:tc>
          <w:tcPr>
            <w:tcW w:w="2931" w:type="dxa"/>
            <w:vMerge/>
          </w:tcPr>
          <w:p>
            <w:pPr>
              <w:jc w:val="center"/>
              <w:rPr>
                <w:noProof/>
                <w:sz w:val="20"/>
              </w:rPr>
            </w:pPr>
          </w:p>
        </w:tc>
        <w:tc>
          <w:tcPr>
            <w:tcW w:w="1748" w:type="dxa"/>
            <w:gridSpan w:val="2"/>
            <w:vAlign w:val="center"/>
          </w:tcPr>
          <w:p>
            <w:pPr>
              <w:spacing w:before="20" w:after="20"/>
              <w:rPr>
                <w:noProof/>
                <w:sz w:val="18"/>
              </w:rPr>
            </w:pPr>
            <w:r>
              <w:rPr>
                <w:noProof/>
                <w:sz w:val="18"/>
              </w:rPr>
              <w:t>Kifizetési előirányzatok</w:t>
            </w:r>
          </w:p>
        </w:tc>
        <w:tc>
          <w:tcPr>
            <w:tcW w:w="1417" w:type="dxa"/>
            <w:gridSpan w:val="3"/>
            <w:vAlign w:val="center"/>
          </w:tcPr>
          <w:p>
            <w:pPr>
              <w:spacing w:before="20" w:after="20"/>
              <w:jc w:val="center"/>
              <w:rPr>
                <w:noProof/>
                <w:sz w:val="14"/>
              </w:rPr>
            </w:pPr>
            <w:r>
              <w:rPr>
                <w:noProof/>
                <w:sz w:val="14"/>
              </w:rPr>
              <w:t>(2)</w:t>
            </w:r>
          </w:p>
        </w:tc>
        <w:tc>
          <w:tcPr>
            <w:tcW w:w="993" w:type="dxa"/>
            <w:vAlign w:val="center"/>
          </w:tcPr>
          <w:p>
            <w:pPr>
              <w:spacing w:before="20" w:after="20"/>
              <w:jc w:val="right"/>
              <w:rPr>
                <w:b/>
                <w:noProof/>
                <w:sz w:val="20"/>
              </w:rPr>
            </w:pPr>
            <w:r>
              <w:rPr>
                <w:b/>
                <w:noProof/>
                <w:color w:val="000000"/>
                <w:sz w:val="20"/>
              </w:rPr>
              <w:t>8,721</w:t>
            </w:r>
          </w:p>
        </w:tc>
        <w:tc>
          <w:tcPr>
            <w:tcW w:w="992" w:type="dxa"/>
            <w:vAlign w:val="center"/>
          </w:tcPr>
          <w:p>
            <w:pPr>
              <w:spacing w:before="20" w:after="20"/>
              <w:jc w:val="right"/>
              <w:rPr>
                <w:b/>
                <w:noProof/>
                <w:sz w:val="20"/>
              </w:rPr>
            </w:pPr>
            <w:r>
              <w:rPr>
                <w:b/>
                <w:noProof/>
                <w:color w:val="000000"/>
                <w:sz w:val="20"/>
              </w:rPr>
              <w:t>17,055</w:t>
            </w:r>
          </w:p>
        </w:tc>
        <w:tc>
          <w:tcPr>
            <w:tcW w:w="992" w:type="dxa"/>
            <w:vAlign w:val="center"/>
          </w:tcPr>
          <w:p>
            <w:pPr>
              <w:spacing w:before="20" w:after="20"/>
              <w:jc w:val="right"/>
              <w:rPr>
                <w:b/>
                <w:bCs/>
                <w:noProof/>
                <w:color w:val="000000"/>
                <w:sz w:val="20"/>
              </w:rPr>
            </w:pPr>
            <w:r>
              <w:rPr>
                <w:b/>
                <w:noProof/>
                <w:color w:val="000000"/>
                <w:sz w:val="20"/>
              </w:rPr>
              <w:t>25,505</w:t>
            </w:r>
          </w:p>
        </w:tc>
        <w:tc>
          <w:tcPr>
            <w:tcW w:w="851" w:type="dxa"/>
            <w:vAlign w:val="center"/>
          </w:tcPr>
          <w:p>
            <w:pPr>
              <w:spacing w:before="20" w:after="20"/>
              <w:jc w:val="right"/>
              <w:rPr>
                <w:b/>
                <w:noProof/>
                <w:sz w:val="20"/>
              </w:rPr>
            </w:pPr>
            <w:r>
              <w:rPr>
                <w:b/>
                <w:noProof/>
                <w:color w:val="000000"/>
                <w:sz w:val="20"/>
              </w:rPr>
              <w:t>30,932</w:t>
            </w:r>
          </w:p>
        </w:tc>
        <w:tc>
          <w:tcPr>
            <w:tcW w:w="992" w:type="dxa"/>
            <w:vAlign w:val="center"/>
          </w:tcPr>
          <w:p>
            <w:pPr>
              <w:spacing w:before="20" w:after="20"/>
              <w:jc w:val="right"/>
              <w:rPr>
                <w:b/>
                <w:noProof/>
                <w:sz w:val="20"/>
              </w:rPr>
            </w:pPr>
            <w:r>
              <w:rPr>
                <w:b/>
                <w:noProof/>
                <w:color w:val="000000"/>
                <w:sz w:val="20"/>
              </w:rPr>
              <w:t>23,218</w:t>
            </w:r>
          </w:p>
        </w:tc>
        <w:tc>
          <w:tcPr>
            <w:tcW w:w="1276" w:type="dxa"/>
            <w:vAlign w:val="center"/>
          </w:tcPr>
          <w:p>
            <w:pPr>
              <w:spacing w:before="20" w:after="20"/>
              <w:jc w:val="right"/>
              <w:rPr>
                <w:b/>
                <w:noProof/>
                <w:sz w:val="20"/>
              </w:rPr>
            </w:pPr>
            <w:r>
              <w:rPr>
                <w:b/>
                <w:noProof/>
                <w:color w:val="000000"/>
                <w:sz w:val="20"/>
              </w:rPr>
              <w:t>105,433</w:t>
            </w:r>
          </w:p>
        </w:tc>
      </w:tr>
      <w:tr>
        <w:tc>
          <w:tcPr>
            <w:tcW w:w="2931" w:type="dxa"/>
            <w:vAlign w:val="center"/>
          </w:tcPr>
          <w:p>
            <w:pPr>
              <w:jc w:val="left"/>
              <w:rPr>
                <w:noProof/>
                <w:sz w:val="20"/>
              </w:rPr>
            </w:pPr>
            <w:r>
              <w:rPr>
                <w:b/>
                <w:noProof/>
              </w:rPr>
              <w:t>13.08.02</w:t>
            </w:r>
          </w:p>
        </w:tc>
        <w:tc>
          <w:tcPr>
            <w:tcW w:w="1748" w:type="dxa"/>
            <w:gridSpan w:val="2"/>
            <w:vAlign w:val="center"/>
          </w:tcPr>
          <w:p>
            <w:pPr>
              <w:spacing w:before="20" w:after="20"/>
              <w:rPr>
                <w:noProof/>
                <w:sz w:val="18"/>
              </w:rPr>
            </w:pPr>
            <w:r>
              <w:rPr>
                <w:noProof/>
                <w:sz w:val="18"/>
              </w:rPr>
              <w:t>Kötelezettségvállalási előirányzatok</w:t>
            </w:r>
          </w:p>
        </w:tc>
        <w:tc>
          <w:tcPr>
            <w:tcW w:w="1417" w:type="dxa"/>
            <w:gridSpan w:val="3"/>
            <w:vAlign w:val="center"/>
          </w:tcPr>
          <w:p>
            <w:pPr>
              <w:spacing w:before="20" w:after="20"/>
              <w:jc w:val="center"/>
              <w:rPr>
                <w:noProof/>
                <w:sz w:val="14"/>
              </w:rPr>
            </w:pPr>
            <w:r>
              <w:rPr>
                <w:noProof/>
                <w:sz w:val="14"/>
              </w:rPr>
              <w:t>(1)</w:t>
            </w:r>
          </w:p>
        </w:tc>
        <w:tc>
          <w:tcPr>
            <w:tcW w:w="993" w:type="dxa"/>
            <w:vAlign w:val="center"/>
          </w:tcPr>
          <w:p>
            <w:pPr>
              <w:spacing w:before="20" w:after="20"/>
              <w:jc w:val="right"/>
              <w:rPr>
                <w:b/>
                <w:bCs/>
                <w:noProof/>
                <w:color w:val="000000"/>
                <w:sz w:val="20"/>
              </w:rPr>
            </w:pPr>
            <w:r>
              <w:rPr>
                <w:b/>
                <w:noProof/>
                <w:color w:val="000000"/>
                <w:sz w:val="20"/>
              </w:rPr>
              <w:t>5,057</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6,855</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8,653</w:t>
            </w:r>
          </w:p>
          <w:p>
            <w:pPr>
              <w:spacing w:before="20" w:after="20"/>
              <w:jc w:val="right"/>
              <w:rPr>
                <w:b/>
                <w:bCs/>
                <w:noProof/>
                <w:color w:val="000000"/>
                <w:sz w:val="20"/>
              </w:rPr>
            </w:pPr>
          </w:p>
        </w:tc>
        <w:tc>
          <w:tcPr>
            <w:tcW w:w="851" w:type="dxa"/>
            <w:vAlign w:val="center"/>
          </w:tcPr>
          <w:p>
            <w:pPr>
              <w:spacing w:before="20" w:after="20"/>
              <w:jc w:val="right"/>
              <w:rPr>
                <w:b/>
                <w:bCs/>
                <w:noProof/>
                <w:color w:val="000000"/>
                <w:sz w:val="20"/>
              </w:rPr>
            </w:pPr>
            <w:r>
              <w:rPr>
                <w:b/>
                <w:noProof/>
                <w:color w:val="000000"/>
                <w:sz w:val="20"/>
              </w:rPr>
              <w:t>10,002</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p>
        </w:tc>
        <w:tc>
          <w:tcPr>
            <w:tcW w:w="1276" w:type="dxa"/>
            <w:vAlign w:val="center"/>
          </w:tcPr>
          <w:p>
            <w:pPr>
              <w:spacing w:before="20" w:after="20"/>
              <w:jc w:val="right"/>
              <w:rPr>
                <w:b/>
                <w:bCs/>
                <w:noProof/>
                <w:color w:val="000000"/>
                <w:sz w:val="20"/>
                <w:szCs w:val="20"/>
              </w:rPr>
            </w:pPr>
            <w:r>
              <w:rPr>
                <w:b/>
                <w:noProof/>
                <w:color w:val="000000"/>
                <w:sz w:val="20"/>
              </w:rPr>
              <w:t>30,567</w:t>
            </w:r>
          </w:p>
          <w:p>
            <w:pPr>
              <w:spacing w:before="20" w:after="20"/>
              <w:jc w:val="right"/>
              <w:rPr>
                <w:b/>
                <w:bCs/>
                <w:noProof/>
                <w:color w:val="000000"/>
                <w:sz w:val="20"/>
                <w:szCs w:val="20"/>
              </w:rPr>
            </w:pPr>
          </w:p>
        </w:tc>
      </w:tr>
      <w:tr>
        <w:tc>
          <w:tcPr>
            <w:tcW w:w="2931" w:type="dxa"/>
          </w:tcPr>
          <w:p>
            <w:pPr>
              <w:jc w:val="center"/>
              <w:rPr>
                <w:noProof/>
                <w:sz w:val="20"/>
              </w:rPr>
            </w:pPr>
          </w:p>
        </w:tc>
        <w:tc>
          <w:tcPr>
            <w:tcW w:w="1748" w:type="dxa"/>
            <w:gridSpan w:val="2"/>
            <w:vAlign w:val="center"/>
          </w:tcPr>
          <w:p>
            <w:pPr>
              <w:spacing w:before="20" w:after="20"/>
              <w:rPr>
                <w:noProof/>
                <w:sz w:val="18"/>
              </w:rPr>
            </w:pPr>
            <w:r>
              <w:rPr>
                <w:noProof/>
                <w:sz w:val="18"/>
              </w:rPr>
              <w:t>Kifizetési előirányzatok</w:t>
            </w:r>
          </w:p>
        </w:tc>
        <w:tc>
          <w:tcPr>
            <w:tcW w:w="1417" w:type="dxa"/>
            <w:gridSpan w:val="3"/>
            <w:vAlign w:val="center"/>
          </w:tcPr>
          <w:p>
            <w:pPr>
              <w:spacing w:before="20" w:after="20"/>
              <w:jc w:val="center"/>
              <w:rPr>
                <w:noProof/>
                <w:sz w:val="14"/>
              </w:rPr>
            </w:pPr>
            <w:r>
              <w:rPr>
                <w:noProof/>
                <w:sz w:val="14"/>
              </w:rPr>
              <w:t>(2)</w:t>
            </w:r>
          </w:p>
        </w:tc>
        <w:tc>
          <w:tcPr>
            <w:tcW w:w="993" w:type="dxa"/>
            <w:vAlign w:val="center"/>
          </w:tcPr>
          <w:p>
            <w:pPr>
              <w:spacing w:before="20" w:after="20"/>
              <w:jc w:val="right"/>
              <w:rPr>
                <w:b/>
                <w:bCs/>
                <w:noProof/>
                <w:color w:val="000000"/>
                <w:sz w:val="20"/>
              </w:rPr>
            </w:pPr>
            <w:r>
              <w:rPr>
                <w:b/>
                <w:noProof/>
                <w:color w:val="000000"/>
                <w:sz w:val="20"/>
              </w:rPr>
              <w:t>2,529</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4,945</w:t>
            </w:r>
          </w:p>
        </w:tc>
        <w:tc>
          <w:tcPr>
            <w:tcW w:w="992" w:type="dxa"/>
            <w:vAlign w:val="center"/>
          </w:tcPr>
          <w:p>
            <w:pPr>
              <w:spacing w:before="20" w:after="20"/>
              <w:jc w:val="right"/>
              <w:rPr>
                <w:b/>
                <w:bCs/>
                <w:noProof/>
                <w:color w:val="000000"/>
                <w:sz w:val="20"/>
              </w:rPr>
            </w:pPr>
            <w:r>
              <w:rPr>
                <w:b/>
                <w:noProof/>
                <w:color w:val="000000"/>
                <w:sz w:val="20"/>
              </w:rPr>
              <w:t>7,395</w:t>
            </w:r>
          </w:p>
        </w:tc>
        <w:tc>
          <w:tcPr>
            <w:tcW w:w="851" w:type="dxa"/>
            <w:vAlign w:val="center"/>
          </w:tcPr>
          <w:p>
            <w:pPr>
              <w:spacing w:before="20" w:after="20"/>
              <w:jc w:val="right"/>
              <w:rPr>
                <w:b/>
                <w:bCs/>
                <w:noProof/>
                <w:color w:val="000000"/>
                <w:sz w:val="20"/>
              </w:rPr>
            </w:pPr>
            <w:r>
              <w:rPr>
                <w:b/>
                <w:noProof/>
                <w:color w:val="000000"/>
                <w:sz w:val="20"/>
              </w:rPr>
              <w:t>8,968</w:t>
            </w:r>
          </w:p>
        </w:tc>
        <w:tc>
          <w:tcPr>
            <w:tcW w:w="992" w:type="dxa"/>
            <w:vAlign w:val="center"/>
          </w:tcPr>
          <w:p>
            <w:pPr>
              <w:spacing w:before="20" w:after="20"/>
              <w:jc w:val="right"/>
              <w:rPr>
                <w:b/>
                <w:bCs/>
                <w:noProof/>
                <w:color w:val="000000"/>
                <w:sz w:val="20"/>
              </w:rPr>
            </w:pPr>
            <w:r>
              <w:rPr>
                <w:b/>
                <w:noProof/>
                <w:color w:val="000000"/>
                <w:sz w:val="20"/>
              </w:rPr>
              <w:t>6,732</w:t>
            </w:r>
          </w:p>
        </w:tc>
        <w:tc>
          <w:tcPr>
            <w:tcW w:w="1276" w:type="dxa"/>
            <w:vAlign w:val="center"/>
          </w:tcPr>
          <w:p>
            <w:pPr>
              <w:spacing w:before="20" w:after="20"/>
              <w:jc w:val="right"/>
              <w:rPr>
                <w:b/>
                <w:bCs/>
                <w:noProof/>
                <w:color w:val="000000"/>
                <w:sz w:val="20"/>
                <w:szCs w:val="20"/>
              </w:rPr>
            </w:pPr>
            <w:r>
              <w:rPr>
                <w:b/>
                <w:noProof/>
                <w:color w:val="000000"/>
                <w:sz w:val="20"/>
              </w:rPr>
              <w:t>30,567</w:t>
            </w:r>
          </w:p>
        </w:tc>
      </w:tr>
      <w:tr>
        <w:trPr>
          <w:trHeight w:val="231"/>
        </w:trPr>
        <w:tc>
          <w:tcPr>
            <w:tcW w:w="6096" w:type="dxa"/>
            <w:gridSpan w:val="6"/>
            <w:vAlign w:val="center"/>
          </w:tcPr>
          <w:p>
            <w:pPr>
              <w:spacing w:before="20" w:after="20"/>
              <w:rPr>
                <w:b/>
                <w:noProof/>
                <w:sz w:val="18"/>
                <w:szCs w:val="18"/>
              </w:rPr>
            </w:pPr>
            <w:r>
              <w:rPr>
                <w:b/>
                <w:noProof/>
                <w:sz w:val="18"/>
              </w:rPr>
              <w:t>Bizonyos egyedi programok keretéből finanszírozott igazgatási előirányzatok</w:t>
            </w:r>
            <w:r>
              <w:rPr>
                <w:rStyle w:val="FootnoteReference"/>
                <w:b/>
                <w:noProof/>
                <w:sz w:val="18"/>
              </w:rPr>
              <w:footnoteReference w:id="35"/>
            </w:r>
          </w:p>
        </w:tc>
        <w:tc>
          <w:tcPr>
            <w:tcW w:w="993" w:type="dxa"/>
            <w:vAlign w:val="center"/>
          </w:tcPr>
          <w:p>
            <w:pPr>
              <w:rPr>
                <w:b/>
                <w:noProof/>
                <w:sz w:val="20"/>
              </w:rPr>
            </w:pPr>
          </w:p>
        </w:tc>
        <w:tc>
          <w:tcPr>
            <w:tcW w:w="992" w:type="dxa"/>
            <w:vAlign w:val="center"/>
          </w:tcPr>
          <w:p>
            <w:pPr>
              <w:rPr>
                <w:b/>
                <w:noProof/>
                <w:sz w:val="20"/>
              </w:rPr>
            </w:pPr>
          </w:p>
        </w:tc>
        <w:tc>
          <w:tcPr>
            <w:tcW w:w="992" w:type="dxa"/>
            <w:vAlign w:val="center"/>
          </w:tcPr>
          <w:p>
            <w:pPr>
              <w:rPr>
                <w:b/>
                <w:noProof/>
                <w:sz w:val="20"/>
              </w:rPr>
            </w:pPr>
          </w:p>
        </w:tc>
        <w:tc>
          <w:tcPr>
            <w:tcW w:w="851" w:type="dxa"/>
          </w:tcPr>
          <w:p>
            <w:pPr>
              <w:rPr>
                <w:b/>
                <w:noProof/>
                <w:sz w:val="20"/>
              </w:rPr>
            </w:pPr>
          </w:p>
        </w:tc>
        <w:tc>
          <w:tcPr>
            <w:tcW w:w="992" w:type="dxa"/>
            <w:vAlign w:val="center"/>
          </w:tcPr>
          <w:p>
            <w:pPr>
              <w:rPr>
                <w:b/>
                <w:noProof/>
                <w:sz w:val="20"/>
              </w:rPr>
            </w:pPr>
          </w:p>
        </w:tc>
        <w:tc>
          <w:tcPr>
            <w:tcW w:w="1276" w:type="dxa"/>
            <w:vAlign w:val="center"/>
          </w:tcPr>
          <w:p>
            <w:pPr>
              <w:rPr>
                <w:b/>
                <w:noProof/>
                <w:sz w:val="20"/>
              </w:rPr>
            </w:pPr>
          </w:p>
        </w:tc>
      </w:tr>
      <w:tr>
        <w:trPr>
          <w:trHeight w:val="319"/>
        </w:trPr>
        <w:tc>
          <w:tcPr>
            <w:tcW w:w="2931" w:type="dxa"/>
            <w:vAlign w:val="center"/>
          </w:tcPr>
          <w:p>
            <w:pPr>
              <w:spacing w:before="60" w:after="60"/>
              <w:rPr>
                <w:noProof/>
              </w:rPr>
            </w:pPr>
            <w:r>
              <w:rPr>
                <w:b/>
                <w:noProof/>
              </w:rPr>
              <w:t>13.01.04.04</w:t>
            </w:r>
          </w:p>
        </w:tc>
        <w:tc>
          <w:tcPr>
            <w:tcW w:w="1748" w:type="dxa"/>
            <w:gridSpan w:val="2"/>
            <w:vAlign w:val="center"/>
          </w:tcPr>
          <w:p>
            <w:pPr>
              <w:spacing w:before="40" w:after="40"/>
              <w:jc w:val="right"/>
              <w:rPr>
                <w:noProof/>
                <w:sz w:val="18"/>
              </w:rPr>
            </w:pPr>
          </w:p>
        </w:tc>
        <w:tc>
          <w:tcPr>
            <w:tcW w:w="1417" w:type="dxa"/>
            <w:gridSpan w:val="3"/>
            <w:vAlign w:val="center"/>
          </w:tcPr>
          <w:p>
            <w:pPr>
              <w:spacing w:before="40" w:after="40"/>
              <w:jc w:val="center"/>
              <w:rPr>
                <w:noProof/>
                <w:sz w:val="14"/>
              </w:rPr>
            </w:pPr>
            <w:r>
              <w:rPr>
                <w:noProof/>
                <w:sz w:val="14"/>
              </w:rPr>
              <w:t>(3)</w:t>
            </w:r>
          </w:p>
        </w:tc>
        <w:tc>
          <w:tcPr>
            <w:tcW w:w="993" w:type="dxa"/>
            <w:vAlign w:val="center"/>
          </w:tcPr>
          <w:p>
            <w:pPr>
              <w:spacing w:before="40" w:after="40"/>
              <w:jc w:val="right"/>
              <w:rPr>
                <w:b/>
                <w:bCs/>
                <w:noProof/>
                <w:color w:val="000000"/>
                <w:sz w:val="20"/>
              </w:rPr>
            </w:pPr>
            <w:r>
              <w:rPr>
                <w:b/>
                <w:noProof/>
                <w:color w:val="000000"/>
                <w:sz w:val="20"/>
              </w:rPr>
              <w:t>1,125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1,525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1,925</w:t>
            </w:r>
          </w:p>
          <w:p>
            <w:pPr>
              <w:spacing w:before="40" w:after="40"/>
              <w:jc w:val="right"/>
              <w:rPr>
                <w:b/>
                <w:noProof/>
                <w:sz w:val="20"/>
              </w:rPr>
            </w:pPr>
          </w:p>
        </w:tc>
        <w:tc>
          <w:tcPr>
            <w:tcW w:w="851" w:type="dxa"/>
            <w:vAlign w:val="center"/>
          </w:tcPr>
          <w:p>
            <w:pPr>
              <w:spacing w:before="40" w:after="40"/>
              <w:jc w:val="right"/>
              <w:rPr>
                <w:b/>
                <w:bCs/>
                <w:noProof/>
                <w:color w:val="000000"/>
                <w:sz w:val="20"/>
              </w:rPr>
            </w:pPr>
            <w:r>
              <w:rPr>
                <w:b/>
                <w:noProof/>
                <w:color w:val="000000"/>
                <w:sz w:val="20"/>
              </w:rPr>
              <w:t>2,225</w:t>
            </w:r>
          </w:p>
          <w:p>
            <w:pPr>
              <w:spacing w:before="40" w:after="40"/>
              <w:jc w:val="right"/>
              <w:rPr>
                <w:b/>
                <w:noProof/>
                <w:sz w:val="20"/>
              </w:rPr>
            </w:pPr>
          </w:p>
        </w:tc>
        <w:tc>
          <w:tcPr>
            <w:tcW w:w="992" w:type="dxa"/>
            <w:vAlign w:val="center"/>
          </w:tcPr>
          <w:p>
            <w:pPr>
              <w:spacing w:before="40" w:after="40"/>
              <w:jc w:val="right"/>
              <w:rPr>
                <w:b/>
                <w:noProof/>
                <w:sz w:val="20"/>
              </w:rPr>
            </w:pPr>
          </w:p>
        </w:tc>
        <w:tc>
          <w:tcPr>
            <w:tcW w:w="1276" w:type="dxa"/>
            <w:vAlign w:val="center"/>
          </w:tcPr>
          <w:p>
            <w:pPr>
              <w:jc w:val="right"/>
              <w:rPr>
                <w:b/>
                <w:bCs/>
                <w:noProof/>
                <w:color w:val="000000"/>
                <w:sz w:val="20"/>
              </w:rPr>
            </w:pPr>
            <w:r>
              <w:rPr>
                <w:b/>
                <w:noProof/>
                <w:color w:val="000000"/>
                <w:sz w:val="20"/>
              </w:rPr>
              <w:t>6,800</w:t>
            </w:r>
          </w:p>
          <w:p>
            <w:pPr>
              <w:jc w:val="right"/>
              <w:rPr>
                <w:b/>
                <w:noProof/>
                <w:sz w:val="20"/>
              </w:rPr>
            </w:pPr>
          </w:p>
        </w:tc>
      </w:tr>
      <w:tr>
        <w:tc>
          <w:tcPr>
            <w:tcW w:w="2931" w:type="dxa"/>
            <w:vMerge w:val="restart"/>
            <w:vAlign w:val="center"/>
          </w:tcPr>
          <w:p>
            <w:pPr>
              <w:jc w:val="center"/>
              <w:rPr>
                <w:b/>
                <w:noProof/>
              </w:rPr>
            </w:pPr>
            <w:r>
              <w:rPr>
                <w:b/>
                <w:noProof/>
                <w:sz w:val="22"/>
              </w:rPr>
              <w:t>előirányzatok ÖSSZESEN</w:t>
            </w:r>
            <w:r>
              <w:rPr>
                <w:noProof/>
              </w:rPr>
              <w:br/>
            </w:r>
            <w:r>
              <w:rPr>
                <w:b/>
                <w:noProof/>
                <w:sz w:val="22"/>
              </w:rPr>
              <w:t>A 13. CÍMHEZ</w:t>
            </w:r>
          </w:p>
        </w:tc>
        <w:tc>
          <w:tcPr>
            <w:tcW w:w="1748" w:type="dxa"/>
            <w:gridSpan w:val="2"/>
            <w:vAlign w:val="center"/>
          </w:tcPr>
          <w:p>
            <w:pPr>
              <w:rPr>
                <w:noProof/>
                <w:sz w:val="18"/>
              </w:rPr>
            </w:pPr>
            <w:r>
              <w:rPr>
                <w:noProof/>
                <w:sz w:val="18"/>
              </w:rPr>
              <w:t>Kötelezettségvállalási előirányzatok</w:t>
            </w:r>
          </w:p>
        </w:tc>
        <w:tc>
          <w:tcPr>
            <w:tcW w:w="1417" w:type="dxa"/>
            <w:gridSpan w:val="3"/>
            <w:vAlign w:val="center"/>
          </w:tcPr>
          <w:p>
            <w:pPr>
              <w:jc w:val="center"/>
              <w:rPr>
                <w:noProof/>
                <w:sz w:val="14"/>
              </w:rPr>
            </w:pPr>
            <w:r>
              <w:rPr>
                <w:noProof/>
                <w:sz w:val="14"/>
              </w:rPr>
              <w:t>=1+1a +3</w:t>
            </w:r>
          </w:p>
        </w:tc>
        <w:tc>
          <w:tcPr>
            <w:tcW w:w="993" w:type="dxa"/>
            <w:vAlign w:val="center"/>
          </w:tcPr>
          <w:p>
            <w:pPr>
              <w:spacing w:before="40" w:after="40"/>
              <w:jc w:val="right"/>
              <w:rPr>
                <w:b/>
                <w:bCs/>
                <w:noProof/>
                <w:color w:val="000000"/>
              </w:rPr>
            </w:pPr>
            <w:r>
              <w:rPr>
                <w:b/>
                <w:noProof/>
                <w:color w:val="000000"/>
                <w:sz w:val="22"/>
              </w:rPr>
              <w:t>23,625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32,025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40,425</w:t>
            </w:r>
          </w:p>
          <w:p>
            <w:pPr>
              <w:spacing w:before="40" w:after="40"/>
              <w:jc w:val="right"/>
              <w:rPr>
                <w:b/>
                <w:noProof/>
              </w:rPr>
            </w:pPr>
          </w:p>
        </w:tc>
        <w:tc>
          <w:tcPr>
            <w:tcW w:w="851" w:type="dxa"/>
            <w:vAlign w:val="center"/>
          </w:tcPr>
          <w:p>
            <w:pPr>
              <w:spacing w:before="40" w:after="40"/>
              <w:jc w:val="right"/>
              <w:rPr>
                <w:b/>
                <w:bCs/>
                <w:noProof/>
                <w:color w:val="000000"/>
              </w:rPr>
            </w:pPr>
            <w:r>
              <w:rPr>
                <w:b/>
                <w:noProof/>
                <w:color w:val="000000"/>
                <w:sz w:val="22"/>
              </w:rPr>
              <w:t>46,725</w:t>
            </w:r>
          </w:p>
          <w:p>
            <w:pPr>
              <w:spacing w:before="40" w:after="40"/>
              <w:jc w:val="right"/>
              <w:rPr>
                <w:b/>
                <w:noProof/>
              </w:rPr>
            </w:pPr>
          </w:p>
        </w:tc>
        <w:tc>
          <w:tcPr>
            <w:tcW w:w="992" w:type="dxa"/>
            <w:vAlign w:val="center"/>
          </w:tcPr>
          <w:p>
            <w:pPr>
              <w:spacing w:before="40" w:after="4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r>
        <w:trPr>
          <w:trHeight w:val="301"/>
        </w:trPr>
        <w:tc>
          <w:tcPr>
            <w:tcW w:w="2931" w:type="dxa"/>
            <w:vMerge/>
          </w:tcPr>
          <w:p>
            <w:pPr>
              <w:rPr>
                <w:noProof/>
                <w:sz w:val="20"/>
              </w:rPr>
            </w:pPr>
          </w:p>
        </w:tc>
        <w:tc>
          <w:tcPr>
            <w:tcW w:w="1748" w:type="dxa"/>
            <w:gridSpan w:val="2"/>
            <w:vAlign w:val="center"/>
          </w:tcPr>
          <w:p>
            <w:pPr>
              <w:rPr>
                <w:noProof/>
                <w:sz w:val="18"/>
              </w:rPr>
            </w:pPr>
            <w:r>
              <w:rPr>
                <w:noProof/>
                <w:sz w:val="18"/>
              </w:rPr>
              <w:t>Kifizetési előirányzatok</w:t>
            </w:r>
          </w:p>
        </w:tc>
        <w:tc>
          <w:tcPr>
            <w:tcW w:w="1417" w:type="dxa"/>
            <w:gridSpan w:val="3"/>
            <w:vAlign w:val="center"/>
          </w:tcPr>
          <w:p>
            <w:pPr>
              <w:spacing w:before="0" w:after="0"/>
              <w:jc w:val="center"/>
              <w:rPr>
                <w:noProof/>
                <w:sz w:val="14"/>
              </w:rPr>
            </w:pPr>
            <w:r>
              <w:rPr>
                <w:noProof/>
                <w:sz w:val="14"/>
              </w:rPr>
              <w:t>=2+2a</w:t>
            </w:r>
          </w:p>
          <w:p>
            <w:pPr>
              <w:spacing w:before="0" w:after="0"/>
              <w:jc w:val="center"/>
              <w:rPr>
                <w:noProof/>
                <w:sz w:val="14"/>
              </w:rPr>
            </w:pPr>
            <w:r>
              <w:rPr>
                <w:noProof/>
                <w:sz w:val="14"/>
              </w:rPr>
              <w:t>+3</w:t>
            </w:r>
          </w:p>
        </w:tc>
        <w:tc>
          <w:tcPr>
            <w:tcW w:w="993" w:type="dxa"/>
            <w:vAlign w:val="center"/>
          </w:tcPr>
          <w:p>
            <w:pPr>
              <w:spacing w:before="0" w:after="0"/>
              <w:jc w:val="right"/>
              <w:rPr>
                <w:b/>
                <w:bCs/>
                <w:noProof/>
                <w:color w:val="000000"/>
              </w:rPr>
            </w:pPr>
            <w:r>
              <w:rPr>
                <w:b/>
                <w:noProof/>
                <w:color w:val="000000"/>
                <w:sz w:val="22"/>
              </w:rPr>
              <w:t>12,375</w:t>
            </w:r>
          </w:p>
          <w:p>
            <w:pPr>
              <w:spacing w:before="0" w:after="0"/>
              <w:jc w:val="right"/>
              <w:rPr>
                <w:b/>
                <w:noProof/>
              </w:rPr>
            </w:pPr>
          </w:p>
        </w:tc>
        <w:tc>
          <w:tcPr>
            <w:tcW w:w="992" w:type="dxa"/>
            <w:vAlign w:val="center"/>
          </w:tcPr>
          <w:p>
            <w:pPr>
              <w:spacing w:before="20" w:after="20"/>
              <w:jc w:val="right"/>
              <w:rPr>
                <w:b/>
                <w:bCs/>
                <w:noProof/>
                <w:color w:val="000000"/>
              </w:rPr>
            </w:pPr>
            <w:r>
              <w:rPr>
                <w:b/>
                <w:noProof/>
                <w:color w:val="000000"/>
                <w:sz w:val="22"/>
              </w:rPr>
              <w:t>23,525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34,825</w:t>
            </w:r>
          </w:p>
          <w:p>
            <w:pPr>
              <w:spacing w:before="20" w:after="20"/>
              <w:jc w:val="right"/>
              <w:rPr>
                <w:b/>
                <w:noProof/>
              </w:rPr>
            </w:pPr>
          </w:p>
        </w:tc>
        <w:tc>
          <w:tcPr>
            <w:tcW w:w="851" w:type="dxa"/>
            <w:vAlign w:val="center"/>
          </w:tcPr>
          <w:p>
            <w:pPr>
              <w:spacing w:before="20" w:after="20"/>
              <w:jc w:val="right"/>
              <w:rPr>
                <w:b/>
                <w:bCs/>
                <w:noProof/>
                <w:color w:val="000000"/>
              </w:rPr>
            </w:pPr>
            <w:r>
              <w:rPr>
                <w:b/>
                <w:noProof/>
                <w:color w:val="000000"/>
                <w:sz w:val="22"/>
              </w:rPr>
              <w:t>42,125</w:t>
            </w:r>
          </w:p>
          <w:p>
            <w:pPr>
              <w:spacing w:before="20" w:after="20"/>
              <w:jc w:val="right"/>
              <w:rPr>
                <w:b/>
                <w:noProof/>
              </w:rPr>
            </w:pPr>
          </w:p>
        </w:tc>
        <w:tc>
          <w:tcPr>
            <w:tcW w:w="992" w:type="dxa"/>
            <w:vAlign w:val="center"/>
          </w:tcPr>
          <w:p>
            <w:pPr>
              <w:spacing w:before="20" w:after="20"/>
              <w:jc w:val="right"/>
              <w:rPr>
                <w:b/>
                <w:noProof/>
              </w:rPr>
            </w:pPr>
            <w:r>
              <w:rPr>
                <w:b/>
                <w:noProof/>
                <w:sz w:val="22"/>
              </w:rPr>
              <w:t>29,950</w:t>
            </w:r>
          </w:p>
          <w:p>
            <w:pPr>
              <w:spacing w:before="20" w:after="2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bl>
    <w:p>
      <w:pPr>
        <w:spacing w:before="0" w:after="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969"/>
        <w:gridCol w:w="992"/>
        <w:gridCol w:w="992"/>
        <w:gridCol w:w="851"/>
        <w:gridCol w:w="992"/>
        <w:gridCol w:w="1276"/>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Operatív előirányzatok ÖSSZESEN</w:t>
            </w:r>
          </w:p>
        </w:tc>
        <w:tc>
          <w:tcPr>
            <w:tcW w:w="1440" w:type="dxa"/>
            <w:vAlign w:val="center"/>
          </w:tcPr>
          <w:p>
            <w:pPr>
              <w:spacing w:beforeLines="20" w:before="48" w:afterLines="20" w:after="48"/>
              <w:rPr>
                <w:noProof/>
                <w:sz w:val="18"/>
              </w:rPr>
            </w:pPr>
            <w:r>
              <w:rPr>
                <w:noProof/>
                <w:sz w:val="18"/>
              </w:rPr>
              <w:t>Kötelezettségvállalási előirányzatok</w:t>
            </w:r>
          </w:p>
        </w:tc>
        <w:tc>
          <w:tcPr>
            <w:tcW w:w="654" w:type="dxa"/>
            <w:vAlign w:val="center"/>
          </w:tcPr>
          <w:p>
            <w:pPr>
              <w:spacing w:beforeLines="20" w:before="48" w:afterLines="20" w:after="48"/>
              <w:jc w:val="center"/>
              <w:rPr>
                <w:noProof/>
                <w:sz w:val="14"/>
              </w:rPr>
            </w:pPr>
            <w:r>
              <w:rPr>
                <w:noProof/>
                <w:sz w:val="14"/>
              </w:rPr>
              <w:t>(4)</w:t>
            </w:r>
          </w:p>
        </w:tc>
        <w:tc>
          <w:tcPr>
            <w:tcW w:w="969" w:type="dxa"/>
            <w:vAlign w:val="center"/>
          </w:tcPr>
          <w:p>
            <w:pPr>
              <w:spacing w:before="20" w:after="20"/>
              <w:jc w:val="right"/>
              <w:rPr>
                <w:b/>
                <w:bCs/>
                <w:noProof/>
                <w:color w:val="000000"/>
                <w:sz w:val="20"/>
              </w:rPr>
            </w:pPr>
            <w:r>
              <w:rPr>
                <w:b/>
                <w:noProof/>
                <w:color w:val="000000"/>
                <w:sz w:val="20"/>
              </w:rPr>
              <w:t>22,500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30,500</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38,500</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44,500</w:t>
            </w:r>
          </w:p>
          <w:p>
            <w:pPr>
              <w:spacing w:before="20" w:after="20"/>
              <w:jc w:val="right"/>
              <w:rPr>
                <w:b/>
                <w:noProof/>
                <w:sz w:val="20"/>
              </w:rPr>
            </w:pPr>
          </w:p>
        </w:tc>
        <w:tc>
          <w:tcPr>
            <w:tcW w:w="992" w:type="dxa"/>
            <w:vAlign w:val="center"/>
          </w:tcPr>
          <w:p>
            <w:pPr>
              <w:spacing w:before="20" w:after="20"/>
              <w:jc w:val="right"/>
              <w:rPr>
                <w:b/>
                <w:noProof/>
                <w:sz w:val="20"/>
              </w:rPr>
            </w:pPr>
            <w:r>
              <w:rPr>
                <w:b/>
                <w:noProof/>
                <w:color w:val="000000"/>
                <w:sz w:val="20"/>
              </w:rPr>
              <w:t>0,000</w:t>
            </w:r>
          </w:p>
        </w:tc>
        <w:tc>
          <w:tcPr>
            <w:tcW w:w="1276" w:type="dxa"/>
            <w:vAlign w:val="center"/>
          </w:tcPr>
          <w:p>
            <w:pPr>
              <w:spacing w:before="20" w:after="20"/>
              <w:jc w:val="right"/>
              <w:rPr>
                <w:b/>
                <w:bCs/>
                <w:noProof/>
                <w:color w:val="000000"/>
                <w:sz w:val="20"/>
                <w:szCs w:val="20"/>
              </w:rPr>
            </w:pPr>
            <w:r>
              <w:rPr>
                <w:b/>
                <w:noProof/>
                <w:color w:val="000000"/>
                <w:sz w:val="20"/>
              </w:rPr>
              <w:t>136,000</w:t>
            </w:r>
          </w:p>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Kifizetési előirányzatok</w:t>
            </w:r>
          </w:p>
        </w:tc>
        <w:tc>
          <w:tcPr>
            <w:tcW w:w="654" w:type="dxa"/>
            <w:vAlign w:val="center"/>
          </w:tcPr>
          <w:p>
            <w:pPr>
              <w:spacing w:beforeLines="20" w:before="48" w:afterLines="20" w:after="48"/>
              <w:jc w:val="center"/>
              <w:rPr>
                <w:noProof/>
                <w:sz w:val="14"/>
              </w:rPr>
            </w:pPr>
            <w:r>
              <w:rPr>
                <w:noProof/>
                <w:sz w:val="14"/>
              </w:rPr>
              <w:t>(5)</w:t>
            </w:r>
          </w:p>
        </w:tc>
        <w:tc>
          <w:tcPr>
            <w:tcW w:w="969" w:type="dxa"/>
            <w:vAlign w:val="center"/>
          </w:tcPr>
          <w:p>
            <w:pPr>
              <w:spacing w:before="20" w:after="20"/>
              <w:jc w:val="right"/>
              <w:rPr>
                <w:b/>
                <w:bCs/>
                <w:noProof/>
                <w:color w:val="000000"/>
                <w:sz w:val="20"/>
              </w:rPr>
            </w:pPr>
            <w:r>
              <w:rPr>
                <w:b/>
                <w:noProof/>
                <w:color w:val="000000"/>
                <w:sz w:val="20"/>
              </w:rPr>
              <w:t>11,250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22,000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32,900</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39,900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29,950</w:t>
            </w:r>
          </w:p>
          <w:p>
            <w:pPr>
              <w:spacing w:before="20" w:after="20"/>
              <w:jc w:val="right"/>
              <w:rPr>
                <w:b/>
                <w:noProof/>
                <w:sz w:val="20"/>
              </w:rPr>
            </w:pPr>
          </w:p>
        </w:tc>
        <w:tc>
          <w:tcPr>
            <w:tcW w:w="1276" w:type="dxa"/>
            <w:vAlign w:val="center"/>
          </w:tcPr>
          <w:p>
            <w:pPr>
              <w:spacing w:before="20" w:after="20"/>
              <w:jc w:val="right"/>
              <w:rPr>
                <w:b/>
                <w:bCs/>
                <w:noProof/>
                <w:color w:val="000000"/>
                <w:sz w:val="20"/>
                <w:szCs w:val="20"/>
              </w:rPr>
            </w:pPr>
            <w:r>
              <w:rPr>
                <w:b/>
                <w:noProof/>
                <w:color w:val="000000"/>
                <w:sz w:val="20"/>
              </w:rPr>
              <w:t>136,000</w:t>
            </w:r>
          </w:p>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Bizonyos egyedi programok keretéből finanszírozott igazgatási előirányzatok ÖSSZESEN</w:t>
            </w:r>
          </w:p>
        </w:tc>
        <w:tc>
          <w:tcPr>
            <w:tcW w:w="654" w:type="dxa"/>
            <w:vAlign w:val="center"/>
          </w:tcPr>
          <w:p>
            <w:pPr>
              <w:spacing w:beforeLines="20" w:before="48" w:afterLines="20" w:after="48"/>
              <w:jc w:val="center"/>
              <w:rPr>
                <w:noProof/>
                <w:sz w:val="14"/>
              </w:rPr>
            </w:pPr>
            <w:r>
              <w:rPr>
                <w:noProof/>
                <w:sz w:val="14"/>
              </w:rPr>
              <w:t>(6)</w:t>
            </w:r>
          </w:p>
        </w:tc>
        <w:tc>
          <w:tcPr>
            <w:tcW w:w="969" w:type="dxa"/>
            <w:vAlign w:val="center"/>
          </w:tcPr>
          <w:p>
            <w:pPr>
              <w:spacing w:before="40" w:after="40"/>
              <w:jc w:val="right"/>
              <w:rPr>
                <w:b/>
                <w:bCs/>
                <w:noProof/>
                <w:color w:val="000000"/>
                <w:sz w:val="20"/>
              </w:rPr>
            </w:pPr>
            <w:r>
              <w:rPr>
                <w:b/>
                <w:noProof/>
                <w:color w:val="000000"/>
                <w:sz w:val="20"/>
              </w:rPr>
              <w:t>1,125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1,525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1,925</w:t>
            </w:r>
          </w:p>
          <w:p>
            <w:pPr>
              <w:spacing w:before="40" w:after="40"/>
              <w:jc w:val="right"/>
              <w:rPr>
                <w:b/>
                <w:noProof/>
                <w:sz w:val="20"/>
              </w:rPr>
            </w:pPr>
          </w:p>
        </w:tc>
        <w:tc>
          <w:tcPr>
            <w:tcW w:w="851" w:type="dxa"/>
            <w:vAlign w:val="center"/>
          </w:tcPr>
          <w:p>
            <w:pPr>
              <w:spacing w:before="40" w:after="40"/>
              <w:jc w:val="right"/>
              <w:rPr>
                <w:b/>
                <w:bCs/>
                <w:noProof/>
                <w:color w:val="000000"/>
                <w:sz w:val="20"/>
              </w:rPr>
            </w:pPr>
            <w:r>
              <w:rPr>
                <w:b/>
                <w:noProof/>
                <w:color w:val="000000"/>
                <w:sz w:val="20"/>
              </w:rPr>
              <w:t>2,225</w:t>
            </w:r>
          </w:p>
          <w:p>
            <w:pPr>
              <w:spacing w:before="40" w:after="40"/>
              <w:jc w:val="right"/>
              <w:rPr>
                <w:b/>
                <w:noProof/>
                <w:sz w:val="20"/>
              </w:rPr>
            </w:pPr>
          </w:p>
        </w:tc>
        <w:tc>
          <w:tcPr>
            <w:tcW w:w="992" w:type="dxa"/>
            <w:vAlign w:val="center"/>
          </w:tcPr>
          <w:p>
            <w:pPr>
              <w:spacing w:before="40" w:after="40"/>
              <w:jc w:val="right"/>
              <w:rPr>
                <w:b/>
                <w:noProof/>
                <w:sz w:val="20"/>
              </w:rPr>
            </w:pPr>
          </w:p>
        </w:tc>
        <w:tc>
          <w:tcPr>
            <w:tcW w:w="1276" w:type="dxa"/>
            <w:vAlign w:val="center"/>
          </w:tcPr>
          <w:p>
            <w:pPr>
              <w:spacing w:before="40" w:after="40"/>
              <w:jc w:val="right"/>
              <w:rPr>
                <w:b/>
                <w:noProof/>
                <w:sz w:val="20"/>
              </w:rPr>
            </w:pPr>
            <w:r>
              <w:rPr>
                <w:b/>
                <w:noProof/>
                <w:sz w:val="20"/>
              </w:rPr>
              <w:t>6,800</w:t>
            </w:r>
          </w:p>
          <w:p>
            <w:pPr>
              <w:spacing w:before="40" w:after="40"/>
              <w:jc w:val="right"/>
              <w:rPr>
                <w:b/>
                <w:noProof/>
                <w:sz w:val="20"/>
              </w:rPr>
            </w:pPr>
          </w:p>
        </w:tc>
      </w:tr>
      <w:tr>
        <w:tc>
          <w:tcPr>
            <w:tcW w:w="3960" w:type="dxa"/>
            <w:vMerge w:val="restart"/>
            <w:shd w:val="thinDiagStripe" w:color="C0C0C0" w:fill="auto"/>
            <w:vAlign w:val="center"/>
          </w:tcPr>
          <w:p>
            <w:pPr>
              <w:spacing w:before="0" w:after="0"/>
              <w:jc w:val="center"/>
              <w:rPr>
                <w:b/>
                <w:noProof/>
              </w:rPr>
            </w:pPr>
            <w:r>
              <w:rPr>
                <w:noProof/>
              </w:rPr>
              <w:t>A többéves pénzügyi keret 1b/2.</w:t>
            </w:r>
            <w:r>
              <w:rPr>
                <w:noProof/>
              </w:rPr>
              <w:br/>
            </w:r>
            <w:r>
              <w:rPr>
                <w:b/>
                <w:noProof/>
                <w:sz w:val="22"/>
              </w:rPr>
              <w:t>FEJEZETÉHEZ tartozó</w:t>
            </w:r>
            <w:r>
              <w:rPr>
                <w:noProof/>
              </w:rPr>
              <w:br/>
            </w:r>
            <w:r>
              <w:rPr>
                <w:noProof/>
                <w:sz w:val="22"/>
              </w:rPr>
              <w:t>előirányzatok részösszege</w:t>
            </w:r>
          </w:p>
        </w:tc>
        <w:tc>
          <w:tcPr>
            <w:tcW w:w="1440" w:type="dxa"/>
            <w:vAlign w:val="center"/>
          </w:tcPr>
          <w:p>
            <w:pPr>
              <w:rPr>
                <w:noProof/>
                <w:sz w:val="18"/>
              </w:rPr>
            </w:pPr>
            <w:r>
              <w:rPr>
                <w:noProof/>
                <w:sz w:val="18"/>
              </w:rPr>
              <w:t>Kötelezettségvállalási előirányzatok</w:t>
            </w:r>
          </w:p>
        </w:tc>
        <w:tc>
          <w:tcPr>
            <w:tcW w:w="654" w:type="dxa"/>
            <w:vAlign w:val="center"/>
          </w:tcPr>
          <w:p>
            <w:pPr>
              <w:spacing w:before="40" w:after="40"/>
              <w:jc w:val="right"/>
              <w:rPr>
                <w:b/>
                <w:noProof/>
              </w:rPr>
            </w:pPr>
            <w:r>
              <w:rPr>
                <w:noProof/>
                <w:sz w:val="14"/>
              </w:rPr>
              <w:t>(4+6)</w:t>
            </w:r>
          </w:p>
        </w:tc>
        <w:tc>
          <w:tcPr>
            <w:tcW w:w="969" w:type="dxa"/>
            <w:vAlign w:val="center"/>
          </w:tcPr>
          <w:p>
            <w:pPr>
              <w:spacing w:before="40" w:after="40"/>
              <w:jc w:val="right"/>
              <w:rPr>
                <w:b/>
                <w:bCs/>
                <w:noProof/>
                <w:color w:val="000000"/>
              </w:rPr>
            </w:pPr>
            <w:r>
              <w:rPr>
                <w:b/>
                <w:noProof/>
                <w:color w:val="000000"/>
                <w:sz w:val="22"/>
              </w:rPr>
              <w:t>23,625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32,025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40,425</w:t>
            </w:r>
          </w:p>
          <w:p>
            <w:pPr>
              <w:spacing w:before="40" w:after="40"/>
              <w:jc w:val="right"/>
              <w:rPr>
                <w:b/>
                <w:noProof/>
              </w:rPr>
            </w:pPr>
          </w:p>
        </w:tc>
        <w:tc>
          <w:tcPr>
            <w:tcW w:w="851" w:type="dxa"/>
            <w:vAlign w:val="center"/>
          </w:tcPr>
          <w:p>
            <w:pPr>
              <w:spacing w:before="40" w:after="40"/>
              <w:jc w:val="right"/>
              <w:rPr>
                <w:b/>
                <w:bCs/>
                <w:noProof/>
                <w:color w:val="000000"/>
              </w:rPr>
            </w:pPr>
            <w:r>
              <w:rPr>
                <w:b/>
                <w:noProof/>
                <w:color w:val="000000"/>
                <w:sz w:val="22"/>
              </w:rPr>
              <w:t>46,725</w:t>
            </w:r>
          </w:p>
          <w:p>
            <w:pPr>
              <w:spacing w:before="40" w:after="40"/>
              <w:jc w:val="right"/>
              <w:rPr>
                <w:b/>
                <w:noProof/>
              </w:rPr>
            </w:pPr>
          </w:p>
        </w:tc>
        <w:tc>
          <w:tcPr>
            <w:tcW w:w="992" w:type="dxa"/>
            <w:vAlign w:val="center"/>
          </w:tcPr>
          <w:p>
            <w:pPr>
              <w:spacing w:before="40" w:after="4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Kifizetési előirányzatok</w:t>
            </w:r>
          </w:p>
        </w:tc>
        <w:tc>
          <w:tcPr>
            <w:tcW w:w="654" w:type="dxa"/>
            <w:vAlign w:val="center"/>
          </w:tcPr>
          <w:p>
            <w:pPr>
              <w:spacing w:before="20" w:after="20"/>
              <w:jc w:val="right"/>
              <w:rPr>
                <w:b/>
                <w:noProof/>
              </w:rPr>
            </w:pPr>
            <w:r>
              <w:rPr>
                <w:noProof/>
                <w:sz w:val="14"/>
              </w:rPr>
              <w:t>(5+6)</w:t>
            </w:r>
          </w:p>
        </w:tc>
        <w:tc>
          <w:tcPr>
            <w:tcW w:w="969" w:type="dxa"/>
            <w:vAlign w:val="center"/>
          </w:tcPr>
          <w:p>
            <w:pPr>
              <w:spacing w:before="20" w:after="20"/>
              <w:jc w:val="right"/>
              <w:rPr>
                <w:b/>
                <w:bCs/>
                <w:noProof/>
                <w:color w:val="000000"/>
              </w:rPr>
            </w:pPr>
            <w:r>
              <w:rPr>
                <w:b/>
                <w:noProof/>
                <w:color w:val="000000"/>
                <w:sz w:val="22"/>
              </w:rPr>
              <w:t>12,375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23,525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34,825</w:t>
            </w:r>
          </w:p>
          <w:p>
            <w:pPr>
              <w:spacing w:before="20" w:after="20"/>
              <w:jc w:val="right"/>
              <w:rPr>
                <w:b/>
                <w:noProof/>
              </w:rPr>
            </w:pPr>
          </w:p>
        </w:tc>
        <w:tc>
          <w:tcPr>
            <w:tcW w:w="851" w:type="dxa"/>
            <w:vAlign w:val="center"/>
          </w:tcPr>
          <w:p>
            <w:pPr>
              <w:spacing w:before="20" w:after="20"/>
              <w:jc w:val="right"/>
              <w:rPr>
                <w:b/>
                <w:bCs/>
                <w:noProof/>
                <w:color w:val="000000"/>
              </w:rPr>
            </w:pPr>
            <w:r>
              <w:rPr>
                <w:b/>
                <w:noProof/>
                <w:color w:val="000000"/>
                <w:sz w:val="22"/>
              </w:rPr>
              <w:t>42,125</w:t>
            </w:r>
          </w:p>
          <w:p>
            <w:pPr>
              <w:spacing w:before="20" w:after="20"/>
              <w:jc w:val="right"/>
              <w:rPr>
                <w:b/>
                <w:noProof/>
              </w:rPr>
            </w:pPr>
          </w:p>
        </w:tc>
        <w:tc>
          <w:tcPr>
            <w:tcW w:w="992" w:type="dxa"/>
            <w:vAlign w:val="center"/>
          </w:tcPr>
          <w:p>
            <w:pPr>
              <w:spacing w:before="20" w:after="20"/>
              <w:jc w:val="right"/>
              <w:rPr>
                <w:b/>
                <w:noProof/>
              </w:rPr>
            </w:pPr>
            <w:r>
              <w:rPr>
                <w:b/>
                <w:noProof/>
                <w:sz w:val="22"/>
              </w:rPr>
              <w:t>29,950</w:t>
            </w:r>
          </w:p>
          <w:p>
            <w:pPr>
              <w:spacing w:before="20" w:after="2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bl>
    <w:p>
      <w:pPr>
        <w:ind w:left="7920" w:right="2097" w:firstLine="720"/>
        <w:jc w:val="lef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7"/>
        <w:gridCol w:w="1011"/>
        <w:gridCol w:w="5813"/>
      </w:tblGrid>
      <w:tr>
        <w:trPr>
          <w:trHeight w:val="654"/>
        </w:trPr>
        <w:tc>
          <w:tcPr>
            <w:tcW w:w="5337" w:type="dxa"/>
            <w:shd w:val="thinDiagStripe" w:color="C0C0C0" w:fill="auto"/>
            <w:vAlign w:val="center"/>
          </w:tcPr>
          <w:p>
            <w:pPr>
              <w:spacing w:before="60" w:after="60"/>
              <w:jc w:val="left"/>
              <w:rPr>
                <w:noProof/>
              </w:rPr>
            </w:pPr>
          </w:p>
          <w:p>
            <w:pPr>
              <w:spacing w:before="60" w:after="60"/>
              <w:jc w:val="left"/>
              <w:rPr>
                <w:b/>
                <w:noProof/>
              </w:rPr>
            </w:pPr>
            <w:r>
              <w:rPr>
                <w:noProof/>
              </w:rPr>
              <w:br w:type="page"/>
            </w:r>
            <w:r>
              <w:rPr>
                <w:b/>
                <w:noProof/>
              </w:rPr>
              <w:t xml:space="preserve">A többéves pénzügyi keret fejezete </w:t>
            </w:r>
          </w:p>
        </w:tc>
        <w:tc>
          <w:tcPr>
            <w:tcW w:w="1011" w:type="dxa"/>
            <w:shd w:val="thinDiagStripe" w:color="C0C0C0" w:fill="auto"/>
            <w:vAlign w:val="center"/>
          </w:tcPr>
          <w:p>
            <w:pPr>
              <w:spacing w:before="60" w:after="60"/>
              <w:jc w:val="center"/>
              <w:rPr>
                <w:noProof/>
              </w:rPr>
            </w:pPr>
            <w:r>
              <w:rPr>
                <w:b/>
                <w:noProof/>
                <w:sz w:val="22"/>
              </w:rPr>
              <w:t>5</w:t>
            </w:r>
          </w:p>
        </w:tc>
        <w:tc>
          <w:tcPr>
            <w:tcW w:w="5813" w:type="dxa"/>
            <w:vAlign w:val="center"/>
          </w:tcPr>
          <w:p>
            <w:pPr>
              <w:spacing w:before="60" w:after="60"/>
              <w:rPr>
                <w:noProof/>
              </w:rPr>
            </w:pPr>
            <w:r>
              <w:rPr>
                <w:noProof/>
                <w:sz w:val="22"/>
              </w:rPr>
              <w:t>„Igazgatási kiadások”</w:t>
            </w:r>
          </w:p>
        </w:tc>
      </w:tr>
    </w:tbl>
    <w:p>
      <w:pPr>
        <w:ind w:right="2097"/>
        <w:jc w:val="right"/>
        <w:rPr>
          <w:noProof/>
          <w:sz w:val="20"/>
        </w:rPr>
      </w:pPr>
    </w:p>
    <w:tbl>
      <w:tblPr>
        <w:tblW w:w="122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7"/>
        <w:gridCol w:w="692"/>
        <w:gridCol w:w="513"/>
        <w:gridCol w:w="21"/>
        <w:gridCol w:w="868"/>
        <w:gridCol w:w="868"/>
        <w:gridCol w:w="868"/>
        <w:gridCol w:w="868"/>
        <w:gridCol w:w="868"/>
        <w:gridCol w:w="1841"/>
      </w:tblGrid>
      <w:tr>
        <w:tc>
          <w:tcPr>
            <w:tcW w:w="3958" w:type="dxa"/>
            <w:tcBorders>
              <w:top w:val="nil"/>
              <w:left w:val="nil"/>
              <w:right w:val="nil"/>
            </w:tcBorders>
            <w:vAlign w:val="center"/>
          </w:tcPr>
          <w:p>
            <w:pPr>
              <w:jc w:val="center"/>
              <w:rPr>
                <w:noProof/>
              </w:rPr>
            </w:pPr>
          </w:p>
        </w:tc>
        <w:tc>
          <w:tcPr>
            <w:tcW w:w="1559" w:type="dxa"/>
            <w:gridSpan w:val="2"/>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rPr>
              <w:t>Év</w:t>
            </w:r>
            <w:r>
              <w:rPr>
                <w:noProof/>
              </w:rPr>
              <w:br/>
            </w:r>
            <w:r>
              <w:rPr>
                <w:b/>
                <w:noProof/>
                <w:sz w:val="20"/>
              </w:rPr>
              <w:t>2017</w:t>
            </w:r>
          </w:p>
        </w:tc>
        <w:tc>
          <w:tcPr>
            <w:tcW w:w="868" w:type="dxa"/>
            <w:vAlign w:val="center"/>
          </w:tcPr>
          <w:p>
            <w:pPr>
              <w:jc w:val="center"/>
              <w:rPr>
                <w:noProof/>
                <w:sz w:val="20"/>
              </w:rPr>
            </w:pPr>
            <w:r>
              <w:rPr>
                <w:noProof/>
              </w:rPr>
              <w:t>Év</w:t>
            </w:r>
            <w:r>
              <w:rPr>
                <w:noProof/>
              </w:rPr>
              <w:br/>
            </w:r>
            <w:r>
              <w:rPr>
                <w:b/>
                <w:noProof/>
                <w:sz w:val="20"/>
              </w:rPr>
              <w:t>2018</w:t>
            </w:r>
          </w:p>
        </w:tc>
        <w:tc>
          <w:tcPr>
            <w:tcW w:w="868" w:type="dxa"/>
          </w:tcPr>
          <w:p>
            <w:pPr>
              <w:jc w:val="center"/>
              <w:rPr>
                <w:noProof/>
                <w:sz w:val="20"/>
              </w:rPr>
            </w:pPr>
            <w:r>
              <w:rPr>
                <w:noProof/>
              </w:rPr>
              <w:t>Év</w:t>
            </w:r>
            <w:r>
              <w:rPr>
                <w:noProof/>
              </w:rPr>
              <w:br/>
            </w:r>
            <w:r>
              <w:rPr>
                <w:b/>
                <w:noProof/>
                <w:sz w:val="20"/>
              </w:rPr>
              <w:t>2019</w:t>
            </w:r>
          </w:p>
        </w:tc>
        <w:tc>
          <w:tcPr>
            <w:tcW w:w="868" w:type="dxa"/>
            <w:vAlign w:val="center"/>
          </w:tcPr>
          <w:p>
            <w:pPr>
              <w:jc w:val="center"/>
              <w:rPr>
                <w:noProof/>
                <w:sz w:val="20"/>
              </w:rPr>
            </w:pPr>
            <w:r>
              <w:rPr>
                <w:noProof/>
              </w:rPr>
              <w:t>Év</w:t>
            </w:r>
            <w:r>
              <w:rPr>
                <w:noProof/>
              </w:rPr>
              <w:br/>
            </w:r>
            <w:r>
              <w:rPr>
                <w:b/>
                <w:noProof/>
                <w:sz w:val="20"/>
              </w:rPr>
              <w:t>2020</w:t>
            </w:r>
          </w:p>
        </w:tc>
        <w:tc>
          <w:tcPr>
            <w:tcW w:w="868" w:type="dxa"/>
            <w:vAlign w:val="center"/>
          </w:tcPr>
          <w:p>
            <w:pPr>
              <w:jc w:val="center"/>
              <w:rPr>
                <w:noProof/>
                <w:sz w:val="20"/>
              </w:rPr>
            </w:pPr>
          </w:p>
        </w:tc>
        <w:tc>
          <w:tcPr>
            <w:tcW w:w="1841" w:type="dxa"/>
            <w:vAlign w:val="center"/>
          </w:tcPr>
          <w:p>
            <w:pPr>
              <w:jc w:val="center"/>
              <w:rPr>
                <w:b/>
                <w:noProof/>
                <w:sz w:val="20"/>
              </w:rPr>
            </w:pPr>
            <w:r>
              <w:rPr>
                <w:b/>
                <w:noProof/>
                <w:sz w:val="20"/>
              </w:rPr>
              <w:t>ÖSSZESEN</w:t>
            </w:r>
          </w:p>
        </w:tc>
      </w:tr>
      <w:tr>
        <w:trPr>
          <w:gridAfter w:val="9"/>
          <w:wAfter w:w="7407" w:type="dxa"/>
        </w:trPr>
        <w:tc>
          <w:tcPr>
            <w:tcW w:w="3958" w:type="dxa"/>
            <w:vAlign w:val="center"/>
          </w:tcPr>
          <w:p>
            <w:pPr>
              <w:spacing w:before="60" w:after="60"/>
              <w:jc w:val="center"/>
              <w:rPr>
                <w:noProof/>
              </w:rPr>
            </w:pPr>
            <w:r>
              <w:rPr>
                <w:noProof/>
                <w:sz w:val="22"/>
              </w:rPr>
              <w:t>FŐIGAZGATÓSÁG: SG/</w:t>
            </w:r>
            <w:r>
              <w:rPr>
                <w:noProof/>
              </w:rPr>
              <w:t>SRSS</w:t>
            </w:r>
          </w:p>
        </w:tc>
        <w:tc>
          <w:tcPr>
            <w:tcW w:w="867" w:type="dxa"/>
          </w:tcPr>
          <w:p>
            <w:pPr>
              <w:spacing w:before="60" w:after="60"/>
              <w:jc w:val="center"/>
              <w:rPr>
                <w:noProof/>
              </w:rPr>
            </w:pPr>
          </w:p>
        </w:tc>
      </w:tr>
      <w:tr>
        <w:trPr>
          <w:trHeight w:val="313"/>
        </w:trPr>
        <w:tc>
          <w:tcPr>
            <w:tcW w:w="6030" w:type="dxa"/>
            <w:gridSpan w:val="4"/>
            <w:vAlign w:val="center"/>
          </w:tcPr>
          <w:p>
            <w:pPr>
              <w:spacing w:before="20" w:after="20"/>
              <w:rPr>
                <w:noProof/>
              </w:rPr>
            </w:pPr>
            <w:r>
              <w:rPr>
                <w:noProof/>
                <w:sz w:val="22"/>
              </w:rPr>
              <w:sym w:font="Wingdings" w:char="F09F"/>
            </w:r>
            <w:r>
              <w:rPr>
                <w:noProof/>
              </w:rPr>
              <w:t>Humánerőforrás</w:t>
            </w:r>
          </w:p>
        </w:tc>
        <w:tc>
          <w:tcPr>
            <w:tcW w:w="889" w:type="dxa"/>
            <w:gridSpan w:val="2"/>
            <w:vAlign w:val="center"/>
          </w:tcPr>
          <w:p>
            <w:pPr>
              <w:spacing w:before="20" w:after="20"/>
              <w:jc w:val="right"/>
              <w:rPr>
                <w:noProof/>
                <w:sz w:val="20"/>
              </w:rPr>
            </w:pPr>
            <w:r>
              <w:rPr>
                <w:noProof/>
                <w:sz w:val="20"/>
              </w:rPr>
              <w:t>1,336</w:t>
            </w:r>
          </w:p>
        </w:tc>
        <w:tc>
          <w:tcPr>
            <w:tcW w:w="868" w:type="dxa"/>
            <w:vAlign w:val="center"/>
          </w:tcPr>
          <w:p>
            <w:pPr>
              <w:spacing w:before="20" w:after="20"/>
              <w:jc w:val="right"/>
              <w:rPr>
                <w:noProof/>
                <w:sz w:val="20"/>
              </w:rPr>
            </w:pPr>
            <w:r>
              <w:rPr>
                <w:noProof/>
                <w:sz w:val="20"/>
              </w:rPr>
              <w:t>1,600</w:t>
            </w:r>
          </w:p>
        </w:tc>
        <w:tc>
          <w:tcPr>
            <w:tcW w:w="868" w:type="dxa"/>
            <w:vAlign w:val="center"/>
          </w:tcPr>
          <w:p>
            <w:pPr>
              <w:spacing w:before="20" w:after="20"/>
              <w:jc w:val="right"/>
              <w:rPr>
                <w:noProof/>
                <w:sz w:val="20"/>
              </w:rPr>
            </w:pPr>
            <w:r>
              <w:rPr>
                <w:noProof/>
                <w:sz w:val="20"/>
              </w:rPr>
              <w:t>2,004</w:t>
            </w:r>
          </w:p>
        </w:tc>
        <w:tc>
          <w:tcPr>
            <w:tcW w:w="868" w:type="dxa"/>
            <w:vAlign w:val="center"/>
          </w:tcPr>
          <w:p>
            <w:pPr>
              <w:spacing w:before="20" w:after="20" w:line="276" w:lineRule="auto"/>
              <w:rPr>
                <w:noProof/>
                <w:sz w:val="20"/>
              </w:rPr>
            </w:pPr>
            <w:r>
              <w:rPr>
                <w:noProof/>
                <w:sz w:val="20"/>
              </w:rPr>
              <w:t xml:space="preserve">    2,004</w:t>
            </w:r>
          </w:p>
        </w:tc>
        <w:tc>
          <w:tcPr>
            <w:tcW w:w="868" w:type="dxa"/>
          </w:tcPr>
          <w:p>
            <w:pPr>
              <w:spacing w:before="20" w:after="20"/>
              <w:jc w:val="right"/>
              <w:rPr>
                <w:noProof/>
                <w:sz w:val="20"/>
              </w:rPr>
            </w:pPr>
          </w:p>
        </w:tc>
        <w:tc>
          <w:tcPr>
            <w:tcW w:w="1841" w:type="dxa"/>
            <w:vAlign w:val="bottom"/>
          </w:tcPr>
          <w:p>
            <w:pPr>
              <w:jc w:val="right"/>
              <w:rPr>
                <w:noProof/>
                <w:color w:val="000000"/>
              </w:rPr>
            </w:pPr>
            <w:r>
              <w:rPr>
                <w:noProof/>
                <w:color w:val="000000"/>
                <w:sz w:val="22"/>
              </w:rPr>
              <w:t>6,944</w:t>
            </w:r>
          </w:p>
        </w:tc>
      </w:tr>
      <w:tr>
        <w:trPr>
          <w:trHeight w:val="351"/>
        </w:trPr>
        <w:tc>
          <w:tcPr>
            <w:tcW w:w="6030" w:type="dxa"/>
            <w:gridSpan w:val="4"/>
            <w:vAlign w:val="center"/>
          </w:tcPr>
          <w:p>
            <w:pPr>
              <w:spacing w:before="20" w:after="20"/>
              <w:rPr>
                <w:noProof/>
              </w:rPr>
            </w:pPr>
            <w:r>
              <w:rPr>
                <w:noProof/>
                <w:sz w:val="22"/>
              </w:rPr>
              <w:sym w:font="Wingdings" w:char="F09F"/>
            </w:r>
            <w:r>
              <w:rPr>
                <w:noProof/>
              </w:rPr>
              <w:t>Egyéb igazgatási kiadások</w:t>
            </w:r>
          </w:p>
        </w:tc>
        <w:tc>
          <w:tcPr>
            <w:tcW w:w="889" w:type="dxa"/>
            <w:gridSpan w:val="2"/>
            <w:vAlign w:val="center"/>
          </w:tcPr>
          <w:p>
            <w:pPr>
              <w:spacing w:before="20" w:after="20"/>
              <w:jc w:val="right"/>
              <w:rPr>
                <w:noProof/>
                <w:sz w:val="20"/>
              </w:rPr>
            </w:pPr>
            <w:r>
              <w:rPr>
                <w:noProof/>
                <w:sz w:val="20"/>
              </w:rPr>
              <w:t>0,110</w:t>
            </w:r>
          </w:p>
        </w:tc>
        <w:tc>
          <w:tcPr>
            <w:tcW w:w="868" w:type="dxa"/>
            <w:vAlign w:val="center"/>
          </w:tcPr>
          <w:p>
            <w:pPr>
              <w:spacing w:before="20" w:after="20"/>
              <w:jc w:val="right"/>
              <w:rPr>
                <w:noProof/>
                <w:sz w:val="20"/>
              </w:rPr>
            </w:pPr>
            <w:r>
              <w:rPr>
                <w:noProof/>
                <w:sz w:val="20"/>
              </w:rPr>
              <w:t>0,155</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0,230</w:t>
            </w:r>
          </w:p>
        </w:tc>
        <w:tc>
          <w:tcPr>
            <w:tcW w:w="868" w:type="dxa"/>
            <w:vAlign w:val="center"/>
          </w:tcPr>
          <w:p>
            <w:pPr>
              <w:spacing w:before="20" w:after="20"/>
              <w:jc w:val="right"/>
              <w:rPr>
                <w:noProof/>
                <w:sz w:val="20"/>
              </w:rPr>
            </w:pPr>
          </w:p>
        </w:tc>
        <w:tc>
          <w:tcPr>
            <w:tcW w:w="1841" w:type="dxa"/>
            <w:vAlign w:val="bottom"/>
          </w:tcPr>
          <w:p>
            <w:pPr>
              <w:jc w:val="right"/>
              <w:rPr>
                <w:noProof/>
                <w:color w:val="000000"/>
              </w:rPr>
            </w:pPr>
            <w:r>
              <w:rPr>
                <w:noProof/>
                <w:color w:val="000000"/>
                <w:sz w:val="22"/>
              </w:rPr>
              <w:t>0,695</w:t>
            </w:r>
          </w:p>
        </w:tc>
      </w:tr>
      <w:tr>
        <w:tc>
          <w:tcPr>
            <w:tcW w:w="3958" w:type="dxa"/>
            <w:vAlign w:val="center"/>
          </w:tcPr>
          <w:p>
            <w:pPr>
              <w:jc w:val="center"/>
              <w:rPr>
                <w:b/>
                <w:noProof/>
              </w:rPr>
            </w:pPr>
            <w:r>
              <w:rPr>
                <w:b/>
                <w:noProof/>
                <w:sz w:val="22"/>
              </w:rPr>
              <w:t>SG</w:t>
            </w:r>
            <w:r>
              <w:rPr>
                <w:noProof/>
              </w:rPr>
              <w:t xml:space="preserve">/SRSS </w:t>
            </w:r>
            <w:r>
              <w:rPr>
                <w:b/>
                <w:noProof/>
                <w:sz w:val="22"/>
              </w:rPr>
              <w:t>Főigazgatóság ÖSSZESEN</w:t>
            </w:r>
          </w:p>
        </w:tc>
        <w:tc>
          <w:tcPr>
            <w:tcW w:w="2072" w:type="dxa"/>
            <w:gridSpan w:val="3"/>
            <w:vAlign w:val="center"/>
          </w:tcPr>
          <w:p>
            <w:pPr>
              <w:rPr>
                <w:noProof/>
                <w:sz w:val="14"/>
              </w:rPr>
            </w:pPr>
            <w:r>
              <w:rPr>
                <w:noProof/>
                <w:sz w:val="18"/>
              </w:rPr>
              <w:t xml:space="preserve">Előirányzatok </w:t>
            </w:r>
          </w:p>
        </w:tc>
        <w:tc>
          <w:tcPr>
            <w:tcW w:w="889" w:type="dxa"/>
            <w:gridSpan w:val="2"/>
            <w:vAlign w:val="center"/>
          </w:tcPr>
          <w:p>
            <w:pPr>
              <w:spacing w:before="20" w:after="20"/>
              <w:jc w:val="right"/>
              <w:rPr>
                <w:noProof/>
                <w:sz w:val="20"/>
              </w:rPr>
            </w:pPr>
            <w:r>
              <w:rPr>
                <w:noProof/>
                <w:sz w:val="20"/>
              </w:rPr>
              <w:t>1,446</w:t>
            </w:r>
          </w:p>
        </w:tc>
        <w:tc>
          <w:tcPr>
            <w:tcW w:w="868" w:type="dxa"/>
            <w:vAlign w:val="center"/>
          </w:tcPr>
          <w:p>
            <w:pPr>
              <w:spacing w:before="20" w:after="20"/>
              <w:jc w:val="right"/>
              <w:rPr>
                <w:noProof/>
                <w:sz w:val="20"/>
              </w:rPr>
            </w:pPr>
            <w:r>
              <w:rPr>
                <w:noProof/>
                <w:sz w:val="20"/>
              </w:rPr>
              <w:t>1,755</w:t>
            </w:r>
          </w:p>
        </w:tc>
        <w:tc>
          <w:tcPr>
            <w:tcW w:w="868" w:type="dxa"/>
            <w:vAlign w:val="center"/>
          </w:tcPr>
          <w:p>
            <w:pPr>
              <w:spacing w:before="20" w:after="20"/>
              <w:jc w:val="right"/>
              <w:rPr>
                <w:noProof/>
                <w:sz w:val="20"/>
              </w:rPr>
            </w:pPr>
            <w:r>
              <w:rPr>
                <w:noProof/>
                <w:sz w:val="20"/>
              </w:rPr>
              <w:t>2,204</w:t>
            </w:r>
          </w:p>
        </w:tc>
        <w:tc>
          <w:tcPr>
            <w:tcW w:w="868" w:type="dxa"/>
          </w:tcPr>
          <w:p>
            <w:pPr>
              <w:spacing w:before="20" w:after="20" w:line="360" w:lineRule="auto"/>
              <w:jc w:val="right"/>
              <w:rPr>
                <w:noProof/>
                <w:sz w:val="20"/>
              </w:rPr>
            </w:pPr>
            <w:r>
              <w:rPr>
                <w:noProof/>
                <w:sz w:val="20"/>
              </w:rPr>
              <w:t>2,234</w:t>
            </w:r>
          </w:p>
        </w:tc>
        <w:tc>
          <w:tcPr>
            <w:tcW w:w="868" w:type="dxa"/>
            <w:vAlign w:val="bottom"/>
          </w:tcPr>
          <w:p>
            <w:pPr>
              <w:jc w:val="right"/>
              <w:rPr>
                <w:noProof/>
                <w:color w:val="000000"/>
              </w:rPr>
            </w:pPr>
          </w:p>
        </w:tc>
        <w:tc>
          <w:tcPr>
            <w:tcW w:w="1841" w:type="dxa"/>
            <w:vAlign w:val="center"/>
          </w:tcPr>
          <w:p>
            <w:pPr>
              <w:spacing w:before="20" w:after="20"/>
              <w:jc w:val="right"/>
              <w:rPr>
                <w:b/>
                <w:noProof/>
                <w:sz w:val="20"/>
              </w:rPr>
            </w:pPr>
            <w:r>
              <w:rPr>
                <w:noProof/>
                <w:color w:val="000000"/>
                <w:sz w:val="22"/>
              </w:rPr>
              <w:t>7,639</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838"/>
      </w:tblGrid>
      <w:tr>
        <w:tc>
          <w:tcPr>
            <w:tcW w:w="3960" w:type="dxa"/>
            <w:shd w:val="thinDiagStripe" w:color="C0C0C0" w:fill="auto"/>
            <w:vAlign w:val="center"/>
          </w:tcPr>
          <w:p>
            <w:pPr>
              <w:jc w:val="center"/>
              <w:rPr>
                <w:b/>
                <w:noProof/>
              </w:rPr>
            </w:pPr>
            <w:r>
              <w:rPr>
                <w:noProof/>
              </w:rPr>
              <w:t>A többéves pénzügyi keret</w:t>
            </w:r>
            <w:r>
              <w:rPr>
                <w:noProof/>
              </w:rPr>
              <w:br/>
            </w:r>
            <w:r>
              <w:rPr>
                <w:b/>
                <w:noProof/>
                <w:sz w:val="22"/>
              </w:rPr>
              <w:t>5. FEJEZETÉHEZ tartozó</w:t>
            </w:r>
            <w:r>
              <w:rPr>
                <w:noProof/>
              </w:rPr>
              <w:br/>
            </w:r>
            <w:r>
              <w:rPr>
                <w:noProof/>
                <w:sz w:val="22"/>
              </w:rPr>
              <w:t>előirányzatok részösszege</w:t>
            </w:r>
          </w:p>
        </w:tc>
        <w:tc>
          <w:tcPr>
            <w:tcW w:w="2094" w:type="dxa"/>
            <w:vAlign w:val="center"/>
          </w:tcPr>
          <w:p>
            <w:pPr>
              <w:spacing w:before="40" w:after="40"/>
              <w:rPr>
                <w:noProof/>
              </w:rPr>
            </w:pPr>
            <w:r>
              <w:rPr>
                <w:noProof/>
                <w:sz w:val="18"/>
              </w:rPr>
              <w:t>(Összes kötelezettségvállalási előirányzat = Összes kifizetési előirányzat)</w:t>
            </w:r>
          </w:p>
        </w:tc>
        <w:tc>
          <w:tcPr>
            <w:tcW w:w="868" w:type="dxa"/>
            <w:vAlign w:val="center"/>
          </w:tcPr>
          <w:p>
            <w:pPr>
              <w:spacing w:before="20" w:after="20"/>
              <w:jc w:val="right"/>
              <w:rPr>
                <w:noProof/>
                <w:sz w:val="20"/>
              </w:rPr>
            </w:pPr>
            <w:r>
              <w:rPr>
                <w:noProof/>
                <w:sz w:val="20"/>
              </w:rPr>
              <w:t>1,446</w:t>
            </w:r>
          </w:p>
        </w:tc>
        <w:tc>
          <w:tcPr>
            <w:tcW w:w="868" w:type="dxa"/>
            <w:vAlign w:val="center"/>
          </w:tcPr>
          <w:p>
            <w:pPr>
              <w:spacing w:before="20" w:after="20"/>
              <w:jc w:val="right"/>
              <w:rPr>
                <w:noProof/>
                <w:sz w:val="20"/>
              </w:rPr>
            </w:pPr>
            <w:r>
              <w:rPr>
                <w:noProof/>
                <w:sz w:val="20"/>
              </w:rPr>
              <w:t>1,755</w:t>
            </w:r>
          </w:p>
        </w:tc>
        <w:tc>
          <w:tcPr>
            <w:tcW w:w="868" w:type="dxa"/>
            <w:vAlign w:val="center"/>
          </w:tcPr>
          <w:p>
            <w:pPr>
              <w:spacing w:before="20" w:after="20"/>
              <w:jc w:val="right"/>
              <w:rPr>
                <w:noProof/>
                <w:sz w:val="20"/>
              </w:rPr>
            </w:pPr>
            <w:r>
              <w:rPr>
                <w:noProof/>
                <w:sz w:val="20"/>
              </w:rPr>
              <w:t>2,204</w:t>
            </w:r>
          </w:p>
        </w:tc>
        <w:tc>
          <w:tcPr>
            <w:tcW w:w="868" w:type="dxa"/>
          </w:tcPr>
          <w:p>
            <w:pPr>
              <w:spacing w:before="20" w:after="20" w:line="360" w:lineRule="auto"/>
              <w:jc w:val="right"/>
              <w:rPr>
                <w:noProof/>
                <w:sz w:val="20"/>
              </w:rPr>
            </w:pPr>
          </w:p>
          <w:p>
            <w:pPr>
              <w:spacing w:before="20" w:after="20" w:line="360" w:lineRule="auto"/>
              <w:jc w:val="right"/>
              <w:rPr>
                <w:noProof/>
                <w:sz w:val="20"/>
              </w:rPr>
            </w:pPr>
            <w:r>
              <w:rPr>
                <w:noProof/>
                <w:sz w:val="20"/>
              </w:rPr>
              <w:t>2,234</w:t>
            </w:r>
          </w:p>
        </w:tc>
        <w:tc>
          <w:tcPr>
            <w:tcW w:w="868" w:type="dxa"/>
            <w:vAlign w:val="center"/>
          </w:tcPr>
          <w:p>
            <w:pPr>
              <w:spacing w:before="20" w:after="20"/>
              <w:jc w:val="right"/>
              <w:rPr>
                <w:noProof/>
                <w:sz w:val="20"/>
              </w:rPr>
            </w:pPr>
          </w:p>
        </w:tc>
        <w:tc>
          <w:tcPr>
            <w:tcW w:w="1838" w:type="dxa"/>
            <w:vAlign w:val="center"/>
          </w:tcPr>
          <w:p>
            <w:pPr>
              <w:jc w:val="right"/>
              <w:rPr>
                <w:noProof/>
                <w:color w:val="000000"/>
              </w:rPr>
            </w:pPr>
            <w:r>
              <w:rPr>
                <w:noProof/>
                <w:color w:val="000000"/>
                <w:sz w:val="22"/>
              </w:rPr>
              <w:t>7,639</w:t>
            </w:r>
          </w:p>
          <w:p>
            <w:pPr>
              <w:spacing w:before="20" w:after="20"/>
              <w:jc w:val="right"/>
              <w:rPr>
                <w:b/>
                <w:noProof/>
                <w:sz w:val="20"/>
              </w:rPr>
            </w:pPr>
          </w:p>
        </w:tc>
      </w:tr>
    </w:tbl>
    <w:p>
      <w:pPr>
        <w:ind w:right="2097"/>
        <w:jc w:val="right"/>
        <w:rPr>
          <w:noProof/>
          <w:sz w:val="20"/>
        </w:rPr>
      </w:pPr>
      <w:r>
        <w:rPr>
          <w:noProof/>
          <w:sz w:val="20"/>
        </w:rPr>
        <w:t>millió EUR (három tizedesjegyig)</w:t>
      </w:r>
    </w:p>
    <w:tbl>
      <w:tblPr>
        <w:tblW w:w="122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559"/>
        <w:gridCol w:w="534"/>
        <w:gridCol w:w="868"/>
        <w:gridCol w:w="868"/>
        <w:gridCol w:w="868"/>
        <w:gridCol w:w="868"/>
        <w:gridCol w:w="868"/>
        <w:gridCol w:w="1843"/>
      </w:tblGrid>
      <w:tr>
        <w:tc>
          <w:tcPr>
            <w:tcW w:w="3958" w:type="dxa"/>
            <w:tcBorders>
              <w:top w:val="nil"/>
              <w:left w:val="nil"/>
              <w:right w:val="nil"/>
            </w:tcBorders>
            <w:vAlign w:val="center"/>
          </w:tcPr>
          <w:p>
            <w:pPr>
              <w:jc w:val="center"/>
              <w:rPr>
                <w:noProof/>
              </w:rPr>
            </w:pPr>
          </w:p>
        </w:tc>
        <w:tc>
          <w:tcPr>
            <w:tcW w:w="1559"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Év</w:t>
            </w:r>
            <w:r>
              <w:rPr>
                <w:noProof/>
              </w:rPr>
              <w:br/>
            </w:r>
            <w:r>
              <w:rPr>
                <w:b/>
                <w:noProof/>
                <w:sz w:val="20"/>
              </w:rPr>
              <w:t>2017</w:t>
            </w:r>
          </w:p>
        </w:tc>
        <w:tc>
          <w:tcPr>
            <w:tcW w:w="868" w:type="dxa"/>
            <w:vAlign w:val="center"/>
          </w:tcPr>
          <w:p>
            <w:pPr>
              <w:jc w:val="center"/>
              <w:rPr>
                <w:noProof/>
                <w:sz w:val="20"/>
              </w:rPr>
            </w:pPr>
            <w:r>
              <w:rPr>
                <w:noProof/>
              </w:rPr>
              <w:t>Év</w:t>
            </w:r>
            <w:r>
              <w:rPr>
                <w:noProof/>
              </w:rPr>
              <w:br/>
            </w:r>
            <w:r>
              <w:rPr>
                <w:b/>
                <w:noProof/>
                <w:sz w:val="20"/>
              </w:rPr>
              <w:t>2018</w:t>
            </w:r>
          </w:p>
        </w:tc>
        <w:tc>
          <w:tcPr>
            <w:tcW w:w="868" w:type="dxa"/>
          </w:tcPr>
          <w:p>
            <w:pPr>
              <w:jc w:val="center"/>
              <w:rPr>
                <w:noProof/>
                <w:sz w:val="20"/>
              </w:rPr>
            </w:pPr>
            <w:r>
              <w:rPr>
                <w:noProof/>
              </w:rPr>
              <w:t>Év</w:t>
            </w:r>
            <w:r>
              <w:rPr>
                <w:noProof/>
              </w:rPr>
              <w:br/>
            </w:r>
            <w:r>
              <w:rPr>
                <w:b/>
                <w:noProof/>
                <w:sz w:val="20"/>
              </w:rPr>
              <w:t>2019</w:t>
            </w:r>
          </w:p>
        </w:tc>
        <w:tc>
          <w:tcPr>
            <w:tcW w:w="868" w:type="dxa"/>
            <w:vAlign w:val="center"/>
          </w:tcPr>
          <w:p>
            <w:pPr>
              <w:jc w:val="center"/>
              <w:rPr>
                <w:noProof/>
                <w:sz w:val="20"/>
              </w:rPr>
            </w:pPr>
            <w:r>
              <w:rPr>
                <w:noProof/>
              </w:rPr>
              <w:t>Év</w:t>
            </w:r>
            <w:r>
              <w:rPr>
                <w:noProof/>
              </w:rPr>
              <w:br/>
            </w:r>
            <w:r>
              <w:rPr>
                <w:b/>
                <w:noProof/>
                <w:sz w:val="20"/>
              </w:rPr>
              <w:t>2020</w:t>
            </w:r>
          </w:p>
        </w:tc>
        <w:tc>
          <w:tcPr>
            <w:tcW w:w="868" w:type="dxa"/>
            <w:vAlign w:val="center"/>
          </w:tcPr>
          <w:p>
            <w:pPr>
              <w:rPr>
                <w:noProof/>
                <w:sz w:val="20"/>
              </w:rPr>
            </w:pPr>
            <w:r>
              <w:rPr>
                <w:noProof/>
                <w:sz w:val="20"/>
              </w:rPr>
              <w:t xml:space="preserve"> </w:t>
            </w:r>
            <w:r>
              <w:rPr>
                <w:noProof/>
              </w:rPr>
              <w:t>Év</w:t>
            </w:r>
            <w:r>
              <w:rPr>
                <w:noProof/>
              </w:rPr>
              <w:br/>
            </w:r>
            <w:r>
              <w:rPr>
                <w:b/>
                <w:noProof/>
                <w:sz w:val="20"/>
              </w:rPr>
              <w:t>2021/2022</w:t>
            </w:r>
          </w:p>
        </w:tc>
        <w:tc>
          <w:tcPr>
            <w:tcW w:w="1843" w:type="dxa"/>
            <w:vAlign w:val="center"/>
          </w:tcPr>
          <w:p>
            <w:pPr>
              <w:jc w:val="center"/>
              <w:rPr>
                <w:b/>
                <w:noProof/>
                <w:sz w:val="20"/>
              </w:rPr>
            </w:pPr>
            <w:r>
              <w:rPr>
                <w:b/>
                <w:noProof/>
                <w:sz w:val="20"/>
              </w:rPr>
              <w:t>ÖSSZESEN</w:t>
            </w:r>
          </w:p>
        </w:tc>
      </w:tr>
      <w:tr>
        <w:tc>
          <w:tcPr>
            <w:tcW w:w="3958" w:type="dxa"/>
            <w:vMerge w:val="restart"/>
            <w:shd w:val="clear" w:color="auto" w:fill="C0C0C0"/>
            <w:vAlign w:val="center"/>
          </w:tcPr>
          <w:p>
            <w:pPr>
              <w:jc w:val="center"/>
              <w:rPr>
                <w:b/>
                <w:noProof/>
              </w:rPr>
            </w:pPr>
            <w:r>
              <w:rPr>
                <w:noProof/>
              </w:rPr>
              <w:t>A többéves pénzügyi keret</w:t>
            </w:r>
            <w:r>
              <w:rPr>
                <w:noProof/>
              </w:rPr>
              <w:br/>
            </w:r>
            <w:r>
              <w:rPr>
                <w:b/>
                <w:noProof/>
                <w:sz w:val="22"/>
              </w:rPr>
              <w:t>1b/2–5. FEJEZETÉHEZ tartozó</w:t>
            </w:r>
            <w:r>
              <w:rPr>
                <w:noProof/>
              </w:rPr>
              <w:br/>
            </w:r>
            <w:r>
              <w:rPr>
                <w:noProof/>
                <w:sz w:val="22"/>
              </w:rPr>
              <w:t>előirányzatok részösszege</w:t>
            </w:r>
          </w:p>
        </w:tc>
        <w:tc>
          <w:tcPr>
            <w:tcW w:w="2093" w:type="dxa"/>
            <w:gridSpan w:val="2"/>
            <w:vAlign w:val="center"/>
          </w:tcPr>
          <w:p>
            <w:pPr>
              <w:rPr>
                <w:noProof/>
                <w:sz w:val="14"/>
              </w:rPr>
            </w:pPr>
            <w:r>
              <w:rPr>
                <w:noProof/>
                <w:sz w:val="18"/>
              </w:rPr>
              <w:t>Kötelezettségvállalási előirányzatok</w:t>
            </w:r>
          </w:p>
        </w:tc>
        <w:tc>
          <w:tcPr>
            <w:tcW w:w="868" w:type="dxa"/>
            <w:vAlign w:val="center"/>
          </w:tcPr>
          <w:p>
            <w:pPr>
              <w:spacing w:before="40" w:after="40"/>
              <w:jc w:val="right"/>
              <w:rPr>
                <w:b/>
                <w:noProof/>
              </w:rPr>
            </w:pPr>
            <w:r>
              <w:rPr>
                <w:b/>
                <w:noProof/>
                <w:sz w:val="22"/>
              </w:rPr>
              <w:t>25,071</w:t>
            </w:r>
          </w:p>
          <w:p>
            <w:pPr>
              <w:spacing w:before="40" w:after="40"/>
              <w:jc w:val="right"/>
              <w:rPr>
                <w:b/>
                <w:noProof/>
              </w:rPr>
            </w:pPr>
          </w:p>
        </w:tc>
        <w:tc>
          <w:tcPr>
            <w:tcW w:w="868" w:type="dxa"/>
            <w:vAlign w:val="center"/>
          </w:tcPr>
          <w:p>
            <w:pPr>
              <w:spacing w:before="40" w:after="40"/>
              <w:jc w:val="right"/>
              <w:rPr>
                <w:b/>
                <w:noProof/>
              </w:rPr>
            </w:pPr>
            <w:r>
              <w:rPr>
                <w:b/>
                <w:noProof/>
                <w:sz w:val="22"/>
              </w:rPr>
              <w:t>33,780</w:t>
            </w:r>
          </w:p>
          <w:p>
            <w:pPr>
              <w:spacing w:before="40" w:after="40"/>
              <w:jc w:val="right"/>
              <w:rPr>
                <w:b/>
                <w:noProof/>
              </w:rPr>
            </w:pPr>
          </w:p>
        </w:tc>
        <w:tc>
          <w:tcPr>
            <w:tcW w:w="868" w:type="dxa"/>
            <w:vAlign w:val="center"/>
          </w:tcPr>
          <w:p>
            <w:pPr>
              <w:spacing w:before="40" w:after="40"/>
              <w:jc w:val="right"/>
              <w:rPr>
                <w:b/>
                <w:noProof/>
              </w:rPr>
            </w:pPr>
            <w:r>
              <w:rPr>
                <w:b/>
                <w:noProof/>
                <w:sz w:val="22"/>
              </w:rPr>
              <w:t>42,629</w:t>
            </w:r>
          </w:p>
          <w:p>
            <w:pPr>
              <w:spacing w:before="40" w:after="40"/>
              <w:jc w:val="right"/>
              <w:rPr>
                <w:b/>
                <w:noProof/>
              </w:rPr>
            </w:pPr>
          </w:p>
        </w:tc>
        <w:tc>
          <w:tcPr>
            <w:tcW w:w="868" w:type="dxa"/>
            <w:vAlign w:val="center"/>
          </w:tcPr>
          <w:p>
            <w:pPr>
              <w:spacing w:before="40" w:after="40"/>
              <w:jc w:val="right"/>
              <w:rPr>
                <w:b/>
                <w:noProof/>
              </w:rPr>
            </w:pPr>
            <w:r>
              <w:rPr>
                <w:b/>
                <w:noProof/>
                <w:sz w:val="22"/>
              </w:rPr>
              <w:t>48,959</w:t>
            </w:r>
          </w:p>
          <w:p>
            <w:pPr>
              <w:spacing w:before="40" w:after="40"/>
              <w:jc w:val="right"/>
              <w:rPr>
                <w:b/>
                <w:noProof/>
              </w:rPr>
            </w:pPr>
          </w:p>
        </w:tc>
        <w:tc>
          <w:tcPr>
            <w:tcW w:w="868" w:type="dxa"/>
            <w:vAlign w:val="center"/>
          </w:tcPr>
          <w:p>
            <w:pPr>
              <w:spacing w:before="40" w:after="40"/>
              <w:jc w:val="right"/>
              <w:rPr>
                <w:b/>
                <w:noProof/>
              </w:rPr>
            </w:pPr>
          </w:p>
        </w:tc>
        <w:tc>
          <w:tcPr>
            <w:tcW w:w="1841" w:type="dxa"/>
            <w:vAlign w:val="center"/>
          </w:tcPr>
          <w:p>
            <w:pPr>
              <w:jc w:val="right"/>
              <w:rPr>
                <w:noProof/>
                <w:color w:val="000000"/>
              </w:rPr>
            </w:pPr>
            <w:r>
              <w:rPr>
                <w:noProof/>
                <w:color w:val="000000"/>
                <w:sz w:val="22"/>
              </w:rPr>
              <w:t>150,439</w:t>
            </w:r>
          </w:p>
          <w:p>
            <w:pPr>
              <w:jc w:val="right"/>
              <w:rPr>
                <w:noProof/>
                <w:color w:val="000000"/>
              </w:rPr>
            </w:pPr>
          </w:p>
        </w:tc>
      </w:tr>
      <w:tr>
        <w:tc>
          <w:tcPr>
            <w:tcW w:w="3958" w:type="dxa"/>
            <w:vMerge/>
            <w:shd w:val="clear" w:color="auto" w:fill="C0C0C0"/>
          </w:tcPr>
          <w:p>
            <w:pPr>
              <w:rPr>
                <w:noProof/>
                <w:sz w:val="20"/>
              </w:rPr>
            </w:pPr>
          </w:p>
        </w:tc>
        <w:tc>
          <w:tcPr>
            <w:tcW w:w="2093" w:type="dxa"/>
            <w:gridSpan w:val="2"/>
            <w:vAlign w:val="center"/>
          </w:tcPr>
          <w:p>
            <w:pPr>
              <w:rPr>
                <w:noProof/>
                <w:sz w:val="14"/>
              </w:rPr>
            </w:pPr>
            <w:r>
              <w:rPr>
                <w:noProof/>
                <w:sz w:val="18"/>
              </w:rPr>
              <w:t>Kifizetési előirányzatok</w:t>
            </w:r>
          </w:p>
        </w:tc>
        <w:tc>
          <w:tcPr>
            <w:tcW w:w="868" w:type="dxa"/>
            <w:vAlign w:val="center"/>
          </w:tcPr>
          <w:p>
            <w:pPr>
              <w:spacing w:before="20" w:after="20"/>
              <w:jc w:val="right"/>
              <w:rPr>
                <w:b/>
                <w:noProof/>
              </w:rPr>
            </w:pPr>
            <w:r>
              <w:rPr>
                <w:b/>
                <w:noProof/>
                <w:sz w:val="22"/>
              </w:rPr>
              <w:t>13,821</w:t>
            </w:r>
          </w:p>
          <w:p>
            <w:pPr>
              <w:spacing w:before="20" w:after="20"/>
              <w:jc w:val="right"/>
              <w:rPr>
                <w:b/>
                <w:noProof/>
              </w:rPr>
            </w:pPr>
          </w:p>
        </w:tc>
        <w:tc>
          <w:tcPr>
            <w:tcW w:w="868" w:type="dxa"/>
            <w:vAlign w:val="center"/>
          </w:tcPr>
          <w:p>
            <w:pPr>
              <w:spacing w:before="20" w:after="20"/>
              <w:jc w:val="right"/>
              <w:rPr>
                <w:b/>
                <w:noProof/>
              </w:rPr>
            </w:pPr>
            <w:r>
              <w:rPr>
                <w:b/>
                <w:noProof/>
                <w:sz w:val="22"/>
              </w:rPr>
              <w:t>25,280</w:t>
            </w:r>
          </w:p>
          <w:p>
            <w:pPr>
              <w:spacing w:before="20" w:after="20"/>
              <w:jc w:val="right"/>
              <w:rPr>
                <w:b/>
                <w:noProof/>
              </w:rPr>
            </w:pPr>
          </w:p>
        </w:tc>
        <w:tc>
          <w:tcPr>
            <w:tcW w:w="868" w:type="dxa"/>
            <w:vAlign w:val="center"/>
          </w:tcPr>
          <w:p>
            <w:pPr>
              <w:spacing w:before="20" w:after="20"/>
              <w:jc w:val="right"/>
              <w:rPr>
                <w:b/>
                <w:noProof/>
              </w:rPr>
            </w:pPr>
            <w:r>
              <w:rPr>
                <w:b/>
                <w:noProof/>
                <w:sz w:val="22"/>
              </w:rPr>
              <w:t>37,029</w:t>
            </w:r>
          </w:p>
          <w:p>
            <w:pPr>
              <w:spacing w:before="20" w:after="20"/>
              <w:jc w:val="right"/>
              <w:rPr>
                <w:b/>
                <w:noProof/>
              </w:rPr>
            </w:pPr>
          </w:p>
        </w:tc>
        <w:tc>
          <w:tcPr>
            <w:tcW w:w="868" w:type="dxa"/>
            <w:vAlign w:val="center"/>
          </w:tcPr>
          <w:p>
            <w:pPr>
              <w:spacing w:before="20" w:after="20"/>
              <w:jc w:val="right"/>
              <w:rPr>
                <w:b/>
                <w:noProof/>
              </w:rPr>
            </w:pPr>
            <w:r>
              <w:rPr>
                <w:b/>
                <w:noProof/>
                <w:sz w:val="22"/>
              </w:rPr>
              <w:t>44,359</w:t>
            </w:r>
          </w:p>
          <w:p>
            <w:pPr>
              <w:spacing w:before="20" w:after="20"/>
              <w:jc w:val="right"/>
              <w:rPr>
                <w:b/>
                <w:noProof/>
              </w:rPr>
            </w:pPr>
          </w:p>
        </w:tc>
        <w:tc>
          <w:tcPr>
            <w:tcW w:w="868" w:type="dxa"/>
            <w:vAlign w:val="center"/>
          </w:tcPr>
          <w:p>
            <w:pPr>
              <w:spacing w:before="20" w:after="20"/>
              <w:jc w:val="right"/>
              <w:rPr>
                <w:b/>
                <w:noProof/>
              </w:rPr>
            </w:pPr>
            <w:r>
              <w:rPr>
                <w:b/>
                <w:noProof/>
                <w:sz w:val="22"/>
              </w:rPr>
              <w:t>29,950</w:t>
            </w:r>
          </w:p>
          <w:p>
            <w:pPr>
              <w:spacing w:before="20" w:after="20"/>
              <w:jc w:val="right"/>
              <w:rPr>
                <w:b/>
                <w:noProof/>
              </w:rPr>
            </w:pPr>
          </w:p>
        </w:tc>
        <w:tc>
          <w:tcPr>
            <w:tcW w:w="1841" w:type="dxa"/>
            <w:vAlign w:val="center"/>
          </w:tcPr>
          <w:p>
            <w:pPr>
              <w:jc w:val="right"/>
              <w:rPr>
                <w:noProof/>
              </w:rPr>
            </w:pPr>
            <w:r>
              <w:rPr>
                <w:noProof/>
                <w:sz w:val="22"/>
              </w:rPr>
              <w:t>150,439</w:t>
            </w:r>
          </w:p>
          <w:p>
            <w:pPr>
              <w:jc w:val="right"/>
              <w:rPr>
                <w:noProof/>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Az operatív előirányzatokra gyakorolt becsült hatás</w:t>
      </w:r>
    </w:p>
    <w:p>
      <w:pPr>
        <w:pStyle w:val="ListDash1"/>
        <w:ind w:left="1134"/>
        <w:rPr>
          <w:noProof/>
        </w:rPr>
      </w:pPr>
      <w:r>
        <w:rPr>
          <w:noProof/>
        </w:rPr>
        <w:sym w:font="Wingdings" w:char="F0A8"/>
      </w:r>
      <w:r>
        <w:rPr>
          <w:noProof/>
        </w:rPr>
        <w:tab/>
        <w:t>A javaslat/kezdeményezés nem vonja maga után operatív előirányzatok felhasználását</w:t>
      </w:r>
    </w:p>
    <w:p>
      <w:pPr>
        <w:pStyle w:val="ListDash1"/>
        <w:ind w:left="1134"/>
        <w:rPr>
          <w:noProof/>
        </w:rPr>
      </w:pPr>
      <w:r>
        <w:rPr>
          <w:noProof/>
        </w:rPr>
        <w:sym w:font="Wingdings" w:char="F078"/>
      </w:r>
      <w:r>
        <w:rPr>
          <w:noProof/>
        </w:rPr>
        <w:tab/>
        <w:t>A javaslat/kezdeményezés az alábbi operatív előirányzatok felhasználását vonja maga után:</w:t>
      </w:r>
    </w:p>
    <w:p>
      <w:pPr>
        <w:suppressAutoHyphens/>
        <w:ind w:left="7920" w:firstLine="720"/>
        <w:jc w:val="center"/>
        <w:rPr>
          <w:noProof/>
          <w:sz w:val="20"/>
        </w:rPr>
      </w:pPr>
      <w:r>
        <w:rPr>
          <w:noProof/>
          <w:sz w:val="20"/>
        </w:rPr>
        <w:t>Kötelezettségvállalási előirányzatok, millió EUR</w:t>
      </w:r>
    </w:p>
    <w:tbl>
      <w:tblPr>
        <w:tblW w:w="13612" w:type="dxa"/>
        <w:tblInd w:w="93" w:type="dxa"/>
        <w:tblLayout w:type="fixed"/>
        <w:tblLook w:val="04A0" w:firstRow="1" w:lastRow="0" w:firstColumn="1" w:lastColumn="0" w:noHBand="0" w:noVBand="1"/>
      </w:tblPr>
      <w:tblGrid>
        <w:gridCol w:w="1231"/>
        <w:gridCol w:w="1594"/>
        <w:gridCol w:w="368"/>
        <w:gridCol w:w="695"/>
        <w:gridCol w:w="887"/>
        <w:gridCol w:w="1096"/>
        <w:gridCol w:w="807"/>
        <w:gridCol w:w="992"/>
        <w:gridCol w:w="850"/>
        <w:gridCol w:w="1134"/>
        <w:gridCol w:w="993"/>
        <w:gridCol w:w="1275"/>
        <w:gridCol w:w="1276"/>
        <w:gridCol w:w="414"/>
      </w:tblGrid>
      <w:tr>
        <w:trPr>
          <w:gridAfter w:val="1"/>
          <w:wAfter w:w="414" w:type="dxa"/>
          <w:trHeight w:val="684"/>
        </w:trPr>
        <w:tc>
          <w:tcPr>
            <w:tcW w:w="1231" w:type="dxa"/>
            <w:tcBorders>
              <w:top w:val="single" w:sz="8" w:space="0" w:color="auto"/>
              <w:left w:val="single" w:sz="8" w:space="0" w:color="auto"/>
              <w:bottom w:val="nil"/>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xml:space="preserve">Tüntesse fel a célkitűzéseket és a teljesítéseket </w:t>
            </w:r>
          </w:p>
        </w:tc>
        <w:tc>
          <w:tcPr>
            <w:tcW w:w="1962"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695" w:type="dxa"/>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9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Év</w:t>
            </w:r>
          </w:p>
        </w:tc>
        <w:tc>
          <w:tcPr>
            <w:tcW w:w="1799"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Év</w:t>
            </w:r>
          </w:p>
        </w:tc>
        <w:tc>
          <w:tcPr>
            <w:tcW w:w="1984"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Év</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Év</w:t>
            </w:r>
          </w:p>
        </w:tc>
        <w:tc>
          <w:tcPr>
            <w:tcW w:w="1276"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ÖSSZESEN</w:t>
            </w:r>
          </w:p>
        </w:tc>
      </w:tr>
      <w:tr>
        <w:trPr>
          <w:gridAfter w:val="1"/>
          <w:wAfter w:w="414" w:type="dxa"/>
          <w:trHeight w:val="324"/>
        </w:trPr>
        <w:tc>
          <w:tcPr>
            <w:tcW w:w="1231" w:type="dxa"/>
            <w:tcBorders>
              <w:top w:val="nil"/>
              <w:left w:val="single" w:sz="8" w:space="0" w:color="auto"/>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w:t>
            </w:r>
          </w:p>
        </w:tc>
        <w:tc>
          <w:tcPr>
            <w:tcW w:w="1962" w:type="dxa"/>
            <w:gridSpan w:val="2"/>
            <w:vMerge/>
            <w:tcBorders>
              <w:top w:val="single" w:sz="8" w:space="0" w:color="auto"/>
              <w:left w:val="nil"/>
              <w:bottom w:val="single" w:sz="8" w:space="0" w:color="000000"/>
              <w:right w:val="nil"/>
            </w:tcBorders>
            <w:vAlign w:val="center"/>
            <w:hideMark/>
          </w:tcPr>
          <w:p>
            <w:pPr>
              <w:spacing w:before="0" w:after="0"/>
              <w:jc w:val="left"/>
              <w:rPr>
                <w:rFonts w:eastAsia="Times New Roman"/>
                <w:noProof/>
                <w:color w:val="000000"/>
                <w:sz w:val="18"/>
                <w:szCs w:val="18"/>
              </w:rPr>
            </w:pPr>
          </w:p>
        </w:tc>
        <w:tc>
          <w:tcPr>
            <w:tcW w:w="695" w:type="dxa"/>
            <w:vMerge/>
            <w:tcBorders>
              <w:top w:val="single" w:sz="8" w:space="0" w:color="auto"/>
              <w:left w:val="nil"/>
              <w:bottom w:val="single" w:sz="8" w:space="0" w:color="000000"/>
              <w:right w:val="nil"/>
            </w:tcBorders>
            <w:vAlign w:val="center"/>
            <w:hideMark/>
          </w:tcPr>
          <w:p>
            <w:pPr>
              <w:spacing w:before="0" w:after="0"/>
              <w:jc w:val="left"/>
              <w:rPr>
                <w:rFonts w:eastAsia="Times New Roman"/>
                <w:noProof/>
                <w:color w:val="000000"/>
                <w:sz w:val="18"/>
                <w:szCs w:val="18"/>
              </w:rPr>
            </w:pPr>
          </w:p>
        </w:tc>
        <w:tc>
          <w:tcPr>
            <w:tcW w:w="198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2017</w:t>
            </w:r>
          </w:p>
        </w:tc>
        <w:tc>
          <w:tcPr>
            <w:tcW w:w="1799"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2018</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2019</w:t>
            </w:r>
          </w:p>
        </w:tc>
        <w:tc>
          <w:tcPr>
            <w:tcW w:w="2268"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2020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 </w:t>
            </w:r>
          </w:p>
        </w:tc>
      </w:tr>
      <w:tr>
        <w:trPr>
          <w:trHeight w:val="312"/>
        </w:trPr>
        <w:tc>
          <w:tcPr>
            <w:tcW w:w="1231" w:type="dxa"/>
            <w:tcBorders>
              <w:top w:val="nil"/>
              <w:left w:val="single" w:sz="8" w:space="0" w:color="auto"/>
              <w:bottom w:val="nil"/>
              <w:right w:val="nil"/>
            </w:tcBorders>
            <w:shd w:val="clear" w:color="auto" w:fill="auto"/>
            <w:vAlign w:val="center"/>
            <w:hideMark/>
          </w:tcPr>
          <w:p>
            <w:pPr>
              <w:spacing w:before="0" w:after="0"/>
              <w:jc w:val="center"/>
              <w:rPr>
                <w:rFonts w:ascii="Wingdings" w:eastAsia="Times New Roman" w:hAnsi="Wingdings"/>
                <w:noProof/>
                <w:color w:val="000000"/>
                <w:sz w:val="18"/>
                <w:szCs w:val="18"/>
              </w:rPr>
            </w:pPr>
          </w:p>
        </w:tc>
        <w:tc>
          <w:tcPr>
            <w:tcW w:w="12381" w:type="dxa"/>
            <w:gridSpan w:val="13"/>
            <w:tcBorders>
              <w:top w:val="nil"/>
              <w:left w:val="nil"/>
              <w:bottom w:val="nil"/>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TELJESÍTÉSEK</w:t>
            </w:r>
          </w:p>
        </w:tc>
      </w:tr>
      <w:tr>
        <w:trPr>
          <w:gridAfter w:val="1"/>
          <w:wAfter w:w="414" w:type="dxa"/>
          <w:trHeight w:val="312"/>
        </w:trPr>
        <w:tc>
          <w:tcPr>
            <w:tcW w:w="1231" w:type="dxa"/>
            <w:tcBorders>
              <w:top w:val="nil"/>
              <w:left w:val="single" w:sz="8" w:space="0" w:color="auto"/>
              <w:bottom w:val="nil"/>
              <w:right w:val="nil"/>
            </w:tcBorders>
            <w:shd w:val="clear" w:color="auto" w:fill="auto"/>
            <w:vAlign w:val="center"/>
            <w:hideMark/>
          </w:tcPr>
          <w:p>
            <w:pPr>
              <w:spacing w:before="0" w:after="0"/>
              <w:jc w:val="left"/>
              <w:rPr>
                <w:rFonts w:ascii="Calibri" w:eastAsia="Times New Roman" w:hAnsi="Calibri"/>
                <w:noProof/>
                <w:color w:val="000000"/>
                <w:szCs w:val="24"/>
              </w:rPr>
            </w:pPr>
            <w:r>
              <w:rPr>
                <w:rFonts w:ascii="Calibri" w:hAnsi="Calibri"/>
                <w:noProof/>
                <w:color w:val="000000"/>
              </w:rPr>
              <w:t> </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rPr>
                <w:rFonts w:ascii="Calibri" w:eastAsia="Times New Roman" w:hAnsi="Calibri"/>
                <w:noProof/>
                <w:color w:val="0000FF"/>
                <w:szCs w:val="24"/>
                <w:u w:val="single"/>
                <w:lang w:eastAsia="en-GB"/>
              </w:rPr>
            </w:pPr>
            <w:r>
              <w:rPr>
                <w:rFonts w:eastAsia="Times New Roman"/>
                <w:noProof/>
                <w:color w:val="000000"/>
                <w:sz w:val="20"/>
                <w:szCs w:val="20"/>
                <w:lang w:eastAsia="en-GB"/>
              </w:rPr>
              <w:t>Típus</w:t>
            </w:r>
          </w:p>
        </w:tc>
        <w:tc>
          <w:tcPr>
            <w:tcW w:w="10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Átlagos költség</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Szám</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Költség</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Szám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Költség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Szám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Költség</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Szám</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Költség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Összköltség</w:t>
            </w:r>
          </w:p>
        </w:tc>
      </w:tr>
      <w:tr>
        <w:trPr>
          <w:gridAfter w:val="1"/>
          <w:wAfter w:w="414" w:type="dxa"/>
          <w:trHeight w:val="324"/>
        </w:trPr>
        <w:tc>
          <w:tcPr>
            <w:tcW w:w="1231"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eastAsia="Times New Roman" w:hAnsi="Calibri"/>
                <w:noProof/>
                <w:color w:val="000000"/>
                <w:szCs w:val="24"/>
              </w:rPr>
            </w:pPr>
            <w:r>
              <w:rPr>
                <w:rFonts w:ascii="Calibri" w:hAnsi="Calibri"/>
                <w:noProof/>
                <w:color w:val="000000"/>
              </w:rPr>
              <w:t> </w:t>
            </w:r>
          </w:p>
        </w:tc>
        <w:tc>
          <w:tcPr>
            <w:tcW w:w="159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Calibri" w:eastAsia="Times New Roman" w:hAnsi="Calibri"/>
                <w:noProof/>
                <w:color w:val="0000FF"/>
                <w:szCs w:val="24"/>
                <w:u w:val="single"/>
              </w:rPr>
            </w:pPr>
          </w:p>
        </w:tc>
        <w:tc>
          <w:tcPr>
            <w:tcW w:w="1063"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r>
      <w:tr>
        <w:trPr>
          <w:trHeight w:val="312"/>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1. KONKRÉT CÉLKITŰZÉS</w:t>
            </w:r>
          </w:p>
        </w:tc>
        <w:tc>
          <w:tcPr>
            <w:tcW w:w="3958" w:type="dxa"/>
            <w:gridSpan w:val="4"/>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trHeight w:val="744"/>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A nemzeti hatóságok azon kezdeményezéseinek támogatása, hogy a prioritásoknak megfelelően alakítsák ki reformjaikat, figyelembe véve a kezdeti feltételeket és a várt társadalmi-gazdasági hatásokat</w:t>
            </w:r>
          </w:p>
        </w:tc>
        <w:tc>
          <w:tcPr>
            <w:tcW w:w="3958" w:type="dxa"/>
            <w:gridSpan w:val="4"/>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1032"/>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„A” teljesítés</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rPr>
                <w:rFonts w:eastAsia="Times New Roman"/>
                <w:noProof/>
                <w:color w:val="000000"/>
                <w:sz w:val="16"/>
                <w:szCs w:val="16"/>
              </w:rPr>
            </w:pPr>
            <w:r>
              <w:rPr>
                <w:noProof/>
                <w:color w:val="000000"/>
                <w:sz w:val="16"/>
              </w:rPr>
              <w:t xml:space="preserve">A nemzeti reform ágazatot támogató elemzések száma </w:t>
            </w:r>
          </w:p>
        </w:tc>
        <w:tc>
          <w:tcPr>
            <w:tcW w:w="1063"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0,06</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25–35</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1,800</w:t>
            </w:r>
          </w:p>
        </w:tc>
        <w:tc>
          <w:tcPr>
            <w:tcW w:w="80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40–50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2,520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50–60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3,360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60–65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3,840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11,520</w:t>
            </w:r>
          </w:p>
        </w:tc>
      </w:tr>
      <w:tr>
        <w:trPr>
          <w:gridAfter w:val="1"/>
          <w:wAfter w:w="414" w:type="dxa"/>
          <w:trHeight w:val="32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„B”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Szakértők száma</w:t>
            </w:r>
          </w:p>
        </w:tc>
        <w:tc>
          <w:tcPr>
            <w:tcW w:w="1063"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09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0,368</w:t>
            </w:r>
          </w:p>
        </w:tc>
      </w:tr>
      <w:tr>
        <w:trPr>
          <w:gridAfter w:val="1"/>
          <w:wAfter w:w="414" w:type="dxa"/>
          <w:trHeight w:val="324"/>
        </w:trPr>
        <w:tc>
          <w:tcPr>
            <w:tcW w:w="388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 konkrét célkitűzés részösszege</w:t>
            </w:r>
          </w:p>
          <w:p>
            <w:pPr>
              <w:spacing w:before="0" w:after="0"/>
              <w:jc w:val="center"/>
              <w:rPr>
                <w:rFonts w:eastAsia="Times New Roman"/>
                <w:noProof/>
                <w:color w:val="000000"/>
                <w:sz w:val="18"/>
                <w:szCs w:val="18"/>
              </w:rPr>
            </w:pPr>
          </w:p>
        </w:tc>
        <w:tc>
          <w:tcPr>
            <w:tcW w:w="887"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1,892</w:t>
            </w:r>
          </w:p>
        </w:tc>
        <w:tc>
          <w:tcPr>
            <w:tcW w:w="807"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2,612</w:t>
            </w:r>
          </w:p>
        </w:tc>
        <w:tc>
          <w:tcPr>
            <w:tcW w:w="850"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3,452</w:t>
            </w:r>
          </w:p>
        </w:tc>
        <w:tc>
          <w:tcPr>
            <w:tcW w:w="993"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3,932</w:t>
            </w:r>
          </w:p>
        </w:tc>
        <w:tc>
          <w:tcPr>
            <w:tcW w:w="1276"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11,888</w:t>
            </w:r>
          </w:p>
        </w:tc>
      </w:tr>
    </w:tbl>
    <w:p>
      <w:pPr>
        <w:rPr>
          <w:noProof/>
        </w:rPr>
      </w:pPr>
      <w:r>
        <w:rPr>
          <w:noProof/>
        </w:rPr>
        <w:br w:type="page"/>
      </w:r>
    </w:p>
    <w:tbl>
      <w:tblPr>
        <w:tblW w:w="13612" w:type="dxa"/>
        <w:tblInd w:w="93" w:type="dxa"/>
        <w:tblLayout w:type="fixed"/>
        <w:tblLook w:val="04A0" w:firstRow="1" w:lastRow="0" w:firstColumn="1" w:lastColumn="0" w:noHBand="0" w:noVBand="1"/>
      </w:tblPr>
      <w:tblGrid>
        <w:gridCol w:w="1231"/>
        <w:gridCol w:w="1594"/>
        <w:gridCol w:w="1063"/>
        <w:gridCol w:w="887"/>
        <w:gridCol w:w="1025"/>
        <w:gridCol w:w="71"/>
        <w:gridCol w:w="807"/>
        <w:gridCol w:w="992"/>
        <w:gridCol w:w="850"/>
        <w:gridCol w:w="1134"/>
        <w:gridCol w:w="993"/>
        <w:gridCol w:w="1275"/>
        <w:gridCol w:w="1276"/>
        <w:gridCol w:w="414"/>
      </w:tblGrid>
      <w:tr>
        <w:trPr>
          <w:trHeight w:val="456"/>
        </w:trPr>
        <w:tc>
          <w:tcPr>
            <w:tcW w:w="96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left"/>
              <w:rPr>
                <w:rFonts w:eastAsia="Times New Roman"/>
                <w:b/>
                <w:bCs/>
                <w:noProof/>
                <w:color w:val="000000"/>
                <w:sz w:val="18"/>
                <w:szCs w:val="18"/>
              </w:rPr>
            </w:pPr>
          </w:p>
          <w:p>
            <w:pPr>
              <w:spacing w:before="0" w:after="0"/>
              <w:jc w:val="left"/>
              <w:rPr>
                <w:rFonts w:eastAsia="Times New Roman"/>
                <w:b/>
                <w:bCs/>
                <w:noProof/>
                <w:color w:val="000000"/>
                <w:sz w:val="18"/>
                <w:szCs w:val="18"/>
              </w:rPr>
            </w:pPr>
            <w:r>
              <w:rPr>
                <w:b/>
                <w:noProof/>
                <w:color w:val="000000"/>
                <w:sz w:val="18"/>
              </w:rPr>
              <w:t>2. KONKRÉT CÉLKITŰZÉS</w:t>
            </w:r>
          </w:p>
        </w:tc>
        <w:tc>
          <w:tcPr>
            <w:tcW w:w="3958" w:type="dxa"/>
            <w:gridSpan w:val="4"/>
            <w:vMerge w:val="restart"/>
            <w:tcBorders>
              <w:left w:val="single" w:sz="4" w:space="0" w:color="auto"/>
            </w:tcBorders>
            <w:shd w:val="clear" w:color="auto" w:fill="auto"/>
            <w:vAlign w:val="center"/>
            <w:hideMark/>
          </w:tcPr>
          <w:p>
            <w:pPr>
              <w:spacing w:before="0" w:after="0"/>
              <w:rPr>
                <w:rFonts w:eastAsia="Times New Roman"/>
                <w:noProof/>
                <w:color w:val="000000"/>
                <w:szCs w:val="24"/>
              </w:rPr>
            </w:pPr>
          </w:p>
        </w:tc>
      </w:tr>
      <w:tr>
        <w:trPr>
          <w:trHeight w:val="864"/>
        </w:trPr>
        <w:tc>
          <w:tcPr>
            <w:tcW w:w="9654" w:type="dxa"/>
            <w:gridSpan w:val="10"/>
            <w:tcBorders>
              <w:top w:val="single" w:sz="4"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A nemzeti hatóságok támogatása, hogy fenntartsák a reformpolitikák és stratégiák megfogalmazására, kidolgozására és végrehajtására irányuló erőfeszítéseket, valamint olyan integrált megközelítést alkalmazzanak, amely szektorokon átívelő következetességet biztosít a célok és az eszközök között</w:t>
            </w:r>
          </w:p>
        </w:tc>
        <w:tc>
          <w:tcPr>
            <w:tcW w:w="3958" w:type="dxa"/>
            <w:gridSpan w:val="4"/>
            <w:vMerge/>
            <w:tcBorders>
              <w:top w:val="single" w:sz="4" w:space="0" w:color="auto"/>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86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„C” teljesítés</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Szakértők száma</w:t>
            </w:r>
          </w:p>
        </w:tc>
        <w:tc>
          <w:tcPr>
            <w:tcW w:w="106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60–80</w:t>
            </w:r>
          </w:p>
        </w:tc>
        <w:tc>
          <w:tcPr>
            <w:tcW w:w="1096"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0,086</w:t>
            </w:r>
          </w:p>
        </w:tc>
        <w:tc>
          <w:tcPr>
            <w:tcW w:w="80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0,115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0,141</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0,147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0,490</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„D”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Kidolgozott és végrehajtott ütemtervek, cselekvési tervek száma ágazatonként és országonként</w:t>
            </w:r>
          </w:p>
        </w:tc>
        <w:tc>
          <w:tcPr>
            <w:tcW w:w="106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0,125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2,125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2,125</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3,125</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35–45</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5,25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12,625</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„E”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Konkrét szakértelmi szolgáltatás száma</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0,225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20–25</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0,300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0,390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30–40</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0,450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1,365</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„F”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Támogatott projektek száma</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3,600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4,500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18,900</w:t>
            </w:r>
          </w:p>
        </w:tc>
      </w:tr>
      <w:tr>
        <w:trPr>
          <w:gridAfter w:val="1"/>
          <w:wAfter w:w="414" w:type="dxa"/>
          <w:trHeight w:val="420"/>
        </w:trPr>
        <w:tc>
          <w:tcPr>
            <w:tcW w:w="38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 konkrét célkitűzés részösszege</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6,036</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7,040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9,056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11,247</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33,380</w:t>
            </w:r>
          </w:p>
        </w:tc>
      </w:tr>
      <w:tr>
        <w:trPr>
          <w:trHeight w:val="456"/>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3. KONKRÉT CÉLKITŰZÉS</w:t>
            </w:r>
          </w:p>
        </w:tc>
        <w:tc>
          <w:tcPr>
            <w:tcW w:w="3958" w:type="dxa"/>
            <w:gridSpan w:val="4"/>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trHeight w:val="804"/>
        </w:trPr>
        <w:tc>
          <w:tcPr>
            <w:tcW w:w="9654" w:type="dxa"/>
            <w:gridSpan w:val="10"/>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rFonts w:eastAsia="Times New Roman"/>
                <w:b/>
                <w:bCs/>
                <w:noProof/>
                <w:color w:val="000000"/>
                <w:sz w:val="16"/>
                <w:szCs w:val="16"/>
              </w:rPr>
            </w:pPr>
            <w:r>
              <w:rPr>
                <w:b/>
                <w:noProof/>
                <w:color w:val="000000"/>
                <w:sz w:val="16"/>
              </w:rPr>
              <w:t>A nemzeti hatóságok arra irányuló erőfeszítéseinek támogatása, hogy a más országok által hasonló helyzetek kezelése során bevált gyakorlatok és levont tanulságok figyelembevételével megfelelő folyamatokat és módszertanokat határozzanak meg és alkalmazzanak</w:t>
            </w:r>
          </w:p>
        </w:tc>
        <w:tc>
          <w:tcPr>
            <w:tcW w:w="3958" w:type="dxa"/>
            <w:gridSpan w:val="4"/>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32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„G”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Szakértők száma</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180–200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0,230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200–220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0,246</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220–240</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0,276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220–240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0,276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1,028</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„H”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Támogatott projektek száma</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4,500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7,200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7,200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8,100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27,000</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„I”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Támogatott projektek száma</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0,150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14</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2,100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9,300</w:t>
            </w:r>
          </w:p>
        </w:tc>
      </w:tr>
      <w:tr>
        <w:trPr>
          <w:gridAfter w:val="1"/>
          <w:wAfter w:w="414" w:type="dxa"/>
          <w:trHeight w:val="50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„J”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Konkrét szakértelmi szolgáltatás száma</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70–80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1,065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80–90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1,320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90–95</w:t>
            </w:r>
          </w:p>
        </w:tc>
        <w:tc>
          <w:tcPr>
            <w:tcW w:w="1134"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1,380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95–100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1,500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5,265</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 konkrét célkitűzés részösszege</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7,595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10,866</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11,556</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12,576</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42,593</w:t>
            </w:r>
          </w:p>
        </w:tc>
      </w:tr>
      <w:tr>
        <w:trPr>
          <w:gridAfter w:val="1"/>
          <w:wAfter w:w="414" w:type="dxa"/>
          <w:trHeight w:val="552"/>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4. KONKRÉT CÉLKITŰZÉS</w:t>
            </w:r>
          </w:p>
        </w:tc>
        <w:tc>
          <w:tcPr>
            <w:tcW w:w="3544" w:type="dxa"/>
            <w:gridSpan w:val="3"/>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gridAfter w:val="1"/>
          <w:wAfter w:w="414" w:type="dxa"/>
          <w:trHeight w:val="576"/>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Segítségnyújtás a nemzeti hatóságoknak az emberierőforrás-menedzsment hatékonyságának és eredményességének fokozásához, adott esetben a felelősségi területek világos meghatározása, valamint a szaktudás és szakértelem erősítése révén</w:t>
            </w:r>
          </w:p>
        </w:tc>
        <w:tc>
          <w:tcPr>
            <w:tcW w:w="3544" w:type="dxa"/>
            <w:gridSpan w:val="3"/>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50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„K” teljesítés</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Képzések/szemináriumok száma</w:t>
            </w:r>
          </w:p>
        </w:tc>
        <w:tc>
          <w:tcPr>
            <w:tcW w:w="106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0,08</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2,320</w:t>
            </w:r>
          </w:p>
        </w:tc>
        <w:tc>
          <w:tcPr>
            <w:tcW w:w="878"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30–35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40–50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3,600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50–60</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4,400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12,72</w:t>
            </w:r>
          </w:p>
        </w:tc>
      </w:tr>
      <w:tr>
        <w:trPr>
          <w:gridAfter w:val="1"/>
          <w:wAfter w:w="414" w:type="dxa"/>
          <w:trHeight w:val="756"/>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„L”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Szakértők száma</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60–80</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0,082</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0,107</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0,161</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275"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0,519</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„M”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Támogatott projektek száma</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4,500</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7,200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10–12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9,900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12–14</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11,700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33,300</w:t>
            </w:r>
          </w:p>
        </w:tc>
      </w:tr>
      <w:tr>
        <w:trPr>
          <w:gridAfter w:val="1"/>
          <w:wAfter w:w="414" w:type="dxa"/>
          <w:trHeight w:val="732"/>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„N” teljesítés</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Támogatott projektek száma</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0,150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1,200</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8,400</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 konkrét célkitűzés részösszege</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8,102</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11,507</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16,361</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18,970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54,939</w:t>
            </w:r>
          </w:p>
        </w:tc>
      </w:tr>
    </w:tbl>
    <w:p>
      <w:pPr>
        <w:suppressAutoHyphens/>
        <w:jc w:val="righ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Az igazgatási előirányzatokra gyakorolt becsült hatás</w:t>
      </w:r>
    </w:p>
    <w:p>
      <w:pPr>
        <w:pStyle w:val="ManualHeading4"/>
        <w:rPr>
          <w:noProof/>
        </w:rPr>
      </w:pPr>
      <w:r>
        <w:t>3.2.3.1.</w:t>
      </w:r>
      <w:r>
        <w:tab/>
      </w:r>
      <w:r>
        <w:rPr>
          <w:noProof/>
        </w:rPr>
        <w:t>Összegzés</w:t>
      </w:r>
    </w:p>
    <w:p>
      <w:pPr>
        <w:pStyle w:val="ListDash1"/>
        <w:ind w:left="1134"/>
        <w:rPr>
          <w:noProof/>
        </w:rPr>
      </w:pPr>
      <w:r>
        <w:rPr>
          <w:noProof/>
        </w:rPr>
        <w:sym w:font="Wingdings" w:char="F0A8"/>
      </w:r>
      <w:r>
        <w:rPr>
          <w:noProof/>
        </w:rPr>
        <w:tab/>
        <w:t>A javaslat/kezdeményezés nem vonja maga után igazgatási előirányzatok felhasználását.</w:t>
      </w:r>
    </w:p>
    <w:p>
      <w:pPr>
        <w:pStyle w:val="ListDash1"/>
        <w:ind w:left="1134"/>
        <w:rPr>
          <w:noProof/>
        </w:rPr>
      </w:pPr>
      <w:r>
        <w:rPr>
          <w:noProof/>
        </w:rPr>
        <w:sym w:font="Wingdings" w:char="F078"/>
      </w:r>
      <w:r>
        <w:rPr>
          <w:noProof/>
        </w:rPr>
        <w:tab/>
        <w:t>A javaslat/kezdeményezés az alábbi igazgatási előirányzatok felhasználását vonja maga után:</w:t>
      </w:r>
    </w:p>
    <w:p>
      <w:pPr>
        <w:ind w:left="4320" w:firstLine="358"/>
        <w:rPr>
          <w:noProof/>
          <w:sz w:val="20"/>
        </w:rPr>
      </w:pPr>
      <w:r>
        <w:rPr>
          <w:noProof/>
          <w:sz w:val="20"/>
        </w:rPr>
        <w:t>millió EUR (három tizedesjegyig)</w:t>
      </w:r>
    </w:p>
    <w:tbl>
      <w:tblPr>
        <w:tblW w:w="851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trPr>
        <w:tc>
          <w:tcPr>
            <w:tcW w:w="1980" w:type="dxa"/>
          </w:tcPr>
          <w:p>
            <w:pPr>
              <w:spacing w:before="60" w:after="60" w:line="200" w:lineRule="exact"/>
              <w:rPr>
                <w:noProof/>
                <w:sz w:val="16"/>
                <w:szCs w:val="16"/>
              </w:rPr>
            </w:pPr>
          </w:p>
        </w:tc>
        <w:tc>
          <w:tcPr>
            <w:tcW w:w="1292" w:type="dxa"/>
            <w:vAlign w:val="center"/>
          </w:tcPr>
          <w:p>
            <w:pPr>
              <w:spacing w:before="60" w:after="60" w:line="200" w:lineRule="exact"/>
              <w:jc w:val="center"/>
              <w:rPr>
                <w:noProof/>
                <w:sz w:val="16"/>
                <w:szCs w:val="16"/>
              </w:rPr>
            </w:pPr>
            <w:r>
              <w:rPr>
                <w:noProof/>
              </w:rPr>
              <w:t>Év</w:t>
            </w:r>
            <w:r>
              <w:rPr>
                <w:noProof/>
              </w:rPr>
              <w:br/>
            </w:r>
            <w:r>
              <w:rPr>
                <w:b/>
                <w:noProof/>
                <w:sz w:val="16"/>
              </w:rPr>
              <w:t>2017</w:t>
            </w:r>
          </w:p>
        </w:tc>
        <w:tc>
          <w:tcPr>
            <w:tcW w:w="1134" w:type="dxa"/>
            <w:vAlign w:val="center"/>
          </w:tcPr>
          <w:p>
            <w:pPr>
              <w:spacing w:before="60" w:after="60" w:line="200" w:lineRule="exact"/>
              <w:jc w:val="center"/>
              <w:rPr>
                <w:noProof/>
                <w:sz w:val="16"/>
                <w:szCs w:val="16"/>
              </w:rPr>
            </w:pPr>
            <w:r>
              <w:rPr>
                <w:noProof/>
              </w:rPr>
              <w:t>Év</w:t>
            </w:r>
            <w:r>
              <w:rPr>
                <w:noProof/>
              </w:rPr>
              <w:br/>
            </w:r>
            <w:r>
              <w:rPr>
                <w:b/>
                <w:noProof/>
                <w:sz w:val="16"/>
              </w:rPr>
              <w:t>2018</w:t>
            </w:r>
          </w:p>
        </w:tc>
        <w:tc>
          <w:tcPr>
            <w:tcW w:w="1276" w:type="dxa"/>
            <w:vAlign w:val="center"/>
          </w:tcPr>
          <w:p>
            <w:pPr>
              <w:spacing w:before="60" w:after="60" w:line="200" w:lineRule="exact"/>
              <w:jc w:val="center"/>
              <w:rPr>
                <w:noProof/>
                <w:sz w:val="16"/>
                <w:szCs w:val="16"/>
              </w:rPr>
            </w:pPr>
            <w:r>
              <w:rPr>
                <w:noProof/>
              </w:rPr>
              <w:t>Év</w:t>
            </w:r>
            <w:r>
              <w:rPr>
                <w:noProof/>
              </w:rPr>
              <w:br/>
            </w:r>
            <w:r>
              <w:rPr>
                <w:b/>
                <w:noProof/>
                <w:sz w:val="16"/>
              </w:rPr>
              <w:t>2019</w:t>
            </w:r>
          </w:p>
        </w:tc>
        <w:tc>
          <w:tcPr>
            <w:tcW w:w="1275" w:type="dxa"/>
            <w:vAlign w:val="center"/>
          </w:tcPr>
          <w:p>
            <w:pPr>
              <w:spacing w:line="200" w:lineRule="exact"/>
              <w:jc w:val="center"/>
              <w:rPr>
                <w:b/>
                <w:noProof/>
                <w:sz w:val="16"/>
              </w:rPr>
            </w:pPr>
            <w:r>
              <w:rPr>
                <w:noProof/>
              </w:rPr>
              <w:t>Év</w:t>
            </w:r>
            <w:r>
              <w:rPr>
                <w:noProof/>
              </w:rPr>
              <w:br/>
            </w:r>
            <w:r>
              <w:rPr>
                <w:b/>
                <w:noProof/>
                <w:sz w:val="16"/>
              </w:rPr>
              <w:t>2020</w:t>
            </w:r>
          </w:p>
        </w:tc>
        <w:tc>
          <w:tcPr>
            <w:tcW w:w="1560" w:type="dxa"/>
            <w:vAlign w:val="center"/>
          </w:tcPr>
          <w:p>
            <w:pPr>
              <w:spacing w:before="60" w:after="60" w:line="200" w:lineRule="exact"/>
              <w:jc w:val="center"/>
              <w:rPr>
                <w:b/>
                <w:noProof/>
                <w:sz w:val="16"/>
                <w:szCs w:val="16"/>
              </w:rPr>
            </w:pPr>
            <w:r>
              <w:rPr>
                <w:b/>
                <w:noProof/>
                <w:sz w:val="16"/>
              </w:rPr>
              <w:t>ÖSSZESEN</w:t>
            </w:r>
          </w:p>
        </w:tc>
      </w:tr>
    </w:tbl>
    <w:p>
      <w:pPr>
        <w:spacing w:line="200" w:lineRule="exact"/>
        <w:rPr>
          <w:noProof/>
          <w:sz w:val="16"/>
          <w:szCs w:val="16"/>
        </w:rPr>
      </w:pPr>
    </w:p>
    <w:tbl>
      <w:tblPr>
        <w:tblW w:w="851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rPr>
              <w:br/>
            </w:r>
            <w:r>
              <w:rPr>
                <w:b/>
                <w:noProof/>
                <w:sz w:val="16"/>
              </w:rPr>
              <w:t>5. FEJEZETE</w:t>
            </w: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292" w:type="dxa"/>
            <w:vAlign w:val="center"/>
          </w:tcPr>
          <w:p>
            <w:pPr>
              <w:spacing w:before="60" w:after="60" w:line="200" w:lineRule="exact"/>
              <w:jc w:val="right"/>
              <w:rPr>
                <w:noProof/>
                <w:sz w:val="16"/>
                <w:szCs w:val="16"/>
              </w:rPr>
            </w:pPr>
            <w:r>
              <w:rPr>
                <w:noProof/>
                <w:sz w:val="16"/>
              </w:rPr>
              <w:t>1,336</w:t>
            </w:r>
          </w:p>
        </w:tc>
        <w:tc>
          <w:tcPr>
            <w:tcW w:w="1134" w:type="dxa"/>
            <w:vAlign w:val="center"/>
          </w:tcPr>
          <w:p>
            <w:pPr>
              <w:spacing w:before="60" w:after="60" w:line="200" w:lineRule="exact"/>
              <w:jc w:val="right"/>
              <w:rPr>
                <w:noProof/>
                <w:sz w:val="16"/>
                <w:szCs w:val="16"/>
              </w:rPr>
            </w:pPr>
            <w:r>
              <w:rPr>
                <w:noProof/>
                <w:sz w:val="16"/>
              </w:rPr>
              <w:t>1,600</w:t>
            </w:r>
          </w:p>
        </w:tc>
        <w:tc>
          <w:tcPr>
            <w:tcW w:w="1276" w:type="dxa"/>
            <w:vAlign w:val="center"/>
          </w:tcPr>
          <w:p>
            <w:pPr>
              <w:spacing w:before="60" w:after="60" w:line="200" w:lineRule="exact"/>
              <w:jc w:val="right"/>
              <w:rPr>
                <w:noProof/>
                <w:sz w:val="16"/>
                <w:szCs w:val="16"/>
              </w:rPr>
            </w:pPr>
            <w:r>
              <w:rPr>
                <w:noProof/>
                <w:sz w:val="16"/>
              </w:rPr>
              <w:t>2,004</w:t>
            </w:r>
          </w:p>
        </w:tc>
        <w:tc>
          <w:tcPr>
            <w:tcW w:w="1275" w:type="dxa"/>
            <w:vAlign w:val="center"/>
          </w:tcPr>
          <w:p>
            <w:pPr>
              <w:spacing w:before="60" w:after="60" w:line="200" w:lineRule="exact"/>
              <w:jc w:val="right"/>
              <w:rPr>
                <w:noProof/>
                <w:sz w:val="16"/>
                <w:szCs w:val="16"/>
              </w:rPr>
            </w:pPr>
            <w:r>
              <w:rPr>
                <w:noProof/>
                <w:sz w:val="16"/>
              </w:rPr>
              <w:t>2,004</w:t>
            </w:r>
          </w:p>
        </w:tc>
        <w:tc>
          <w:tcPr>
            <w:tcW w:w="1560" w:type="dxa"/>
            <w:vAlign w:val="center"/>
          </w:tcPr>
          <w:p>
            <w:pPr>
              <w:jc w:val="right"/>
              <w:rPr>
                <w:b/>
                <w:noProof/>
                <w:color w:val="000000"/>
                <w:sz w:val="18"/>
              </w:rPr>
            </w:pPr>
            <w:r>
              <w:rPr>
                <w:b/>
                <w:noProof/>
                <w:color w:val="000000"/>
                <w:sz w:val="18"/>
              </w:rPr>
              <w:t>6,944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Egyéb igazgatási kiadások </w:t>
            </w:r>
          </w:p>
        </w:tc>
        <w:tc>
          <w:tcPr>
            <w:tcW w:w="1292" w:type="dxa"/>
            <w:vAlign w:val="center"/>
          </w:tcPr>
          <w:p>
            <w:pPr>
              <w:spacing w:before="60" w:after="60" w:line="200" w:lineRule="exact"/>
              <w:jc w:val="right"/>
              <w:rPr>
                <w:noProof/>
                <w:sz w:val="16"/>
                <w:szCs w:val="16"/>
              </w:rPr>
            </w:pPr>
            <w:r>
              <w:rPr>
                <w:noProof/>
                <w:sz w:val="16"/>
              </w:rPr>
              <w:t xml:space="preserve">0,110 </w:t>
            </w:r>
          </w:p>
        </w:tc>
        <w:tc>
          <w:tcPr>
            <w:tcW w:w="1134" w:type="dxa"/>
            <w:vAlign w:val="center"/>
          </w:tcPr>
          <w:p>
            <w:pPr>
              <w:spacing w:before="60" w:after="60" w:line="200" w:lineRule="exact"/>
              <w:jc w:val="right"/>
              <w:rPr>
                <w:noProof/>
                <w:sz w:val="16"/>
                <w:szCs w:val="16"/>
              </w:rPr>
            </w:pPr>
            <w:r>
              <w:rPr>
                <w:noProof/>
                <w:sz w:val="16"/>
              </w:rPr>
              <w:t>0,155</w:t>
            </w:r>
          </w:p>
        </w:tc>
        <w:tc>
          <w:tcPr>
            <w:tcW w:w="1276" w:type="dxa"/>
            <w:vAlign w:val="center"/>
          </w:tcPr>
          <w:p>
            <w:pPr>
              <w:spacing w:before="60" w:after="60" w:line="200" w:lineRule="exact"/>
              <w:jc w:val="right"/>
              <w:rPr>
                <w:noProof/>
                <w:sz w:val="16"/>
                <w:szCs w:val="16"/>
              </w:rPr>
            </w:pPr>
            <w:r>
              <w:rPr>
                <w:noProof/>
                <w:sz w:val="16"/>
              </w:rPr>
              <w:t>0,200</w:t>
            </w:r>
          </w:p>
        </w:tc>
        <w:tc>
          <w:tcPr>
            <w:tcW w:w="1275" w:type="dxa"/>
            <w:vAlign w:val="center"/>
          </w:tcPr>
          <w:p>
            <w:pPr>
              <w:spacing w:before="60" w:after="60" w:line="200" w:lineRule="exact"/>
              <w:jc w:val="right"/>
              <w:rPr>
                <w:noProof/>
                <w:sz w:val="16"/>
                <w:szCs w:val="16"/>
              </w:rPr>
            </w:pPr>
            <w:r>
              <w:rPr>
                <w:noProof/>
                <w:sz w:val="16"/>
              </w:rPr>
              <w:t>0,230</w:t>
            </w:r>
          </w:p>
        </w:tc>
        <w:tc>
          <w:tcPr>
            <w:tcW w:w="1560" w:type="dxa"/>
            <w:vAlign w:val="center"/>
          </w:tcPr>
          <w:p>
            <w:pPr>
              <w:jc w:val="right"/>
              <w:rPr>
                <w:b/>
                <w:noProof/>
                <w:color w:val="000000"/>
                <w:sz w:val="18"/>
              </w:rPr>
            </w:pPr>
            <w:r>
              <w:rPr>
                <w:b/>
                <w:noProof/>
                <w:color w:val="000000"/>
                <w:sz w:val="18"/>
              </w:rPr>
              <w:t>0,695</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rPr>
              <w:br/>
            </w:r>
            <w:r>
              <w:rPr>
                <w:b/>
                <w:noProof/>
                <w:sz w:val="16"/>
              </w:rPr>
              <w:t>5. FEJEZETÉNEK részösszege</w:t>
            </w:r>
          </w:p>
        </w:tc>
        <w:tc>
          <w:tcPr>
            <w:tcW w:w="1292" w:type="dxa"/>
            <w:vAlign w:val="center"/>
          </w:tcPr>
          <w:p>
            <w:pPr>
              <w:spacing w:before="60" w:after="60" w:line="200" w:lineRule="exact"/>
              <w:jc w:val="right"/>
              <w:rPr>
                <w:noProof/>
                <w:sz w:val="20"/>
                <w:szCs w:val="20"/>
              </w:rPr>
            </w:pPr>
            <w:r>
              <w:rPr>
                <w:noProof/>
                <w:sz w:val="20"/>
              </w:rPr>
              <w:t>1,446</w:t>
            </w:r>
          </w:p>
        </w:tc>
        <w:tc>
          <w:tcPr>
            <w:tcW w:w="1134" w:type="dxa"/>
            <w:vAlign w:val="center"/>
          </w:tcPr>
          <w:p>
            <w:pPr>
              <w:spacing w:before="60" w:after="60" w:line="200" w:lineRule="exact"/>
              <w:jc w:val="right"/>
              <w:rPr>
                <w:noProof/>
                <w:sz w:val="20"/>
                <w:szCs w:val="20"/>
              </w:rPr>
            </w:pPr>
            <w:r>
              <w:rPr>
                <w:noProof/>
                <w:sz w:val="20"/>
              </w:rPr>
              <w:t>1,755</w:t>
            </w:r>
          </w:p>
        </w:tc>
        <w:tc>
          <w:tcPr>
            <w:tcW w:w="1276" w:type="dxa"/>
            <w:vAlign w:val="center"/>
          </w:tcPr>
          <w:p>
            <w:pPr>
              <w:spacing w:before="60" w:after="60" w:line="200" w:lineRule="exact"/>
              <w:jc w:val="right"/>
              <w:rPr>
                <w:noProof/>
                <w:sz w:val="20"/>
                <w:szCs w:val="20"/>
              </w:rPr>
            </w:pPr>
            <w:r>
              <w:rPr>
                <w:noProof/>
                <w:sz w:val="20"/>
              </w:rPr>
              <w:t>2,204</w:t>
            </w:r>
          </w:p>
        </w:tc>
        <w:tc>
          <w:tcPr>
            <w:tcW w:w="1275" w:type="dxa"/>
            <w:vAlign w:val="center"/>
          </w:tcPr>
          <w:p>
            <w:pPr>
              <w:spacing w:before="60" w:after="60" w:line="200" w:lineRule="exact"/>
              <w:jc w:val="right"/>
              <w:rPr>
                <w:noProof/>
                <w:sz w:val="20"/>
                <w:szCs w:val="20"/>
              </w:rPr>
            </w:pPr>
            <w:r>
              <w:rPr>
                <w:noProof/>
                <w:sz w:val="20"/>
              </w:rPr>
              <w:t>2,234</w:t>
            </w:r>
          </w:p>
        </w:tc>
        <w:tc>
          <w:tcPr>
            <w:tcW w:w="1560" w:type="dxa"/>
            <w:vAlign w:val="center"/>
          </w:tcPr>
          <w:p>
            <w:pPr>
              <w:jc w:val="right"/>
              <w:rPr>
                <w:b/>
                <w:noProof/>
                <w:color w:val="000000"/>
                <w:sz w:val="18"/>
              </w:rPr>
            </w:pPr>
            <w:r>
              <w:rPr>
                <w:b/>
                <w:noProof/>
                <w:color w:val="000000"/>
                <w:sz w:val="18"/>
              </w:rPr>
              <w:t>7,639</w:t>
            </w:r>
          </w:p>
        </w:tc>
      </w:tr>
    </w:tbl>
    <w:p>
      <w:pPr>
        <w:spacing w:line="200" w:lineRule="exact"/>
        <w:rPr>
          <w:noProof/>
          <w:sz w:val="16"/>
          <w:szCs w:val="16"/>
        </w:rPr>
      </w:pPr>
    </w:p>
    <w:tbl>
      <w:tblPr>
        <w:tblW w:w="851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 többéves pénzügyi keret 5. FEJEZETÉBE</w:t>
            </w:r>
            <w:r>
              <w:rPr>
                <w:rStyle w:val="FootnoteReference"/>
                <w:b/>
                <w:noProof/>
                <w:sz w:val="16"/>
              </w:rPr>
              <w:footnoteReference w:id="36"/>
            </w:r>
            <w:r>
              <w:rPr>
                <w:noProof/>
              </w:rPr>
              <w:br/>
            </w:r>
            <w:r>
              <w:rPr>
                <w:b/>
                <w:noProof/>
                <w:sz w:val="16"/>
              </w:rPr>
              <w:t>bele nem tartozó előirányzatok</w:t>
            </w:r>
          </w:p>
          <w:p>
            <w:pPr>
              <w:spacing w:before="0" w:after="0" w:line="200" w:lineRule="exact"/>
              <w:jc w:val="center"/>
              <w:rPr>
                <w:b/>
                <w:noProof/>
                <w:sz w:val="16"/>
                <w:szCs w:val="16"/>
              </w:rPr>
            </w:pP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Humánerőforrás</w:t>
            </w: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jc w:val="right"/>
              <w:rPr>
                <w:b/>
                <w:noProof/>
                <w:color w:val="000000"/>
                <w:sz w:val="18"/>
              </w:rPr>
            </w:pPr>
          </w:p>
        </w:tc>
      </w:tr>
      <w:tr>
        <w:trPr>
          <w:trHeight w:val="585"/>
        </w:trPr>
        <w:tc>
          <w:tcPr>
            <w:tcW w:w="1980" w:type="dxa"/>
            <w:vAlign w:val="center"/>
          </w:tcPr>
          <w:p>
            <w:pPr>
              <w:spacing w:before="60" w:after="60" w:line="200" w:lineRule="exact"/>
              <w:ind w:left="72"/>
              <w:jc w:val="left"/>
              <w:rPr>
                <w:noProof/>
                <w:sz w:val="16"/>
                <w:szCs w:val="16"/>
              </w:rPr>
            </w:pPr>
            <w:r>
              <w:rPr>
                <w:noProof/>
              </w:rPr>
              <w:t>Egyéb igazgatási</w:t>
            </w:r>
            <w:r>
              <w:rPr>
                <w:noProof/>
              </w:rPr>
              <w:br/>
            </w:r>
            <w:r>
              <w:rPr>
                <w:noProof/>
                <w:sz w:val="16"/>
              </w:rPr>
              <w:t>kiadások</w:t>
            </w:r>
          </w:p>
        </w:tc>
        <w:tc>
          <w:tcPr>
            <w:tcW w:w="1292" w:type="dxa"/>
            <w:vAlign w:val="center"/>
          </w:tcPr>
          <w:p>
            <w:pPr>
              <w:spacing w:before="60" w:after="60" w:line="200" w:lineRule="exact"/>
              <w:jc w:val="right"/>
              <w:rPr>
                <w:noProof/>
                <w:sz w:val="16"/>
                <w:szCs w:val="16"/>
              </w:rPr>
            </w:pPr>
            <w:r>
              <w:rPr>
                <w:b/>
                <w:noProof/>
                <w:color w:val="000000"/>
                <w:sz w:val="20"/>
              </w:rPr>
              <w:t>1,125</w:t>
            </w:r>
          </w:p>
        </w:tc>
        <w:tc>
          <w:tcPr>
            <w:tcW w:w="1134" w:type="dxa"/>
            <w:vAlign w:val="center"/>
          </w:tcPr>
          <w:p>
            <w:pPr>
              <w:spacing w:before="60" w:after="60" w:line="200" w:lineRule="exact"/>
              <w:jc w:val="right"/>
              <w:rPr>
                <w:noProof/>
                <w:sz w:val="16"/>
                <w:szCs w:val="16"/>
              </w:rPr>
            </w:pPr>
            <w:r>
              <w:rPr>
                <w:b/>
                <w:noProof/>
                <w:color w:val="000000"/>
                <w:sz w:val="20"/>
              </w:rPr>
              <w:t>1,525</w:t>
            </w:r>
          </w:p>
        </w:tc>
        <w:tc>
          <w:tcPr>
            <w:tcW w:w="1276" w:type="dxa"/>
            <w:vAlign w:val="center"/>
          </w:tcPr>
          <w:p>
            <w:pPr>
              <w:spacing w:before="60" w:after="60" w:line="200" w:lineRule="exact"/>
              <w:jc w:val="right"/>
              <w:rPr>
                <w:noProof/>
                <w:sz w:val="16"/>
                <w:szCs w:val="16"/>
              </w:rPr>
            </w:pPr>
            <w:r>
              <w:rPr>
                <w:b/>
                <w:noProof/>
                <w:color w:val="000000"/>
                <w:sz w:val="20"/>
              </w:rPr>
              <w:t>1,925</w:t>
            </w:r>
          </w:p>
        </w:tc>
        <w:tc>
          <w:tcPr>
            <w:tcW w:w="1275" w:type="dxa"/>
            <w:vAlign w:val="center"/>
          </w:tcPr>
          <w:p>
            <w:pPr>
              <w:spacing w:before="60" w:after="60" w:line="200" w:lineRule="exact"/>
              <w:jc w:val="right"/>
              <w:rPr>
                <w:noProof/>
                <w:sz w:val="16"/>
                <w:szCs w:val="16"/>
              </w:rPr>
            </w:pPr>
            <w:r>
              <w:rPr>
                <w:b/>
                <w:noProof/>
                <w:color w:val="000000"/>
                <w:sz w:val="20"/>
              </w:rPr>
              <w:t>2,225</w:t>
            </w:r>
          </w:p>
        </w:tc>
        <w:tc>
          <w:tcPr>
            <w:tcW w:w="1560" w:type="dxa"/>
            <w:vAlign w:val="center"/>
          </w:tcPr>
          <w:p>
            <w:pPr>
              <w:jc w:val="right"/>
              <w:rPr>
                <w:b/>
                <w:noProof/>
                <w:color w:val="000000"/>
                <w:sz w:val="18"/>
              </w:rPr>
            </w:pPr>
            <w:r>
              <w:rPr>
                <w:b/>
                <w:noProof/>
                <w:color w:val="000000"/>
                <w:sz w:val="18"/>
              </w:rPr>
              <w:t>6,800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rPr>
              <w:br/>
            </w:r>
            <w:r>
              <w:rPr>
                <w:b/>
                <w:noProof/>
                <w:sz w:val="16"/>
              </w:rPr>
              <w:t>5. FEJEZETÉBE bele nem tartozó</w:t>
            </w:r>
            <w:r>
              <w:rPr>
                <w:noProof/>
              </w:rPr>
              <w:br/>
            </w:r>
            <w:r>
              <w:rPr>
                <w:b/>
                <w:noProof/>
                <w:sz w:val="16"/>
              </w:rPr>
              <w:t xml:space="preserve">előirányzatok részösszege </w:t>
            </w:r>
          </w:p>
        </w:tc>
        <w:tc>
          <w:tcPr>
            <w:tcW w:w="1292" w:type="dxa"/>
            <w:vAlign w:val="center"/>
          </w:tcPr>
          <w:p>
            <w:pPr>
              <w:spacing w:before="60" w:after="60" w:line="200" w:lineRule="exact"/>
              <w:jc w:val="right"/>
              <w:rPr>
                <w:noProof/>
                <w:sz w:val="16"/>
                <w:szCs w:val="16"/>
              </w:rPr>
            </w:pPr>
            <w:r>
              <w:rPr>
                <w:b/>
                <w:noProof/>
                <w:color w:val="000000"/>
                <w:sz w:val="20"/>
              </w:rPr>
              <w:t>1,125</w:t>
            </w:r>
          </w:p>
        </w:tc>
        <w:tc>
          <w:tcPr>
            <w:tcW w:w="1134" w:type="dxa"/>
            <w:vAlign w:val="center"/>
          </w:tcPr>
          <w:p>
            <w:pPr>
              <w:spacing w:before="60" w:after="60" w:line="200" w:lineRule="exact"/>
              <w:jc w:val="right"/>
              <w:rPr>
                <w:noProof/>
                <w:sz w:val="16"/>
                <w:szCs w:val="16"/>
              </w:rPr>
            </w:pPr>
            <w:r>
              <w:rPr>
                <w:b/>
                <w:noProof/>
                <w:color w:val="000000"/>
                <w:sz w:val="20"/>
              </w:rPr>
              <w:t>1,525</w:t>
            </w:r>
          </w:p>
        </w:tc>
        <w:tc>
          <w:tcPr>
            <w:tcW w:w="1276" w:type="dxa"/>
            <w:vAlign w:val="center"/>
          </w:tcPr>
          <w:p>
            <w:pPr>
              <w:spacing w:before="60" w:after="60" w:line="200" w:lineRule="exact"/>
              <w:jc w:val="right"/>
              <w:rPr>
                <w:noProof/>
                <w:sz w:val="16"/>
                <w:szCs w:val="16"/>
              </w:rPr>
            </w:pPr>
            <w:r>
              <w:rPr>
                <w:b/>
                <w:noProof/>
                <w:color w:val="000000"/>
                <w:sz w:val="20"/>
              </w:rPr>
              <w:t>1,925</w:t>
            </w:r>
          </w:p>
        </w:tc>
        <w:tc>
          <w:tcPr>
            <w:tcW w:w="1275" w:type="dxa"/>
            <w:vAlign w:val="center"/>
          </w:tcPr>
          <w:p>
            <w:pPr>
              <w:spacing w:before="60" w:after="60" w:line="200" w:lineRule="exact"/>
              <w:jc w:val="right"/>
              <w:rPr>
                <w:noProof/>
                <w:sz w:val="16"/>
                <w:szCs w:val="16"/>
              </w:rPr>
            </w:pPr>
            <w:r>
              <w:rPr>
                <w:b/>
                <w:noProof/>
                <w:color w:val="000000"/>
                <w:sz w:val="20"/>
              </w:rPr>
              <w:t>2,225</w:t>
            </w:r>
          </w:p>
        </w:tc>
        <w:tc>
          <w:tcPr>
            <w:tcW w:w="1560" w:type="dxa"/>
            <w:vAlign w:val="center"/>
          </w:tcPr>
          <w:p>
            <w:pPr>
              <w:jc w:val="right"/>
              <w:rPr>
                <w:b/>
                <w:noProof/>
                <w:color w:val="000000"/>
                <w:sz w:val="18"/>
              </w:rPr>
            </w:pPr>
            <w:r>
              <w:rPr>
                <w:b/>
                <w:noProof/>
                <w:color w:val="000000"/>
                <w:sz w:val="18"/>
              </w:rPr>
              <w:t>6,800</w:t>
            </w: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ÖSSZESEN</w:t>
            </w:r>
          </w:p>
        </w:tc>
        <w:tc>
          <w:tcPr>
            <w:tcW w:w="1292"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2,571</w:t>
            </w:r>
          </w:p>
        </w:tc>
        <w:tc>
          <w:tcPr>
            <w:tcW w:w="1134"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3,280</w:t>
            </w:r>
          </w:p>
        </w:tc>
        <w:tc>
          <w:tcPr>
            <w:tcW w:w="1276"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4,129</w:t>
            </w:r>
          </w:p>
        </w:tc>
        <w:tc>
          <w:tcPr>
            <w:tcW w:w="1275"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4,459</w:t>
            </w:r>
          </w:p>
        </w:tc>
        <w:tc>
          <w:tcPr>
            <w:tcW w:w="1560" w:type="dxa"/>
            <w:tcBorders>
              <w:top w:val="single" w:sz="12" w:space="0" w:color="auto"/>
              <w:left w:val="single" w:sz="2" w:space="0" w:color="auto"/>
              <w:bottom w:val="single" w:sz="12" w:space="0" w:color="auto"/>
              <w:right w:val="single" w:sz="4" w:space="0" w:color="auto"/>
            </w:tcBorders>
            <w:vAlign w:val="bottom"/>
          </w:tcPr>
          <w:p>
            <w:pPr>
              <w:spacing w:before="60" w:after="60" w:line="200" w:lineRule="exact"/>
              <w:jc w:val="right"/>
              <w:rPr>
                <w:noProof/>
                <w:sz w:val="20"/>
                <w:szCs w:val="20"/>
              </w:rPr>
            </w:pPr>
            <w:r>
              <w:rPr>
                <w:rFonts w:ascii="Calibri" w:hAnsi="Calibri"/>
                <w:noProof/>
                <w:color w:val="000000"/>
                <w:sz w:val="22"/>
              </w:rPr>
              <w:t>14,439</w:t>
            </w:r>
          </w:p>
        </w:tc>
      </w:tr>
    </w:tbl>
    <w:p>
      <w:pPr>
        <w:rPr>
          <w:noProof/>
          <w:sz w:val="18"/>
        </w:rPr>
      </w:pPr>
      <w:r>
        <w:rPr>
          <w:noProof/>
          <w:sz w:val="18"/>
        </w:rPr>
        <w:t>A humánerőforrással és más igazgatási kiadásokkal kapcsolatos előirányzat-igényeket az adott főigazgatóság rendelkezésére álló, az intézkedés irányításához rendelt előirányzatokkal és/vagy az adott főigazgatóságon belüli átcsoportosítással kell teljesíteni. A források adott esetben a költségvetési korlátok betartása mellett kiegészíthetők az éves elosztási eljárás keretében az irányító főigazgatósághoz rendelt további juttatásokkal.</w:t>
      </w:r>
    </w:p>
    <w:p>
      <w:pPr>
        <w:rPr>
          <w:noProof/>
          <w:sz w:val="18"/>
        </w:rPr>
      </w:pP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Becsült humánerőforrás-szükségletek</w:t>
      </w:r>
    </w:p>
    <w:p>
      <w:pPr>
        <w:pStyle w:val="ListDash1"/>
        <w:ind w:left="1134"/>
        <w:rPr>
          <w:noProof/>
        </w:rPr>
      </w:pPr>
      <w:r>
        <w:rPr>
          <w:noProof/>
        </w:rPr>
        <w:sym w:font="Wingdings" w:char="F0A8"/>
      </w:r>
      <w:r>
        <w:rPr>
          <w:noProof/>
        </w:rPr>
        <w:tab/>
        <w:t>A javaslat/kezdeményezés nem igényel humánerőforrást.</w:t>
      </w:r>
    </w:p>
    <w:p>
      <w:pPr>
        <w:pStyle w:val="ListDash1"/>
        <w:ind w:left="1134"/>
        <w:rPr>
          <w:noProof/>
        </w:rPr>
      </w:pPr>
      <w:r>
        <w:rPr>
          <w:noProof/>
        </w:rPr>
        <w:sym w:font="Wingdings" w:char="F078"/>
      </w:r>
      <w:r>
        <w:rPr>
          <w:noProof/>
        </w:rPr>
        <w:tab/>
        <w:t>A javaslat/kezdeményezés az alábbi humánerőforrás-igénnyel jár:</w:t>
      </w:r>
    </w:p>
    <w:p>
      <w:pPr>
        <w:spacing w:after="60"/>
        <w:jc w:val="right"/>
        <w:rPr>
          <w:i/>
          <w:noProof/>
          <w:sz w:val="20"/>
        </w:rPr>
      </w:pPr>
      <w:r>
        <w:rPr>
          <w:i/>
          <w:noProof/>
          <w:sz w:val="20"/>
        </w:rPr>
        <w:t>A becsléseket teljes munkaidős egyenértékben kell kifejezni</w:t>
      </w:r>
    </w:p>
    <w:tbl>
      <w:tblPr>
        <w:tblW w:w="4016"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60"/>
        <w:gridCol w:w="1974"/>
        <w:gridCol w:w="1082"/>
        <w:gridCol w:w="850"/>
        <w:gridCol w:w="850"/>
        <w:gridCol w:w="1073"/>
        <w:gridCol w:w="170"/>
      </w:tblGrid>
      <w:tr>
        <w:trPr>
          <w:gridAfter w:val="1"/>
          <w:wAfter w:w="114" w:type="pct"/>
          <w:trHeight w:val="289"/>
          <w:jc w:val="center"/>
        </w:trPr>
        <w:tc>
          <w:tcPr>
            <w:tcW w:w="2302" w:type="pct"/>
            <w:gridSpan w:val="2"/>
            <w:shd w:val="clear" w:color="auto" w:fill="auto"/>
          </w:tcPr>
          <w:p>
            <w:pPr>
              <w:pStyle w:val="Text1"/>
              <w:spacing w:before="40" w:after="40"/>
              <w:ind w:left="0"/>
              <w:jc w:val="center"/>
              <w:rPr>
                <w:i/>
                <w:noProof/>
                <w:sz w:val="16"/>
                <w:szCs w:val="16"/>
              </w:rPr>
            </w:pPr>
          </w:p>
        </w:tc>
        <w:tc>
          <w:tcPr>
            <w:tcW w:w="725" w:type="pct"/>
            <w:shd w:val="clear" w:color="auto" w:fill="auto"/>
            <w:vAlign w:val="center"/>
          </w:tcPr>
          <w:p>
            <w:pPr>
              <w:spacing w:before="20" w:after="20"/>
              <w:jc w:val="center"/>
              <w:rPr>
                <w:noProof/>
                <w:sz w:val="16"/>
                <w:szCs w:val="16"/>
              </w:rPr>
            </w:pPr>
            <w:r>
              <w:rPr>
                <w:noProof/>
              </w:rPr>
              <w:t>Év</w:t>
            </w:r>
            <w:r>
              <w:rPr>
                <w:noProof/>
              </w:rPr>
              <w:br/>
            </w:r>
            <w:r>
              <w:rPr>
                <w:b/>
                <w:noProof/>
                <w:sz w:val="16"/>
              </w:rPr>
              <w:t>2017</w:t>
            </w:r>
          </w:p>
        </w:tc>
        <w:tc>
          <w:tcPr>
            <w:tcW w:w="570" w:type="pct"/>
            <w:shd w:val="clear" w:color="auto" w:fill="auto"/>
            <w:vAlign w:val="center"/>
          </w:tcPr>
          <w:p>
            <w:pPr>
              <w:spacing w:before="20" w:after="20"/>
              <w:jc w:val="center"/>
              <w:rPr>
                <w:noProof/>
                <w:sz w:val="16"/>
                <w:szCs w:val="16"/>
              </w:rPr>
            </w:pPr>
            <w:r>
              <w:rPr>
                <w:noProof/>
                <w:sz w:val="16"/>
              </w:rPr>
              <w:t xml:space="preserve">Év </w:t>
            </w:r>
            <w:r>
              <w:rPr>
                <w:b/>
                <w:noProof/>
                <w:sz w:val="16"/>
              </w:rPr>
              <w:t>2018</w:t>
            </w:r>
          </w:p>
        </w:tc>
        <w:tc>
          <w:tcPr>
            <w:tcW w:w="570" w:type="pct"/>
            <w:shd w:val="clear" w:color="auto" w:fill="auto"/>
            <w:vAlign w:val="center"/>
          </w:tcPr>
          <w:p>
            <w:pPr>
              <w:spacing w:before="20" w:after="20"/>
              <w:jc w:val="center"/>
              <w:rPr>
                <w:noProof/>
                <w:sz w:val="16"/>
                <w:szCs w:val="16"/>
              </w:rPr>
            </w:pPr>
            <w:r>
              <w:rPr>
                <w:noProof/>
                <w:sz w:val="16"/>
              </w:rPr>
              <w:t xml:space="preserve">Év </w:t>
            </w:r>
            <w:r>
              <w:rPr>
                <w:b/>
                <w:noProof/>
                <w:sz w:val="16"/>
              </w:rPr>
              <w:t>2019</w:t>
            </w:r>
          </w:p>
        </w:tc>
        <w:tc>
          <w:tcPr>
            <w:tcW w:w="719" w:type="pct"/>
            <w:shd w:val="clear" w:color="auto" w:fill="auto"/>
          </w:tcPr>
          <w:p>
            <w:pPr>
              <w:jc w:val="center"/>
              <w:rPr>
                <w:noProof/>
                <w:sz w:val="16"/>
              </w:rPr>
            </w:pPr>
            <w:r>
              <w:rPr>
                <w:noProof/>
                <w:sz w:val="16"/>
              </w:rPr>
              <w:t xml:space="preserve">Év </w:t>
            </w:r>
            <w:r>
              <w:rPr>
                <w:b/>
                <w:noProof/>
                <w:sz w:val="16"/>
              </w:rPr>
              <w:t>2020</w:t>
            </w:r>
          </w:p>
        </w:tc>
      </w:tr>
      <w:tr>
        <w:trPr>
          <w:trHeight w:val="289"/>
          <w:jc w:val="center"/>
        </w:trPr>
        <w:tc>
          <w:tcPr>
            <w:tcW w:w="4167" w:type="pct"/>
            <w:gridSpan w:val="5"/>
            <w:shd w:val="clear" w:color="auto" w:fill="auto"/>
          </w:tcPr>
          <w:p>
            <w:pPr>
              <w:spacing w:before="20" w:after="20"/>
              <w:rPr>
                <w:noProof/>
                <w:sz w:val="16"/>
                <w:szCs w:val="16"/>
              </w:rPr>
            </w:pPr>
            <w:r>
              <w:rPr>
                <w:b/>
                <w:noProof/>
                <w:sz w:val="16"/>
              </w:rPr>
              <w:sym w:font="Wingdings" w:char="F09F"/>
            </w:r>
            <w:r>
              <w:rPr>
                <w:b/>
                <w:noProof/>
                <w:sz w:val="16"/>
              </w:rPr>
              <w:t>A létszámtervben szereplő álláshelyek (tisztviselők és ideiglenes alkalmazottak)</w:t>
            </w:r>
          </w:p>
        </w:tc>
        <w:tc>
          <w:tcPr>
            <w:tcW w:w="833" w:type="pct"/>
            <w:gridSpan w:val="2"/>
            <w:shd w:val="clear" w:color="auto" w:fill="auto"/>
            <w:vAlign w:val="center"/>
          </w:tcPr>
          <w:p>
            <w:pPr>
              <w:spacing w:before="20" w:after="20"/>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 központban és a bizottsági képviseleteken)</w:t>
            </w:r>
          </w:p>
        </w:tc>
        <w:tc>
          <w:tcPr>
            <w:tcW w:w="725" w:type="pct"/>
            <w:shd w:val="clear" w:color="auto" w:fill="auto"/>
            <w:vAlign w:val="center"/>
          </w:tcPr>
          <w:p>
            <w:pPr>
              <w:spacing w:beforeLines="20" w:before="48" w:afterLines="20" w:after="48"/>
              <w:jc w:val="center"/>
              <w:rPr>
                <w:noProof/>
                <w:sz w:val="16"/>
                <w:szCs w:val="16"/>
              </w:rPr>
            </w:pPr>
            <w:r>
              <w:rPr>
                <w:noProof/>
                <w:sz w:val="16"/>
              </w:rPr>
              <w:t>8</w:t>
            </w:r>
          </w:p>
        </w:tc>
        <w:tc>
          <w:tcPr>
            <w:tcW w:w="570" w:type="pct"/>
            <w:shd w:val="clear" w:color="auto" w:fill="auto"/>
            <w:vAlign w:val="center"/>
          </w:tcPr>
          <w:p>
            <w:pPr>
              <w:spacing w:beforeLines="20" w:before="48" w:afterLines="20" w:after="48"/>
              <w:jc w:val="center"/>
              <w:rPr>
                <w:noProof/>
                <w:sz w:val="16"/>
                <w:szCs w:val="16"/>
              </w:rPr>
            </w:pPr>
            <w:r>
              <w:rPr>
                <w:noProof/>
                <w:sz w:val="16"/>
              </w:rPr>
              <w:t>10</w:t>
            </w:r>
          </w:p>
        </w:tc>
        <w:tc>
          <w:tcPr>
            <w:tcW w:w="570" w:type="pct"/>
            <w:shd w:val="clear" w:color="auto" w:fill="auto"/>
            <w:vAlign w:val="center"/>
          </w:tcPr>
          <w:p>
            <w:pPr>
              <w:spacing w:beforeLines="20" w:before="48" w:afterLines="20" w:after="48"/>
              <w:jc w:val="center"/>
              <w:rPr>
                <w:noProof/>
                <w:sz w:val="16"/>
                <w:szCs w:val="16"/>
              </w:rPr>
            </w:pPr>
            <w:r>
              <w:rPr>
                <w:noProof/>
                <w:sz w:val="16"/>
              </w:rPr>
              <w:t>12</w:t>
            </w:r>
          </w:p>
        </w:tc>
        <w:tc>
          <w:tcPr>
            <w:tcW w:w="833" w:type="pct"/>
            <w:gridSpan w:val="2"/>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(a küldöttségeknél)</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(közvetett kutatás)</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(közvetlen kutatás)</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gridAfter w:val="2"/>
          <w:wAfter w:w="833" w:type="pct"/>
          <w:trHeight w:val="248"/>
          <w:jc w:val="center"/>
        </w:trPr>
        <w:tc>
          <w:tcPr>
            <w:tcW w:w="4167"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Külső munkatársak teljes munkaidős egyenértékben (FTE) kifejezve</w:t>
            </w:r>
            <w:r>
              <w:rPr>
                <w:rStyle w:val="FootnoteReference"/>
                <w:b/>
                <w:noProof/>
                <w:sz w:val="16"/>
              </w:rPr>
              <w:footnoteReference w:id="37"/>
            </w:r>
          </w:p>
          <w:p>
            <w:pPr>
              <w:pStyle w:val="Text1"/>
              <w:spacing w:before="0" w:after="0"/>
              <w:ind w:left="0"/>
              <w:jc w:val="left"/>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a teljes keretből)</w:t>
            </w:r>
          </w:p>
        </w:tc>
        <w:tc>
          <w:tcPr>
            <w:tcW w:w="725" w:type="pct"/>
            <w:shd w:val="clear" w:color="auto" w:fill="auto"/>
            <w:vAlign w:val="center"/>
          </w:tcPr>
          <w:p>
            <w:pPr>
              <w:spacing w:beforeLines="20" w:before="48" w:afterLines="20" w:after="48"/>
              <w:jc w:val="center"/>
              <w:rPr>
                <w:noProof/>
                <w:sz w:val="16"/>
                <w:szCs w:val="16"/>
              </w:rPr>
            </w:pPr>
            <w:r>
              <w:rPr>
                <w:noProof/>
                <w:sz w:val="16"/>
              </w:rPr>
              <w:t>4</w:t>
            </w:r>
          </w:p>
        </w:tc>
        <w:tc>
          <w:tcPr>
            <w:tcW w:w="570" w:type="pct"/>
            <w:shd w:val="clear" w:color="auto" w:fill="auto"/>
            <w:vAlign w:val="center"/>
          </w:tcPr>
          <w:p>
            <w:pPr>
              <w:spacing w:beforeLines="20" w:before="48" w:afterLines="20" w:after="48"/>
              <w:jc w:val="center"/>
              <w:rPr>
                <w:noProof/>
                <w:sz w:val="16"/>
                <w:szCs w:val="16"/>
              </w:rPr>
            </w:pPr>
            <w:r>
              <w:rPr>
                <w:noProof/>
                <w:sz w:val="16"/>
              </w:rPr>
              <w:t>4</w:t>
            </w:r>
          </w:p>
        </w:tc>
        <w:tc>
          <w:tcPr>
            <w:tcW w:w="570" w:type="pct"/>
            <w:shd w:val="clear" w:color="auto" w:fill="auto"/>
            <w:vAlign w:val="center"/>
          </w:tcPr>
          <w:p>
            <w:pPr>
              <w:spacing w:beforeLines="20" w:before="48" w:afterLines="20" w:after="48"/>
              <w:jc w:val="center"/>
              <w:rPr>
                <w:noProof/>
                <w:sz w:val="16"/>
                <w:szCs w:val="16"/>
              </w:rPr>
            </w:pPr>
            <w:r>
              <w:rPr>
                <w:noProof/>
                <w:sz w:val="16"/>
              </w:rPr>
              <w:t>6</w:t>
            </w:r>
          </w:p>
        </w:tc>
        <w:tc>
          <w:tcPr>
            <w:tcW w:w="833" w:type="pct"/>
            <w:gridSpan w:val="2"/>
            <w:shd w:val="clear" w:color="auto" w:fill="auto"/>
            <w:vAlign w:val="center"/>
          </w:tcPr>
          <w:p>
            <w:pPr>
              <w:spacing w:beforeLines="20" w:before="48" w:afterLines="20" w:after="48"/>
              <w:jc w:val="center"/>
              <w:rPr>
                <w:noProof/>
                <w:sz w:val="16"/>
                <w:szCs w:val="16"/>
              </w:rPr>
            </w:pPr>
            <w:r>
              <w:rPr>
                <w:noProof/>
                <w:sz w:val="16"/>
              </w:rPr>
              <w:t>6</w:t>
            </w:r>
          </w:p>
        </w:tc>
      </w:tr>
      <w:tr>
        <w:trPr>
          <w:trHeight w:val="289"/>
          <w:jc w:val="center"/>
        </w:trPr>
        <w:tc>
          <w:tcPr>
            <w:tcW w:w="230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és JED a küldöttségeknél)</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7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10</w:t>
            </w:r>
            <w:r>
              <w:rPr>
                <w:noProof/>
                <w:sz w:val="16"/>
              </w:rPr>
              <w:t xml:space="preserve"> 01 04 </w:t>
            </w:r>
            <w:r>
              <w:rPr>
                <w:b/>
                <w:noProof/>
                <w:sz w:val="16"/>
              </w:rPr>
              <w:t>yy</w:t>
            </w:r>
            <w:r>
              <w:rPr>
                <w:rStyle w:val="FootnoteReference"/>
                <w:b/>
                <w:noProof/>
                <w:sz w:val="16"/>
              </w:rPr>
              <w:footnoteReference w:id="38"/>
            </w:r>
          </w:p>
          <w:p>
            <w:pPr>
              <w:pStyle w:val="Text1"/>
              <w:spacing w:beforeLines="20" w:before="48" w:afterLines="20" w:after="48"/>
              <w:ind w:left="136"/>
              <w:jc w:val="left"/>
              <w:rPr>
                <w:b/>
                <w:noProof/>
                <w:sz w:val="16"/>
                <w:szCs w:val="16"/>
              </w:rPr>
            </w:pPr>
          </w:p>
        </w:tc>
        <w:tc>
          <w:tcPr>
            <w:tcW w:w="1323" w:type="pct"/>
            <w:shd w:val="clear" w:color="auto" w:fill="auto"/>
            <w:vAlign w:val="center"/>
          </w:tcPr>
          <w:p>
            <w:pPr>
              <w:pStyle w:val="Text1"/>
              <w:spacing w:beforeLines="20" w:before="48" w:afterLines="20" w:after="48"/>
              <w:ind w:left="136"/>
              <w:jc w:val="left"/>
              <w:rPr>
                <w:b/>
                <w:noProof/>
                <w:sz w:val="16"/>
                <w:szCs w:val="16"/>
              </w:rPr>
            </w:pPr>
            <w:r>
              <w:rPr>
                <w:noProof/>
                <w:sz w:val="16"/>
              </w:rPr>
              <w:t>– a központban</w:t>
            </w:r>
          </w:p>
          <w:p>
            <w:pPr>
              <w:pStyle w:val="Text1"/>
              <w:spacing w:beforeLines="20" w:before="48" w:afterLines="20" w:after="48"/>
              <w:ind w:left="136"/>
              <w:jc w:val="left"/>
              <w:rPr>
                <w:b/>
                <w:noProof/>
                <w:sz w:val="16"/>
                <w:szCs w:val="16"/>
              </w:rPr>
            </w:pPr>
          </w:p>
        </w:tc>
        <w:tc>
          <w:tcPr>
            <w:tcW w:w="725" w:type="pct"/>
            <w:shd w:val="clear" w:color="auto" w:fill="auto"/>
            <w:vAlign w:val="center"/>
          </w:tcPr>
          <w:p>
            <w:pPr>
              <w:pStyle w:val="Text1"/>
              <w:spacing w:beforeLines="20" w:before="48" w:afterLines="20" w:after="48"/>
              <w:ind w:left="0"/>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79" w:type="pct"/>
            <w:vMerge/>
            <w:shd w:val="clear" w:color="auto" w:fill="auto"/>
            <w:vAlign w:val="center"/>
          </w:tcPr>
          <w:p>
            <w:pPr>
              <w:pStyle w:val="Text1"/>
              <w:spacing w:beforeLines="20" w:before="48" w:afterLines="20" w:after="48"/>
              <w:ind w:left="136"/>
              <w:jc w:val="left"/>
              <w:rPr>
                <w:b/>
                <w:noProof/>
                <w:sz w:val="16"/>
                <w:szCs w:val="16"/>
              </w:rPr>
            </w:pPr>
          </w:p>
        </w:tc>
        <w:tc>
          <w:tcPr>
            <w:tcW w:w="132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a küldöttségeknél </w:t>
            </w:r>
          </w:p>
        </w:tc>
        <w:tc>
          <w:tcPr>
            <w:tcW w:w="725" w:type="pct"/>
            <w:shd w:val="clear" w:color="auto" w:fill="auto"/>
            <w:vAlign w:val="center"/>
          </w:tcPr>
          <w:p>
            <w:pPr>
              <w:pStyle w:val="Text1"/>
              <w:spacing w:beforeLines="20" w:before="48" w:afterLines="20" w:after="48"/>
              <w:ind w:left="0"/>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ÖSSZESEN</w:t>
            </w:r>
          </w:p>
        </w:tc>
        <w:tc>
          <w:tcPr>
            <w:tcW w:w="72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57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14</w:t>
            </w:r>
          </w:p>
        </w:tc>
        <w:tc>
          <w:tcPr>
            <w:tcW w:w="57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83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r>
    </w:tbl>
    <w:p>
      <w:pPr>
        <w:pStyle w:val="Text1"/>
        <w:spacing w:before="60" w:after="60"/>
        <w:ind w:left="851"/>
        <w:rPr>
          <w:b/>
          <w:noProof/>
          <w:sz w:val="18"/>
          <w:szCs w:val="18"/>
        </w:rPr>
      </w:pPr>
    </w:p>
    <w:p>
      <w:pPr>
        <w:pStyle w:val="Text1"/>
        <w:spacing w:before="60" w:after="60"/>
        <w:ind w:left="851"/>
        <w:rPr>
          <w:b/>
          <w:noProof/>
          <w:sz w:val="18"/>
          <w:szCs w:val="18"/>
        </w:rPr>
      </w:pPr>
    </w:p>
    <w:p>
      <w:pPr>
        <w:pStyle w:val="Text1"/>
        <w:spacing w:before="60" w:after="60"/>
        <w:ind w:left="851"/>
        <w:rPr>
          <w:noProof/>
          <w:sz w:val="18"/>
          <w:szCs w:val="18"/>
        </w:rPr>
      </w:pPr>
      <w:r>
        <w:rPr>
          <w:b/>
          <w:noProof/>
          <w:sz w:val="18"/>
          <w:szCs w:val="18"/>
        </w:rPr>
        <w:t>XX</w:t>
      </w:r>
      <w:r>
        <w:rPr>
          <w:noProof/>
          <w:sz w:val="18"/>
          <w:szCs w:val="18"/>
        </w:rPr>
        <w:t xml:space="preserve"> az érintett szakpolitikai terület vagy költségvetési cím.</w:t>
      </w:r>
    </w:p>
    <w:p>
      <w:pPr>
        <w:pStyle w:val="Text1"/>
        <w:rPr>
          <w:noProof/>
          <w:sz w:val="18"/>
        </w:rPr>
      </w:pPr>
      <w:r>
        <w:rPr>
          <w:noProof/>
          <w:sz w:val="18"/>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pStyle w:val="Text1"/>
        <w:rPr>
          <w:noProof/>
          <w:sz w:val="18"/>
          <w:szCs w:val="18"/>
        </w:rPr>
      </w:pPr>
    </w:p>
    <w:p>
      <w:pPr>
        <w:rPr>
          <w:noProof/>
          <w:sz w:val="20"/>
        </w:rPr>
      </w:pPr>
      <w:r>
        <w:rPr>
          <w:noProof/>
          <w:sz w:val="20"/>
        </w:rPr>
        <w:t>Az elvégzendő feladatok leírása:</w:t>
      </w:r>
    </w:p>
    <w:tbl>
      <w:tblPr>
        <w:tblW w:w="9187"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5947"/>
      </w:tblGrid>
      <w:tr>
        <w:tc>
          <w:tcPr>
            <w:tcW w:w="3240" w:type="dxa"/>
          </w:tcPr>
          <w:p>
            <w:pPr>
              <w:rPr>
                <w:noProof/>
                <w:sz w:val="20"/>
              </w:rPr>
            </w:pPr>
            <w:r>
              <w:rPr>
                <w:noProof/>
                <w:sz w:val="20"/>
              </w:rPr>
              <w:t>Tisztviselők és ideiglenes alkalmazottak</w:t>
            </w:r>
          </w:p>
        </w:tc>
        <w:tc>
          <w:tcPr>
            <w:tcW w:w="5947" w:type="dxa"/>
          </w:tcPr>
          <w:p>
            <w:pPr>
              <w:rPr>
                <w:noProof/>
                <w:sz w:val="20"/>
              </w:rPr>
            </w:pPr>
            <w:r>
              <w:rPr>
                <w:noProof/>
                <w:sz w:val="20"/>
              </w:rPr>
              <w:t>Az elvégzendő feladatok magukban foglalnak minden, a program pénzügyi és szerződéses irányításához szükséges feladatot, mégpedig az alábbiakat:</w:t>
            </w:r>
          </w:p>
          <w:p>
            <w:pPr>
              <w:numPr>
                <w:ilvl w:val="0"/>
                <w:numId w:val="30"/>
              </w:numPr>
              <w:rPr>
                <w:noProof/>
                <w:sz w:val="20"/>
              </w:rPr>
            </w:pPr>
            <w:r>
              <w:rPr>
                <w:noProof/>
                <w:sz w:val="20"/>
              </w:rPr>
              <w:t>hozzájárulás a költségvetési eljáráshoz és az irányítási tervhez,</w:t>
            </w:r>
          </w:p>
          <w:p>
            <w:pPr>
              <w:numPr>
                <w:ilvl w:val="0"/>
                <w:numId w:val="30"/>
              </w:numPr>
              <w:rPr>
                <w:noProof/>
                <w:sz w:val="20"/>
              </w:rPr>
            </w:pPr>
            <w:r>
              <w:rPr>
                <w:noProof/>
                <w:sz w:val="20"/>
              </w:rPr>
              <w:t>az éves munkaprogram/finanszírozási döntések elkészítése, éves prioritások megállapítása,</w:t>
            </w:r>
          </w:p>
          <w:p>
            <w:pPr>
              <w:numPr>
                <w:ilvl w:val="0"/>
                <w:numId w:val="30"/>
              </w:numPr>
              <w:rPr>
                <w:noProof/>
                <w:sz w:val="20"/>
              </w:rPr>
            </w:pPr>
            <w:r>
              <w:rPr>
                <w:noProof/>
                <w:sz w:val="20"/>
              </w:rPr>
              <w:t>az ajánlati felhívások és a pályázati felhívások, valamint az azokat követő kiválasztási eljárások irányítása az operatív szolgálatokkal együttműködésben,</w:t>
            </w:r>
          </w:p>
          <w:p>
            <w:pPr>
              <w:numPr>
                <w:ilvl w:val="0"/>
                <w:numId w:val="30"/>
              </w:numPr>
              <w:rPr>
                <w:noProof/>
                <w:sz w:val="20"/>
              </w:rPr>
            </w:pPr>
            <w:r>
              <w:rPr>
                <w:noProof/>
                <w:sz w:val="20"/>
              </w:rPr>
              <w:t>kommunikáció az érdekeltekkel a szerződéses és pénzügyi kérdésekben,</w:t>
            </w:r>
          </w:p>
          <w:p>
            <w:pPr>
              <w:numPr>
                <w:ilvl w:val="0"/>
                <w:numId w:val="30"/>
              </w:numPr>
              <w:rPr>
                <w:noProof/>
                <w:sz w:val="20"/>
              </w:rPr>
            </w:pPr>
            <w:r>
              <w:rPr>
                <w:noProof/>
                <w:sz w:val="20"/>
              </w:rPr>
              <w:t>a magas szintű munkacsoportnak az érintett főigazgatóságokkal, tagállamokkal és más érdekelt felekkel tartott üléseinek előkészítése és megszervezése,</w:t>
            </w:r>
          </w:p>
          <w:p>
            <w:pPr>
              <w:numPr>
                <w:ilvl w:val="0"/>
                <w:numId w:val="30"/>
              </w:numPr>
              <w:rPr>
                <w:noProof/>
                <w:sz w:val="20"/>
              </w:rPr>
            </w:pPr>
            <w:r>
              <w:rPr>
                <w:noProof/>
                <w:sz w:val="20"/>
              </w:rPr>
              <w:t>a projektek irányítása (pénzügyi és szerződéses oldalon): kötelezettségvállalások, kifizetések, visszafizetési felszólítások stb.,</w:t>
            </w:r>
          </w:p>
          <w:p>
            <w:pPr>
              <w:numPr>
                <w:ilvl w:val="0"/>
                <w:numId w:val="30"/>
              </w:numPr>
              <w:rPr>
                <w:noProof/>
                <w:sz w:val="20"/>
              </w:rPr>
            </w:pPr>
            <w:r>
              <w:rPr>
                <w:noProof/>
                <w:sz w:val="20"/>
              </w:rPr>
              <w:t>kontrollok elvégzése, a fentiekben írtaknak megfelelően (előzetes ellenőrzés, beszerzési szolgáltatások, utólagos ellenőrzés/belső kontroll),</w:t>
            </w:r>
          </w:p>
          <w:p>
            <w:pPr>
              <w:numPr>
                <w:ilvl w:val="0"/>
                <w:numId w:val="30"/>
              </w:numPr>
              <w:rPr>
                <w:noProof/>
                <w:sz w:val="20"/>
              </w:rPr>
            </w:pPr>
            <w:r>
              <w:rPr>
                <w:noProof/>
                <w:sz w:val="20"/>
              </w:rPr>
              <w:t xml:space="preserve"> informatikai eszközök kezelése,</w:t>
            </w:r>
          </w:p>
          <w:p>
            <w:pPr>
              <w:numPr>
                <w:ilvl w:val="0"/>
                <w:numId w:val="30"/>
              </w:numPr>
              <w:rPr>
                <w:noProof/>
                <w:sz w:val="20"/>
              </w:rPr>
            </w:pPr>
            <w:r>
              <w:rPr>
                <w:noProof/>
                <w:sz w:val="20"/>
              </w:rPr>
              <w:t>hozzájárulások és az éves megbízhatósági nyilatkozattal kapcsolatos eljárás nyomonkövetése,</w:t>
            </w:r>
          </w:p>
          <w:p>
            <w:pPr>
              <w:numPr>
                <w:ilvl w:val="0"/>
                <w:numId w:val="30"/>
              </w:numPr>
              <w:rPr>
                <w:noProof/>
                <w:sz w:val="20"/>
              </w:rPr>
            </w:pPr>
            <w:r>
              <w:rPr>
                <w:noProof/>
                <w:sz w:val="20"/>
              </w:rPr>
              <w:t>a célkitűzések megvalósítására vonatkozó nyomon követés és jelentéstétel, többek között a költségvetési eljárás során, az irányítási tervben, a félidős értékelés során, az éves tevékenységi jelentésben és a felhatalmazás által engedélyezésre jogosult tisztviselők jelentéseiben.</w:t>
            </w:r>
          </w:p>
        </w:tc>
      </w:tr>
      <w:tr>
        <w:tc>
          <w:tcPr>
            <w:tcW w:w="3240" w:type="dxa"/>
          </w:tcPr>
          <w:p>
            <w:pPr>
              <w:spacing w:before="60" w:after="60"/>
              <w:rPr>
                <w:noProof/>
                <w:sz w:val="20"/>
              </w:rPr>
            </w:pPr>
            <w:r>
              <w:rPr>
                <w:noProof/>
                <w:sz w:val="20"/>
              </w:rPr>
              <w:t>Külső munkatársak</w:t>
            </w:r>
          </w:p>
        </w:tc>
        <w:tc>
          <w:tcPr>
            <w:tcW w:w="5947" w:type="dxa"/>
          </w:tcPr>
          <w:p>
            <w:pPr>
              <w:rPr>
                <w:noProof/>
                <w:sz w:val="20"/>
              </w:rPr>
            </w:pPr>
            <w:r>
              <w:rPr>
                <w:noProof/>
                <w:sz w:val="20"/>
              </w:rPr>
              <w:t>A pénzügyi és igazgatási feladatok ellátásának támogatása.</w:t>
            </w:r>
          </w:p>
        </w:tc>
      </w:tr>
      <w:tr>
        <w:tc>
          <w:tcPr>
            <w:tcW w:w="3240" w:type="dxa"/>
          </w:tcPr>
          <w:p>
            <w:pPr>
              <w:spacing w:before="60" w:after="60"/>
              <w:rPr>
                <w:noProof/>
                <w:sz w:val="20"/>
              </w:rPr>
            </w:pPr>
          </w:p>
        </w:tc>
        <w:tc>
          <w:tcPr>
            <w:tcW w:w="5947" w:type="dxa"/>
          </w:tcPr>
          <w:p>
            <w:pPr>
              <w:rPr>
                <w:noProof/>
                <w:sz w:val="20"/>
              </w:rPr>
            </w:pPr>
          </w:p>
        </w:tc>
      </w:tr>
    </w:tbl>
    <w:p>
      <w:pPr>
        <w:pStyle w:val="ManualHeading3"/>
        <w:rPr>
          <w:bCs/>
          <w:noProof/>
          <w:szCs w:val="24"/>
        </w:rPr>
      </w:pPr>
      <w:r>
        <w:t>3.2.4.</w:t>
      </w:r>
      <w:r>
        <w:tab/>
      </w:r>
      <w:r>
        <w:rPr>
          <w:noProof/>
        </w:rPr>
        <w:t>A jelenlegi többéves pénzügyi kerettel való összeegyeztethetőség</w:t>
      </w:r>
    </w:p>
    <w:p>
      <w:pPr>
        <w:pStyle w:val="ListDash1"/>
        <w:ind w:left="1134"/>
        <w:rPr>
          <w:noProof/>
        </w:rPr>
      </w:pPr>
      <w:r>
        <w:rPr>
          <w:noProof/>
        </w:rPr>
        <w:sym w:font="Wingdings" w:char="F078"/>
      </w:r>
      <w:r>
        <w:rPr>
          <w:noProof/>
        </w:rPr>
        <w:tab/>
        <w:t>A javaslat/kezdeményezés összeegyeztethető a jelenlegi többéves pénzügyi kerettel.</w:t>
      </w:r>
    </w:p>
    <w:p>
      <w:pPr>
        <w:pStyle w:val="ListDash1"/>
        <w:ind w:left="1134"/>
        <w:rPr>
          <w:noProof/>
        </w:rPr>
      </w:pPr>
      <w:r>
        <w:rPr>
          <w:noProof/>
        </w:rPr>
        <w:sym w:font="Wingdings" w:char="F078"/>
      </w:r>
      <w:r>
        <w:rPr>
          <w:noProof/>
        </w:rPr>
        <w:tab/>
        <w:t>A javaslat/kezdeményezés miatt szükséges a többéves pénzügyi keret vonatkozó fejezetének átprogramozása.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miként kell átprogramozni a pénzügyi keretet: tüntesse fel az érintett költségvetési tételeket és a megfelelő összegeket.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Új tétel az 1b/2. fejezeten belül a következő összegekkel (millió EUR-ban, három tizedesjegyig):</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2017:  23,625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2018:  32,025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2019:  40,425</w:t>
      </w:r>
    </w:p>
    <w:p>
      <w:pPr>
        <w:pStyle w:val="Text1"/>
        <w:pBdr>
          <w:top w:val="single" w:sz="4" w:space="1" w:color="auto"/>
          <w:left w:val="single" w:sz="4" w:space="4" w:color="auto"/>
          <w:bottom w:val="single" w:sz="4" w:space="1" w:color="auto"/>
          <w:right w:val="single" w:sz="4" w:space="4" w:color="auto"/>
        </w:pBdr>
        <w:rPr>
          <w:noProof/>
        </w:rPr>
      </w:pPr>
      <w:r>
        <w:rPr>
          <w:noProof/>
          <w:sz w:val="20"/>
        </w:rPr>
        <w:t>2020:  46,725</w:t>
      </w:r>
    </w:p>
    <w:p>
      <w:pPr>
        <w:pStyle w:val="Text1"/>
        <w:pBdr>
          <w:top w:val="single" w:sz="4" w:space="1" w:color="auto"/>
          <w:left w:val="single" w:sz="4" w:space="4" w:color="auto"/>
          <w:bottom w:val="single" w:sz="4" w:space="1" w:color="auto"/>
          <w:right w:val="single" w:sz="4" w:space="4" w:color="auto"/>
        </w:pBdr>
        <w:rPr>
          <w:noProof/>
        </w:rPr>
      </w:pPr>
    </w:p>
    <w:p>
      <w:pPr>
        <w:pStyle w:val="ListDash1"/>
        <w:ind w:left="1134"/>
        <w:rPr>
          <w:noProof/>
        </w:rPr>
      </w:pPr>
      <w:r>
        <w:rPr>
          <w:noProof/>
        </w:rPr>
        <w:sym w:font="Wingdings" w:char="F0A8"/>
      </w:r>
      <w:r>
        <w:rPr>
          <w:noProof/>
        </w:rPr>
        <w:tab/>
        <w:t>A javaslat/kezdeményezés miatt szükség van a rugalmassági eszköz alkalmazására vagy a többéves pénzügyi keret felülvizsgálatára.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a szükségleteket: tüntesse fel az érintett fejezeteket és költségvetési tételeket és a megfelelő összegeket.</w:t>
      </w:r>
    </w:p>
    <w:p>
      <w:pPr>
        <w:pStyle w:val="ManualHeading3"/>
        <w:rPr>
          <w:bCs/>
          <w:noProof/>
          <w:szCs w:val="24"/>
        </w:rPr>
      </w:pPr>
      <w:r>
        <w:t>3.2.5.</w:t>
      </w:r>
      <w:r>
        <w:tab/>
      </w:r>
      <w:r>
        <w:rPr>
          <w:noProof/>
        </w:rPr>
        <w:t>Harmadik felek részvétele a finanszírozásban</w:t>
      </w:r>
    </w:p>
    <w:p>
      <w:pPr>
        <w:pStyle w:val="ListDash1"/>
        <w:ind w:left="1134"/>
        <w:rPr>
          <w:noProof/>
        </w:rPr>
      </w:pPr>
      <w:r>
        <w:rPr>
          <w:noProof/>
        </w:rPr>
        <w:t>A javaslat/kezdeményezés nem irányoz elő harmadik felek általi társfinanszírozást.</w:t>
      </w:r>
    </w:p>
    <w:p>
      <w:pPr>
        <w:pStyle w:val="ListDash1"/>
        <w:ind w:left="1134"/>
        <w:rPr>
          <w:noProof/>
        </w:rPr>
      </w:pPr>
      <w:r>
        <w:rPr>
          <w:noProof/>
        </w:rPr>
        <w:t>A javaslat/kezdeményezés az alábbi becsült társfinanszírozást irányozza elő:</w:t>
      </w:r>
    </w:p>
    <w:p>
      <w:pPr>
        <w:jc w:val="right"/>
        <w:rPr>
          <w:noProof/>
          <w:sz w:val="20"/>
        </w:rPr>
      </w:pPr>
      <w:r>
        <w:rPr>
          <w:noProof/>
          <w:sz w:val="20"/>
        </w:rPr>
        <w:t>előirányzatok, millió EUR (három tizedesjegyig)</w:t>
      </w:r>
    </w:p>
    <w:tbl>
      <w:tblPr>
        <w:tblW w:w="779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6"/>
        <w:gridCol w:w="964"/>
        <w:gridCol w:w="896"/>
        <w:gridCol w:w="1216"/>
        <w:gridCol w:w="1158"/>
        <w:gridCol w:w="886"/>
      </w:tblGrid>
      <w:tr>
        <w:trPr>
          <w:cantSplit/>
        </w:trPr>
        <w:tc>
          <w:tcPr>
            <w:tcW w:w="2676" w:type="dxa"/>
          </w:tcPr>
          <w:p>
            <w:pPr>
              <w:spacing w:before="60" w:after="60"/>
              <w:rPr>
                <w:noProof/>
                <w:sz w:val="20"/>
              </w:rPr>
            </w:pPr>
          </w:p>
        </w:tc>
        <w:tc>
          <w:tcPr>
            <w:tcW w:w="964" w:type="dxa"/>
            <w:vAlign w:val="center"/>
          </w:tcPr>
          <w:p>
            <w:pPr>
              <w:jc w:val="center"/>
              <w:rPr>
                <w:noProof/>
                <w:sz w:val="20"/>
              </w:rPr>
            </w:pPr>
            <w:r>
              <w:rPr>
                <w:noProof/>
              </w:rPr>
              <w:t>Év</w:t>
            </w:r>
            <w:r>
              <w:rPr>
                <w:noProof/>
              </w:rPr>
              <w:br/>
            </w:r>
            <w:r>
              <w:rPr>
                <w:b/>
                <w:noProof/>
                <w:sz w:val="20"/>
              </w:rPr>
              <w:t>2017</w:t>
            </w:r>
          </w:p>
        </w:tc>
        <w:tc>
          <w:tcPr>
            <w:tcW w:w="896" w:type="dxa"/>
            <w:vAlign w:val="center"/>
          </w:tcPr>
          <w:p>
            <w:pPr>
              <w:jc w:val="center"/>
              <w:rPr>
                <w:noProof/>
                <w:sz w:val="20"/>
              </w:rPr>
            </w:pPr>
            <w:r>
              <w:rPr>
                <w:noProof/>
              </w:rPr>
              <w:t>Év</w:t>
            </w:r>
            <w:r>
              <w:rPr>
                <w:noProof/>
              </w:rPr>
              <w:br/>
            </w:r>
            <w:r>
              <w:rPr>
                <w:b/>
                <w:noProof/>
                <w:sz w:val="20"/>
              </w:rPr>
              <w:t>2018</w:t>
            </w:r>
          </w:p>
        </w:tc>
        <w:tc>
          <w:tcPr>
            <w:tcW w:w="1216" w:type="dxa"/>
            <w:vAlign w:val="center"/>
          </w:tcPr>
          <w:p>
            <w:pPr>
              <w:jc w:val="center"/>
              <w:rPr>
                <w:noProof/>
                <w:sz w:val="20"/>
              </w:rPr>
            </w:pPr>
            <w:r>
              <w:rPr>
                <w:noProof/>
              </w:rPr>
              <w:t>Év</w:t>
            </w:r>
            <w:r>
              <w:rPr>
                <w:noProof/>
              </w:rPr>
              <w:br/>
            </w:r>
            <w:r>
              <w:rPr>
                <w:b/>
                <w:noProof/>
                <w:sz w:val="20"/>
              </w:rPr>
              <w:t>2019</w:t>
            </w:r>
          </w:p>
        </w:tc>
        <w:tc>
          <w:tcPr>
            <w:tcW w:w="1158" w:type="dxa"/>
          </w:tcPr>
          <w:p>
            <w:pPr>
              <w:jc w:val="center"/>
              <w:rPr>
                <w:noProof/>
                <w:sz w:val="20"/>
              </w:rPr>
            </w:pPr>
            <w:r>
              <w:rPr>
                <w:noProof/>
              </w:rPr>
              <w:t>Év</w:t>
            </w:r>
            <w:r>
              <w:rPr>
                <w:noProof/>
              </w:rPr>
              <w:br/>
            </w:r>
            <w:r>
              <w:rPr>
                <w:b/>
                <w:noProof/>
                <w:sz w:val="20"/>
              </w:rPr>
              <w:t>2020</w:t>
            </w:r>
          </w:p>
        </w:tc>
        <w:tc>
          <w:tcPr>
            <w:tcW w:w="886" w:type="dxa"/>
            <w:vAlign w:val="center"/>
          </w:tcPr>
          <w:p>
            <w:pPr>
              <w:spacing w:before="60" w:after="60"/>
              <w:jc w:val="center"/>
              <w:rPr>
                <w:noProof/>
                <w:sz w:val="20"/>
              </w:rPr>
            </w:pPr>
            <w:r>
              <w:rPr>
                <w:noProof/>
                <w:sz w:val="20"/>
              </w:rPr>
              <w:t>Összesen</w:t>
            </w:r>
          </w:p>
        </w:tc>
      </w:tr>
      <w:tr>
        <w:trPr>
          <w:cantSplit/>
        </w:trPr>
        <w:tc>
          <w:tcPr>
            <w:tcW w:w="2676" w:type="dxa"/>
          </w:tcPr>
          <w:p>
            <w:pPr>
              <w:rPr>
                <w:noProof/>
              </w:rPr>
            </w:pPr>
            <w:r>
              <w:rPr>
                <w:noProof/>
                <w:sz w:val="20"/>
              </w:rPr>
              <w:t>Tüntesse fel a társfinanszírozó szervet</w:t>
            </w:r>
          </w:p>
        </w:tc>
        <w:tc>
          <w:tcPr>
            <w:tcW w:w="964" w:type="dxa"/>
            <w:vAlign w:val="center"/>
          </w:tcPr>
          <w:p>
            <w:pPr>
              <w:spacing w:before="60" w:after="60"/>
              <w:jc w:val="center"/>
              <w:rPr>
                <w:noProof/>
                <w:sz w:val="20"/>
              </w:rPr>
            </w:pPr>
          </w:p>
        </w:tc>
        <w:tc>
          <w:tcPr>
            <w:tcW w:w="896" w:type="dxa"/>
            <w:vAlign w:val="center"/>
          </w:tcPr>
          <w:p>
            <w:pPr>
              <w:spacing w:before="60" w:after="60"/>
              <w:jc w:val="center"/>
              <w:rPr>
                <w:noProof/>
                <w:sz w:val="20"/>
              </w:rPr>
            </w:pPr>
          </w:p>
        </w:tc>
        <w:tc>
          <w:tcPr>
            <w:tcW w:w="1216" w:type="dxa"/>
            <w:vAlign w:val="center"/>
          </w:tcPr>
          <w:p>
            <w:pPr>
              <w:spacing w:before="60" w:after="60"/>
              <w:jc w:val="center"/>
              <w:rPr>
                <w:noProof/>
                <w:sz w:val="20"/>
              </w:rPr>
            </w:pPr>
          </w:p>
        </w:tc>
        <w:tc>
          <w:tcPr>
            <w:tcW w:w="1158" w:type="dxa"/>
          </w:tcPr>
          <w:p>
            <w:pPr>
              <w:spacing w:before="60" w:after="60"/>
              <w:jc w:val="center"/>
              <w:rPr>
                <w:noProof/>
                <w:sz w:val="20"/>
              </w:rPr>
            </w:pPr>
          </w:p>
        </w:tc>
        <w:tc>
          <w:tcPr>
            <w:tcW w:w="886" w:type="dxa"/>
            <w:vAlign w:val="center"/>
          </w:tcPr>
          <w:p>
            <w:pPr>
              <w:spacing w:before="60" w:after="60"/>
              <w:jc w:val="center"/>
              <w:rPr>
                <w:noProof/>
                <w:sz w:val="20"/>
              </w:rPr>
            </w:pPr>
          </w:p>
        </w:tc>
      </w:tr>
      <w:tr>
        <w:trPr>
          <w:cantSplit/>
        </w:trPr>
        <w:tc>
          <w:tcPr>
            <w:tcW w:w="2676" w:type="dxa"/>
          </w:tcPr>
          <w:p>
            <w:pPr>
              <w:spacing w:before="60" w:after="60"/>
              <w:jc w:val="left"/>
              <w:rPr>
                <w:noProof/>
                <w:sz w:val="20"/>
              </w:rPr>
            </w:pPr>
            <w:r>
              <w:rPr>
                <w:noProof/>
                <w:sz w:val="20"/>
              </w:rPr>
              <w:t xml:space="preserve">Társfinanszírozott előirányzatok ÖSSZESEN </w:t>
            </w:r>
          </w:p>
        </w:tc>
        <w:tc>
          <w:tcPr>
            <w:tcW w:w="964" w:type="dxa"/>
            <w:vAlign w:val="center"/>
          </w:tcPr>
          <w:p>
            <w:pPr>
              <w:spacing w:before="60" w:after="60"/>
              <w:jc w:val="center"/>
              <w:rPr>
                <w:noProof/>
                <w:sz w:val="20"/>
              </w:rPr>
            </w:pPr>
          </w:p>
        </w:tc>
        <w:tc>
          <w:tcPr>
            <w:tcW w:w="896" w:type="dxa"/>
            <w:vAlign w:val="center"/>
          </w:tcPr>
          <w:p>
            <w:pPr>
              <w:spacing w:before="60" w:after="60"/>
              <w:jc w:val="center"/>
              <w:rPr>
                <w:noProof/>
                <w:sz w:val="20"/>
              </w:rPr>
            </w:pPr>
          </w:p>
        </w:tc>
        <w:tc>
          <w:tcPr>
            <w:tcW w:w="1216" w:type="dxa"/>
            <w:vAlign w:val="center"/>
          </w:tcPr>
          <w:p>
            <w:pPr>
              <w:spacing w:before="60" w:after="60"/>
              <w:jc w:val="center"/>
              <w:rPr>
                <w:noProof/>
                <w:sz w:val="20"/>
              </w:rPr>
            </w:pPr>
          </w:p>
        </w:tc>
        <w:tc>
          <w:tcPr>
            <w:tcW w:w="1158" w:type="dxa"/>
          </w:tcPr>
          <w:p>
            <w:pPr>
              <w:spacing w:before="60" w:after="60"/>
              <w:jc w:val="center"/>
              <w:rPr>
                <w:noProof/>
                <w:sz w:val="20"/>
              </w:rPr>
            </w:pPr>
          </w:p>
        </w:tc>
        <w:tc>
          <w:tcPr>
            <w:tcW w:w="886" w:type="dxa"/>
            <w:vAlign w:val="center"/>
          </w:tcPr>
          <w:p>
            <w:pPr>
              <w:spacing w:before="60" w:after="60"/>
              <w:jc w:val="center"/>
              <w:rPr>
                <w:noProof/>
                <w:sz w:val="20"/>
              </w:rPr>
            </w:pPr>
          </w:p>
        </w:tc>
      </w:tr>
    </w:tbl>
    <w:p>
      <w:pPr>
        <w:rPr>
          <w:noProof/>
          <w:szCs w:val="24"/>
        </w:rPr>
      </w:pPr>
      <w:r>
        <w:rPr>
          <w:noProof/>
        </w:rPr>
        <w:br w:type="page"/>
        <w:t>A bevételre gyakorolt becsült pénzügyi hatás</w:t>
      </w:r>
    </w:p>
    <w:p>
      <w:pPr>
        <w:pStyle w:val="ListDash1"/>
        <w:ind w:left="1134"/>
        <w:rPr>
          <w:noProof/>
        </w:rPr>
      </w:pPr>
      <w:r>
        <w:rPr>
          <w:noProof/>
        </w:rPr>
        <w:sym w:font="Wingdings" w:char="F078"/>
      </w:r>
      <w:r>
        <w:rPr>
          <w:noProof/>
        </w:rPr>
        <w:tab/>
        <w:t>A javaslatnak/kezdeményezésnek nincs pénzügyi hatása a bevételre.</w:t>
      </w:r>
    </w:p>
    <w:p>
      <w:pPr>
        <w:pStyle w:val="ListDash1"/>
        <w:ind w:left="1134"/>
        <w:rPr>
          <w:noProof/>
        </w:rPr>
      </w:pPr>
      <w:r>
        <w:rPr>
          <w:noProof/>
        </w:rPr>
        <w:sym w:font="Wingdings" w:char="F0A8"/>
      </w:r>
      <w:r>
        <w:rPr>
          <w:noProof/>
        </w:rPr>
        <w:tab/>
        <w:t>A javaslatnak/kezdeményezésnek van pénzügyi hatása – a bevételre gyakorolt hatása a következő:</w:t>
      </w:r>
    </w:p>
    <w:p>
      <w:pPr>
        <w:pStyle w:val="ListNumberLevel3"/>
        <w:rPr>
          <w:noProof/>
        </w:rPr>
      </w:pPr>
      <w:r>
        <w:rPr>
          <w:noProof/>
        </w:rPr>
        <w:sym w:font="Wingdings" w:char="F0A8"/>
      </w:r>
      <w:r>
        <w:rPr>
          <w:noProof/>
        </w:rPr>
        <w:tab/>
        <w:t>a javaslat a saját forrásokra gyakorol hatást</w:t>
      </w:r>
    </w:p>
    <w:p>
      <w:pPr>
        <w:pStyle w:val="ListNumberLevel3"/>
        <w:rPr>
          <w:noProof/>
        </w:rPr>
      </w:pPr>
      <w:r>
        <w:rPr>
          <w:noProof/>
        </w:rPr>
        <w:sym w:font="Wingdings" w:char="F0A8"/>
      </w:r>
      <w:r>
        <w:rPr>
          <w:noProof/>
        </w:rPr>
        <w:tab/>
        <w:t>a javaslat az egyéb bevételekre gyakorol hatást</w:t>
      </w:r>
    </w:p>
    <w:p>
      <w:pPr>
        <w:jc w:val="right"/>
        <w:rPr>
          <w:i/>
          <w:noProof/>
          <w:sz w:val="20"/>
        </w:rPr>
      </w:pPr>
      <w:r>
        <w:rPr>
          <w:noProof/>
        </w:rPr>
        <w:t>millió EUR (három tizedesjegyig)</w:t>
      </w:r>
    </w:p>
    <w:tbl>
      <w:tblPr>
        <w:tblW w:w="95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38"/>
        <w:gridCol w:w="42"/>
      </w:tblGrid>
      <w:tr>
        <w:trPr>
          <w:gridAfter w:val="1"/>
          <w:wAfter w:w="42" w:type="dxa"/>
          <w:trHeight w:val="388"/>
        </w:trPr>
        <w:tc>
          <w:tcPr>
            <w:tcW w:w="2144" w:type="dxa"/>
            <w:vMerge w:val="restart"/>
            <w:vAlign w:val="center"/>
          </w:tcPr>
          <w:p>
            <w:pPr>
              <w:spacing w:before="40" w:after="40"/>
              <w:rPr>
                <w:noProof/>
                <w:sz w:val="18"/>
              </w:rPr>
            </w:pPr>
            <w:r>
              <w:rPr>
                <w:noProof/>
                <w:sz w:val="18"/>
              </w:rPr>
              <w:t>Bevételi költségvetési tétel:</w:t>
            </w:r>
          </w:p>
        </w:tc>
        <w:tc>
          <w:tcPr>
            <w:tcW w:w="1276" w:type="dxa"/>
            <w:vMerge w:val="restart"/>
            <w:vAlign w:val="center"/>
          </w:tcPr>
          <w:p>
            <w:pPr>
              <w:jc w:val="center"/>
              <w:rPr>
                <w:noProof/>
                <w:sz w:val="18"/>
              </w:rPr>
            </w:pPr>
            <w:r>
              <w:rPr>
                <w:noProof/>
                <w:sz w:val="18"/>
              </w:rPr>
              <w:t>Az aktuális költségvetési évben rendelkezésre álló előirányzatok</w:t>
            </w:r>
          </w:p>
        </w:tc>
        <w:tc>
          <w:tcPr>
            <w:tcW w:w="6078" w:type="dxa"/>
            <w:gridSpan w:val="6"/>
            <w:vAlign w:val="center"/>
          </w:tcPr>
          <w:p>
            <w:pPr>
              <w:jc w:val="center"/>
              <w:rPr>
                <w:noProof/>
                <w:sz w:val="18"/>
              </w:rPr>
            </w:pPr>
            <w:r>
              <w:rPr>
                <w:noProof/>
                <w:sz w:val="18"/>
              </w:rPr>
              <w:t>A javaslat/kezdeményezés hatása</w:t>
            </w:r>
            <w:r>
              <w:rPr>
                <w:rStyle w:val="FootnoteReference"/>
                <w:noProof/>
                <w:sz w:val="18"/>
              </w:rPr>
              <w:footnoteReference w:id="39"/>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rFonts w:eastAsiaTheme="majorEastAsia"/>
                <w:b/>
                <w:bCs/>
                <w:i/>
                <w:smallCaps/>
                <w:noProof/>
                <w:sz w:val="18"/>
                <w:szCs w:val="28"/>
              </w:rPr>
            </w:pPr>
          </w:p>
        </w:tc>
        <w:tc>
          <w:tcPr>
            <w:tcW w:w="1080" w:type="dxa"/>
            <w:vAlign w:val="center"/>
          </w:tcPr>
          <w:p>
            <w:pPr>
              <w:jc w:val="center"/>
              <w:rPr>
                <w:noProof/>
                <w:sz w:val="18"/>
              </w:rPr>
            </w:pPr>
            <w:r>
              <w:rPr>
                <w:noProof/>
              </w:rPr>
              <w:t>Év</w:t>
            </w:r>
            <w:r>
              <w:rPr>
                <w:noProof/>
              </w:rPr>
              <w:br/>
            </w:r>
            <w:r>
              <w:rPr>
                <w:b/>
                <w:noProof/>
                <w:sz w:val="18"/>
              </w:rPr>
              <w:t>N.</w:t>
            </w:r>
          </w:p>
        </w:tc>
        <w:tc>
          <w:tcPr>
            <w:tcW w:w="900" w:type="dxa"/>
            <w:vAlign w:val="center"/>
          </w:tcPr>
          <w:p>
            <w:pPr>
              <w:jc w:val="center"/>
              <w:rPr>
                <w:noProof/>
                <w:sz w:val="18"/>
              </w:rPr>
            </w:pPr>
            <w:r>
              <w:rPr>
                <w:noProof/>
              </w:rPr>
              <w:t>Év</w:t>
            </w:r>
            <w:r>
              <w:rPr>
                <w:noProof/>
              </w:rPr>
              <w:br/>
            </w:r>
            <w:r>
              <w:rPr>
                <w:b/>
                <w:noProof/>
                <w:sz w:val="18"/>
              </w:rPr>
              <w:t>N+1.</w:t>
            </w:r>
          </w:p>
        </w:tc>
        <w:tc>
          <w:tcPr>
            <w:tcW w:w="900" w:type="dxa"/>
            <w:vAlign w:val="center"/>
          </w:tcPr>
          <w:p>
            <w:pPr>
              <w:jc w:val="center"/>
              <w:rPr>
                <w:noProof/>
                <w:sz w:val="18"/>
              </w:rPr>
            </w:pPr>
            <w:r>
              <w:rPr>
                <w:noProof/>
              </w:rPr>
              <w:t>Év</w:t>
            </w:r>
            <w:r>
              <w:rPr>
                <w:noProof/>
              </w:rPr>
              <w:br/>
            </w:r>
            <w:r>
              <w:rPr>
                <w:b/>
                <w:noProof/>
                <w:sz w:val="18"/>
              </w:rPr>
              <w:t>N+2.</w:t>
            </w:r>
          </w:p>
        </w:tc>
        <w:tc>
          <w:tcPr>
            <w:tcW w:w="3240" w:type="dxa"/>
            <w:gridSpan w:val="4"/>
            <w:vAlign w:val="center"/>
          </w:tcPr>
          <w:p>
            <w:pPr>
              <w:jc w:val="center"/>
              <w:rPr>
                <w:b/>
                <w:noProof/>
                <w:sz w:val="18"/>
              </w:rPr>
            </w:pPr>
            <w:r>
              <w:rPr>
                <w:noProof/>
                <w:sz w:val="18"/>
              </w:rPr>
              <w:t>A táblázat a hatás időtartamának megfelelően (vö. 1.6. pont) további évekkel bővíthető</w:t>
            </w:r>
          </w:p>
        </w:tc>
      </w:tr>
      <w:tr>
        <w:trPr>
          <w:trHeight w:val="388"/>
        </w:trPr>
        <w:tc>
          <w:tcPr>
            <w:tcW w:w="2144" w:type="dxa"/>
            <w:vAlign w:val="center"/>
          </w:tcPr>
          <w:p>
            <w:pPr>
              <w:spacing w:before="40" w:after="40"/>
              <w:rPr>
                <w:noProof/>
                <w:sz w:val="18"/>
              </w:rPr>
            </w:pPr>
            <w:r>
              <w:rPr>
                <w:noProof/>
                <w:sz w:val="18"/>
              </w:rPr>
              <w:t>… jogcímcsoport</w:t>
            </w:r>
          </w:p>
        </w:tc>
        <w:tc>
          <w:tcPr>
            <w:tcW w:w="1276" w:type="dxa"/>
          </w:tcPr>
          <w:p>
            <w:pPr>
              <w:spacing w:beforeLines="40" w:before="96" w:afterLines="40" w:after="96"/>
              <w:jc w:val="center"/>
              <w:rPr>
                <w:rFonts w:eastAsiaTheme="majorEastAsia"/>
                <w:bCs/>
                <w:i/>
                <w:noProof/>
                <w:sz w:val="18"/>
              </w:rPr>
            </w:pPr>
          </w:p>
        </w:tc>
        <w:tc>
          <w:tcPr>
            <w:tcW w:w="1080" w:type="dxa"/>
          </w:tcPr>
          <w:p>
            <w:pPr>
              <w:spacing w:beforeLines="40" w:before="96" w:afterLines="40" w:after="96"/>
              <w:jc w:val="center"/>
              <w:rPr>
                <w:rFonts w:eastAsiaTheme="majorEastAsia"/>
                <w:bCs/>
                <w:i/>
                <w:noProof/>
                <w:sz w:val="18"/>
              </w:rPr>
            </w:pPr>
          </w:p>
        </w:tc>
        <w:tc>
          <w:tcPr>
            <w:tcW w:w="900" w:type="dxa"/>
          </w:tcPr>
          <w:p>
            <w:pPr>
              <w:spacing w:beforeLines="40" w:before="96" w:afterLines="40" w:after="96"/>
              <w:jc w:val="center"/>
              <w:rPr>
                <w:rFonts w:eastAsiaTheme="majorEastAsia"/>
                <w:bCs/>
                <w:i/>
                <w:noProof/>
                <w:sz w:val="18"/>
              </w:rPr>
            </w:pPr>
          </w:p>
        </w:tc>
        <w:tc>
          <w:tcPr>
            <w:tcW w:w="900" w:type="dxa"/>
          </w:tcPr>
          <w:p>
            <w:pPr>
              <w:spacing w:beforeLines="40" w:before="96" w:afterLines="40" w:after="96"/>
              <w:jc w:val="center"/>
              <w:rPr>
                <w:rFonts w:eastAsiaTheme="majorEastAsia"/>
                <w:bCs/>
                <w:i/>
                <w:noProof/>
                <w:sz w:val="18"/>
              </w:rPr>
            </w:pPr>
          </w:p>
        </w:tc>
        <w:tc>
          <w:tcPr>
            <w:tcW w:w="1080" w:type="dxa"/>
          </w:tcPr>
          <w:p>
            <w:pPr>
              <w:spacing w:beforeLines="40" w:before="96" w:afterLines="40" w:after="96"/>
              <w:jc w:val="center"/>
              <w:rPr>
                <w:rFonts w:eastAsiaTheme="majorEastAsia"/>
                <w:bCs/>
                <w:i/>
                <w:noProof/>
                <w:sz w:val="18"/>
              </w:rPr>
            </w:pPr>
          </w:p>
        </w:tc>
        <w:tc>
          <w:tcPr>
            <w:tcW w:w="1080" w:type="dxa"/>
          </w:tcPr>
          <w:p>
            <w:pPr>
              <w:spacing w:beforeLines="40" w:before="96" w:afterLines="40" w:after="96"/>
              <w:jc w:val="center"/>
              <w:rPr>
                <w:rFonts w:eastAsiaTheme="majorEastAsia"/>
                <w:bCs/>
                <w:i/>
                <w:noProof/>
                <w:sz w:val="18"/>
              </w:rPr>
            </w:pPr>
          </w:p>
        </w:tc>
        <w:tc>
          <w:tcPr>
            <w:tcW w:w="1080" w:type="dxa"/>
            <w:gridSpan w:val="2"/>
          </w:tcPr>
          <w:p>
            <w:pPr>
              <w:spacing w:beforeLines="40" w:before="96" w:afterLines="40" w:after="96"/>
              <w:jc w:val="center"/>
              <w:rPr>
                <w:rFonts w:eastAsiaTheme="majorEastAsia"/>
                <w:bCs/>
                <w:i/>
                <w:noProof/>
                <w:sz w:val="18"/>
              </w:rPr>
            </w:pPr>
          </w:p>
        </w:tc>
      </w:tr>
    </w:tbl>
    <w:p>
      <w:pPr>
        <w:pStyle w:val="Text1"/>
        <w:rPr>
          <w:noProof/>
          <w:sz w:val="20"/>
        </w:rPr>
      </w:pPr>
      <w:r>
        <w:rPr>
          <w:noProof/>
          <w:sz w:val="20"/>
        </w:rPr>
        <w:t>Az egyéb címzett bevételek esetében tüntesse fel az érintett kiadáshoz tartozó költségvetési tétel(eke)t.</w:t>
      </w:r>
    </w:p>
    <w:p>
      <w:pPr>
        <w:pStyle w:val="Text1"/>
        <w:pBdr>
          <w:top w:val="single" w:sz="4" w:space="1" w:color="auto"/>
          <w:left w:val="single" w:sz="4" w:space="4" w:color="auto"/>
          <w:bottom w:val="single" w:sz="4" w:space="1" w:color="auto"/>
          <w:right w:val="single" w:sz="4" w:space="4" w:color="auto"/>
        </w:pBdr>
        <w:rPr>
          <w:noProof/>
        </w:rPr>
      </w:pPr>
      <w:r>
        <w:rPr>
          <w:noProof/>
        </w:rPr>
        <w:t>xx.01.04.xx és xx.xx.xx</w:t>
      </w:r>
    </w:p>
    <w:p>
      <w:pPr>
        <w:pStyle w:val="Text1"/>
        <w:rPr>
          <w:noProof/>
          <w:sz w:val="20"/>
        </w:rPr>
      </w:pPr>
      <w:r>
        <w:rPr>
          <w:noProof/>
          <w:sz w:val="20"/>
        </w:rPr>
        <w:t>Ismertesse a bevételre gyakorolt hatás számításának módszerét.</w:t>
      </w:r>
    </w:p>
    <w:p>
      <w:pPr>
        <w:pStyle w:val="Text1"/>
        <w:pBdr>
          <w:top w:val="single" w:sz="4" w:space="1" w:color="auto"/>
          <w:left w:val="single" w:sz="4" w:space="4" w:color="auto"/>
          <w:bottom w:val="single" w:sz="4" w:space="1" w:color="auto"/>
          <w:right w:val="single" w:sz="4" w:space="4" w:color="auto"/>
        </w:pBdr>
        <w:rPr>
          <w:noProof/>
        </w:rPr>
      </w:pPr>
      <w:r>
        <w:rPr>
          <w:noProof/>
        </w:rPr>
        <w:t>A hozzájárulókkal kötendő egyedi keretmegállapodásokban kell meghatározni.</w:t>
      </w:r>
    </w:p>
    <w:sectPr>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ahoma"/>
    <w:charset w:val="00"/>
    <w:family w:val="swiss"/>
    <w:pitch w:val="variable"/>
    <w:sig w:usb0="00000000" w:usb1="8000787B" w:usb2="00000008" w:usb3="00000000" w:csb0="000100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EndnoteText"/>
        <w:tabs>
          <w:tab w:val="left" w:pos="284"/>
        </w:tabs>
        <w:spacing w:after="60"/>
      </w:pPr>
      <w:r>
        <w:rPr>
          <w:rStyle w:val="FootnoteReference"/>
        </w:rPr>
        <w:footnoteRef/>
      </w:r>
      <w:r>
        <w:tab/>
        <w:t>A „tagállam” kifejezés magában foglalja a nemzeti hatóságokat.</w:t>
      </w:r>
    </w:p>
  </w:footnote>
  <w:footnote w:id="3">
    <w:p>
      <w:pPr>
        <w:pStyle w:val="EndnoteText"/>
        <w:tabs>
          <w:tab w:val="left" w:pos="284"/>
        </w:tabs>
        <w:spacing w:after="60"/>
        <w:ind w:left="284" w:hanging="284"/>
      </w:pPr>
      <w:r>
        <w:rPr>
          <w:rStyle w:val="FootnoteReference"/>
        </w:rPr>
        <w:footnoteRef/>
      </w:r>
      <w:r>
        <w:tab/>
        <w:t>A Bizottság közleménye az Európai Parlamentnek, a Tanácsnak, az Európai Gazdasági és Szociális Bizottságnak és a Régiók Bizottságának, Minőségi jogalkotással javítani az eredményeken – uniós program, Strasbourg, 2015.5.19., COM(2015) 215 final.</w:t>
      </w:r>
    </w:p>
    <w:p>
      <w:pPr>
        <w:pStyle w:val="EndnoteText"/>
        <w:tabs>
          <w:tab w:val="left" w:pos="284"/>
        </w:tabs>
        <w:spacing w:after="60"/>
        <w:ind w:left="284" w:hanging="284"/>
      </w:pPr>
      <w:r>
        <w:tab/>
        <w:t>Ebben a közleményben jelezte annak szükségességét, hogy „(e)gyüttműködik a tagállamokkal annak érdekében, hogy megvizsgálja, melyek a legjobb módjai az uniós és nemzeti jog közötti megfelelés biztosításának […], és (t)ovábbra is gondosan nyomon követi majd, hogy az uniós irányelveket egyértelműen, helyesen és időben átültetik-e, és hogy valamennyi tagállamban megfelelően hajtják-e végre és érvényesítik-e az uniós szabályokat, ami jogbiztonságot jelent, és lehetővé teszi a polgárok és vállalkozások számára, hogy részesedjenek az egységes piac kínálta lehetőségekből.”.</w:t>
      </w:r>
    </w:p>
    <w:p>
      <w:pPr>
        <w:pStyle w:val="EndnoteText"/>
        <w:tabs>
          <w:tab w:val="left" w:pos="284"/>
        </w:tabs>
        <w:ind w:left="284" w:hanging="284"/>
      </w:pPr>
    </w:p>
  </w:footnote>
  <w:footnote w:id="4">
    <w:p>
      <w:pPr>
        <w:pStyle w:val="FootnoteText"/>
        <w:tabs>
          <w:tab w:val="left" w:pos="284"/>
        </w:tabs>
        <w:spacing w:after="60"/>
        <w:ind w:left="284" w:hanging="284"/>
      </w:pPr>
      <w:r>
        <w:rPr>
          <w:rStyle w:val="FootnoteReference"/>
        </w:rPr>
        <w:footnoteRef/>
      </w:r>
      <w:r>
        <w:tab/>
        <w:t>Az „uniós alapok” kifejezés az európai strukturális és beruházási alapokra, a leginkább rászoruló személyeket támogató európai segítségnyújtási alapra, a Menekültügyi, Migrációs és Integrációs Alapra, valamint a Belső Biztonsági Alapra utal.</w:t>
      </w:r>
    </w:p>
  </w:footnote>
  <w:footnote w:id="5">
    <w:p>
      <w:pPr>
        <w:pStyle w:val="FootnoteText"/>
        <w:spacing w:after="60"/>
        <w:ind w:left="284" w:hanging="284"/>
      </w:pPr>
      <w:r>
        <w:rPr>
          <w:rStyle w:val="FootnoteReference"/>
        </w:rPr>
        <w:footnoteRef/>
      </w:r>
      <w:r>
        <w:tab/>
        <w:t>Az Európai Parlament és a Tanács 2013. december 17-i 1303/2013/EU rendelete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footnote>
  <w:footnote w:id="6">
    <w:p>
      <w:pPr>
        <w:pStyle w:val="FootnoteText"/>
        <w:spacing w:after="60"/>
        <w:ind w:left="284" w:hanging="284"/>
      </w:pPr>
      <w:r>
        <w:rPr>
          <w:rStyle w:val="FootnoteReference"/>
        </w:rPr>
        <w:footnoteRef/>
      </w:r>
      <w:r>
        <w:tab/>
        <w:t>2014. március 11-i 223/2014/EU rendelet a leginkább rászoruló személyeket támogató európai segítségnyújtási alapról (HL L 72., 2014.3.12., 1. o.).</w:t>
      </w:r>
    </w:p>
  </w:footnote>
  <w:footnote w:id="7">
    <w:p>
      <w:pPr>
        <w:pStyle w:val="FootnoteText"/>
        <w:spacing w:after="60"/>
        <w:ind w:left="284" w:hanging="284"/>
      </w:pPr>
      <w:r>
        <w:rPr>
          <w:rStyle w:val="FootnoteReference"/>
        </w:rPr>
        <w:footnoteRef/>
      </w:r>
      <w:r>
        <w:tab/>
        <w:t>A Menekültügyi, Migrációs és Integrációs Alap létrehozásáról szóló 516/2014/EU rendelet, a Belső Biztonsági Alap részét képező, a rendőrségi együttműködés, a bűnmegelőzés és a bűnözés elleni küzdelem, valamint a válságkezelés pénzügyi támogatására szolgáló eszköz létrehozásáról szóló 513/2014/EU rendelet, valamint a Belső Biztonsági Alap részét képező, a külső határok és a vízumügy pénzügyi támogatására szolgáló eszköz létrehozásáról szóló 515/2014/EU rendelet.</w:t>
      </w:r>
    </w:p>
  </w:footnote>
  <w:footnote w:id="8">
    <w:p>
      <w:pPr>
        <w:pStyle w:val="FootnoteText"/>
        <w:spacing w:after="60"/>
        <w:ind w:left="284" w:hanging="284"/>
      </w:pPr>
      <w:r>
        <w:rPr>
          <w:rStyle w:val="FootnoteReference"/>
        </w:rPr>
        <w:footnoteRef/>
      </w:r>
      <w:r>
        <w:tab/>
        <w:t>A Bizottság közleménye: Európa 2020 – Az intelligens, fenntartható és inkluzív növekedés stratégiája, Brüsszel, 2010.3.3., COM(2010) 2020 végleges.</w:t>
      </w:r>
    </w:p>
  </w:footnote>
  <w:footnote w:id="9">
    <w:p>
      <w:pPr>
        <w:pStyle w:val="FootnoteText"/>
        <w:spacing w:after="60"/>
        <w:ind w:left="284" w:hanging="284"/>
      </w:pPr>
      <w:r>
        <w:rPr>
          <w:rStyle w:val="FootnoteReference"/>
        </w:rPr>
        <w:footnoteRef/>
      </w:r>
      <w:r>
        <w:tab/>
        <w:t>A Bizottság közleménye az Európai Parlamentnek, a Tanácsnak, az Európai Gazdasági és Szociális Bizottságnak és a Régiók Bizottságának, Cselekvési terv a tőkepiaci unió megteremtésére, Brüsszel, 2015.9.30., COM(2015) 468 final.</w:t>
      </w:r>
    </w:p>
  </w:footnote>
  <w:footnote w:id="10">
    <w:p>
      <w:pPr>
        <w:pStyle w:val="FootnoteText"/>
        <w:tabs>
          <w:tab w:val="left" w:pos="284"/>
        </w:tabs>
        <w:spacing w:after="60"/>
        <w:ind w:left="284" w:hanging="284"/>
        <w:rPr>
          <w:rStyle w:val="Hyperlink"/>
          <w:i/>
          <w:sz w:val="24"/>
          <w:szCs w:val="22"/>
        </w:rPr>
      </w:pPr>
      <w:r>
        <w:rPr>
          <w:rStyle w:val="FootnoteReference"/>
        </w:rPr>
        <w:footnoteRef/>
      </w:r>
      <w:r>
        <w:tab/>
        <w:t>Zárójelentés, 2014. július: VC/2014/0002 Preliminary Evaluation of the Technical Assistance provided to Greece in 2011-2013 in the areas of Tax Administration and Central Administration Reform (Az adóigazgatás és a központi igazgatás reformja terén 2011–2013 között Görögországnak nyújtott technikai segítségnyújtás előzetes értékelése), készítette az Alvarez &amp; Marsal Taxand, valamint az Adam Smith International az Európai Bizottság számára.</w:t>
      </w:r>
      <w:r>
        <w:br/>
      </w:r>
      <w:hyperlink r:id="rId1">
        <w:r>
          <w:rPr>
            <w:rStyle w:val="Hyperlink"/>
            <w:i/>
          </w:rPr>
          <w:t>http://ec.europa.eu/about/taskforce-greece/pdf/tfgr/evaluation_report_alvarez_july_2014_en.pdf</w:t>
        </w:r>
      </w:hyperlink>
    </w:p>
    <w:p>
      <w:pPr>
        <w:pStyle w:val="FootnoteText"/>
        <w:ind w:left="284"/>
        <w:rPr>
          <w:rFonts w:ascii="Arial" w:hAnsi="Arial" w:cs="Arial"/>
          <w:i/>
          <w:sz w:val="18"/>
        </w:rPr>
      </w:pPr>
    </w:p>
  </w:footnote>
  <w:footnote w:id="11">
    <w:p>
      <w:pPr>
        <w:pStyle w:val="FootnoteText"/>
        <w:spacing w:after="60"/>
        <w:ind w:left="284" w:hanging="284"/>
      </w:pPr>
      <w:r>
        <w:rPr>
          <w:rStyle w:val="FootnoteReference"/>
        </w:rPr>
        <w:footnoteRef/>
      </w:r>
      <w:r>
        <w:tab/>
        <w:t>Bizottsági szolgálati munkadokumentum – A strukturálisreform-támogató program 2017–2020-as időszakra vonatkozó létrehozásáról, valamint az 1303/2013/EU és az 1305/2013/EU rendelet módosításáról szóló (EU) XXX/XXX európai parlamenti és tanácsi rendeletre irányuló javaslatot kísérő előzetes értékelés, Brüsszel, XXX, COM(2015) XXX final.</w:t>
      </w:r>
    </w:p>
  </w:footnote>
  <w:footnote w:id="12">
    <w:p>
      <w:pPr>
        <w:pStyle w:val="FootnoteText"/>
        <w:spacing w:after="60"/>
        <w:ind w:left="284" w:hanging="284"/>
      </w:pPr>
      <w:r>
        <w:rPr>
          <w:rStyle w:val="FootnoteReference"/>
        </w:rPr>
        <w:footnoteRef/>
      </w:r>
      <w:r>
        <w:tab/>
        <w:t>Vö. az 1303/2013/EU rendelet 58. cikke (1) bekezdésének l) pontjával.</w:t>
      </w:r>
    </w:p>
  </w:footnote>
  <w:footnote w:id="13">
    <w:p>
      <w:pPr>
        <w:pStyle w:val="FootnoteText"/>
        <w:tabs>
          <w:tab w:val="left" w:pos="284"/>
        </w:tabs>
        <w:spacing w:after="60"/>
      </w:pPr>
      <w:r>
        <w:rPr>
          <w:rStyle w:val="FootnoteReference"/>
        </w:rPr>
        <w:footnoteRef/>
      </w:r>
      <w:r>
        <w:tab/>
        <w:t>Lásd a jogalkotási javaslat mellékletét.</w:t>
      </w:r>
    </w:p>
  </w:footnote>
  <w:footnote w:id="14">
    <w:p>
      <w:pPr>
        <w:pStyle w:val="FootnoteText"/>
        <w:spacing w:after="60"/>
        <w:jc w:val="left"/>
      </w:pPr>
      <w:r>
        <w:rPr>
          <w:rStyle w:val="FootnoteReference"/>
        </w:rPr>
        <w:footnoteRef/>
      </w:r>
      <w:r>
        <w:tab/>
        <w:t>COM(2010)700, 2010. október 19.</w:t>
      </w:r>
    </w:p>
  </w:footnote>
  <w:footnote w:id="15">
    <w:p>
      <w:pPr>
        <w:pStyle w:val="FootnoteText"/>
        <w:spacing w:after="60"/>
      </w:pPr>
      <w:r>
        <w:rPr>
          <w:rStyle w:val="FootnoteReference"/>
        </w:rPr>
        <w:footnoteRef/>
      </w:r>
      <w:r>
        <w:tab/>
        <w:t>COM(2011)500 final, 2011. június 29.</w:t>
      </w:r>
    </w:p>
  </w:footnote>
  <w:footnote w:id="16">
    <w:p>
      <w:pPr>
        <w:pStyle w:val="FootnoteText"/>
        <w:spacing w:after="60"/>
      </w:pPr>
      <w:r>
        <w:rPr>
          <w:rStyle w:val="FootnoteReference"/>
        </w:rPr>
        <w:footnoteRef/>
      </w:r>
      <w:r>
        <w:tab/>
        <w:t>A Tanács 2013. december 2-i 1311/2013/EU, Euratom rendelete a 2014–2020-as időszakra vonatkozó többéves pénzügyi keretről (HL L 347., 2013.12.20., 884. o.).</w:t>
      </w:r>
    </w:p>
  </w:footnote>
  <w:footnote w:id="17">
    <w:p>
      <w:pPr>
        <w:pStyle w:val="FootnoteText"/>
        <w:spacing w:after="60"/>
      </w:pPr>
      <w:r>
        <w:rPr>
          <w:rStyle w:val="FootnoteReference"/>
        </w:rPr>
        <w:footnoteRef/>
      </w:r>
      <w:r>
        <w:tab/>
        <w:t>Az Európai Parlament és a Tanács 2013. december 17-i 1303/2013/EU rendelete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(HL L 347., 2013.12.20., 320. o.).</w:t>
      </w:r>
    </w:p>
  </w:footnote>
  <w:footnote w:id="18">
    <w:p>
      <w:pPr>
        <w:pStyle w:val="FootnoteText"/>
        <w:spacing w:after="60"/>
        <w:rPr>
          <w:lang w:val="lv-LV"/>
        </w:rPr>
      </w:pPr>
      <w:r>
        <w:rPr>
          <w:rStyle w:val="FootnoteReference"/>
        </w:rPr>
        <w:footnoteRef/>
      </w:r>
      <w:r>
        <w:tab/>
        <w:t>Az Európai Parlament és a Tanács 2013. december 17-i 1305/2013/EU rendelete az Európai Mezőgazdasági Vidékfejlesztési Alapból (EMVA) nyújtandó vidékfejlesztési támogatásról és az 1698/2005/EK tanácsi rendelet hatályon kívül helyezéséről (HL L 347., 2013.12.20., 487. o.).</w:t>
      </w:r>
    </w:p>
  </w:footnote>
  <w:footnote w:id="19">
    <w:p>
      <w:pPr>
        <w:pStyle w:val="FootnoteText"/>
        <w:spacing w:after="60"/>
      </w:pPr>
      <w:r>
        <w:rPr>
          <w:rStyle w:val="FootnoteReference"/>
        </w:rPr>
        <w:footnoteRef/>
      </w:r>
      <w:r>
        <w:tab/>
        <w:t>Az Európai Parlament és a Tanács 2012. október 25-i 966/2012/EU, Euratom rendelete az Unió általános költségvetésére alkalmazandó pénzügyi szabályokról és az 1605/2002/EK, Euratom tanácsi rendelet hatályon kívül helyezéséről (HL L 298., 2012.10.26., 1. o.).</w:t>
      </w:r>
    </w:p>
  </w:footnote>
  <w:footnote w:id="20">
    <w:p>
      <w:pPr>
        <w:pStyle w:val="FootnoteText"/>
        <w:spacing w:after="60"/>
      </w:pPr>
      <w:r>
        <w:rPr>
          <w:rStyle w:val="FootnoteReference"/>
        </w:rPr>
        <w:footnoteRef/>
      </w:r>
      <w:r>
        <w:tab/>
        <w:t>Az Európai Parlament és a Tanács 2014. március 11-i 223/2014/EU rendelete a leginkább rászoruló személyeket támogató európai segítségnyújtási alapról (HL L 72., 2014.3.12., 1. o.).</w:t>
      </w:r>
    </w:p>
  </w:footnote>
  <w:footnote w:id="21">
    <w:p>
      <w:pPr>
        <w:pStyle w:val="FootnoteText"/>
        <w:spacing w:after="60"/>
      </w:pPr>
      <w:r>
        <w:rPr>
          <w:rStyle w:val="FootnoteReference"/>
        </w:rPr>
        <w:footnoteRef/>
      </w:r>
      <w:r>
        <w:tab/>
        <w:t>Az Európai Parlament és a Tanács 2014. április 16-i 516/2014/EU rendelete a Menekültügyi, Migrációs és Integrációs Alap létrehozásáról, a 2008/381/EK tanácsi határozat módosításáról, valamint az 573/2007/EK és az 575/2007/EK európai parlamenti és tanácsi határozatok és a 2007/435/EK tanácsi határozat hatályon kívül helyezéséről (HL L 150., 2014.5.20., 168. o.).</w:t>
      </w:r>
    </w:p>
  </w:footnote>
  <w:footnote w:id="22">
    <w:p>
      <w:pPr>
        <w:pStyle w:val="FootnoteText"/>
        <w:spacing w:after="60"/>
      </w:pPr>
      <w:r>
        <w:rPr>
          <w:rStyle w:val="FootnoteReference"/>
        </w:rPr>
        <w:footnoteRef/>
      </w:r>
      <w:r>
        <w:tab/>
        <w:t>Az Európai Parlament és a Tanács 2014. április 16-i 513/2014/EU rendelete a Belső Biztonsági Alap részét képező, a rendőrségi együttműködés, a bűnmegelőzés és a bűnözés elleni küzdelem, valamint a válságkezelés pénzügyi támogatására szolgáló eszköz létrehozásáról és a 2007/125/IB tanácsi határozat hatályon kívül helyezéséről (HL L 150., 2014.5.20., 93. o.).</w:t>
      </w:r>
    </w:p>
  </w:footnote>
  <w:footnote w:id="23">
    <w:p>
      <w:pPr>
        <w:pStyle w:val="FootnoteText"/>
      </w:pPr>
      <w:r>
        <w:rPr>
          <w:rStyle w:val="FootnoteReference"/>
        </w:rPr>
        <w:footnoteRef/>
      </w:r>
      <w:r>
        <w:tab/>
        <w:t>Az Európai Parlament és a Tanács 2014. április 16-i 515/2014/EU rendelete a Belső Biztonsági Alap részét képező, a külső határok és a vízumügy pénzügyi támogatására szolgáló eszköz létrehozásáról és az 574/2007/EK határozat hatályon kívül helyezéséről (HL 150., 2014.5.20., 143. o.).</w:t>
      </w:r>
    </w:p>
  </w:footnote>
  <w:footnote w:id="24">
    <w:p>
      <w:pPr>
        <w:pStyle w:val="FootnoteText"/>
        <w:spacing w:after="60"/>
      </w:pPr>
      <w:r>
        <w:rPr>
          <w:rStyle w:val="FootnoteReference"/>
        </w:rPr>
        <w:footnoteRef/>
      </w:r>
      <w:r>
        <w:tab/>
        <w:t>Az Európai Parlament és a Tanács 2013. május 21-i 472/2013/EU rendelete a pénzügyi stabilitásuk tekintetében súlyos nehézségekkel küzdő vagy súlyos nehézségek által fenyegetett euróövezeti tagállamok gazdasági és költségvetési felügyeletének megerősítéséről (HL L 140., 2013.5.27., 1. o.).</w:t>
      </w:r>
    </w:p>
  </w:footnote>
  <w:footnote w:id="25">
    <w:p>
      <w:pPr>
        <w:pStyle w:val="FootnoteText"/>
        <w:spacing w:after="60"/>
      </w:pPr>
      <w:r>
        <w:rPr>
          <w:rStyle w:val="FootnoteReference"/>
        </w:rPr>
        <w:footnoteRef/>
      </w:r>
      <w:r>
        <w:tab/>
        <w:t>A Tanács 2002. február 18-i 332/2002/EK rendelete a tagállamok fizetési mérlegéhez középtávú pénzügyi támogatási mechanizmus eszköz létrehozásáról (HL L 53., 2002.2.23., 1. o.).</w:t>
      </w:r>
    </w:p>
    <w:p>
      <w:pPr>
        <w:pStyle w:val="FootnoteText"/>
      </w:pPr>
    </w:p>
  </w:footnote>
  <w:footnote w:id="26">
    <w:p>
      <w:pPr>
        <w:pStyle w:val="FootnoteText"/>
        <w:spacing w:after="60"/>
      </w:pPr>
      <w:r>
        <w:rPr>
          <w:rStyle w:val="FootnoteReference"/>
        </w:rPr>
        <w:footnoteRef/>
      </w:r>
      <w:r>
        <w:tab/>
        <w:t>A Tanács 1996. november 11-i 2185/96/Euratom, EK rendelete az Európai Közösségek pénzügyi érdekeinek csalással és egyéb szabálytalanságokkal szembeni védelmében a Bizottság által végzett helyszíni ellenőrzésekről és vizsgálatokról (HL L 292., 1996.11.15., 2. o.).</w:t>
      </w:r>
    </w:p>
  </w:footnote>
  <w:footnote w:id="27">
    <w:p>
      <w:pPr>
        <w:pStyle w:val="FootnoteText"/>
        <w:spacing w:after="60"/>
        <w:rPr>
          <w:szCs w:val="24"/>
        </w:rPr>
      </w:pPr>
      <w:r>
        <w:rPr>
          <w:rStyle w:val="FootnoteReference"/>
        </w:rPr>
        <w:footnoteRef/>
      </w:r>
      <w:r>
        <w:tab/>
        <w:t>Tevékenységalapú irányítás: ABM (Activity Based Management), tevékenységalapú költségvetés-tervezés: ABB (Activity Based Budgeting).</w:t>
      </w:r>
    </w:p>
  </w:footnote>
  <w:footnote w:id="28">
    <w:p>
      <w:pPr>
        <w:pStyle w:val="FootnoteText"/>
        <w:spacing w:after="60"/>
        <w:rPr>
          <w:szCs w:val="24"/>
        </w:rPr>
      </w:pPr>
      <w:r>
        <w:rPr>
          <w:rStyle w:val="FootnoteReference"/>
        </w:rPr>
        <w:footnoteRef/>
      </w:r>
      <w:r>
        <w:tab/>
        <w:t>A költségvetési rendelet 54. cikke (2) bekezdésének a) vagy b) pontja szerint.</w:t>
      </w:r>
    </w:p>
  </w:footnote>
  <w:footnote w:id="29">
    <w:p>
      <w:pPr>
        <w:pStyle w:val="FootnoteText"/>
        <w:spacing w:after="60"/>
      </w:pPr>
      <w:r>
        <w:rPr>
          <w:rStyle w:val="FootnoteReference"/>
        </w:rPr>
        <w:footnoteRef/>
      </w:r>
      <w:r>
        <w:tab/>
      </w:r>
      <w:r>
        <w:rPr>
          <w:color w:val="000000"/>
          <w:sz w:val="19"/>
        </w:rPr>
        <w:t>A 2016. évi költségvetési tervezetben a 01 02 77 01. költségvetési tételhez tartozóan elfogadott előkészítő intézkedés, amely „a felelős költségvetési gazdálkodás, a növekedésösztönző közigazgatás és a versenyképesség területén végrehajtott legfontosabb reformintézkedések végrehajtásához a tagállamoknak nyújtott támogatás finanszírozására irányul. A támogatás célja a reformok végrehajtásához szükséges tagállami kapacitások fejlesztése és a tagállamok közintézményeinek megerősítése. A támogatás elsősorban azon költségvetési, strukturális és intézményi reformokra összpontosul, amelyeket prioritásként határoztak meg a rendszeres makrogazdasági felügyelet uniós ciklusa keretében, vagy valamely gazdasági kiigazítási program kapcsán, vagy a megerősített felügyelet időtartama alatt vagy programot követő utólagos felügyelet keretében. A támogatás az érintett tagállam Bizottsághoz intézett kérése alapján igényelhető és a tagállamok mindegyike számára elérhető.”</w:t>
      </w:r>
    </w:p>
  </w:footnote>
  <w:footnote w:id="30">
    <w:p>
      <w:pPr>
        <w:pStyle w:val="FootnoteText"/>
        <w:spacing w:after="60"/>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2">
        <w:r>
          <w:rPr>
            <w:rStyle w:val="Hyperlink"/>
            <w:sz w:val="18"/>
          </w:rPr>
          <w:t>http://www.cc.cec/budg/man/budgmanag/budgmanag_en.html</w:t>
        </w:r>
      </w:hyperlink>
    </w:p>
  </w:footnote>
  <w:footnote w:id="31">
    <w:p>
      <w:pPr>
        <w:pStyle w:val="FootnoteText"/>
        <w:spacing w:after="60"/>
        <w:rPr>
          <w:szCs w:val="24"/>
        </w:rPr>
      </w:pPr>
      <w:r>
        <w:rPr>
          <w:rStyle w:val="FootnoteReference"/>
        </w:rPr>
        <w:footnoteRef/>
      </w:r>
      <w:r>
        <w:tab/>
        <w:t>Diff. = Differenciált előirányzatok / Nem diff. = Nem differenciált előirányzatok.</w:t>
      </w:r>
    </w:p>
  </w:footnote>
  <w:footnote w:id="32">
    <w:p>
      <w:pPr>
        <w:pStyle w:val="FootnoteText"/>
        <w:spacing w:after="60"/>
        <w:rPr>
          <w:szCs w:val="24"/>
        </w:rPr>
      </w:pPr>
      <w:r>
        <w:rPr>
          <w:rStyle w:val="FootnoteReference"/>
        </w:rPr>
        <w:footnoteRef/>
      </w:r>
      <w:r>
        <w:tab/>
        <w:t>EFTA: Európai Szabadkereskedelmi Társulás.</w:t>
      </w:r>
    </w:p>
  </w:footnote>
  <w:footnote w:id="33">
    <w:p>
      <w:pPr>
        <w:pStyle w:val="FootnoteText"/>
        <w:spacing w:after="60"/>
        <w:rPr>
          <w:szCs w:val="24"/>
        </w:rPr>
      </w:pPr>
      <w:r>
        <w:rPr>
          <w:rStyle w:val="FootnoteReference"/>
        </w:rPr>
        <w:footnoteRef/>
      </w:r>
      <w:r>
        <w:tab/>
        <w:t>Tagjelölt országok és adott esetben a nyugat-balkáni potenciális tagjelölt országok.</w:t>
      </w:r>
    </w:p>
  </w:footnote>
  <w:footnote w:id="34">
    <w:p>
      <w:pPr>
        <w:pStyle w:val="FootnoteText"/>
        <w:spacing w:after="60"/>
      </w:pPr>
      <w:r>
        <w:rPr>
          <w:rStyle w:val="FootnoteReference"/>
        </w:rPr>
        <w:footnoteRef/>
      </w:r>
      <w:r>
        <w:tab/>
        <w:t>Az N. év a javaslat/kezdeményezés végrehajtásának első éve.</w:t>
      </w:r>
    </w:p>
  </w:footnote>
  <w:footnote w:id="35">
    <w:p>
      <w:pPr>
        <w:pStyle w:val="FootnoteText"/>
        <w:spacing w:after="60"/>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36">
    <w:p>
      <w:pPr>
        <w:pStyle w:val="FootnoteText"/>
        <w:spacing w:after="60"/>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37">
    <w:p>
      <w:pPr>
        <w:pStyle w:val="FootnoteText"/>
        <w:spacing w:after="60"/>
        <w:rPr>
          <w:szCs w:val="24"/>
        </w:rPr>
      </w:pPr>
      <w:r>
        <w:rPr>
          <w:rStyle w:val="FootnoteReference"/>
        </w:rPr>
        <w:footnoteRef/>
      </w:r>
      <w:r>
        <w:tab/>
        <w:t>AC=szerződéses alkalmazott; AL=helyi alkalmazott; END=kirendelt nemzeti szakértő; INT=kölcsönmunkaerő (átmeneti alkalmazott); JED=küldöttségi pályakezdő szakértő.</w:t>
      </w:r>
    </w:p>
  </w:footnote>
  <w:footnote w:id="38">
    <w:p>
      <w:pPr>
        <w:pStyle w:val="FootnoteText"/>
        <w:spacing w:after="60"/>
        <w:rPr>
          <w:szCs w:val="24"/>
        </w:rPr>
      </w:pPr>
      <w:r>
        <w:rPr>
          <w:rStyle w:val="FootnoteReference"/>
        </w:rPr>
        <w:footnoteRef/>
      </w:r>
      <w:r>
        <w:tab/>
        <w:t>Az operatív előirányzatokból finanszírozott külső munkatársakra vonatkozó részleges felső határérték (korábban: BA-tételek).</w:t>
      </w:r>
    </w:p>
  </w:footnote>
  <w:footnote w:id="39">
    <w:p>
      <w:pPr>
        <w:pStyle w:val="FootnoteText"/>
        <w:spacing w:after="60"/>
        <w:rPr>
          <w:szCs w:val="24"/>
        </w:rPr>
      </w:pPr>
      <w:r>
        <w:rPr>
          <w:rStyle w:val="FootnoteReference"/>
        </w:rPr>
        <w:footnoteRef/>
      </w:r>
      <w:r>
        <w:tab/>
        <w:t>A tradicionális saját források (vámok, cukorilletékek) tekintetében nettó összegeket, vagyis a 25 %-kal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2">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8">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2">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15">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4">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A2516BD"/>
    <w:multiLevelType w:val="singleLevel"/>
    <w:tmpl w:val="6B9A636E"/>
    <w:name w:val="0,9421612"/>
    <w:lvl w:ilvl="0">
      <w:start w:val="1"/>
      <w:numFmt w:val="bullet"/>
      <w:pStyle w:val="ListDash1"/>
      <w:lvlText w:val="–"/>
      <w:lvlJc w:val="left"/>
      <w:pPr>
        <w:tabs>
          <w:tab w:val="num" w:pos="1723"/>
        </w:tabs>
        <w:ind w:left="1723" w:hanging="283"/>
      </w:pPr>
      <w:rPr>
        <w:rFonts w:ascii="Times New Roman" w:hAnsi="Times New Roman"/>
      </w:rPr>
    </w:lvl>
  </w:abstractNum>
  <w:abstractNum w:abstractNumId="26">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2">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3">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37">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38">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39">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1"/>
  </w:num>
  <w:num w:numId="3">
    <w:abstractNumId w:val="14"/>
  </w:num>
  <w:num w:numId="4">
    <w:abstractNumId w:val="37"/>
  </w:num>
  <w:num w:numId="5">
    <w:abstractNumId w:val="1"/>
  </w:num>
  <w:num w:numId="6">
    <w:abstractNumId w:val="7"/>
  </w:num>
  <w:num w:numId="7">
    <w:abstractNumId w:val="39"/>
  </w:num>
  <w:num w:numId="8">
    <w:abstractNumId w:val="23"/>
  </w:num>
  <w:num w:numId="9">
    <w:abstractNumId w:val="2"/>
  </w:num>
  <w:num w:numId="10">
    <w:abstractNumId w:val="4"/>
  </w:num>
  <w:num w:numId="11">
    <w:abstractNumId w:val="25"/>
  </w:num>
  <w:num w:numId="12">
    <w:abstractNumId w:val="36"/>
  </w:num>
  <w:num w:numId="13">
    <w:abstractNumId w:val="31"/>
  </w:num>
  <w:num w:numId="14">
    <w:abstractNumId w:val="0"/>
  </w:num>
  <w:num w:numId="15">
    <w:abstractNumId w:val="28"/>
  </w:num>
  <w:num w:numId="16">
    <w:abstractNumId w:val="38"/>
  </w:num>
  <w:num w:numId="17">
    <w:abstractNumId w:val="16"/>
  </w:num>
  <w:num w:numId="18">
    <w:abstractNumId w:val="21"/>
  </w:num>
  <w:num w:numId="19">
    <w:abstractNumId w:val="6"/>
  </w:num>
  <w:num w:numId="20">
    <w:abstractNumId w:val="8"/>
  </w:num>
  <w:num w:numId="21">
    <w:abstractNumId w:val="15"/>
  </w:num>
  <w:num w:numId="22">
    <w:abstractNumId w:val="26"/>
  </w:num>
  <w:num w:numId="23">
    <w:abstractNumId w:val="33"/>
  </w:num>
  <w:num w:numId="24">
    <w:abstractNumId w:val="24"/>
  </w:num>
  <w:num w:numId="25">
    <w:abstractNumId w:val="13"/>
  </w:num>
  <w:num w:numId="26">
    <w:abstractNumId w:val="41"/>
  </w:num>
  <w:num w:numId="27">
    <w:abstractNumId w:val="12"/>
  </w:num>
  <w:num w:numId="28">
    <w:abstractNumId w:val="40"/>
    <w:lvlOverride w:ilvl="0">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7"/>
  </w:num>
  <w:num w:numId="33">
    <w:abstractNumId w:val="35"/>
  </w:num>
  <w:num w:numId="34">
    <w:abstractNumId w:val="10"/>
  </w:num>
  <w:num w:numId="35">
    <w:abstractNumId w:val="18"/>
  </w:num>
  <w:num w:numId="36">
    <w:abstractNumId w:val="5"/>
  </w:num>
  <w:num w:numId="37">
    <w:abstractNumId w:val="34"/>
  </w:num>
  <w:num w:numId="38">
    <w:abstractNumId w:val="3"/>
  </w:num>
  <w:num w:numId="39">
    <w:abstractNumId w:val="19"/>
  </w:num>
  <w:num w:numId="40">
    <w:abstractNumId w:val="27"/>
  </w:num>
  <w:num w:numId="41">
    <w:abstractNumId w:val="29"/>
  </w:num>
  <w:num w:numId="42">
    <w:abstractNumId w:val="9"/>
  </w:num>
  <w:num w:numId="43">
    <w:abstractNumId w:val="2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removePersonalInformation/>
  <w:removeDateAndTime/>
  <w:hideSpellingErrors/>
  <w:hideGrammaticalErrors/>
  <w:attachedTemplate r:id="rId1"/>
  <w:revisionView w:markup="0"/>
  <w:defaultTabStop w:val="720"/>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7 17:32: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6D02721D5A13456F81D6124B0455223C"/>
    <w:docVar w:name="LW_CROSSREFERENCE" w:val="{SWD(2015) 750 final}"/>
    <w:docVar w:name="LW_DocType" w:val="COM"/>
    <w:docVar w:name="LW_EMISSION" w:val="2015.11.26."/>
    <w:docVar w:name="LW_EMISSION_ISODATE" w:val="2015-11-26"/>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63"/>
    <w:docVar w:name="LW_REF.II.NEW.CP_YEAR" w:val="2015"/>
    <w:docVar w:name="LW_REF.INST.NEW" w:val="COM"/>
    <w:docVar w:name="LW_REF.INST.NEW_ADOPTED" w:val="final"/>
    <w:docVar w:name="LW_REF.INST.NEW_TEXT" w:val="(2015) 701"/>
    <w:docVar w:name="LW_REF.INTERNE" w:val="&lt;UNUSED&gt;"/>
    <w:docVar w:name="LW_SOUS.TITRE.OBJ.CP" w:val="&lt;UNUSED&gt;"/>
    <w:docVar w:name="LW_STATUT.CP" w:val="Javaslat"/>
    <w:docVar w:name="LW_SUPERTITRE" w:val="&lt;UNUSED&gt;"/>
    <w:docVar w:name="LW_TITRE.OBJ.CP" w:val="a strukturálisreform-támogató program 2017\u8211?2020-as id\u337?szakra vonatkozó létrehozásáról, valamint az 1303/2013/EU és az 1305/2013/EU rendelet módosításáról"/>
    <w:docVar w:name="LW_TYPE.DOC.CP" w:val="AZ EURÓPAI PARLAMENT ÉS A TANÁCS RENDELETE"/>
  </w:docVar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hu-HU" w:eastAsia="hu-HU"/>
    </w:rPr>
  </w:style>
  <w:style w:type="character" w:customStyle="1" w:styleId="Heading6Char">
    <w:name w:val="Heading 6 Char"/>
    <w:basedOn w:val="DefaultParagraphFont"/>
    <w:link w:val="Heading6"/>
    <w:rPr>
      <w:rFonts w:ascii="Times New Roman" w:eastAsia="Times New Roman" w:hAnsi="Times New Roman" w:cs="Times New Roman"/>
      <w:b/>
      <w:bCs/>
      <w:lang w:val="hu-HU" w:eastAsia="hu-HU"/>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hu-HU" w:eastAsia="hu-HU"/>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hu-HU" w:eastAsia="hu-HU"/>
    </w:rPr>
  </w:style>
  <w:style w:type="character" w:customStyle="1" w:styleId="Heading9Char">
    <w:name w:val="Heading 9 Char"/>
    <w:basedOn w:val="DefaultParagraphFont"/>
    <w:link w:val="Heading9"/>
    <w:rPr>
      <w:rFonts w:ascii="Arial" w:eastAsia="Times New Roman" w:hAnsi="Arial" w:cs="Arial"/>
      <w:lang w:val="hu-HU" w:eastAsia="hu-HU"/>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hu-HU" w:eastAsia="hu-HU"/>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1"/>
      </w:numPr>
      <w:spacing w:before="0" w:after="240"/>
    </w:pPr>
    <w:rPr>
      <w:rFonts w:eastAsia="Times New Roman"/>
      <w:szCs w:val="20"/>
    </w:rPr>
  </w:style>
  <w:style w:type="paragraph" w:styleId="ListBullet2">
    <w:name w:val="List Bullet 2"/>
    <w:basedOn w:val="Text2"/>
    <w:pPr>
      <w:numPr>
        <w:numId w:val="3"/>
      </w:numPr>
      <w:spacing w:before="0" w:after="240"/>
    </w:pPr>
    <w:rPr>
      <w:rFonts w:eastAsia="Times New Roman"/>
      <w:szCs w:val="20"/>
    </w:rPr>
  </w:style>
  <w:style w:type="paragraph" w:styleId="ListBullet3">
    <w:name w:val="List Bullet 3"/>
    <w:basedOn w:val="Text3"/>
    <w:pPr>
      <w:numPr>
        <w:numId w:val="4"/>
      </w:numPr>
      <w:spacing w:before="0" w:after="240"/>
    </w:pPr>
    <w:rPr>
      <w:rFonts w:eastAsia="Times New Roman"/>
      <w:szCs w:val="20"/>
    </w:rPr>
  </w:style>
  <w:style w:type="paragraph" w:styleId="ListBullet4">
    <w:name w:val="List Bullet 4"/>
    <w:basedOn w:val="Text4"/>
    <w:pPr>
      <w:numPr>
        <w:numId w:val="5"/>
      </w:numPr>
      <w:spacing w:before="0" w:after="240"/>
    </w:pPr>
    <w:rPr>
      <w:rFonts w:eastAsia="Times New Roman"/>
      <w:szCs w:val="20"/>
    </w:rPr>
  </w:style>
  <w:style w:type="paragraph" w:styleId="ListNumber">
    <w:name w:val="List Number"/>
    <w:basedOn w:val="Normal"/>
    <w:pPr>
      <w:numPr>
        <w:numId w:val="19"/>
      </w:numPr>
      <w:spacing w:before="0" w:after="240"/>
    </w:pPr>
    <w:rPr>
      <w:rFonts w:eastAsia="Times New Roman"/>
      <w:szCs w:val="20"/>
    </w:rPr>
  </w:style>
  <w:style w:type="paragraph" w:styleId="ListNumber2">
    <w:name w:val="List Number 2"/>
    <w:basedOn w:val="Text2"/>
    <w:pPr>
      <w:numPr>
        <w:numId w:val="21"/>
      </w:numPr>
      <w:spacing w:before="0" w:after="240"/>
    </w:pPr>
    <w:rPr>
      <w:rFonts w:eastAsia="Times New Roman"/>
      <w:szCs w:val="20"/>
    </w:rPr>
  </w:style>
  <w:style w:type="paragraph" w:styleId="ListNumber3">
    <w:name w:val="List Number 3"/>
    <w:basedOn w:val="Text3"/>
    <w:pPr>
      <w:numPr>
        <w:numId w:val="22"/>
      </w:numPr>
      <w:spacing w:before="0" w:after="240"/>
    </w:pPr>
    <w:rPr>
      <w:rFonts w:eastAsia="Times New Roman"/>
      <w:szCs w:val="20"/>
    </w:rPr>
  </w:style>
  <w:style w:type="paragraph" w:styleId="ListNumber4">
    <w:name w:val="List Number 4"/>
    <w:basedOn w:val="Text4"/>
    <w:pPr>
      <w:numPr>
        <w:numId w:val="23"/>
      </w:numPr>
      <w:spacing w:before="0" w:after="240"/>
    </w:pPr>
    <w:rPr>
      <w:rFonts w:eastAsia="Times New Roman"/>
      <w:szCs w:val="20"/>
    </w:rPr>
  </w:style>
  <w:style w:type="paragraph" w:customStyle="1" w:styleId="ListDash1">
    <w:name w:val="List Dash 1"/>
    <w:basedOn w:val="Text1"/>
    <w:pPr>
      <w:numPr>
        <w:numId w:val="11"/>
      </w:numPr>
      <w:spacing w:before="0" w:after="240"/>
    </w:pPr>
    <w:rPr>
      <w:rFonts w:eastAsia="Times New Roman"/>
      <w:szCs w:val="20"/>
    </w:rPr>
  </w:style>
  <w:style w:type="paragraph" w:customStyle="1" w:styleId="ListNumber1">
    <w:name w:val="List Number 1"/>
    <w:basedOn w:val="Text1"/>
    <w:pPr>
      <w:numPr>
        <w:numId w:val="20"/>
      </w:numPr>
      <w:spacing w:before="0" w:after="240"/>
    </w:pPr>
    <w:rPr>
      <w:rFonts w:eastAsia="Times New Roman"/>
      <w:szCs w:val="20"/>
    </w:rPr>
  </w:style>
  <w:style w:type="paragraph" w:customStyle="1" w:styleId="ListNumber1Level2">
    <w:name w:val="List Number 1 (Level 2)"/>
    <w:basedOn w:val="Text1"/>
    <w:pPr>
      <w:numPr>
        <w:ilvl w:val="1"/>
        <w:numId w:val="20"/>
      </w:numPr>
      <w:spacing w:before="0" w:after="240"/>
    </w:pPr>
    <w:rPr>
      <w:rFonts w:eastAsia="Times New Roman"/>
      <w:szCs w:val="20"/>
    </w:rPr>
  </w:style>
  <w:style w:type="paragraph" w:customStyle="1" w:styleId="ListNumber1Level3">
    <w:name w:val="List Number 1 (Level 3)"/>
    <w:basedOn w:val="Text1"/>
    <w:pPr>
      <w:numPr>
        <w:ilvl w:val="2"/>
        <w:numId w:val="20"/>
      </w:numPr>
      <w:spacing w:before="0" w:after="240"/>
    </w:pPr>
    <w:rPr>
      <w:rFonts w:eastAsia="Times New Roman"/>
      <w:szCs w:val="20"/>
    </w:rPr>
  </w:style>
  <w:style w:type="paragraph" w:customStyle="1" w:styleId="ListNumber1Level4">
    <w:name w:val="List Number 1 (Level 4)"/>
    <w:basedOn w:val="Text1"/>
    <w:pPr>
      <w:numPr>
        <w:ilvl w:val="3"/>
        <w:numId w:val="20"/>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hu-HU" w:eastAsia="hu-HU"/>
    </w:rPr>
  </w:style>
  <w:style w:type="paragraph" w:customStyle="1" w:styleId="ListNumberLevel2">
    <w:name w:val="List Number (Level 2)"/>
    <w:basedOn w:val="Normal"/>
    <w:pPr>
      <w:numPr>
        <w:ilvl w:val="1"/>
        <w:numId w:val="19"/>
      </w:numPr>
      <w:spacing w:before="0" w:after="240"/>
    </w:pPr>
    <w:rPr>
      <w:rFonts w:eastAsia="Times New Roman"/>
      <w:szCs w:val="20"/>
    </w:rPr>
  </w:style>
  <w:style w:type="paragraph" w:customStyle="1" w:styleId="ListBullet1">
    <w:name w:val="List Bullet 1"/>
    <w:basedOn w:val="Text1"/>
    <w:pPr>
      <w:numPr>
        <w:numId w:val="2"/>
      </w:numPr>
      <w:spacing w:before="0" w:after="240"/>
    </w:pPr>
    <w:rPr>
      <w:rFonts w:eastAsia="Times New Roman"/>
      <w:szCs w:val="20"/>
    </w:rPr>
  </w:style>
  <w:style w:type="paragraph" w:customStyle="1" w:styleId="ListDash2">
    <w:name w:val="List Dash 2"/>
    <w:basedOn w:val="Text2"/>
    <w:pPr>
      <w:numPr>
        <w:numId w:val="12"/>
      </w:numPr>
      <w:spacing w:before="0" w:after="240"/>
    </w:pPr>
    <w:rPr>
      <w:rFonts w:eastAsia="Times New Roman"/>
      <w:szCs w:val="20"/>
    </w:rPr>
  </w:style>
  <w:style w:type="paragraph" w:customStyle="1" w:styleId="ListNumberLevel3">
    <w:name w:val="List Number (Level 3)"/>
    <w:basedOn w:val="Normal"/>
    <w:pPr>
      <w:numPr>
        <w:ilvl w:val="2"/>
        <w:numId w:val="19"/>
      </w:numPr>
      <w:spacing w:before="0" w:after="240"/>
    </w:pPr>
    <w:rPr>
      <w:rFonts w:eastAsia="Times New Roman"/>
      <w:szCs w:val="20"/>
    </w:rPr>
  </w:style>
  <w:style w:type="paragraph" w:customStyle="1" w:styleId="ListNumberLevel4">
    <w:name w:val="List Number (Level 4)"/>
    <w:basedOn w:val="Normal"/>
    <w:pPr>
      <w:numPr>
        <w:ilvl w:val="3"/>
        <w:numId w:val="19"/>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pPr>
      <w:suppressAutoHyphens/>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eastAsia="hu-HU"/>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u-HU" w:eastAsia="hu-HU"/>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hu-HU" w:eastAsia="hu-HU"/>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6"/>
      </w:numPr>
      <w:spacing w:before="0" w:after="240"/>
    </w:pPr>
    <w:rPr>
      <w:rFonts w:eastAsia="Times New Roman"/>
      <w:szCs w:val="20"/>
    </w:rPr>
  </w:style>
  <w:style w:type="paragraph" w:customStyle="1" w:styleId="ListBullet6">
    <w:name w:val="List Bullet 6"/>
    <w:basedOn w:val="Normal"/>
    <w:pPr>
      <w:numPr>
        <w:numId w:val="7"/>
      </w:numPr>
      <w:spacing w:before="0" w:after="240"/>
    </w:pPr>
    <w:rPr>
      <w:rFonts w:eastAsia="Times New Roman"/>
      <w:szCs w:val="20"/>
    </w:rPr>
  </w:style>
  <w:style w:type="paragraph" w:customStyle="1" w:styleId="ListBullet7">
    <w:name w:val="List Bullet 7"/>
    <w:basedOn w:val="Normal"/>
    <w:pPr>
      <w:numPr>
        <w:numId w:val="8"/>
      </w:numPr>
      <w:spacing w:before="0" w:after="240"/>
    </w:pPr>
    <w:rPr>
      <w:rFonts w:eastAsia="Times New Roman"/>
      <w:szCs w:val="20"/>
    </w:rPr>
  </w:style>
  <w:style w:type="paragraph" w:customStyle="1" w:styleId="ListBullet8">
    <w:name w:val="List Bullet 8"/>
    <w:basedOn w:val="Normal"/>
    <w:pPr>
      <w:numPr>
        <w:numId w:val="9"/>
      </w:numPr>
      <w:spacing w:before="0" w:after="240"/>
    </w:pPr>
    <w:rPr>
      <w:rFonts w:eastAsia="Times New Roman"/>
      <w:szCs w:val="20"/>
    </w:rPr>
  </w:style>
  <w:style w:type="paragraph" w:customStyle="1" w:styleId="ListDash">
    <w:name w:val="List Dash"/>
    <w:basedOn w:val="Normal"/>
    <w:pPr>
      <w:numPr>
        <w:numId w:val="10"/>
      </w:numPr>
      <w:spacing w:before="0" w:after="240"/>
    </w:pPr>
    <w:rPr>
      <w:rFonts w:eastAsia="Times New Roman"/>
      <w:szCs w:val="20"/>
    </w:rPr>
  </w:style>
  <w:style w:type="paragraph" w:customStyle="1" w:styleId="ListDash3">
    <w:name w:val="List Dash 3"/>
    <w:basedOn w:val="Text3"/>
    <w:pPr>
      <w:numPr>
        <w:numId w:val="13"/>
      </w:numPr>
      <w:spacing w:before="0" w:after="240"/>
    </w:pPr>
    <w:rPr>
      <w:rFonts w:eastAsia="Times New Roman"/>
      <w:szCs w:val="20"/>
    </w:rPr>
  </w:style>
  <w:style w:type="paragraph" w:customStyle="1" w:styleId="ListDash4">
    <w:name w:val="List Dash 4"/>
    <w:basedOn w:val="Text4"/>
    <w:pPr>
      <w:numPr>
        <w:numId w:val="14"/>
      </w:numPr>
      <w:spacing w:before="0" w:after="240"/>
    </w:pPr>
    <w:rPr>
      <w:rFonts w:eastAsia="Times New Roman"/>
      <w:szCs w:val="20"/>
    </w:rPr>
  </w:style>
  <w:style w:type="paragraph" w:customStyle="1" w:styleId="ListDash5">
    <w:name w:val="List Dash 5"/>
    <w:basedOn w:val="Normal"/>
    <w:pPr>
      <w:numPr>
        <w:numId w:val="15"/>
      </w:numPr>
      <w:spacing w:before="0" w:after="240"/>
    </w:pPr>
    <w:rPr>
      <w:rFonts w:eastAsia="Times New Roman"/>
      <w:szCs w:val="20"/>
    </w:rPr>
  </w:style>
  <w:style w:type="paragraph" w:customStyle="1" w:styleId="ListDash6">
    <w:name w:val="List Dash 6"/>
    <w:basedOn w:val="Normal"/>
    <w:pPr>
      <w:numPr>
        <w:numId w:val="16"/>
      </w:numPr>
      <w:spacing w:before="0" w:after="240"/>
    </w:pPr>
    <w:rPr>
      <w:rFonts w:eastAsia="Times New Roman"/>
      <w:szCs w:val="20"/>
    </w:rPr>
  </w:style>
  <w:style w:type="paragraph" w:customStyle="1" w:styleId="ListDash7">
    <w:name w:val="List Dash 7"/>
    <w:basedOn w:val="Normal"/>
    <w:pPr>
      <w:numPr>
        <w:numId w:val="17"/>
      </w:numPr>
      <w:spacing w:before="0" w:after="240"/>
    </w:pPr>
    <w:rPr>
      <w:rFonts w:eastAsia="Times New Roman"/>
      <w:szCs w:val="20"/>
    </w:rPr>
  </w:style>
  <w:style w:type="paragraph" w:customStyle="1" w:styleId="ListDash8">
    <w:name w:val="List Dash 8"/>
    <w:basedOn w:val="Normal"/>
    <w:pPr>
      <w:numPr>
        <w:numId w:val="18"/>
      </w:numPr>
      <w:spacing w:before="0" w:after="240"/>
    </w:pPr>
    <w:rPr>
      <w:rFonts w:eastAsia="Times New Roman"/>
      <w:szCs w:val="20"/>
    </w:rPr>
  </w:style>
  <w:style w:type="paragraph" w:styleId="ListNumber5">
    <w:name w:val="List Number 5"/>
    <w:basedOn w:val="Normal"/>
    <w:pPr>
      <w:numPr>
        <w:numId w:val="24"/>
      </w:numPr>
      <w:spacing w:before="0" w:after="240"/>
    </w:pPr>
    <w:rPr>
      <w:rFonts w:eastAsia="Times New Roman"/>
      <w:szCs w:val="20"/>
    </w:rPr>
  </w:style>
  <w:style w:type="paragraph" w:customStyle="1" w:styleId="ListNumber6">
    <w:name w:val="List Number 6"/>
    <w:basedOn w:val="Normal"/>
    <w:pPr>
      <w:numPr>
        <w:numId w:val="25"/>
      </w:numPr>
      <w:spacing w:before="0" w:after="240"/>
    </w:pPr>
    <w:rPr>
      <w:rFonts w:eastAsia="Times New Roman"/>
      <w:szCs w:val="20"/>
    </w:rPr>
  </w:style>
  <w:style w:type="paragraph" w:customStyle="1" w:styleId="ListNumber7">
    <w:name w:val="List Number 7"/>
    <w:basedOn w:val="Normal"/>
    <w:pPr>
      <w:numPr>
        <w:numId w:val="26"/>
      </w:numPr>
      <w:spacing w:before="0" w:after="240"/>
    </w:pPr>
    <w:rPr>
      <w:rFonts w:eastAsia="Times New Roman"/>
      <w:szCs w:val="20"/>
    </w:rPr>
  </w:style>
  <w:style w:type="paragraph" w:customStyle="1" w:styleId="ListNumber8">
    <w:name w:val="List Number 8"/>
    <w:basedOn w:val="Normal"/>
    <w:pPr>
      <w:numPr>
        <w:numId w:val="27"/>
      </w:numPr>
      <w:spacing w:before="0" w:after="240"/>
    </w:pPr>
    <w:rPr>
      <w:rFonts w:eastAsia="Times New Roman"/>
      <w:szCs w:val="20"/>
    </w:rPr>
  </w:style>
  <w:style w:type="paragraph" w:customStyle="1" w:styleId="ListNumber2Level2">
    <w:name w:val="List Number 2 (Level 2)"/>
    <w:basedOn w:val="Text2"/>
    <w:pPr>
      <w:numPr>
        <w:ilvl w:val="1"/>
        <w:numId w:val="21"/>
      </w:numPr>
      <w:spacing w:before="0" w:after="240"/>
    </w:pPr>
    <w:rPr>
      <w:rFonts w:eastAsia="Times New Roman"/>
      <w:szCs w:val="20"/>
    </w:rPr>
  </w:style>
  <w:style w:type="paragraph" w:customStyle="1" w:styleId="ListNumber3Level2">
    <w:name w:val="List Number 3 (Level 2)"/>
    <w:basedOn w:val="Text3"/>
    <w:pPr>
      <w:numPr>
        <w:ilvl w:val="1"/>
        <w:numId w:val="22"/>
      </w:numPr>
      <w:spacing w:before="0" w:after="240"/>
    </w:pPr>
    <w:rPr>
      <w:rFonts w:eastAsia="Times New Roman"/>
      <w:szCs w:val="20"/>
    </w:rPr>
  </w:style>
  <w:style w:type="paragraph" w:customStyle="1" w:styleId="ListNumber4Level2">
    <w:name w:val="List Number 4 (Level 2)"/>
    <w:basedOn w:val="Text4"/>
    <w:pPr>
      <w:numPr>
        <w:ilvl w:val="1"/>
        <w:numId w:val="23"/>
      </w:numPr>
      <w:spacing w:before="0" w:after="240"/>
    </w:pPr>
    <w:rPr>
      <w:rFonts w:eastAsia="Times New Roman"/>
      <w:szCs w:val="20"/>
    </w:rPr>
  </w:style>
  <w:style w:type="paragraph" w:customStyle="1" w:styleId="ListNumber5Level2">
    <w:name w:val="List Number 5 (Level 2)"/>
    <w:basedOn w:val="Normal"/>
    <w:pPr>
      <w:numPr>
        <w:ilvl w:val="1"/>
        <w:numId w:val="24"/>
      </w:numPr>
      <w:spacing w:before="0" w:after="240"/>
    </w:pPr>
    <w:rPr>
      <w:rFonts w:eastAsia="Times New Roman"/>
      <w:szCs w:val="20"/>
    </w:rPr>
  </w:style>
  <w:style w:type="paragraph" w:customStyle="1" w:styleId="ListNumber6Level2">
    <w:name w:val="List Number 6 (Level 2)"/>
    <w:basedOn w:val="Normal"/>
    <w:pPr>
      <w:numPr>
        <w:ilvl w:val="1"/>
        <w:numId w:val="25"/>
      </w:numPr>
      <w:spacing w:before="0" w:after="240"/>
    </w:pPr>
    <w:rPr>
      <w:rFonts w:eastAsia="Times New Roman"/>
      <w:szCs w:val="20"/>
    </w:rPr>
  </w:style>
  <w:style w:type="paragraph" w:customStyle="1" w:styleId="ListNumber7Level2">
    <w:name w:val="List Number 7 (Level 2)"/>
    <w:basedOn w:val="Normal"/>
    <w:pPr>
      <w:numPr>
        <w:ilvl w:val="1"/>
        <w:numId w:val="26"/>
      </w:numPr>
      <w:spacing w:before="0" w:after="240"/>
    </w:pPr>
    <w:rPr>
      <w:rFonts w:eastAsia="Times New Roman"/>
      <w:szCs w:val="20"/>
    </w:rPr>
  </w:style>
  <w:style w:type="paragraph" w:customStyle="1" w:styleId="ListNumber8Level2">
    <w:name w:val="List Number 8 (Level 2)"/>
    <w:basedOn w:val="Normal"/>
    <w:pPr>
      <w:numPr>
        <w:ilvl w:val="1"/>
        <w:numId w:val="27"/>
      </w:numPr>
      <w:spacing w:before="0" w:after="240"/>
    </w:pPr>
    <w:rPr>
      <w:rFonts w:eastAsia="Times New Roman"/>
      <w:szCs w:val="20"/>
    </w:rPr>
  </w:style>
  <w:style w:type="paragraph" w:customStyle="1" w:styleId="ListNumber2Level3">
    <w:name w:val="List Number 2 (Level 3)"/>
    <w:basedOn w:val="Text2"/>
    <w:pPr>
      <w:numPr>
        <w:ilvl w:val="2"/>
        <w:numId w:val="21"/>
      </w:numPr>
      <w:spacing w:before="0" w:after="240"/>
    </w:pPr>
    <w:rPr>
      <w:rFonts w:eastAsia="Times New Roman"/>
      <w:szCs w:val="20"/>
    </w:rPr>
  </w:style>
  <w:style w:type="paragraph" w:customStyle="1" w:styleId="ListNumber3Level3">
    <w:name w:val="List Number 3 (Level 3)"/>
    <w:basedOn w:val="Text3"/>
    <w:pPr>
      <w:numPr>
        <w:ilvl w:val="2"/>
        <w:numId w:val="22"/>
      </w:numPr>
      <w:spacing w:before="0" w:after="240"/>
    </w:pPr>
    <w:rPr>
      <w:rFonts w:eastAsia="Times New Roman"/>
      <w:szCs w:val="20"/>
    </w:rPr>
  </w:style>
  <w:style w:type="paragraph" w:customStyle="1" w:styleId="ListNumber4Level3">
    <w:name w:val="List Number 4 (Level 3)"/>
    <w:basedOn w:val="Text4"/>
    <w:pPr>
      <w:numPr>
        <w:ilvl w:val="2"/>
        <w:numId w:val="23"/>
      </w:numPr>
      <w:spacing w:before="0" w:after="240"/>
    </w:pPr>
    <w:rPr>
      <w:rFonts w:eastAsia="Times New Roman"/>
      <w:szCs w:val="20"/>
    </w:rPr>
  </w:style>
  <w:style w:type="paragraph" w:customStyle="1" w:styleId="ListNumber5Level3">
    <w:name w:val="List Number 5 (Level 3)"/>
    <w:basedOn w:val="Normal"/>
    <w:pPr>
      <w:numPr>
        <w:ilvl w:val="2"/>
        <w:numId w:val="24"/>
      </w:numPr>
      <w:spacing w:before="0" w:after="240"/>
    </w:pPr>
    <w:rPr>
      <w:rFonts w:eastAsia="Times New Roman"/>
      <w:szCs w:val="20"/>
    </w:rPr>
  </w:style>
  <w:style w:type="paragraph" w:customStyle="1" w:styleId="ListNumber6Level3">
    <w:name w:val="List Number 6 (Level 3)"/>
    <w:basedOn w:val="Normal"/>
    <w:pPr>
      <w:numPr>
        <w:ilvl w:val="2"/>
        <w:numId w:val="25"/>
      </w:numPr>
      <w:spacing w:before="0" w:after="240"/>
    </w:pPr>
    <w:rPr>
      <w:rFonts w:eastAsia="Times New Roman"/>
      <w:szCs w:val="20"/>
    </w:rPr>
  </w:style>
  <w:style w:type="paragraph" w:customStyle="1" w:styleId="ListNumber7Level3">
    <w:name w:val="List Number 7 (Level 3)"/>
    <w:basedOn w:val="Normal"/>
    <w:pPr>
      <w:numPr>
        <w:ilvl w:val="2"/>
        <w:numId w:val="26"/>
      </w:numPr>
      <w:spacing w:before="0" w:after="240"/>
    </w:pPr>
    <w:rPr>
      <w:rFonts w:eastAsia="Times New Roman"/>
      <w:szCs w:val="20"/>
    </w:rPr>
  </w:style>
  <w:style w:type="paragraph" w:customStyle="1" w:styleId="ListNumber8Level3">
    <w:name w:val="List Number 8 (Level 3)"/>
    <w:basedOn w:val="Normal"/>
    <w:pPr>
      <w:numPr>
        <w:ilvl w:val="2"/>
        <w:numId w:val="27"/>
      </w:numPr>
      <w:spacing w:before="0" w:after="240"/>
    </w:pPr>
    <w:rPr>
      <w:rFonts w:eastAsia="Times New Roman"/>
      <w:szCs w:val="20"/>
    </w:rPr>
  </w:style>
  <w:style w:type="paragraph" w:customStyle="1" w:styleId="ListNumber2Level4">
    <w:name w:val="List Number 2 (Level 4)"/>
    <w:basedOn w:val="Text2"/>
    <w:pPr>
      <w:numPr>
        <w:ilvl w:val="3"/>
        <w:numId w:val="21"/>
      </w:numPr>
      <w:spacing w:before="0" w:after="240"/>
    </w:pPr>
    <w:rPr>
      <w:rFonts w:eastAsia="Times New Roman"/>
      <w:szCs w:val="20"/>
    </w:rPr>
  </w:style>
  <w:style w:type="paragraph" w:customStyle="1" w:styleId="ListNumber3Level4">
    <w:name w:val="List Number 3 (Level 4)"/>
    <w:basedOn w:val="Text3"/>
    <w:pPr>
      <w:numPr>
        <w:ilvl w:val="3"/>
        <w:numId w:val="22"/>
      </w:numPr>
      <w:spacing w:before="0" w:after="240"/>
    </w:pPr>
    <w:rPr>
      <w:rFonts w:eastAsia="Times New Roman"/>
      <w:szCs w:val="20"/>
    </w:rPr>
  </w:style>
  <w:style w:type="paragraph" w:customStyle="1" w:styleId="ListNumber4Level4">
    <w:name w:val="List Number 4 (Level 4)"/>
    <w:basedOn w:val="Text4"/>
    <w:pPr>
      <w:numPr>
        <w:ilvl w:val="3"/>
        <w:numId w:val="23"/>
      </w:numPr>
      <w:spacing w:before="0" w:after="240"/>
    </w:pPr>
    <w:rPr>
      <w:rFonts w:eastAsia="Times New Roman"/>
      <w:szCs w:val="20"/>
    </w:rPr>
  </w:style>
  <w:style w:type="paragraph" w:customStyle="1" w:styleId="ListNumber5Level4">
    <w:name w:val="List Number 5 (Level 4)"/>
    <w:basedOn w:val="Normal"/>
    <w:pPr>
      <w:numPr>
        <w:ilvl w:val="3"/>
        <w:numId w:val="24"/>
      </w:numPr>
      <w:spacing w:before="0" w:after="240"/>
    </w:pPr>
    <w:rPr>
      <w:rFonts w:eastAsia="Times New Roman"/>
      <w:szCs w:val="20"/>
    </w:rPr>
  </w:style>
  <w:style w:type="paragraph" w:customStyle="1" w:styleId="ListNumber6Level4">
    <w:name w:val="List Number 6 (Level 4)"/>
    <w:basedOn w:val="Normal"/>
    <w:pPr>
      <w:numPr>
        <w:ilvl w:val="3"/>
        <w:numId w:val="25"/>
      </w:numPr>
      <w:spacing w:before="0" w:after="240"/>
    </w:pPr>
    <w:rPr>
      <w:rFonts w:eastAsia="Times New Roman"/>
      <w:szCs w:val="20"/>
    </w:rPr>
  </w:style>
  <w:style w:type="paragraph" w:customStyle="1" w:styleId="ListNumber7Level4">
    <w:name w:val="List Number 7 (Level 4)"/>
    <w:basedOn w:val="Normal"/>
    <w:pPr>
      <w:numPr>
        <w:ilvl w:val="3"/>
        <w:numId w:val="26"/>
      </w:numPr>
      <w:spacing w:before="0" w:after="240"/>
    </w:pPr>
    <w:rPr>
      <w:rFonts w:eastAsia="Times New Roman"/>
      <w:szCs w:val="20"/>
    </w:rPr>
  </w:style>
  <w:style w:type="paragraph" w:customStyle="1" w:styleId="ListNumber8Level4">
    <w:name w:val="List Number 8 (Level 4)"/>
    <w:basedOn w:val="Normal"/>
    <w:pPr>
      <w:numPr>
        <w:ilvl w:val="3"/>
        <w:numId w:val="27"/>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hu-HU" w:eastAsia="hu-HU"/>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hu-HU"/>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hu-HU" w:eastAsia="hu-HU"/>
    </w:rPr>
  </w:style>
  <w:style w:type="character" w:customStyle="1" w:styleId="Heading6Char">
    <w:name w:val="Heading 6 Char"/>
    <w:basedOn w:val="DefaultParagraphFont"/>
    <w:link w:val="Heading6"/>
    <w:rPr>
      <w:rFonts w:ascii="Times New Roman" w:eastAsia="Times New Roman" w:hAnsi="Times New Roman" w:cs="Times New Roman"/>
      <w:b/>
      <w:bCs/>
      <w:lang w:val="hu-HU" w:eastAsia="hu-HU"/>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hu-HU" w:eastAsia="hu-HU"/>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hu-HU" w:eastAsia="hu-HU"/>
    </w:rPr>
  </w:style>
  <w:style w:type="character" w:customStyle="1" w:styleId="Heading9Char">
    <w:name w:val="Heading 9 Char"/>
    <w:basedOn w:val="DefaultParagraphFont"/>
    <w:link w:val="Heading9"/>
    <w:rPr>
      <w:rFonts w:ascii="Arial" w:eastAsia="Times New Roman" w:hAnsi="Arial" w:cs="Arial"/>
      <w:lang w:val="hu-HU" w:eastAsia="hu-HU"/>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hu-HU" w:eastAsia="hu-HU"/>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1"/>
      </w:numPr>
      <w:spacing w:before="0" w:after="240"/>
    </w:pPr>
    <w:rPr>
      <w:rFonts w:eastAsia="Times New Roman"/>
      <w:szCs w:val="20"/>
    </w:rPr>
  </w:style>
  <w:style w:type="paragraph" w:styleId="ListBullet2">
    <w:name w:val="List Bullet 2"/>
    <w:basedOn w:val="Text2"/>
    <w:pPr>
      <w:numPr>
        <w:numId w:val="3"/>
      </w:numPr>
      <w:spacing w:before="0" w:after="240"/>
    </w:pPr>
    <w:rPr>
      <w:rFonts w:eastAsia="Times New Roman"/>
      <w:szCs w:val="20"/>
    </w:rPr>
  </w:style>
  <w:style w:type="paragraph" w:styleId="ListBullet3">
    <w:name w:val="List Bullet 3"/>
    <w:basedOn w:val="Text3"/>
    <w:pPr>
      <w:numPr>
        <w:numId w:val="4"/>
      </w:numPr>
      <w:spacing w:before="0" w:after="240"/>
    </w:pPr>
    <w:rPr>
      <w:rFonts w:eastAsia="Times New Roman"/>
      <w:szCs w:val="20"/>
    </w:rPr>
  </w:style>
  <w:style w:type="paragraph" w:styleId="ListBullet4">
    <w:name w:val="List Bullet 4"/>
    <w:basedOn w:val="Text4"/>
    <w:pPr>
      <w:numPr>
        <w:numId w:val="5"/>
      </w:numPr>
      <w:spacing w:before="0" w:after="240"/>
    </w:pPr>
    <w:rPr>
      <w:rFonts w:eastAsia="Times New Roman"/>
      <w:szCs w:val="20"/>
    </w:rPr>
  </w:style>
  <w:style w:type="paragraph" w:styleId="ListNumber">
    <w:name w:val="List Number"/>
    <w:basedOn w:val="Normal"/>
    <w:pPr>
      <w:numPr>
        <w:numId w:val="19"/>
      </w:numPr>
      <w:spacing w:before="0" w:after="240"/>
    </w:pPr>
    <w:rPr>
      <w:rFonts w:eastAsia="Times New Roman"/>
      <w:szCs w:val="20"/>
    </w:rPr>
  </w:style>
  <w:style w:type="paragraph" w:styleId="ListNumber2">
    <w:name w:val="List Number 2"/>
    <w:basedOn w:val="Text2"/>
    <w:pPr>
      <w:numPr>
        <w:numId w:val="21"/>
      </w:numPr>
      <w:spacing w:before="0" w:after="240"/>
    </w:pPr>
    <w:rPr>
      <w:rFonts w:eastAsia="Times New Roman"/>
      <w:szCs w:val="20"/>
    </w:rPr>
  </w:style>
  <w:style w:type="paragraph" w:styleId="ListNumber3">
    <w:name w:val="List Number 3"/>
    <w:basedOn w:val="Text3"/>
    <w:pPr>
      <w:numPr>
        <w:numId w:val="22"/>
      </w:numPr>
      <w:spacing w:before="0" w:after="240"/>
    </w:pPr>
    <w:rPr>
      <w:rFonts w:eastAsia="Times New Roman"/>
      <w:szCs w:val="20"/>
    </w:rPr>
  </w:style>
  <w:style w:type="paragraph" w:styleId="ListNumber4">
    <w:name w:val="List Number 4"/>
    <w:basedOn w:val="Text4"/>
    <w:pPr>
      <w:numPr>
        <w:numId w:val="23"/>
      </w:numPr>
      <w:spacing w:before="0" w:after="240"/>
    </w:pPr>
    <w:rPr>
      <w:rFonts w:eastAsia="Times New Roman"/>
      <w:szCs w:val="20"/>
    </w:rPr>
  </w:style>
  <w:style w:type="paragraph" w:customStyle="1" w:styleId="ListDash1">
    <w:name w:val="List Dash 1"/>
    <w:basedOn w:val="Text1"/>
    <w:pPr>
      <w:numPr>
        <w:numId w:val="11"/>
      </w:numPr>
      <w:spacing w:before="0" w:after="240"/>
    </w:pPr>
    <w:rPr>
      <w:rFonts w:eastAsia="Times New Roman"/>
      <w:szCs w:val="20"/>
    </w:rPr>
  </w:style>
  <w:style w:type="paragraph" w:customStyle="1" w:styleId="ListNumber1">
    <w:name w:val="List Number 1"/>
    <w:basedOn w:val="Text1"/>
    <w:pPr>
      <w:numPr>
        <w:numId w:val="20"/>
      </w:numPr>
      <w:spacing w:before="0" w:after="240"/>
    </w:pPr>
    <w:rPr>
      <w:rFonts w:eastAsia="Times New Roman"/>
      <w:szCs w:val="20"/>
    </w:rPr>
  </w:style>
  <w:style w:type="paragraph" w:customStyle="1" w:styleId="ListNumber1Level2">
    <w:name w:val="List Number 1 (Level 2)"/>
    <w:basedOn w:val="Text1"/>
    <w:pPr>
      <w:numPr>
        <w:ilvl w:val="1"/>
        <w:numId w:val="20"/>
      </w:numPr>
      <w:spacing w:before="0" w:after="240"/>
    </w:pPr>
    <w:rPr>
      <w:rFonts w:eastAsia="Times New Roman"/>
      <w:szCs w:val="20"/>
    </w:rPr>
  </w:style>
  <w:style w:type="paragraph" w:customStyle="1" w:styleId="ListNumber1Level3">
    <w:name w:val="List Number 1 (Level 3)"/>
    <w:basedOn w:val="Text1"/>
    <w:pPr>
      <w:numPr>
        <w:ilvl w:val="2"/>
        <w:numId w:val="20"/>
      </w:numPr>
      <w:spacing w:before="0" w:after="240"/>
    </w:pPr>
    <w:rPr>
      <w:rFonts w:eastAsia="Times New Roman"/>
      <w:szCs w:val="20"/>
    </w:rPr>
  </w:style>
  <w:style w:type="paragraph" w:customStyle="1" w:styleId="ListNumber1Level4">
    <w:name w:val="List Number 1 (Level 4)"/>
    <w:basedOn w:val="Text1"/>
    <w:pPr>
      <w:numPr>
        <w:ilvl w:val="3"/>
        <w:numId w:val="20"/>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hu-HU" w:eastAsia="hu-HU"/>
    </w:rPr>
  </w:style>
  <w:style w:type="paragraph" w:customStyle="1" w:styleId="ListNumberLevel2">
    <w:name w:val="List Number (Level 2)"/>
    <w:basedOn w:val="Normal"/>
    <w:pPr>
      <w:numPr>
        <w:ilvl w:val="1"/>
        <w:numId w:val="19"/>
      </w:numPr>
      <w:spacing w:before="0" w:after="240"/>
    </w:pPr>
    <w:rPr>
      <w:rFonts w:eastAsia="Times New Roman"/>
      <w:szCs w:val="20"/>
    </w:rPr>
  </w:style>
  <w:style w:type="paragraph" w:customStyle="1" w:styleId="ListBullet1">
    <w:name w:val="List Bullet 1"/>
    <w:basedOn w:val="Text1"/>
    <w:pPr>
      <w:numPr>
        <w:numId w:val="2"/>
      </w:numPr>
      <w:spacing w:before="0" w:after="240"/>
    </w:pPr>
    <w:rPr>
      <w:rFonts w:eastAsia="Times New Roman"/>
      <w:szCs w:val="20"/>
    </w:rPr>
  </w:style>
  <w:style w:type="paragraph" w:customStyle="1" w:styleId="ListDash2">
    <w:name w:val="List Dash 2"/>
    <w:basedOn w:val="Text2"/>
    <w:pPr>
      <w:numPr>
        <w:numId w:val="12"/>
      </w:numPr>
      <w:spacing w:before="0" w:after="240"/>
    </w:pPr>
    <w:rPr>
      <w:rFonts w:eastAsia="Times New Roman"/>
      <w:szCs w:val="20"/>
    </w:rPr>
  </w:style>
  <w:style w:type="paragraph" w:customStyle="1" w:styleId="ListNumberLevel3">
    <w:name w:val="List Number (Level 3)"/>
    <w:basedOn w:val="Normal"/>
    <w:pPr>
      <w:numPr>
        <w:ilvl w:val="2"/>
        <w:numId w:val="19"/>
      </w:numPr>
      <w:spacing w:before="0" w:after="240"/>
    </w:pPr>
    <w:rPr>
      <w:rFonts w:eastAsia="Times New Roman"/>
      <w:szCs w:val="20"/>
    </w:rPr>
  </w:style>
  <w:style w:type="paragraph" w:customStyle="1" w:styleId="ListNumberLevel4">
    <w:name w:val="List Number (Level 4)"/>
    <w:basedOn w:val="Normal"/>
    <w:pPr>
      <w:numPr>
        <w:ilvl w:val="3"/>
        <w:numId w:val="19"/>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pPr>
      <w:suppressAutoHyphens/>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u-HU" w:eastAsia="hu-HU"/>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u-HU" w:eastAsia="hu-HU"/>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hu-HU" w:eastAsia="hu-HU"/>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6"/>
      </w:numPr>
      <w:spacing w:before="0" w:after="240"/>
    </w:pPr>
    <w:rPr>
      <w:rFonts w:eastAsia="Times New Roman"/>
      <w:szCs w:val="20"/>
    </w:rPr>
  </w:style>
  <w:style w:type="paragraph" w:customStyle="1" w:styleId="ListBullet6">
    <w:name w:val="List Bullet 6"/>
    <w:basedOn w:val="Normal"/>
    <w:pPr>
      <w:numPr>
        <w:numId w:val="7"/>
      </w:numPr>
      <w:spacing w:before="0" w:after="240"/>
    </w:pPr>
    <w:rPr>
      <w:rFonts w:eastAsia="Times New Roman"/>
      <w:szCs w:val="20"/>
    </w:rPr>
  </w:style>
  <w:style w:type="paragraph" w:customStyle="1" w:styleId="ListBullet7">
    <w:name w:val="List Bullet 7"/>
    <w:basedOn w:val="Normal"/>
    <w:pPr>
      <w:numPr>
        <w:numId w:val="8"/>
      </w:numPr>
      <w:spacing w:before="0" w:after="240"/>
    </w:pPr>
    <w:rPr>
      <w:rFonts w:eastAsia="Times New Roman"/>
      <w:szCs w:val="20"/>
    </w:rPr>
  </w:style>
  <w:style w:type="paragraph" w:customStyle="1" w:styleId="ListBullet8">
    <w:name w:val="List Bullet 8"/>
    <w:basedOn w:val="Normal"/>
    <w:pPr>
      <w:numPr>
        <w:numId w:val="9"/>
      </w:numPr>
      <w:spacing w:before="0" w:after="240"/>
    </w:pPr>
    <w:rPr>
      <w:rFonts w:eastAsia="Times New Roman"/>
      <w:szCs w:val="20"/>
    </w:rPr>
  </w:style>
  <w:style w:type="paragraph" w:customStyle="1" w:styleId="ListDash">
    <w:name w:val="List Dash"/>
    <w:basedOn w:val="Normal"/>
    <w:pPr>
      <w:numPr>
        <w:numId w:val="10"/>
      </w:numPr>
      <w:spacing w:before="0" w:after="240"/>
    </w:pPr>
    <w:rPr>
      <w:rFonts w:eastAsia="Times New Roman"/>
      <w:szCs w:val="20"/>
    </w:rPr>
  </w:style>
  <w:style w:type="paragraph" w:customStyle="1" w:styleId="ListDash3">
    <w:name w:val="List Dash 3"/>
    <w:basedOn w:val="Text3"/>
    <w:pPr>
      <w:numPr>
        <w:numId w:val="13"/>
      </w:numPr>
      <w:spacing w:before="0" w:after="240"/>
    </w:pPr>
    <w:rPr>
      <w:rFonts w:eastAsia="Times New Roman"/>
      <w:szCs w:val="20"/>
    </w:rPr>
  </w:style>
  <w:style w:type="paragraph" w:customStyle="1" w:styleId="ListDash4">
    <w:name w:val="List Dash 4"/>
    <w:basedOn w:val="Text4"/>
    <w:pPr>
      <w:numPr>
        <w:numId w:val="14"/>
      </w:numPr>
      <w:spacing w:before="0" w:after="240"/>
    </w:pPr>
    <w:rPr>
      <w:rFonts w:eastAsia="Times New Roman"/>
      <w:szCs w:val="20"/>
    </w:rPr>
  </w:style>
  <w:style w:type="paragraph" w:customStyle="1" w:styleId="ListDash5">
    <w:name w:val="List Dash 5"/>
    <w:basedOn w:val="Normal"/>
    <w:pPr>
      <w:numPr>
        <w:numId w:val="15"/>
      </w:numPr>
      <w:spacing w:before="0" w:after="240"/>
    </w:pPr>
    <w:rPr>
      <w:rFonts w:eastAsia="Times New Roman"/>
      <w:szCs w:val="20"/>
    </w:rPr>
  </w:style>
  <w:style w:type="paragraph" w:customStyle="1" w:styleId="ListDash6">
    <w:name w:val="List Dash 6"/>
    <w:basedOn w:val="Normal"/>
    <w:pPr>
      <w:numPr>
        <w:numId w:val="16"/>
      </w:numPr>
      <w:spacing w:before="0" w:after="240"/>
    </w:pPr>
    <w:rPr>
      <w:rFonts w:eastAsia="Times New Roman"/>
      <w:szCs w:val="20"/>
    </w:rPr>
  </w:style>
  <w:style w:type="paragraph" w:customStyle="1" w:styleId="ListDash7">
    <w:name w:val="List Dash 7"/>
    <w:basedOn w:val="Normal"/>
    <w:pPr>
      <w:numPr>
        <w:numId w:val="17"/>
      </w:numPr>
      <w:spacing w:before="0" w:after="240"/>
    </w:pPr>
    <w:rPr>
      <w:rFonts w:eastAsia="Times New Roman"/>
      <w:szCs w:val="20"/>
    </w:rPr>
  </w:style>
  <w:style w:type="paragraph" w:customStyle="1" w:styleId="ListDash8">
    <w:name w:val="List Dash 8"/>
    <w:basedOn w:val="Normal"/>
    <w:pPr>
      <w:numPr>
        <w:numId w:val="18"/>
      </w:numPr>
      <w:spacing w:before="0" w:after="240"/>
    </w:pPr>
    <w:rPr>
      <w:rFonts w:eastAsia="Times New Roman"/>
      <w:szCs w:val="20"/>
    </w:rPr>
  </w:style>
  <w:style w:type="paragraph" w:styleId="ListNumber5">
    <w:name w:val="List Number 5"/>
    <w:basedOn w:val="Normal"/>
    <w:pPr>
      <w:numPr>
        <w:numId w:val="24"/>
      </w:numPr>
      <w:spacing w:before="0" w:after="240"/>
    </w:pPr>
    <w:rPr>
      <w:rFonts w:eastAsia="Times New Roman"/>
      <w:szCs w:val="20"/>
    </w:rPr>
  </w:style>
  <w:style w:type="paragraph" w:customStyle="1" w:styleId="ListNumber6">
    <w:name w:val="List Number 6"/>
    <w:basedOn w:val="Normal"/>
    <w:pPr>
      <w:numPr>
        <w:numId w:val="25"/>
      </w:numPr>
      <w:spacing w:before="0" w:after="240"/>
    </w:pPr>
    <w:rPr>
      <w:rFonts w:eastAsia="Times New Roman"/>
      <w:szCs w:val="20"/>
    </w:rPr>
  </w:style>
  <w:style w:type="paragraph" w:customStyle="1" w:styleId="ListNumber7">
    <w:name w:val="List Number 7"/>
    <w:basedOn w:val="Normal"/>
    <w:pPr>
      <w:numPr>
        <w:numId w:val="26"/>
      </w:numPr>
      <w:spacing w:before="0" w:after="240"/>
    </w:pPr>
    <w:rPr>
      <w:rFonts w:eastAsia="Times New Roman"/>
      <w:szCs w:val="20"/>
    </w:rPr>
  </w:style>
  <w:style w:type="paragraph" w:customStyle="1" w:styleId="ListNumber8">
    <w:name w:val="List Number 8"/>
    <w:basedOn w:val="Normal"/>
    <w:pPr>
      <w:numPr>
        <w:numId w:val="27"/>
      </w:numPr>
      <w:spacing w:before="0" w:after="240"/>
    </w:pPr>
    <w:rPr>
      <w:rFonts w:eastAsia="Times New Roman"/>
      <w:szCs w:val="20"/>
    </w:rPr>
  </w:style>
  <w:style w:type="paragraph" w:customStyle="1" w:styleId="ListNumber2Level2">
    <w:name w:val="List Number 2 (Level 2)"/>
    <w:basedOn w:val="Text2"/>
    <w:pPr>
      <w:numPr>
        <w:ilvl w:val="1"/>
        <w:numId w:val="21"/>
      </w:numPr>
      <w:spacing w:before="0" w:after="240"/>
    </w:pPr>
    <w:rPr>
      <w:rFonts w:eastAsia="Times New Roman"/>
      <w:szCs w:val="20"/>
    </w:rPr>
  </w:style>
  <w:style w:type="paragraph" w:customStyle="1" w:styleId="ListNumber3Level2">
    <w:name w:val="List Number 3 (Level 2)"/>
    <w:basedOn w:val="Text3"/>
    <w:pPr>
      <w:numPr>
        <w:ilvl w:val="1"/>
        <w:numId w:val="22"/>
      </w:numPr>
      <w:spacing w:before="0" w:after="240"/>
    </w:pPr>
    <w:rPr>
      <w:rFonts w:eastAsia="Times New Roman"/>
      <w:szCs w:val="20"/>
    </w:rPr>
  </w:style>
  <w:style w:type="paragraph" w:customStyle="1" w:styleId="ListNumber4Level2">
    <w:name w:val="List Number 4 (Level 2)"/>
    <w:basedOn w:val="Text4"/>
    <w:pPr>
      <w:numPr>
        <w:ilvl w:val="1"/>
        <w:numId w:val="23"/>
      </w:numPr>
      <w:spacing w:before="0" w:after="240"/>
    </w:pPr>
    <w:rPr>
      <w:rFonts w:eastAsia="Times New Roman"/>
      <w:szCs w:val="20"/>
    </w:rPr>
  </w:style>
  <w:style w:type="paragraph" w:customStyle="1" w:styleId="ListNumber5Level2">
    <w:name w:val="List Number 5 (Level 2)"/>
    <w:basedOn w:val="Normal"/>
    <w:pPr>
      <w:numPr>
        <w:ilvl w:val="1"/>
        <w:numId w:val="24"/>
      </w:numPr>
      <w:spacing w:before="0" w:after="240"/>
    </w:pPr>
    <w:rPr>
      <w:rFonts w:eastAsia="Times New Roman"/>
      <w:szCs w:val="20"/>
    </w:rPr>
  </w:style>
  <w:style w:type="paragraph" w:customStyle="1" w:styleId="ListNumber6Level2">
    <w:name w:val="List Number 6 (Level 2)"/>
    <w:basedOn w:val="Normal"/>
    <w:pPr>
      <w:numPr>
        <w:ilvl w:val="1"/>
        <w:numId w:val="25"/>
      </w:numPr>
      <w:spacing w:before="0" w:after="240"/>
    </w:pPr>
    <w:rPr>
      <w:rFonts w:eastAsia="Times New Roman"/>
      <w:szCs w:val="20"/>
    </w:rPr>
  </w:style>
  <w:style w:type="paragraph" w:customStyle="1" w:styleId="ListNumber7Level2">
    <w:name w:val="List Number 7 (Level 2)"/>
    <w:basedOn w:val="Normal"/>
    <w:pPr>
      <w:numPr>
        <w:ilvl w:val="1"/>
        <w:numId w:val="26"/>
      </w:numPr>
      <w:spacing w:before="0" w:after="240"/>
    </w:pPr>
    <w:rPr>
      <w:rFonts w:eastAsia="Times New Roman"/>
      <w:szCs w:val="20"/>
    </w:rPr>
  </w:style>
  <w:style w:type="paragraph" w:customStyle="1" w:styleId="ListNumber8Level2">
    <w:name w:val="List Number 8 (Level 2)"/>
    <w:basedOn w:val="Normal"/>
    <w:pPr>
      <w:numPr>
        <w:ilvl w:val="1"/>
        <w:numId w:val="27"/>
      </w:numPr>
      <w:spacing w:before="0" w:after="240"/>
    </w:pPr>
    <w:rPr>
      <w:rFonts w:eastAsia="Times New Roman"/>
      <w:szCs w:val="20"/>
    </w:rPr>
  </w:style>
  <w:style w:type="paragraph" w:customStyle="1" w:styleId="ListNumber2Level3">
    <w:name w:val="List Number 2 (Level 3)"/>
    <w:basedOn w:val="Text2"/>
    <w:pPr>
      <w:numPr>
        <w:ilvl w:val="2"/>
        <w:numId w:val="21"/>
      </w:numPr>
      <w:spacing w:before="0" w:after="240"/>
    </w:pPr>
    <w:rPr>
      <w:rFonts w:eastAsia="Times New Roman"/>
      <w:szCs w:val="20"/>
    </w:rPr>
  </w:style>
  <w:style w:type="paragraph" w:customStyle="1" w:styleId="ListNumber3Level3">
    <w:name w:val="List Number 3 (Level 3)"/>
    <w:basedOn w:val="Text3"/>
    <w:pPr>
      <w:numPr>
        <w:ilvl w:val="2"/>
        <w:numId w:val="22"/>
      </w:numPr>
      <w:spacing w:before="0" w:after="240"/>
    </w:pPr>
    <w:rPr>
      <w:rFonts w:eastAsia="Times New Roman"/>
      <w:szCs w:val="20"/>
    </w:rPr>
  </w:style>
  <w:style w:type="paragraph" w:customStyle="1" w:styleId="ListNumber4Level3">
    <w:name w:val="List Number 4 (Level 3)"/>
    <w:basedOn w:val="Text4"/>
    <w:pPr>
      <w:numPr>
        <w:ilvl w:val="2"/>
        <w:numId w:val="23"/>
      </w:numPr>
      <w:spacing w:before="0" w:after="240"/>
    </w:pPr>
    <w:rPr>
      <w:rFonts w:eastAsia="Times New Roman"/>
      <w:szCs w:val="20"/>
    </w:rPr>
  </w:style>
  <w:style w:type="paragraph" w:customStyle="1" w:styleId="ListNumber5Level3">
    <w:name w:val="List Number 5 (Level 3)"/>
    <w:basedOn w:val="Normal"/>
    <w:pPr>
      <w:numPr>
        <w:ilvl w:val="2"/>
        <w:numId w:val="24"/>
      </w:numPr>
      <w:spacing w:before="0" w:after="240"/>
    </w:pPr>
    <w:rPr>
      <w:rFonts w:eastAsia="Times New Roman"/>
      <w:szCs w:val="20"/>
    </w:rPr>
  </w:style>
  <w:style w:type="paragraph" w:customStyle="1" w:styleId="ListNumber6Level3">
    <w:name w:val="List Number 6 (Level 3)"/>
    <w:basedOn w:val="Normal"/>
    <w:pPr>
      <w:numPr>
        <w:ilvl w:val="2"/>
        <w:numId w:val="25"/>
      </w:numPr>
      <w:spacing w:before="0" w:after="240"/>
    </w:pPr>
    <w:rPr>
      <w:rFonts w:eastAsia="Times New Roman"/>
      <w:szCs w:val="20"/>
    </w:rPr>
  </w:style>
  <w:style w:type="paragraph" w:customStyle="1" w:styleId="ListNumber7Level3">
    <w:name w:val="List Number 7 (Level 3)"/>
    <w:basedOn w:val="Normal"/>
    <w:pPr>
      <w:numPr>
        <w:ilvl w:val="2"/>
        <w:numId w:val="26"/>
      </w:numPr>
      <w:spacing w:before="0" w:after="240"/>
    </w:pPr>
    <w:rPr>
      <w:rFonts w:eastAsia="Times New Roman"/>
      <w:szCs w:val="20"/>
    </w:rPr>
  </w:style>
  <w:style w:type="paragraph" w:customStyle="1" w:styleId="ListNumber8Level3">
    <w:name w:val="List Number 8 (Level 3)"/>
    <w:basedOn w:val="Normal"/>
    <w:pPr>
      <w:numPr>
        <w:ilvl w:val="2"/>
        <w:numId w:val="27"/>
      </w:numPr>
      <w:spacing w:before="0" w:after="240"/>
    </w:pPr>
    <w:rPr>
      <w:rFonts w:eastAsia="Times New Roman"/>
      <w:szCs w:val="20"/>
    </w:rPr>
  </w:style>
  <w:style w:type="paragraph" w:customStyle="1" w:styleId="ListNumber2Level4">
    <w:name w:val="List Number 2 (Level 4)"/>
    <w:basedOn w:val="Text2"/>
    <w:pPr>
      <w:numPr>
        <w:ilvl w:val="3"/>
        <w:numId w:val="21"/>
      </w:numPr>
      <w:spacing w:before="0" w:after="240"/>
    </w:pPr>
    <w:rPr>
      <w:rFonts w:eastAsia="Times New Roman"/>
      <w:szCs w:val="20"/>
    </w:rPr>
  </w:style>
  <w:style w:type="paragraph" w:customStyle="1" w:styleId="ListNumber3Level4">
    <w:name w:val="List Number 3 (Level 4)"/>
    <w:basedOn w:val="Text3"/>
    <w:pPr>
      <w:numPr>
        <w:ilvl w:val="3"/>
        <w:numId w:val="22"/>
      </w:numPr>
      <w:spacing w:before="0" w:after="240"/>
    </w:pPr>
    <w:rPr>
      <w:rFonts w:eastAsia="Times New Roman"/>
      <w:szCs w:val="20"/>
    </w:rPr>
  </w:style>
  <w:style w:type="paragraph" w:customStyle="1" w:styleId="ListNumber4Level4">
    <w:name w:val="List Number 4 (Level 4)"/>
    <w:basedOn w:val="Text4"/>
    <w:pPr>
      <w:numPr>
        <w:ilvl w:val="3"/>
        <w:numId w:val="23"/>
      </w:numPr>
      <w:spacing w:before="0" w:after="240"/>
    </w:pPr>
    <w:rPr>
      <w:rFonts w:eastAsia="Times New Roman"/>
      <w:szCs w:val="20"/>
    </w:rPr>
  </w:style>
  <w:style w:type="paragraph" w:customStyle="1" w:styleId="ListNumber5Level4">
    <w:name w:val="List Number 5 (Level 4)"/>
    <w:basedOn w:val="Normal"/>
    <w:pPr>
      <w:numPr>
        <w:ilvl w:val="3"/>
        <w:numId w:val="24"/>
      </w:numPr>
      <w:spacing w:before="0" w:after="240"/>
    </w:pPr>
    <w:rPr>
      <w:rFonts w:eastAsia="Times New Roman"/>
      <w:szCs w:val="20"/>
    </w:rPr>
  </w:style>
  <w:style w:type="paragraph" w:customStyle="1" w:styleId="ListNumber6Level4">
    <w:name w:val="List Number 6 (Level 4)"/>
    <w:basedOn w:val="Normal"/>
    <w:pPr>
      <w:numPr>
        <w:ilvl w:val="3"/>
        <w:numId w:val="25"/>
      </w:numPr>
      <w:spacing w:before="0" w:after="240"/>
    </w:pPr>
    <w:rPr>
      <w:rFonts w:eastAsia="Times New Roman"/>
      <w:szCs w:val="20"/>
    </w:rPr>
  </w:style>
  <w:style w:type="paragraph" w:customStyle="1" w:styleId="ListNumber7Level4">
    <w:name w:val="List Number 7 (Level 4)"/>
    <w:basedOn w:val="Normal"/>
    <w:pPr>
      <w:numPr>
        <w:ilvl w:val="3"/>
        <w:numId w:val="26"/>
      </w:numPr>
      <w:spacing w:before="0" w:after="240"/>
    </w:pPr>
    <w:rPr>
      <w:rFonts w:eastAsia="Times New Roman"/>
      <w:szCs w:val="20"/>
    </w:rPr>
  </w:style>
  <w:style w:type="paragraph" w:customStyle="1" w:styleId="ListNumber8Level4">
    <w:name w:val="List Number 8 (Level 4)"/>
    <w:basedOn w:val="Normal"/>
    <w:pPr>
      <w:numPr>
        <w:ilvl w:val="3"/>
        <w:numId w:val="27"/>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hu-HU" w:eastAsia="hu-HU"/>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hu-HU"/>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9419">
      <w:bodyDiv w:val="1"/>
      <w:marLeft w:val="0"/>
      <w:marRight w:val="0"/>
      <w:marTop w:val="0"/>
      <w:marBottom w:val="0"/>
      <w:divBdr>
        <w:top w:val="none" w:sz="0" w:space="0" w:color="auto"/>
        <w:left w:val="none" w:sz="0" w:space="0" w:color="auto"/>
        <w:bottom w:val="none" w:sz="0" w:space="0" w:color="auto"/>
        <w:right w:val="none" w:sz="0" w:space="0" w:color="auto"/>
      </w:divBdr>
    </w:div>
    <w:div w:id="20898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about/taskforce-greece/pdf/tfgr/evaluation_report_alvarez_july_2014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5616-9F99-47B6-873F-C63A0D0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55</Pages>
  <Words>14095</Words>
  <Characters>105009</Characters>
  <Application>Microsoft Office Word</Application>
  <DocSecurity>0</DocSecurity>
  <Lines>2561</Lines>
  <Paragraphs>1113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2015-11-27T09:18:00Z</dcterms:created>
  <dcterms:modified xsi:type="dcterms:W3CDTF">2015-11-27T16:32:00Z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