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201345052EF5449CBDE3673D7758B593" style="width:450.45pt;height:392.2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spacing w:before="0" w:after="240"/>
        <w:jc w:val="center"/>
        <w:rPr>
          <w:rFonts w:eastAsia="Times New Roman"/>
          <w:i/>
          <w:noProof/>
          <w:szCs w:val="20"/>
        </w:rPr>
      </w:pPr>
      <w:bookmarkStart w:id="0" w:name="_GoBack"/>
      <w:bookmarkEnd w:id="0"/>
      <w:r>
        <w:rPr>
          <w:i/>
          <w:noProof/>
        </w:rPr>
        <w:lastRenderedPageBreak/>
        <w:t xml:space="preserve">PRILOGA </w:t>
      </w:r>
    </w:p>
    <w:p>
      <w:pPr>
        <w:spacing w:before="0" w:after="240"/>
        <w:jc w:val="center"/>
        <w:rPr>
          <w:rFonts w:eastAsia="Times New Roman"/>
          <w:b/>
          <w:bCs/>
          <w:noProof/>
          <w:szCs w:val="24"/>
        </w:rPr>
      </w:pPr>
      <w:r>
        <w:rPr>
          <w:b/>
          <w:noProof/>
        </w:rPr>
        <w:t>Kazalniki</w:t>
      </w:r>
    </w:p>
    <w:p>
      <w:pPr>
        <w:spacing w:before="100" w:beforeAutospacing="1" w:after="240"/>
        <w:rPr>
          <w:rFonts w:eastAsia="Times New Roman"/>
          <w:noProof/>
          <w:szCs w:val="24"/>
        </w:rPr>
      </w:pPr>
      <w:r>
        <w:rPr>
          <w:noProof/>
        </w:rPr>
        <w:t>Doseganje specifičnih ciljev, navedenih v členu 5(1) se meri z naslednjimi kazalniki:</w:t>
      </w:r>
    </w:p>
    <w:p>
      <w:pPr>
        <w:pStyle w:val="Point0letter"/>
        <w:numPr>
          <w:ilvl w:val="1"/>
          <w:numId w:val="9"/>
        </w:numPr>
        <w:rPr>
          <w:noProof/>
        </w:rPr>
      </w:pPr>
      <w:r>
        <w:rPr>
          <w:noProof/>
        </w:rPr>
        <w:t>številom in vrsto nacionalnih organov, upravnih služb in drugih javnih subjektov, kot so nacionalna ministrstva ali regulativni organi, po posameznih državah članicah upravičenkah, ki jim je bila zagotovljena podpora v okviru programa;</w:t>
      </w:r>
    </w:p>
    <w:p>
      <w:pPr>
        <w:pStyle w:val="Point0letter"/>
        <w:rPr>
          <w:noProof/>
        </w:rPr>
      </w:pPr>
      <w:r>
        <w:rPr>
          <w:noProof/>
        </w:rPr>
        <w:t xml:space="preserve">številom in vrsto ponudnikov podpore, kot so državni organi, subjekti javnega prava in subjekti zasebnega prava, ki opravljajo javne storitve, ter mednarodne organizacije, po specifičnih ciljih, področjih politik in državah članicah upravičenkah; </w:t>
      </w:r>
    </w:p>
    <w:p>
      <w:pPr>
        <w:pStyle w:val="Point0letter"/>
        <w:rPr>
          <w:noProof/>
        </w:rPr>
      </w:pPr>
      <w:r>
        <w:rPr>
          <w:noProof/>
        </w:rPr>
        <w:t>številom in vrsto izvedenih upravičenih ukrepov v skladu s členom 6, kot so zagotavljanje strokovnjakov, ukrepi usposabljanja, seminarji itd., razčlenjenih po:</w:t>
      </w:r>
    </w:p>
    <w:p>
      <w:pPr>
        <w:pStyle w:val="Point1letter"/>
        <w:rPr>
          <w:noProof/>
        </w:rPr>
      </w:pPr>
      <w:r>
        <w:rPr>
          <w:noProof/>
        </w:rPr>
        <w:t>priporočilih za posamezne države ali ustreznih ukrepih v zvezi z izvajanjem prava Unije, programi za makroekonomsko prilagoditev in reformami na lastno pobudo države članice;</w:t>
      </w:r>
    </w:p>
    <w:p>
      <w:pPr>
        <w:pStyle w:val="Point1letter"/>
        <w:rPr>
          <w:noProof/>
        </w:rPr>
      </w:pPr>
      <w:r>
        <w:rPr>
          <w:noProof/>
        </w:rPr>
        <w:t>specifičnih ciljih, področjih politike in državah članicah upravičenkah;</w:t>
      </w:r>
    </w:p>
    <w:p>
      <w:pPr>
        <w:pStyle w:val="Point1letter"/>
        <w:rPr>
          <w:noProof/>
        </w:rPr>
      </w:pPr>
      <w:r>
        <w:rPr>
          <w:noProof/>
        </w:rPr>
        <w:t xml:space="preserve">ponudnikih podpore, kot so državni organi, subjekti javnega prava in subjekti zasebnega prava, ki opravljajo javne storitve, ter mednarodne organizacije; </w:t>
      </w:r>
    </w:p>
    <w:p>
      <w:pPr>
        <w:pStyle w:val="Point1letter"/>
        <w:rPr>
          <w:noProof/>
        </w:rPr>
      </w:pPr>
      <w:r>
        <w:rPr>
          <w:noProof/>
        </w:rPr>
        <w:t>prejemnikih podpore iz države članice upravičenke, kot so nacionalni organi;</w:t>
      </w:r>
    </w:p>
    <w:p>
      <w:pPr>
        <w:pStyle w:val="Point0letter"/>
        <w:rPr>
          <w:noProof/>
        </w:rPr>
      </w:pPr>
      <w:r>
        <w:rPr>
          <w:noProof/>
        </w:rPr>
        <w:t xml:space="preserve">številom in vrsto dogovorov glede politik in pravnih ureditev, kot so politični memorandumi o soglasju ali pisma o nameri, sporazumi in pogodbe, sklenjeni med Komisijo, partnerji pri reformi (odvisno od primera) in ponudniki podpore, za dejavnosti v okviru programa, po specifičnih ciljih, področjih politike in državah članicah upravičenkah; </w:t>
      </w:r>
    </w:p>
    <w:p>
      <w:pPr>
        <w:pStyle w:val="Point0letter"/>
        <w:rPr>
          <w:noProof/>
        </w:rPr>
      </w:pPr>
      <w:r>
        <w:rPr>
          <w:noProof/>
        </w:rPr>
        <w:t xml:space="preserve">številom sprejetih pobud o politikah (npr. akcijski načrti, načrti, smernice, priporočila in priporočena zakonodaja) po specifičnih ciljih, področjih politike in državah članicah upravičenkah na podlagi ustreznih dejavnosti, podprtih s programom; </w:t>
      </w:r>
    </w:p>
    <w:p>
      <w:pPr>
        <w:pStyle w:val="Point0letter"/>
        <w:rPr>
          <w:noProof/>
        </w:rPr>
      </w:pPr>
      <w:r>
        <w:rPr>
          <w:noProof/>
        </w:rPr>
        <w:t>številom izvedenih ukrepov po področju politike in državah članicah upravičenkah, ki so rezultat podpornih ukrepov, zagotovljenih v okviru programa, razčlenjenih po priporočilih za posamezno državo ali ustreznih ukrepih v zvezi z izvajanjem prava Unije, programih za makroekonomsko prilagoditev in reformah na lastno pobudo države članice;</w:t>
      </w:r>
    </w:p>
    <w:p>
      <w:pPr>
        <w:pStyle w:val="Point0letter"/>
        <w:rPr>
          <w:noProof/>
        </w:rPr>
      </w:pPr>
      <w:r>
        <w:rPr>
          <w:noProof/>
        </w:rPr>
        <w:t>povratnimi informacijami nacionalnih organov, upravnih služb in drugih javnih subjektov, ki so prejeli podporo v okviru programa, ter (če so na voljo) drugih deležnikov/udeležencev glede rezultatov in/ali učinkov ukrepov v okviru programa po specifičnih ciljih, področjih politike in državah članicah upravičenkah, podprtimi z razpoložljivimi kvantitativnimi ali empiričnimi podatki, kjer so na voljo;</w:t>
      </w:r>
    </w:p>
    <w:p>
      <w:pPr>
        <w:pStyle w:val="Point0letter"/>
        <w:rPr>
          <w:noProof/>
        </w:rPr>
      </w:pPr>
      <w:r>
        <w:rPr>
          <w:noProof/>
        </w:rPr>
        <w:t xml:space="preserve">povratnimi informacijami ponudnikov podpore glede rezultatov in/ali učinkov podpore, ki so jo zagotovili v okviru programa v zvezi s specifičnim ciljem in </w:t>
      </w:r>
      <w:r>
        <w:rPr>
          <w:noProof/>
        </w:rPr>
        <w:lastRenderedPageBreak/>
        <w:t>področjem politike, na katerem so delovali, po državah članicah upravičenkah, podprtimi z razpoložljivimi kvantitativnimi ali empiričnimi podatki, kjer so na voljo;</w:t>
      </w:r>
    </w:p>
    <w:p>
      <w:pPr>
        <w:pStyle w:val="Point0letter"/>
        <w:rPr>
          <w:noProof/>
        </w:rPr>
      </w:pPr>
      <w:r>
        <w:rPr>
          <w:noProof/>
        </w:rPr>
        <w:t>razvojem stališč zadevnih deležnikov v zvezi s prispevkom programa k uresničevanju reform po specifičnih ciljih, področjih politike in državah članicah upravičenkah, podprtim z razpoložljivimi ustreznimi kvantitativnimi ali empiričnimi podatki, kjer so na voljo.</w:t>
      </w:r>
    </w:p>
    <w:p>
      <w:pPr>
        <w:spacing w:before="100" w:beforeAutospacing="1" w:after="240"/>
        <w:rPr>
          <w:rFonts w:eastAsia="Times New Roman"/>
          <w:noProof/>
          <w:szCs w:val="24"/>
        </w:rPr>
      </w:pPr>
      <w:r>
        <w:rPr>
          <w:noProof/>
        </w:rPr>
        <w:t>Ti kazalniki se uporabljajo glede na razpoložljive podatke in informacije (vključno z ustreznimi kvantitativnimi ali empiričnimi podatki).</w:t>
      </w:r>
    </w:p>
    <w:sectPr>
      <w:footerReference w:type="defaul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AA467F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424C68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F82B3F4"/>
    <w:lvl w:ilvl="0">
      <w:start w:val="1"/>
      <w:numFmt w:val="decimal"/>
      <w:pStyle w:val="ListNumber2"/>
      <w:lvlText w:val="%1."/>
      <w:lvlJc w:val="left"/>
      <w:pPr>
        <w:tabs>
          <w:tab w:val="num" w:pos="643"/>
        </w:tabs>
        <w:ind w:left="643" w:hanging="360"/>
      </w:pPr>
    </w:lvl>
  </w:abstractNum>
  <w:abstractNum w:abstractNumId="3">
    <w:nsid w:val="FFFFFF81"/>
    <w:multiLevelType w:val="singleLevel"/>
    <w:tmpl w:val="4A0053C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C0A73B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8C2632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1A49374"/>
    <w:lvl w:ilvl="0">
      <w:start w:val="1"/>
      <w:numFmt w:val="decimal"/>
      <w:pStyle w:val="ListNumber"/>
      <w:lvlText w:val="%1."/>
      <w:lvlJc w:val="left"/>
      <w:pPr>
        <w:tabs>
          <w:tab w:val="num" w:pos="360"/>
        </w:tabs>
        <w:ind w:left="360" w:hanging="360"/>
      </w:pPr>
    </w:lvl>
  </w:abstractNum>
  <w:abstractNum w:abstractNumId="7">
    <w:nsid w:val="FFFFFF89"/>
    <w:multiLevelType w:val="singleLevel"/>
    <w:tmpl w:val="0E6E148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1-27 17:36:5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CP" w:val="&lt;UNUSED&gt;"/>
    <w:docVar w:name="LW_ANNEX_NBR_FIRST" w:val="1"/>
    <w:docVar w:name="LW_ANNEX_NBR_LAST" w:val="1"/>
    <w:docVar w:name="LW_CONFIDENCE" w:val=" "/>
    <w:docVar w:name="LW_CONST_RESTREINT_UE" w:val="RESTREINT UE"/>
    <w:docVar w:name="LW_CORRIGENDUM" w:val="&lt;UNUSED&gt;"/>
    <w:docVar w:name="LW_COVERPAGE_GUID" w:val="201345052EF5449CBDE3673D7758B593"/>
    <w:docVar w:name="LW_CROSSREFERENCE" w:val="{SWD(2015) 750 final}"/>
    <w:docVar w:name="LW_DocType" w:val="ANNEX"/>
    <w:docVar w:name="LW_EMISSION" w:val="26.11.2015"/>
    <w:docVar w:name="LW_EMISSION_ISODATE" w:val="2015-11-26"/>
    <w:docVar w:name="LW_EMISSION_LOCATION" w:val="BRX"/>
    <w:docVar w:name="LW_EMISSION_PREFIX" w:val="Bruselj, "/>
    <w:docVar w:name="LW_EMISSION_SUFFIX" w:val=" "/>
    <w:docVar w:name="LW_ID_DOCSTRUCTURE" w:val="COM/ANNEX"/>
    <w:docVar w:name="LW_ID_DOCTYPE" w:val="SG-017"/>
    <w:docVar w:name="LW_LANGUE" w:val="SL"/>
    <w:docVar w:name="LW_MARKING" w:val="&lt;UNUSED&gt;"/>
    <w:docVar w:name="LW_NOM.INST" w:val="EVROPSKA KOMISIJA"/>
    <w:docVar w:name="LW_NOM.INST_JOINTDOC" w:val="&lt;EMPTY&gt;"/>
    <w:docVar w:name="LW_OBJETACTEPRINCIPAL.CP" w:val="&lt;UNUSED&gt;"/>
    <w:docVar w:name="LW_PART_NBR" w:val="1"/>
    <w:docVar w:name="LW_PART_NBR_TOTAL" w:val="1"/>
    <w:docVar w:name="LW_REF.INST.NEW" w:val="COM"/>
    <w:docVar w:name="LW_REF.INST.NEW_ADOPTED" w:val="final"/>
    <w:docVar w:name="LW_REF.INST.NEW_TEXT" w:val="(2015) 701"/>
    <w:docVar w:name="LW_REF.INTERNE" w:val="&lt;UNUSED&gt;"/>
    <w:docVar w:name="LW_SUPERTITRE" w:val="&lt;UNUSED&gt;"/>
    <w:docVar w:name="LW_TITRE.OBJ.CP" w:val="k predlogu za_x000b__x000b_UREDBO EVROPSKEGA PARLAMENTA IN SVETA_x000b__x000b_o uvedbi programa za podporo strukturnim reformam za obdobje 2017\u8211?2020 ter o spremembi uredb (EU) \u353?t. 1303/2013 in (EU) \u353?t. 1305/2013"/>
    <w:docVar w:name="LW_TYPE.DOC.CP" w:val="PRILOGA"/>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5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3</Pages>
  <Words>436</Words>
  <Characters>2852</Characters>
  <Application>Microsoft Office Word</Application>
  <DocSecurity>0</DocSecurity>
  <Lines>50</Lines>
  <Paragraphs>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GEENIS-PALERMO Mildred (SG)</dc:creator>
  <cp:lastModifiedBy>DIGIT/A3</cp:lastModifiedBy>
  <cp:revision>8</cp:revision>
  <dcterms:created xsi:type="dcterms:W3CDTF">2015-11-27T13:19:00Z</dcterms:created>
  <dcterms:modified xsi:type="dcterms:W3CDTF">2015-11-27T16:36:00Z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