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98B0613B27914A36B4571631E6BC876F" style="width:450.45pt;height:365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Razões e objetivos da proposta</w:t>
      </w:r>
    </w:p>
    <w:p>
      <w:pPr>
        <w:rPr>
          <w:noProof/>
        </w:rPr>
      </w:pPr>
      <w:r>
        <w:rPr>
          <w:noProof/>
        </w:rPr>
        <w:t>O artigo 97.º, n.º 1, da Diretiva 2006/112/CE, de 28 de novembro de 2006, relativa ao sistema comum do imposto sobre o valor acrescentado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(a seguir, «Diretiva IVA») estabelece que, a partir de 1 de janeiro de 2011 e até 31 de dezembro de 2015, a taxa normal não pode ser inferior a 15 %.</w:t>
      </w:r>
    </w:p>
    <w:p>
      <w:pPr>
        <w:rPr>
          <w:noProof/>
        </w:rPr>
      </w:pPr>
      <w:r>
        <w:rPr>
          <w:noProof/>
        </w:rPr>
        <w:t xml:space="preserve">Esta disposição baseia-se no artigo 93.º do Tratado que institui a Comunidade Europeia (TCE). Desde 1 de dezembro de 2009, o artigo 93.º do TCE foi substituído pelo artigo 113.º do Tratado sobre o Funcionamento da União Europeia (TFUE). O artigo 113.º do TFUE determina que o Conselho, deliberando por unanimidade, de acordo com um processo legislativo especial, e após consulta do Parlamento Europeu e do Comité Económico e Social, adota as disposições relacionadas com a harmonização das legislações relativas aos impostos sobre o volume de negócio (...) na medida em que essa harmonização seja necessária para assegurar o estabelecimento e o funcionamento do mercado interno e para evitar as distorções de concorrência. </w:t>
      </w:r>
    </w:p>
    <w:p>
      <w:pPr>
        <w:rPr>
          <w:noProof/>
        </w:rPr>
      </w:pPr>
      <w:r>
        <w:rPr>
          <w:noProof/>
        </w:rPr>
        <w:t xml:space="preserve">Com vista à realização do mercado interno em 1 de janeiro de 1993, a Comissão apresentou propostas destinadas a estabelecer um sistema definitivo de harmonização fiscal. </w:t>
      </w:r>
    </w:p>
    <w:p>
      <w:pPr>
        <w:rPr>
          <w:noProof/>
        </w:rPr>
      </w:pPr>
      <w:r>
        <w:rPr>
          <w:noProof/>
        </w:rPr>
        <w:t>Porém, face à impossibilidade manifesta de adotar as propostas da Comissão antes dessa data, o Conselho decidiu aplicar um regime transitório. No que se refere às taxas do IVA, o Conselho adotou a Diretiva 92/77/CEE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Esta diretiva introduziu um sistema de taxas mínimas. Determinou que, a partir de 1 de janeiro de 1993 e até 31 de dezembro de 1996 a taxa normal não poderia ser inferior a 15 % em nenhum Estado-Membro. Esta disposição foi prorrogada cinco vezes e é agora aplicável até 31 de dezembro de 2015. </w:t>
      </w:r>
    </w:p>
    <w:p>
      <w:pPr>
        <w:rPr>
          <w:noProof/>
        </w:rPr>
      </w:pPr>
      <w:r>
        <w:rPr>
          <w:noProof/>
        </w:rPr>
        <w:t>As recentes modificações da Diretiva IVA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implementaram a tributação no lugar de destino, o que reduz a possibilidade de efetuar transações transfronteiriças para beneficiar de taxas inferiores de IVA, um comportamento que pode distorcer a concorrência. No entanto, é prática comum no domínio da fiscalidade indireta, tanto para os impostos especiais sobre o consumo como para o IVA, fixar taxas mínimas, nomeadamente tendo em conta o facto de que ainda se aplica o IVA no local de origem, e não no destino, às compras transfronteiriças e às vendas à distância até um determinado valor. Por conseguinte, a aplicação de uma taxa mínima uniforme em todos os Estados-Membros — como no caso atual — constitui uma salvaguarda útil ao bom funcionamento do mercado interno.</w:t>
      </w:r>
    </w:p>
    <w:p>
      <w:pPr>
        <w:rPr>
          <w:noProof/>
        </w:rPr>
      </w:pPr>
      <w:r>
        <w:rPr>
          <w:noProof/>
        </w:rPr>
        <w:t xml:space="preserve">Considerando que todos os Estados-Membros aplicam hoje uma taxa normal superior a 15 %, a aplicação atual de uma taxa mínima uniforme de 15 % também garante uma certa margem de manobra aos Estados-Membros, permitindo-lhes reformar o IVA para reduzir a taxa normal alargando a base do IVA e limitando a utilização de taxas reduzidas.  </w:t>
      </w:r>
    </w:p>
    <w:p>
      <w:pPr>
        <w:rPr>
          <w:noProof/>
        </w:rPr>
      </w:pPr>
      <w:r>
        <w:rPr>
          <w:noProof/>
        </w:rPr>
        <w:t>Em 6 de dezembro de 2011, a Comissão adotou uma comunicação sobre o futuro do IVA</w:t>
      </w:r>
      <w:r>
        <w:rPr>
          <w:rStyle w:val="FootnoteReference"/>
          <w:noProof/>
        </w:rPr>
        <w:footnoteReference w:id="4"/>
      </w:r>
      <w:r>
        <w:rPr>
          <w:noProof/>
        </w:rPr>
        <w:t>, que propunha que o princípio do país de origem fosse abandonado e descrevia várias formas de pôr em prática a tributação no lugar de destino. Em 2016, a Comissão publicará um plano de ação para a introdução de um sistema definitivo simples, eficiente e imune à fraude para o imposto sobre o valor acrescentado, adaptado ao mercado único. O plano de ação definirá as orientações para os futuros trabalhos na sequência dos resultados alcançados desde a comunicação de 2011. Definirá, nomeadamente, as principais características do regime definitivo do IVA aplicável ao comércio intra-UE que a Comissão pretende propor, bem como as reformas previstas para adaptar as regras existentes em matéria de taxas de IVA a um regime definitivo caracterizado pelo princípio do país de destino. Esta revisão das regras das taxas de IVA abordará duas questões essenciais: a possibilidade de conceder aos Estados-Membros uma maior liberdade na fixação de tarifas («flexibilidade reforçada») e como tratar as derrogações temporárias que permitem as isenções, taxas nulas e taxas super-reduzidas, a reconsiderar com a introdução do regime definitivo do IVA.</w:t>
      </w:r>
    </w:p>
    <w:p>
      <w:pPr>
        <w:rPr>
          <w:noProof/>
        </w:rPr>
      </w:pPr>
      <w:r>
        <w:rPr>
          <w:noProof/>
        </w:rPr>
        <w:t>Nestas circunstâncias, e aguardando as decisões sobre a forma final do regime definitivo, afigura-se apropriado manter temporariamente o princípio de uma taxa normal mínima de IVA de 15 % e propor a prorrogação das medidas em vigor [por um período de dois anos, até 31 de dezembro de 2017]. Este prazo garante a segurança jurídica necessária às partes interessadas e permite uma discussão mais exaustiva sobre as taxas do IVA no quadro do futuro plano de ação em matéria de IVA.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Coerência com as disposições vigentes no mesmo domínio de ação</w:t>
      </w:r>
    </w:p>
    <w:p>
      <w:pPr>
        <w:rPr>
          <w:noProof/>
        </w:rPr>
      </w:pPr>
      <w:r>
        <w:rPr>
          <w:noProof/>
        </w:rPr>
        <w:t xml:space="preserve">Na medida em que prorroga uma disposição em vigor (artigo 97.º da Diretiva IVA), a proposta é coerente com a legislação em vigor.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Coerência com outras políticas da União</w:t>
      </w:r>
    </w:p>
    <w:p>
      <w:pPr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Base jurídica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diretiva proposta altera a Diretiva IVA. A base jurídica é o artigo 113.º do Tratado sobre o Funcionamento da União Europeia (TFUE)</w:t>
      </w:r>
      <w: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Subsidiariedade (no caso de competência não exclusiva) </w:t>
      </w:r>
    </w:p>
    <w:p>
      <w:pPr>
        <w:rPr>
          <w:rFonts w:eastAsia="Calibri"/>
          <w:noProof/>
        </w:rPr>
      </w:pPr>
      <w:r>
        <w:rPr>
          <w:noProof/>
        </w:rPr>
        <w:t>O princípio da subsidiariedade é aplicável, uma vez que a proposta não é da competência exclusiva da União Europeia. Os objetivos da proposta não podem ser suficientemente realizados pelos Estados-Membros pelas seguintes razões:</w:t>
      </w:r>
    </w:p>
    <w:p>
      <w:pPr>
        <w:rPr>
          <w:rFonts w:eastAsia="Calibri"/>
          <w:noProof/>
        </w:rPr>
      </w:pPr>
      <w:r>
        <w:rPr>
          <w:noProof/>
        </w:rPr>
        <w:t>A União Europeia já definiu disposições harmonizadas sobre a aplicação das taxas de IVA, na Diretiva IVA. A aplicação destas disposições só pode ser alterada ou prorrogada por um ato da União Europeia e as legislações nacionais não podem desviar-se das regras harmonizadas.</w:t>
      </w:r>
    </w:p>
    <w:p>
      <w:pPr>
        <w:rPr>
          <w:rFonts w:eastAsia="Calibri"/>
          <w:noProof/>
        </w:rPr>
      </w:pPr>
      <w:r>
        <w:rPr>
          <w:noProof/>
        </w:rPr>
        <w:t>Assim, só uma ação da União Europeia pode alcançar os objetivos da proposta e assegurar a igualdade de tratamento de todos os cidadãos na União Europeia. Por conseguinte, a proposta respeita o princípio da subsidiariedade.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Proporcionalidade</w:t>
      </w:r>
    </w:p>
    <w:p>
      <w:pPr>
        <w:rPr>
          <w:rFonts w:eastAsia="Calibri"/>
          <w:noProof/>
        </w:rPr>
      </w:pPr>
      <w:r>
        <w:rPr>
          <w:noProof/>
        </w:rPr>
        <w:t>A proposta respeita o princípio da proporcionalidade pelo(s) motivo(s) a seguir indicado(s):</w:t>
      </w:r>
    </w:p>
    <w:p>
      <w:pPr>
        <w:rPr>
          <w:rFonts w:eastAsia="Calibri"/>
          <w:noProof/>
        </w:rPr>
      </w:pPr>
      <w:r>
        <w:rPr>
          <w:noProof/>
        </w:rPr>
        <w:t xml:space="preserve">A presente proposta mantém a situação atual, sendo o nível mínimo da taxa normal de IVA aplicada nos Estados-Membros de 15 %. </w:t>
      </w:r>
    </w:p>
    <w:p>
      <w:pPr>
        <w:rPr>
          <w:rFonts w:eastAsia="Calibri"/>
          <w:noProof/>
        </w:rPr>
      </w:pPr>
      <w:r>
        <w:rPr>
          <w:noProof/>
        </w:rPr>
        <w:t xml:space="preserve">Dado que a proposta apenas prorroga o período de aplicação de uma disposição em vigor, a medida é proporcionada em relação ao objetivo visado. A proposta não envolve custos financeiros para a União Europeia nem encargos financeiros suplementares para as empresas ou os consumidores.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Escolha do instrumento</w:t>
      </w:r>
    </w:p>
    <w:p>
      <w:pPr>
        <w:rPr>
          <w:rFonts w:eastAsia="Calibri"/>
          <w:noProof/>
        </w:rPr>
      </w:pPr>
      <w:r>
        <w:rPr>
          <w:noProof/>
        </w:rPr>
        <w:t>O instrumento proposto é uma diretiva. Nenhum outro meio seria adequado, visto que a presente proposta altera as disposições em matéria de taxas de IVA já adotadas por uma diretiva.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RESULTADOS DAS AVALIAÇÕES </w:t>
      </w:r>
      <w:r>
        <w:rPr>
          <w:i/>
          <w:noProof/>
        </w:rPr>
        <w:t>EX POST</w:t>
      </w:r>
      <w:r>
        <w:rPr>
          <w:noProof/>
        </w:rPr>
        <w:t>, DAS CONSULTAS DAS PARTES INTERESSADAS E DAS AVALIAÇÕES DE IMPACTO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Avaliações </w:t>
      </w:r>
      <w:r>
        <w:rPr>
          <w:i/>
          <w:noProof/>
        </w:rPr>
        <w:t>ex post</w:t>
      </w:r>
      <w:r>
        <w:rPr>
          <w:noProof/>
        </w:rPr>
        <w:t>/controlo da adequação da legislação existente</w:t>
      </w:r>
    </w:p>
    <w:p>
      <w:pPr>
        <w:rPr>
          <w:noProof/>
        </w:rPr>
      </w:pPr>
      <w:r>
        <w:rPr>
          <w:noProof/>
        </w:rPr>
        <w:t>A atual taxa normal mínima do IVA foi prorrogada cinco vezes. Esta sexta prorrogação mantém a situação satisfatória atual e garante a segurança jurídica às partes interessadas, permitindo, ao mesmo tempo, a entrada em vigor do regime definitivo do IVA aplicável ao comércio intra-UE com base num conjunto revisto de regras relativas às taxas normal e reduzida do IVA.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Consulta das partes interessadas</w:t>
      </w:r>
    </w:p>
    <w:p>
      <w:pPr>
        <w:rPr>
          <w:rFonts w:eastAsia="Calibri"/>
          <w:noProof/>
        </w:rPr>
      </w:pPr>
      <w:r>
        <w:rPr>
          <w:noProof/>
        </w:rPr>
        <w:t xml:space="preserve">Tendo em conta que a proposta apenas prorroga a situação existente por um determinado período, que não foi apresentado nenhum pedido ou queixa específica à Comissão sobre as regras de aplicação da taxa normal do IVA e que uma avaliação mais ampla do sistema de taxas está prevista no quadro do plano de ação em matéria de IVA, não foi necessário consultar as partes interessadas neste momento.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Obtenção e utilização de competências especializadas</w:t>
      </w:r>
    </w:p>
    <w:p>
      <w:pPr>
        <w:rPr>
          <w:rFonts w:eastAsia="Calibri"/>
          <w:noProof/>
        </w:rPr>
      </w:pPr>
      <w:r>
        <w:rPr>
          <w:noProof/>
        </w:rPr>
        <w:t xml:space="preserve">Dado que não foi apresentado nenhum pedido ou queixa específica à Comissão sobre as regras de aplicação da taxa normal do IVA, não houve necessidade de consultar ou utilizar competências externas.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Avaliação de impacto</w:t>
      </w:r>
    </w:p>
    <w:p>
      <w:pPr>
        <w:rPr>
          <w:noProof/>
        </w:rPr>
      </w:pPr>
      <w:r>
        <w:rPr>
          <w:noProof/>
        </w:rPr>
        <w:t xml:space="preserve">A medida em causa tem como único objetivo prorrogar a disposição temporária referente à duração do período de aplicação da atual taxa normal mínima do IVA. Tal prorrogação mantém simplesmente a atual situação em matéria de taxa normal do IVA. </w:t>
      </w:r>
    </w:p>
    <w:p>
      <w:pPr>
        <w:rPr>
          <w:noProof/>
        </w:rPr>
      </w:pPr>
      <w:r>
        <w:rPr>
          <w:noProof/>
        </w:rPr>
        <w:t>Em qualquer caso, a medida proposta não deverá ter impactos económicos, sociais, regionais ou ambientais, dado que não são necessárias alterações em relação à situação atual.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Adequação e simplificação da legislação</w:t>
      </w:r>
    </w:p>
    <w:p>
      <w:pPr>
        <w:pStyle w:val="ManualHeading2"/>
        <w:ind w:left="0" w:firstLine="0"/>
        <w:rPr>
          <w:rFonts w:eastAsia="Arial Unicode MS"/>
          <w:noProof/>
        </w:rPr>
      </w:pPr>
      <w:r>
        <w:rPr>
          <w:b w:val="0"/>
          <w:noProof/>
        </w:rPr>
        <w:t xml:space="preserve">A proposta não está relacionada com o programa REFIT nem implica nenhuma carga regulamentar.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Direitos fundamentais</w:t>
      </w:r>
    </w:p>
    <w:p>
      <w:pPr>
        <w:rPr>
          <w:noProof/>
        </w:rPr>
      </w:pPr>
      <w:r>
        <w:rPr>
          <w:noProof/>
        </w:rPr>
        <w:t>Não aplicável.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rPr>
          <w:rFonts w:eastAsia="Calibri"/>
          <w:noProof/>
        </w:rPr>
      </w:pPr>
      <w:r>
        <w:rPr>
          <w:noProof/>
        </w:rPr>
        <w:t xml:space="preserve">A presente proposta não tem incidência no orçamento da União Europeia.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Planos de execução e acompanhamento, avaliação e notificação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Tendo em conta que a Comissão irá rever todas as regras em matéria de taxas do IVA em 2016, não é necessário avaliar especificamente a prorrogação da taxa normal mínima.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Documentos explicativos (para as diretivas)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Atualmente, todos os Estados-Membros cumprem a taxa mínima de IVA de 15 %. Não há necessidade de documentos explicativos sobre a transposição.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Explicação pormenorizada das disposições específicas da proposta</w:t>
      </w:r>
    </w:p>
    <w:p>
      <w:pPr>
        <w:rPr>
          <w:rFonts w:eastAsia="Calibri"/>
          <w:noProof/>
          <w:u w:val="single"/>
        </w:rPr>
      </w:pPr>
      <w:r>
        <w:rPr>
          <w:noProof/>
          <w:u w:val="single"/>
        </w:rPr>
        <w:t>Artigo 1.º</w:t>
      </w:r>
    </w:p>
    <w:p>
      <w:pPr>
        <w:rPr>
          <w:rFonts w:eastAsia="Calibri"/>
          <w:noProof/>
        </w:rPr>
      </w:pPr>
      <w:r>
        <w:rPr>
          <w:noProof/>
        </w:rPr>
        <w:t>O artigo 1.º propõe a prorrogação da taxa normal mínima do IVA atualmente em vigor nos Estados-Membros, fixada em 15 %, de 1 de janeiro de 2016 até 31 de dezembro de 2017.</w:t>
      </w:r>
    </w:p>
    <w:p>
      <w:pPr>
        <w:rPr>
          <w:rFonts w:eastAsia="Calibri"/>
          <w:noProof/>
          <w:u w:val="single"/>
        </w:rPr>
      </w:pPr>
      <w:r>
        <w:rPr>
          <w:noProof/>
          <w:u w:val="single"/>
        </w:rPr>
        <w:t xml:space="preserve">Artigo 2.º </w:t>
      </w:r>
    </w:p>
    <w:p>
      <w:pPr>
        <w:rPr>
          <w:rFonts w:eastAsia="Calibri"/>
          <w:noProof/>
        </w:rPr>
      </w:pPr>
      <w:r>
        <w:rPr>
          <w:noProof/>
        </w:rPr>
        <w:t>O artigo 2.º rege a transposição da diretiva.</w:t>
      </w:r>
    </w:p>
    <w:p>
      <w:pPr>
        <w:rPr>
          <w:rFonts w:eastAsia="Calibri"/>
          <w:noProof/>
          <w:u w:val="single"/>
        </w:rPr>
      </w:pPr>
      <w:r>
        <w:rPr>
          <w:noProof/>
          <w:u w:val="single"/>
        </w:rPr>
        <w:t xml:space="preserve">Artigo 3.º </w:t>
      </w:r>
    </w:p>
    <w:p>
      <w:pPr>
        <w:rPr>
          <w:rFonts w:eastAsia="Calibri"/>
          <w:noProof/>
        </w:rPr>
      </w:pPr>
      <w:r>
        <w:rPr>
          <w:noProof/>
        </w:rPr>
        <w:t>O artigo 3.º rege a data de entrada em vigor da diretiva.</w:t>
      </w:r>
    </w:p>
    <w:p>
      <w:pPr>
        <w:spacing w:before="0" w:after="0"/>
        <w:jc w:val="left"/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2015/0296 (CNS)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DIRETIVA DO CONSELHO</w:t>
      </w:r>
    </w:p>
    <w:p>
      <w:pPr>
        <w:pStyle w:val="Titreobjet"/>
        <w:rPr>
          <w:noProof/>
        </w:rPr>
      </w:pPr>
      <w:r>
        <w:rPr>
          <w:noProof/>
        </w:rPr>
        <w:t>que altera a Diretiva 2006/112/CE relativa ao sistema comum do imposto sobre o valor acrescentado no que se refere à duração da obrigação de respeitar uma taxa normal mínima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113.º,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Após transmissão do projeto de ato legislativo aos parlamentos nacionais,</w:t>
      </w:r>
    </w:p>
    <w:p>
      <w:pPr>
        <w:rPr>
          <w:noProof/>
        </w:rPr>
      </w:pPr>
      <w:r>
        <w:rPr>
          <w:noProof/>
        </w:rPr>
        <w:t>Tendo em conta o parecer do Parlamento Europeu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Tendo em conta o parecer do Comité Económico e Social Europeu</w:t>
      </w:r>
      <w:r>
        <w:rPr>
          <w:rStyle w:val="FootnoteReference"/>
          <w:noProof/>
        </w:rPr>
        <w:footnoteReference w:id="6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Deliberando de acordo com um processo legislativo especial,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O artigo 97.º da Diretiva 2006/112/CE do Conselho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estabelece que, a partir de 1 de janeiro de 2011 e até 31 de dezembro de 2015, a taxa normal não pode ser inferior a 15 %.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A taxa normal do imposto sobre o valor acrescentado (IVA) atualmente em vigor nos Estados-Membros, combinada com o mecanismo do sistema transitório, assegurou que este sistema funcionasse de modo aceitável. Com as novas regras sobre o lugar de prestação dos serviços, que favorecem a tributação no lugar do consumo, a possibilidade de explorar as diferenças nas taxas do IVA através da relocalização foram ainda mais reduzidas, bem como as potenciais distorções da concorrência.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Para evitar que uma divergência crescente nas taxas normais do IVA aplicadas pelos Estados-Membros possa gerar desequilíbrios estruturais na UE e distorções da concorrência em alguns sectores de atividade, tornou-se prática comum fixar taxas mínimas no domínio da fiscalidade indireta. Continua a ser necessário proceder desta forma para o IVA.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Na pendência de um acordo final sobre um regime definitivo do IVA para o comércio intra-União, seria prematuro fixar de modo definitivo o nível da taxa normal ou proceder à alteração do nível da taxa mínima.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Convém, por conseguinte, que a atual taxa normal mínima se mantenha em 15 % durante um período suficientemente longo, que, garantindo a segurança jurídica, possibilite simultaneamente uma nova revisão.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Tal não impossibilita que se reveja de novo a legislação sobre o IVA antes de 31 de dezembro de 2017, para adotar disposições finais sobre um regime de IVA definitivo para o comércio intra-União.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A Diretiva 2006/112/CE deve, por conseguinte, ser alterada em conformidade.</w:t>
      </w:r>
    </w:p>
    <w:p>
      <w:pPr>
        <w:pStyle w:val="Formuledadoption"/>
        <w:rPr>
          <w:noProof/>
        </w:rPr>
      </w:pPr>
      <w:r>
        <w:rPr>
          <w:noProof/>
        </w:rPr>
        <w:t>ADOTOU A PRESENTE DIRETIVA: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  <w:r>
        <w:rPr>
          <w:noProof/>
        </w:rPr>
        <w:br/>
      </w:r>
    </w:p>
    <w:p>
      <w:pPr>
        <w:rPr>
          <w:rFonts w:eastAsia="Calibri"/>
          <w:noProof/>
        </w:rPr>
      </w:pPr>
      <w:r>
        <w:rPr>
          <w:noProof/>
        </w:rPr>
        <w:t>O artigo 97.º da Diretiva 2006/112/CE passa a ter a seguinte redação:</w:t>
      </w:r>
    </w:p>
    <w:p>
      <w:pPr>
        <w:keepNext/>
        <w:spacing w:before="360"/>
        <w:jc w:val="center"/>
        <w:rPr>
          <w:rFonts w:eastAsia="Calibri"/>
          <w:i/>
          <w:noProof/>
        </w:rPr>
      </w:pPr>
      <w:r>
        <w:rPr>
          <w:i/>
          <w:noProof/>
        </w:rPr>
        <w:t>«Artigo 97.º</w:t>
      </w:r>
    </w:p>
    <w:p>
      <w:pPr>
        <w:ind w:left="850"/>
        <w:rPr>
          <w:rFonts w:eastAsia="Calibri"/>
          <w:noProof/>
        </w:rPr>
      </w:pPr>
      <w:r>
        <w:rPr>
          <w:noProof/>
        </w:rPr>
        <w:t>A partir de 1 de janeiro de 2016 e até 31 de dezembro de 2017, a taxa normal não pode ser inferior a 15 %.»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  <w:r>
        <w:rPr>
          <w:noProof/>
        </w:rPr>
        <w:br/>
      </w:r>
    </w:p>
    <w:p>
      <w:pPr>
        <w:ind w:left="850" w:hanging="850"/>
        <w:rPr>
          <w:rFonts w:eastAsia="Calibri"/>
          <w:noProof/>
        </w:rPr>
      </w:pPr>
      <w:r>
        <w:rPr>
          <w:noProof/>
        </w:rPr>
        <w:t>1.</w:t>
      </w:r>
      <w:r>
        <w:rPr>
          <w:noProof/>
        </w:rPr>
        <w:tab/>
        <w:t>Os Estados-Membros devem adotar as disposições legislativas, regulamentares e administrativas necessárias para dar cumprimento à presente diretiva até 1 de janeiro de 2016. Os Estados-Membros devem comunicar de imediato à Comissão o texto dessas disposições.</w:t>
      </w:r>
    </w:p>
    <w:p>
      <w:pPr>
        <w:ind w:left="850"/>
        <w:rPr>
          <w:rFonts w:eastAsia="Calibri"/>
          <w:noProof/>
        </w:rPr>
      </w:pPr>
      <w:r>
        <w:rPr>
          <w:noProof/>
        </w:rPr>
        <w:t>Ao serem adotadas pelos Estados-Membros, as referidas disposições devem incluir uma referência à presente diretiva ou ser acompanhadas dessa referência aquando da sua publicação oficial. Os Estados-Membros estabelecem o modo como deve ser feita essa referência.</w:t>
      </w:r>
    </w:p>
    <w:p>
      <w:pPr>
        <w:ind w:left="850" w:hanging="850"/>
        <w:rPr>
          <w:rFonts w:eastAsia="Calibri"/>
          <w:noProof/>
        </w:rPr>
      </w:pPr>
      <w:r>
        <w:rPr>
          <w:noProof/>
        </w:rPr>
        <w:t>2.</w:t>
      </w:r>
      <w:r>
        <w:rPr>
          <w:noProof/>
        </w:rPr>
        <w:tab/>
        <w:t>Os Estados-Membros devem comunicar à Comissão o texto das principais disposições de direito interno que adotarem nas matérias reguladas pela presente diretiva.</w:t>
      </w:r>
    </w:p>
    <w:p>
      <w:pPr>
        <w:pStyle w:val="Titrearticle"/>
        <w:rPr>
          <w:noProof/>
        </w:rPr>
      </w:pPr>
      <w:r>
        <w:rPr>
          <w:noProof/>
        </w:rPr>
        <w:t>Artigo 3.º</w:t>
      </w:r>
      <w:r>
        <w:rPr>
          <w:noProof/>
        </w:rPr>
        <w:br/>
      </w:r>
    </w:p>
    <w:p>
      <w:pPr>
        <w:rPr>
          <w:rFonts w:eastAsia="Calibri"/>
          <w:noProof/>
        </w:rPr>
      </w:pPr>
      <w:r>
        <w:rPr>
          <w:noProof/>
        </w:rPr>
        <w:t xml:space="preserve">A presente diretiva entra em vigor no dia seguinte ao da sua publicação no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Artigo 4.º</w:t>
      </w:r>
      <w:r>
        <w:rPr>
          <w:noProof/>
        </w:rPr>
        <w:br/>
      </w:r>
    </w:p>
    <w:p>
      <w:pPr>
        <w:keepNext/>
        <w:keepLines/>
        <w:rPr>
          <w:rFonts w:eastAsia="Calibri"/>
          <w:noProof/>
        </w:rPr>
      </w:pPr>
      <w:r>
        <w:rPr>
          <w:noProof/>
        </w:rPr>
        <w:t>Os destinatários da presente diretiva são os Estados-Membros.</w:t>
      </w:r>
    </w:p>
    <w:p>
      <w:pPr>
        <w:pStyle w:val="Fait"/>
        <w:rPr>
          <w:noProof/>
        </w:rPr>
      </w:pPr>
      <w:r>
        <w:rPr>
          <w:noProof/>
        </w:rP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  <w:bookmarkStart w:id="1" w:name="_CopyToNewDocument_"/>
      <w:bookmarkEnd w:id="1"/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JO L 347 de 11.12.2006, p.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 L 316 de 31.10.1992, p.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Diretiva 2008/8/CE do Conselho, de 12 de fevereiro de 2008, que altera a Diretiva 2006/112/CE, no que diz respeito ao lugar das prestações de serviços (JO L 44 de 20.2.2008, p. 11).</w:t>
      </w:r>
    </w:p>
  </w:footnote>
  <w:footnote w:id="4">
    <w:p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rPr>
          <w:lang w:val="fi-FI"/>
        </w:rPr>
        <w:tab/>
        <w:t>COM(2011) 851.</w:t>
      </w:r>
    </w:p>
  </w:footnote>
  <w:footnote w:id="5">
    <w:p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rPr>
          <w:lang w:val="fi-FI"/>
        </w:rPr>
        <w:tab/>
      </w:r>
      <w:r>
        <w:rPr>
          <w:rStyle w:val="FootnoteReference"/>
        </w:rPr>
        <w:footnoteRef/>
      </w:r>
      <w:r>
        <w:rPr>
          <w:lang w:val="fi-FI"/>
        </w:rPr>
        <w:t>JO C , , p. .</w:t>
      </w:r>
    </w:p>
  </w:footnote>
  <w:footnote w:id="6">
    <w:p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rPr>
          <w:lang w:val="fi-FI"/>
        </w:rPr>
        <w:tab/>
      </w:r>
      <w:r>
        <w:rPr>
          <w:rStyle w:val="FootnoteReference"/>
        </w:rPr>
        <w:footnoteRef/>
      </w:r>
      <w:r>
        <w:rPr>
          <w:lang w:val="fi-FI"/>
        </w:rPr>
        <w:t>JO C , , p. 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Diretiva 2006/112/CE do Conselho, de 28 de novembro de 2006, relativa ao sistema comum do imposto sobre o valor acrescentado (JO L 347 de 11.12.2006, p.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C9866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AB06D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B42A3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DA2E2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BD2D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FDE28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36BA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C6AD0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11 15:58:01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7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98B0613B27914A36B4571631E6BC876F"/>
    <w:docVar w:name="LW_CROSSREFERENCE" w:val="&lt;UNUSED&gt;"/>
    <w:docVar w:name="LW_DocType" w:val="COM"/>
    <w:docVar w:name="LW_EMISSION" w:val="14.12.2015"/>
    <w:docVar w:name="LW_EMISSION_ISODATE" w:val="2015-12-14"/>
    <w:docVar w:name="LW_EMISSION_LOCATION" w:val="BRX"/>
    <w:docVar w:name="LW_EMISSION_PREFIX" w:val="Bruxelas, "/>
    <w:docVar w:name="LW_EMISSION_SUFFIX" w:val=" "/>
    <w:docVar w:name="LW_ID_DOCMODEL" w:val="SJ-017"/>
    <w:docVar w:name="LW_ID_DOCSIGNATURE" w:val="SJ-017"/>
    <w:docVar w:name="LW_ID_DOCSTRUCTURE" w:val="COM/PL/ORG"/>
    <w:docVar w:name="LW_ID_DOCTYPE" w:val="SJ-017"/>
    <w:docVar w:name="LW_ID_STATUT" w:val="SJ-017"/>
    <w:docVar w:name="LW_INTERETEEE.CP" w:val="&lt;UNUSED&gt;"/>
    <w:docVar w:name="LW_LANGUE" w:val="PT"/>
    <w:docVar w:name="LW_MARKING" w:val="&lt;UNUSED&gt;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296"/>
    <w:docVar w:name="LW_REF.II.NEW.CP_YEAR" w:val="2015"/>
    <w:docVar w:name="LW_REF.INST.NEW" w:val="COM"/>
    <w:docVar w:name="LW_REF.INST.NEW_ADOPTED" w:val="final"/>
    <w:docVar w:name="LW_REF.INST.NEW_TEXT" w:val="(2015) 646"/>
    <w:docVar w:name="LW_REF.INTERNE" w:val="&lt;UNUSED&gt;"/>
    <w:docVar w:name="LW_SOUS.TITRE.OBJ.CP" w:val="&lt;UNUSED&gt;"/>
    <w:docVar w:name="LW_STATUT.CP" w:val="Proposta de"/>
    <w:docVar w:name="LW_SUPERTITRE" w:val="&lt;UNUSED&gt;"/>
    <w:docVar w:name="LW_TITRE.OBJ.CP" w:val="que altera a Diretiva 2006/112/CE relativa ao sistema comum do imposto sobre o valor acrescentado no que se refere à duração da obrigação de respeitar uma taxa normal mínima"/>
    <w:docVar w:name="LW_TYPE.DOC.CP" w:val="DIRETIVA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1258-A4EC-4BAF-9B01-2CBFA273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8</Pages>
  <Words>2049</Words>
  <Characters>10820</Characters>
  <Application>Microsoft Office Word</Application>
  <DocSecurity>0</DocSecurity>
  <Lines>208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2015-11-25T09:06:00Z</cp:lastPrinted>
  <dcterms:created xsi:type="dcterms:W3CDTF">2015-12-11T11:02:00Z</dcterms:created>
  <dcterms:modified xsi:type="dcterms:W3CDTF">2015-12-11T14:58:00Z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SJ-017</vt:lpwstr>
  </property>
  <property fmtid="{D5CDD505-2E9C-101B-9397-08002B2CF9AE}" pid="10" name="DQCStatus">
    <vt:lpwstr>Green (DQC version 03)</vt:lpwstr>
  </property>
</Properties>
</file>