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17E84652EA744C598AFE23A682528FF" style="width:450.75pt;height:39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rFonts w:eastAsia="Arial Unicode MS"/>
          <w:noProof/>
        </w:rPr>
      </w:pPr>
      <w:r>
        <w:rPr>
          <w:noProof/>
        </w:rPr>
        <w:t>V súčasnosti existuje v členských štátoch viac ako 300 civilných a vojenských orgánov zodpovedných za vykonávanie funkcií pobrežnej stráže v širokom spektre oblastí, ako sú napríklad námorná bezpečnosť, ochrana námornej dopravy, pátranie a záchrana, kontrola hraníc, kontrola rybárstva, colná kontrola, všeobecné presadzovanie práva a ochrana životného prostredia. Niekoľko agentúr EÚ, najmä agentúry FRONTEX, Európska námorná bezpečnostná agentúra (EMSA) a Európska agentúra pre kontrolu rybárstva, podporuje vnútroštátne orgány pri výkone týchto funkcií.</w:t>
      </w:r>
    </w:p>
    <w:p>
      <w:pPr>
        <w:pBdr>
          <w:top w:val="nil"/>
          <w:left w:val="nil"/>
          <w:bottom w:val="nil"/>
          <w:right w:val="nil"/>
          <w:between w:val="nil"/>
          <w:bar w:val="nil"/>
        </w:pBdr>
        <w:spacing w:before="0" w:after="240"/>
        <w:rPr>
          <w:rFonts w:eastAsia="Arial Unicode MS"/>
          <w:noProof/>
        </w:rPr>
      </w:pPr>
      <w:r>
        <w:rPr>
          <w:noProof/>
        </w:rPr>
        <w:t>V roku 2014 Komisia dokončila štúdiu uskutočniteľnosti s cieľom preskúmať potrebu lepšej spolupráce a koordinácie medzi vnútroštátnymi orgánmi a agentúrami vykonávajúcimi funkcie pobrežnej stráže. Táto štúdia je zameraná na celú škálu otázok na užšiu spoluprácu, najmä v oblasti operačného dozoru a výmeny údajov, ktoré sú základom všetkých týchto funkcií.</w:t>
      </w:r>
    </w:p>
    <w:p>
      <w:pPr>
        <w:pBdr>
          <w:top w:val="nil"/>
          <w:left w:val="nil"/>
          <w:bottom w:val="nil"/>
          <w:right w:val="nil"/>
          <w:between w:val="nil"/>
          <w:bar w:val="nil"/>
        </w:pBdr>
        <w:spacing w:before="0" w:after="240"/>
        <w:rPr>
          <w:rFonts w:eastAsia="Arial Unicode MS"/>
          <w:noProof/>
        </w:rPr>
      </w:pPr>
      <w:r>
        <w:rPr>
          <w:noProof/>
        </w:rPr>
        <w:t>Potreba posilniť spoluprácu a koordináciu medzi orgánmi vykonávajúcimi funkcie pobrežnej stráže bola následne uznaná v právnych predpisoch Únie v oblasti námornej dopravy, v stratégii námornej bezpečnosti Európskej únie s akčným plánom prijatým Radou v roku 2014 a v európskej migračnej agende prijatej Komisiou v roku 2015.</w:t>
      </w:r>
    </w:p>
    <w:p>
      <w:pPr>
        <w:pBdr>
          <w:top w:val="nil"/>
          <w:left w:val="nil"/>
          <w:bottom w:val="nil"/>
          <w:right w:val="nil"/>
          <w:between w:val="nil"/>
          <w:bar w:val="nil"/>
        </w:pBdr>
        <w:spacing w:before="0" w:after="240"/>
        <w:rPr>
          <w:rFonts w:eastAsia="Arial Unicode MS"/>
          <w:noProof/>
        </w:rPr>
      </w:pPr>
      <w:r>
        <w:rPr>
          <w:noProof/>
        </w:rPr>
        <w:t>Účelom tohto legislatívneho návrhu, ktorý má posilniť európsku spoluprácu v oblasti funkcií pobrežnej stráže, je zlepšiť spoluprácu a koordináciu medzi príslušnými agentúrami EÚ s cieľom posilniť synergie medzi ich príslušnými útvarmi a tým im umožniť, aby poskytovali efektívnejšie a nákladovo efektívnejšie viacúčelové služby vnútroštátnym orgánom vykonávajúcim funkcie pobrežnej stráže.</w:t>
      </w:r>
    </w:p>
    <w:p>
      <w:pPr>
        <w:pBdr>
          <w:top w:val="nil"/>
          <w:left w:val="nil"/>
          <w:bottom w:val="nil"/>
          <w:right w:val="nil"/>
          <w:between w:val="nil"/>
          <w:bar w:val="nil"/>
        </w:pBdr>
        <w:spacing w:before="0" w:after="240"/>
        <w:rPr>
          <w:rFonts w:eastAsia="Arial Unicode MS"/>
          <w:noProof/>
        </w:rPr>
      </w:pPr>
      <w:r>
        <w:rPr>
          <w:noProof/>
        </w:rPr>
        <w:t>Tento legislatívny návrh tvorí súčasť súboru opatrení navrhnutých Komisiou na posilnenie ochrany vonkajších hraníc Európy vrátane európskej spolupráce v oblasti funkcie pobrežnej stráže, ktorý zahŕňa aj návrhy nariadenia o vytvorení Európskej agentúry pre pohraničnú a pobrežnú stráž a zmenu nariadenia Rady (ES) č. 768/2005 o zriadení európskej agentúry pre kontrolu rybného hospodárstva. Podstatné zmeny v tomto návrhu sú totožné s navrhovanými ustanoveniami o spolupráci európskej pobrežnej stráže v návrhu nariadenia o vytvorení Európskej agentúry pre pohraničnú a pobrežnú stráž a navrhovanými zmenami nariadenia Rady (ES) č. 768/2005.</w:t>
      </w:r>
    </w:p>
    <w:p>
      <w:pPr>
        <w:pStyle w:val="ManualHeading2"/>
        <w:rPr>
          <w:rFonts w:eastAsia="Arial Unicode MS"/>
          <w:noProof/>
          <w:color w:val="000000"/>
          <w:u w:color="000000"/>
          <w:bdr w:val="nil"/>
        </w:rPr>
      </w:pPr>
      <w:r>
        <w:rPr>
          <w:noProof/>
          <w:color w:val="000000"/>
          <w:u w:color="000000"/>
          <w:bdr w:val="nil"/>
        </w:rPr>
        <w:t>•</w:t>
      </w:r>
      <w:r>
        <w:rPr>
          <w:noProof/>
        </w:rPr>
        <w:tab/>
        <w:t>Súlad s existujúcimi predpismi v danej oblasti politiky</w:t>
      </w:r>
    </w:p>
    <w:p>
      <w:pPr>
        <w:pBdr>
          <w:top w:val="nil"/>
          <w:left w:val="nil"/>
          <w:bottom w:val="nil"/>
          <w:right w:val="nil"/>
          <w:between w:val="nil"/>
          <w:bar w:val="nil"/>
        </w:pBdr>
        <w:spacing w:before="0" w:after="240"/>
        <w:rPr>
          <w:rFonts w:eastAsia="Arial Unicode MS"/>
          <w:noProof/>
        </w:rPr>
      </w:pPr>
      <w:r>
        <w:rPr>
          <w:noProof/>
        </w:rPr>
        <w:t>Tento návrh je v súlade s cieľmi európskej námornej dopravnej politiky do roku 2018 a Európskej námornej bezpečnostnej agentúry, ktorá bola zriadená s cieľom zabezpečiť vysokú, jednotnú a účinnú úroveň námornej bezpečnosti, ochrany námornej dopravy a prevenciu znečisťovania spôsobeného loďami, ako aj reakciu na takéto znečisťovanie. Je jadrom poslania, právomocí a činností Európskej námornej bezpečnostnej agentúry (EMSA) realizovaných spoločne s námornými úradmi a orgánmi vykonávajúcimi funkcie pobrežnej stráže.</w:t>
      </w:r>
    </w:p>
    <w:p>
      <w:pPr>
        <w:pStyle w:val="ManualHeading2"/>
        <w:rPr>
          <w:rFonts w:eastAsia="Arial Unicode MS"/>
          <w:noProof/>
        </w:rPr>
      </w:pPr>
      <w:r>
        <w:rPr>
          <w:noProof/>
          <w:color w:val="000000"/>
          <w:u w:color="000000"/>
          <w:bdr w:val="nil"/>
        </w:rPr>
        <w:lastRenderedPageBreak/>
        <w:t>•</w:t>
      </w:r>
      <w:r>
        <w:rPr>
          <w:noProof/>
        </w:rPr>
        <w:tab/>
        <w:t>Súlad s ostatnými politikami Únie</w:t>
      </w:r>
    </w:p>
    <w:p>
      <w:pPr>
        <w:pStyle w:val="ListParagraph"/>
        <w:spacing w:before="120" w:after="120"/>
        <w:ind w:left="0"/>
        <w:jc w:val="both"/>
        <w:rPr>
          <w:rFonts w:ascii="Times New Roman" w:hAnsi="Times New Roman" w:cs="Times New Roman"/>
          <w:noProof/>
          <w:sz w:val="24"/>
          <w:szCs w:val="24"/>
        </w:rPr>
      </w:pPr>
      <w:r>
        <w:rPr>
          <w:rFonts w:ascii="Times New Roman" w:hAnsi="Times New Roman"/>
          <w:noProof/>
          <w:sz w:val="24"/>
        </w:rPr>
        <w:t>Cieľom tejto iniciatívy je zlepšiť európsku spoluprácu v oblasti funkcií pobrežnej stráže rozvojom medzisektorovej spolupráce medzi Európskou agentúrou pre pohraničnú a pobrežnú stráž, Európskou námornou bezpečnostnou agentúrou (EMSA) a Európskou agentúrou pre kontrolu rybárstva (EFCA) s cieľom zlepšiť synergie medzi týmito agentúrami a v záujme zabezpečenia efektívnejších a nákladovo efektívnejších viacúčelových služieb pre vnútroštátne orgány vykonávajúce funkcie pobrežnej stráže.</w:t>
      </w:r>
    </w:p>
    <w:p>
      <w:pPr>
        <w:pStyle w:val="Text1"/>
        <w:ind w:left="0"/>
        <w:rPr>
          <w:noProof/>
        </w:rPr>
      </w:pPr>
      <w:r>
        <w:rPr>
          <w:noProof/>
        </w:rPr>
        <w:t>Základným problémom je, že funkcie pobrežnej stráže, ako sú kontrola hraníc, námorná bezpečnosť a ochrana námornej dopravy, pátracie a záchranné operácie, kontrola rybárstva, kontrola znečisťovania atď., v súčasnosti vykonáva viac ako 300 orgánov v jednotlivých členských štátoch, a tieto orgány nie sú vždy dobre koordinované, dokonca ani na vnútroštátnej úrovni. Tým, že sa podporí spolupráca a koordinácia medzi orgánmi vykonávajúcimi funkcie pobrežnej stráže, je tento návrh plne v súlade s politikami Únie v oblasti migrácie, bezpečnosti, NNN rybolovu, ako aj s politikou v oblasti dopravy a mobility.</w:t>
      </w:r>
    </w:p>
    <w:p>
      <w:pPr>
        <w:pStyle w:val="Text1"/>
        <w:ind w:left="0"/>
        <w:rPr>
          <w:noProof/>
        </w:rPr>
      </w:pPr>
      <w:r>
        <w:rPr>
          <w:noProof/>
        </w:rPr>
        <w:t>Ďalšie úlohy EMSA sú v úplnom súlade s mandátom Európskej agentúry pre pohraničnú a pobrežnú stráž a mandátom agentúry EFCA a prispejú k tomu, aby tiež plnili svoje povinnosti a úlohy. Už existujú dvojstranné dohody o úrovni služieb medzi EMSA a Európskou agentúrou pre pohraničnú a pobrežnú stráž a medzi agentúrami EFCA a EMSA o poskytovaní námorných informačných služieb. S Európskou agentúrou pre pohraničnú a pobrežnú stráž prebieha výmena v súčasnosti dostupných údajov od apríla 2013 a údaje trvale prúdia z agentúry EMSA do Európskeho systému hraničného dozoru (EUROSUR) a situačného centra Európskej agentúry pre pohraničnú a pobrežnú stráž. Postupy, ktoré sa osvedčili, sa použijú na zlepšenie toku údajov.</w:t>
      </w:r>
    </w:p>
    <w:p>
      <w:pPr>
        <w:pStyle w:val="Text1"/>
        <w:ind w:left="0"/>
        <w:rPr>
          <w:noProof/>
        </w:rPr>
      </w:pPr>
      <w:r>
        <w:rPr>
          <w:noProof/>
        </w:rPr>
        <w:t xml:space="preserve">Tento legislatívny návrh nemá vplyv na záväzok Komisie uviesť zakladajúce nariadenia decentralizovaných agentúr EÚ do súladu so spoločným prístupom k decentralizovaným agentúram pri revízii z politických dôvodov.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Návrh vychádza z článku 100 ods. 2 ZFEÚ o prijatí ustanovení potrebných na dosiahnutie cieľov spoločnej politiky v oblasti námornej dopravy.</w:t>
      </w:r>
    </w:p>
    <w:p>
      <w:pPr>
        <w:pStyle w:val="ManualHeading2"/>
        <w:rPr>
          <w:rFonts w:eastAsia="Arial Unicode MS"/>
          <w:noProof/>
          <w:u w:color="000000"/>
          <w:bdr w:val="nil"/>
        </w:rPr>
      </w:pPr>
      <w:r>
        <w:rPr>
          <w:noProof/>
        </w:rPr>
        <w:t>•</w:t>
      </w:r>
      <w:r>
        <w:rPr>
          <w:noProof/>
        </w:rPr>
        <w:tab/>
        <w:t xml:space="preserve">Subsidiarita </w:t>
      </w:r>
    </w:p>
    <w:p>
      <w:pPr>
        <w:pBdr>
          <w:top w:val="nil"/>
          <w:left w:val="nil"/>
          <w:bottom w:val="nil"/>
          <w:right w:val="nil"/>
          <w:between w:val="nil"/>
          <w:bar w:val="nil"/>
        </w:pBdr>
        <w:spacing w:before="0" w:after="240"/>
        <w:rPr>
          <w:rFonts w:eastAsia="Arial Unicode MS"/>
          <w:noProof/>
        </w:rPr>
      </w:pPr>
      <w:r>
        <w:rPr>
          <w:noProof/>
        </w:rPr>
        <w:t>Návrh sa zaoberá podporou vnútroštátnych orgánov vykonávajúcich funkcie pobrežnej stráže na vnútroštátnej úrovni a na úrovni Únie a v prípade potreby na medzinárodnej úrovni.</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Cieľom návrhu je posilniť schopnosť pobrežnej stráže EÚ reagovať na ohrozenia a riziká v námornej oblasti zlepšovaním spolupráce a podporovaním cezhraničných a medzisektorových nákladovo efektívnych opatrení. Zabráni sa tak zdvojeniu úsilia a zároveň sa zabezpečí, aby hlavní aktéri (najmä agentúry EÚ) konali koherentným a efektívnym spôsobom a spoločne rozvíjali synergie. Zohľadňuje sa v ňom potreba mať väčšiu kontrolu v morskej oblasti a zároveň obmedziť pracovné zaťaženie pre vnútroštátne a európske správne orgány.</w:t>
      </w:r>
    </w:p>
    <w:p>
      <w:pPr>
        <w:pBdr>
          <w:top w:val="nil"/>
          <w:left w:val="nil"/>
          <w:bottom w:val="nil"/>
          <w:right w:val="nil"/>
          <w:between w:val="nil"/>
          <w:bar w:val="nil"/>
        </w:pBdr>
        <w:spacing w:before="0"/>
        <w:rPr>
          <w:noProof/>
        </w:rPr>
      </w:pPr>
      <w:r>
        <w:rPr>
          <w:noProof/>
        </w:rPr>
        <w:t xml:space="preserve">Medzi pridané hodnoty konkrétnych činnosti EMSA na úrovni EÚ patrí: </w:t>
      </w:r>
    </w:p>
    <w:p>
      <w:pPr>
        <w:pStyle w:val="Tiret1"/>
        <w:numPr>
          <w:ilvl w:val="0"/>
          <w:numId w:val="9"/>
        </w:numPr>
        <w:rPr>
          <w:noProof/>
        </w:rPr>
      </w:pPr>
      <w:r>
        <w:rPr>
          <w:noProof/>
        </w:rPr>
        <w:lastRenderedPageBreak/>
        <w:t>poskytovanie hodnotných informácií v záujme zlepšenia dohľadu nad vonkajšími hranicami Európskej únie s využitím nových služieb diaľkovo riadených leteckých systémov (RPAS alebo bezpilotné lietadlá) a pokračujúcich služieb SAT-AIS, ktoré by sa inak neposkytovali alebo by sa poskytovali v menšom rozsahu (vzdušný dozor, ktorý je veľmi nákladný),</w:t>
      </w:r>
    </w:p>
    <w:p>
      <w:pPr>
        <w:pStyle w:val="Tiret1"/>
        <w:rPr>
          <w:noProof/>
        </w:rPr>
      </w:pPr>
      <w:r>
        <w:rPr>
          <w:noProof/>
        </w:rPr>
        <w:t>poskytovanie služieb a údajov na úrovni EÚ je nákladovo efektívne z dôvodu úspor z rozsahu, ktoré nemožno dosiahnuť prostredníctvom podobných opatrení na vnútroštátnej úrovni,</w:t>
      </w:r>
    </w:p>
    <w:p>
      <w:pPr>
        <w:pStyle w:val="Tiret1"/>
        <w:rPr>
          <w:noProof/>
        </w:rPr>
      </w:pPr>
      <w:r>
        <w:rPr>
          <w:noProof/>
        </w:rPr>
        <w:t>opakované použitie údajov a výmena údajov so všetkými dotknutými členskými štátmi a agentúrami EÚ umožňujúce vyhnúť sa duplicite úsilia, ponúknuť viacnásobné použitie rovnakých údajov a služieb a využívať nové a moderné technológie,</w:t>
      </w:r>
    </w:p>
    <w:p>
      <w:pPr>
        <w:pStyle w:val="Tiret1"/>
        <w:rPr>
          <w:noProof/>
        </w:rPr>
      </w:pPr>
      <w:r>
        <w:rPr>
          <w:noProof/>
        </w:rPr>
        <w:t>zhromažďovanie všetkých relevantných námorných údajov o ľudskej činnosti na mori na jednom mieste predstavujúce riešenie „jednotného kontaktného miesta“, ktoré tieto údaje poskytuje aj ostatným orgánom na vnútroštátnej úrovni a úrovni EÚ. Infraštruktúra IKT a distribučná sieť sú už zväčša zavedené a nemusia sa znovu vytvárať. EMSA už poskytuje rôzne súbory námorných údajov Európskej agentúre pre pohraničnú a pobrežnú stráž a agentúre EFCA, pre ktoré boli vytvorené rozhrania,</w:t>
      </w:r>
    </w:p>
    <w:p>
      <w:pPr>
        <w:pStyle w:val="Tiret1"/>
        <w:rPr>
          <w:noProof/>
        </w:rPr>
      </w:pPr>
      <w:r>
        <w:rPr>
          <w:noProof/>
        </w:rPr>
        <w:t>používanie už vytvorených námorných informačných systémov agentúry EMSA, harmonizácia existujúcich systémov a služieb na podporu výmeny informácií medzi orgánmi pobrežnej stráže na úrovni EÚ,</w:t>
      </w:r>
    </w:p>
    <w:p>
      <w:pPr>
        <w:pStyle w:val="Tiret1"/>
        <w:rPr>
          <w:rFonts w:eastAsia="Arial Unicode MS"/>
          <w:noProof/>
        </w:rPr>
      </w:pPr>
      <w:r>
        <w:rPr>
          <w:noProof/>
        </w:rPr>
        <w:t>skvalitňovanie kolektívnych zručností a zvyšovanie kapacity funkcií pobrežnej stráže a pomoc orgánom pri ich spolupráci a spoločnom konaní na základe harmonizovaného prístupu.</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Keďže cieľom návrhu je zmeniť nariadenie (ES) č. 1406/2002, ktorým sa ustanovuje Európska námorná bezpečnostná agentúra, je potrebné navrhnúť nariadenie.</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Neuplatňuje sa (táto iniciatíva sa zameriava na realizáciu záväzkov obsiahnutých v európskej migračnej agende s odkazom na činnosti pobrežnej stráže). </w:t>
      </w:r>
    </w:p>
    <w:p>
      <w:pPr>
        <w:pStyle w:val="ManualHeading2"/>
        <w:rPr>
          <w:rFonts w:eastAsia="Arial Unicode MS"/>
          <w:noProof/>
          <w:u w:color="000000"/>
          <w:bdr w:val="nil"/>
        </w:rPr>
      </w:pPr>
      <w:r>
        <w:rPr>
          <w:noProof/>
        </w:rPr>
        <w:t>•</w:t>
      </w:r>
      <w:r>
        <w:rPr>
          <w:noProof/>
        </w:rPr>
        <w:tab/>
        <w:t>Konzultácie so zainteresovanými stranami</w:t>
      </w:r>
    </w:p>
    <w:p>
      <w:pPr>
        <w:pStyle w:val="Text1"/>
        <w:ind w:left="0"/>
        <w:rPr>
          <w:noProof/>
        </w:rPr>
      </w:pPr>
      <w:r>
        <w:rPr>
          <w:noProof/>
        </w:rPr>
        <w:t>Neuplatňuje sa</w:t>
      </w:r>
    </w:p>
    <w:p>
      <w:pPr>
        <w:pStyle w:val="ManualHeading2"/>
        <w:rPr>
          <w:rFonts w:eastAsia="Arial Unicode MS"/>
          <w:noProof/>
          <w:u w:color="000000"/>
          <w:bdr w:val="nil"/>
        </w:rPr>
      </w:pPr>
      <w:r>
        <w:rPr>
          <w:noProof/>
        </w:rPr>
        <w:t>•</w:t>
      </w:r>
      <w:r>
        <w:rPr>
          <w:noProof/>
        </w:rPr>
        <w:tab/>
        <w:t>Získavanie a využívanie expertízy</w:t>
      </w:r>
    </w:p>
    <w:p>
      <w:pPr>
        <w:pStyle w:val="Text1"/>
        <w:ind w:left="0"/>
        <w:rPr>
          <w:noProof/>
        </w:rPr>
      </w:pPr>
      <w:r>
        <w:rPr>
          <w:noProof/>
        </w:rPr>
        <w:t>Neuplatňuje sa</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noProof/>
        </w:rPr>
      </w:pPr>
      <w:r>
        <w:rPr>
          <w:noProof/>
        </w:rPr>
        <w:t>Neuplatňuje sa</w:t>
      </w:r>
    </w:p>
    <w:p>
      <w:pPr>
        <w:rPr>
          <w:noProof/>
          <w:szCs w:val="24"/>
        </w:rPr>
      </w:pPr>
      <w:r>
        <w:rPr>
          <w:noProof/>
        </w:rPr>
        <w:lastRenderedPageBreak/>
        <w:t>Zrealizovala sa však štúdia uskutočniteľnosti objednaná GR MOVE</w:t>
      </w:r>
      <w:r>
        <w:rPr>
          <w:rStyle w:val="FootnoteReference"/>
          <w:noProof/>
        </w:rPr>
        <w:footnoteReference w:id="1"/>
      </w:r>
      <w:r>
        <w:rPr>
          <w:noProof/>
        </w:rPr>
        <w:t>, ako sa uvádza v odôvodnení 30 nariadenia Európskeho parlamentu a Rady č. 100/2013</w:t>
      </w:r>
      <w:r>
        <w:rPr>
          <w:rStyle w:val="FootnoteReference"/>
          <w:noProof/>
        </w:rPr>
        <w:footnoteReference w:id="2"/>
      </w:r>
      <w:r>
        <w:rPr>
          <w:noProof/>
        </w:rPr>
        <w:t>.</w:t>
      </w:r>
    </w:p>
    <w:p>
      <w:pPr>
        <w:spacing w:after="0"/>
        <w:rPr>
          <w:noProof/>
          <w:szCs w:val="24"/>
        </w:rPr>
      </w:pPr>
      <w:r>
        <w:rPr>
          <w:noProof/>
        </w:rPr>
        <w:t xml:space="preserve">V štúdii sa identifikovalo približne 316 civilných a vojenských orgánov členských štátov, ktoré sú zodpovedné za funkcie pobrežnej stráže a spoluprácu prostredníctvom 70 rôznych štruktúr. V štúdii sa zdôraznili kľúčové nedostatky existujúcej spolupráce: </w:t>
      </w:r>
    </w:p>
    <w:p>
      <w:pPr>
        <w:pStyle w:val="Tiret1"/>
        <w:rPr>
          <w:noProof/>
        </w:rPr>
      </w:pPr>
      <w:r>
        <w:rPr>
          <w:noProof/>
        </w:rPr>
        <w:t>nedostatok informácií o poslaní, právomociach a možnostiach ostatných orgánov,</w:t>
      </w:r>
    </w:p>
    <w:p>
      <w:pPr>
        <w:pStyle w:val="Tiret1"/>
        <w:rPr>
          <w:noProof/>
        </w:rPr>
      </w:pPr>
      <w:r>
        <w:rPr>
          <w:noProof/>
        </w:rPr>
        <w:t>ľudské zdroje, finančné obmedzenia a obmedzený počet operačných prostriedkov,</w:t>
      </w:r>
    </w:p>
    <w:p>
      <w:pPr>
        <w:pStyle w:val="Tiret1"/>
        <w:rPr>
          <w:noProof/>
        </w:rPr>
      </w:pPr>
      <w:r>
        <w:rPr>
          <w:noProof/>
        </w:rPr>
        <w:t>koordinácia</w:t>
      </w:r>
      <w:r>
        <w:rPr>
          <w:i/>
          <w:noProof/>
        </w:rPr>
        <w:t xml:space="preserve"> ad hoc</w:t>
      </w:r>
      <w:r>
        <w:rPr>
          <w:noProof/>
        </w:rPr>
        <w:t xml:space="preserve"> a nedostatočná interoperabilita systémov, procesov a prostriedkov, </w:t>
      </w:r>
    </w:p>
    <w:p>
      <w:pPr>
        <w:pStyle w:val="Tiret1"/>
        <w:rPr>
          <w:noProof/>
        </w:rPr>
      </w:pPr>
      <w:r>
        <w:rPr>
          <w:noProof/>
        </w:rPr>
        <w:t xml:space="preserve">obmedzené spoločné plánovanie a spoločné operácie. </w:t>
      </w:r>
    </w:p>
    <w:p>
      <w:pPr>
        <w:rPr>
          <w:noProof/>
          <w:szCs w:val="24"/>
        </w:rPr>
      </w:pPr>
      <w:r>
        <w:rPr>
          <w:noProof/>
        </w:rPr>
        <w:t>Jedným z hlavných zistení bola kľúčová úloha existujúceho prevádzkového dozoru a výmena údajov, ktoré sú základom všetkých funkcií a ktoré závisia od systémov EMSA.</w:t>
      </w:r>
    </w:p>
    <w:p>
      <w:pPr>
        <w:pStyle w:val="ManualHeading2"/>
        <w:rPr>
          <w:rFonts w:eastAsia="Arial Unicode MS"/>
          <w:noProof/>
          <w:u w:color="000000"/>
          <w:bdr w:val="nil"/>
        </w:rPr>
      </w:pPr>
      <w:r>
        <w:rPr>
          <w:noProof/>
        </w:rPr>
        <w:t>•</w:t>
      </w:r>
      <w:r>
        <w:rPr>
          <w:noProof/>
        </w:rPr>
        <w:tab/>
        <w:t>Vhodnosť právnych predpisov a ich zjednodušenie</w:t>
      </w:r>
    </w:p>
    <w:p>
      <w:pPr>
        <w:pBdr>
          <w:top w:val="nil"/>
          <w:left w:val="nil"/>
          <w:bottom w:val="nil"/>
          <w:right w:val="nil"/>
          <w:between w:val="nil"/>
          <w:bar w:val="nil"/>
        </w:pBdr>
        <w:spacing w:before="0" w:after="240"/>
        <w:rPr>
          <w:rFonts w:eastAsia="Arial Unicode MS"/>
          <w:noProof/>
        </w:rPr>
      </w:pPr>
      <w:r>
        <w:rPr>
          <w:noProof/>
        </w:rPr>
        <w:t>Iniciatíva nie je súčasťou programu REFIT, ale mala by uplatňovať jeho základné zásady.</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Táto iniciatíva si vyžaduje zvýšenie príspevku EÚ pre EMSA vo výške približne 22 miliónov EUR ročne (čo predstavuje približne 87 miliónov EUR na obdobie rokov 2017 – 2020) a nábor 17 dočasných pracovníkov.</w:t>
      </w:r>
    </w:p>
    <w:p>
      <w:pPr>
        <w:pBdr>
          <w:top w:val="nil"/>
          <w:left w:val="nil"/>
          <w:bottom w:val="nil"/>
          <w:right w:val="nil"/>
          <w:between w:val="nil"/>
          <w:bar w:val="nil"/>
        </w:pBdr>
        <w:spacing w:before="0" w:after="240"/>
        <w:rPr>
          <w:rFonts w:eastAsia="Arial Unicode MS"/>
          <w:noProof/>
        </w:rPr>
      </w:pPr>
      <w:r>
        <w:rPr>
          <w:noProof/>
        </w:rPr>
        <w:t>Ide o operačný výdavok (hlava 3) vo výške 81 miliónov EUR prevažne na financovanie poskytovania služieb RPAS (67 miliónov EUR) a služieb a údajov SAT-AIS a SatCom s cieľom zvýšiť schopnosť dohľadu troch agentúr a vnútroštátnych orgánov v záujme posilnenia kontroly na vonkajších námorných hraniciach Európskej únie ako primárneho cieľa.</w:t>
      </w:r>
    </w:p>
    <w:p>
      <w:pPr>
        <w:pBdr>
          <w:top w:val="nil"/>
          <w:left w:val="nil"/>
          <w:bottom w:val="nil"/>
          <w:right w:val="nil"/>
          <w:between w:val="nil"/>
          <w:bar w:val="nil"/>
        </w:pBdr>
        <w:spacing w:before="0" w:after="240"/>
        <w:rPr>
          <w:rFonts w:eastAsia="Arial Unicode MS"/>
          <w:noProof/>
        </w:rPr>
      </w:pPr>
      <w:r>
        <w:rPr>
          <w:noProof/>
        </w:rPr>
        <w:t>(Pozri tiež priložený legislatívny finančný výkaz).</w:t>
      </w:r>
    </w:p>
    <w:p>
      <w:pPr>
        <w:pStyle w:val="ManualHeading1"/>
        <w:rPr>
          <w:noProof/>
        </w:rPr>
      </w:pPr>
      <w:r>
        <w:rPr>
          <w:noProof/>
        </w:rPr>
        <w:t>5.</w:t>
      </w:r>
      <w:r>
        <w:rPr>
          <w:noProof/>
        </w:rPr>
        <w:tab/>
        <w:t>OSTATNÉ PRVKY</w:t>
      </w:r>
    </w:p>
    <w:p>
      <w:pPr>
        <w:pStyle w:val="ManualHeading2"/>
        <w:rPr>
          <w:rFonts w:eastAsia="Arial Unicode MS"/>
          <w:noProof/>
          <w:u w:color="000000"/>
          <w:bdr w:val="nil"/>
        </w:rPr>
      </w:pPr>
      <w:r>
        <w:rPr>
          <w:noProof/>
        </w:rPr>
        <w:t>•</w:t>
      </w:r>
      <w:r>
        <w:rPr>
          <w:noProof/>
        </w:rPr>
        <w:tab/>
        <w:t>Plány vykonávania a monitorovanie, hodnotenie a predkladanie správ</w:t>
      </w:r>
    </w:p>
    <w:p>
      <w:pPr>
        <w:pBdr>
          <w:top w:val="nil"/>
          <w:left w:val="nil"/>
          <w:bottom w:val="nil"/>
          <w:right w:val="nil"/>
          <w:between w:val="nil"/>
          <w:bar w:val="nil"/>
        </w:pBdr>
        <w:spacing w:before="0" w:after="240"/>
        <w:rPr>
          <w:rFonts w:eastAsia="Arial Unicode MS"/>
          <w:noProof/>
        </w:rPr>
      </w:pPr>
      <w:r>
        <w:rPr>
          <w:noProof/>
        </w:rPr>
        <w:t xml:space="preserve">Keďže toto opatrenie bude vykonávať EMSA, jej hodnotenie bude zahrnuté do päťročného hodnotenia agentúry, ktorej zistenia a odporúčania Komisia zašle Európskemu parlamentu a Rade a následne sa uverejnia. </w:t>
      </w:r>
    </w:p>
    <w:p>
      <w:pPr>
        <w:pStyle w:val="ManualHeading2"/>
        <w:rPr>
          <w:rFonts w:eastAsia="Arial Unicode MS"/>
          <w:noProof/>
          <w:u w:color="000000"/>
          <w:bdr w:val="nil"/>
        </w:rPr>
      </w:pPr>
      <w:r>
        <w:rPr>
          <w:noProof/>
        </w:rPr>
        <w:lastRenderedPageBreak/>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b/>
          <w:noProof/>
          <w:szCs w:val="24"/>
        </w:rPr>
      </w:pPr>
      <w:r>
        <w:rPr>
          <w:b/>
          <w:noProof/>
          <w:u w:val="single"/>
        </w:rPr>
        <w:t>Cieľom návrhu je rozvíjať európsku spoluprácu v oblasti funkcií pobrežnej stráže</w:t>
      </w:r>
      <w:r>
        <w:rPr>
          <w:b/>
          <w:noProof/>
        </w:rPr>
        <w:t xml:space="preserve"> rozvíjaním foriem spolupráce medzi európskym systémom pohraničnej a pobrežnej stráže, EMSA a EFCA s cieľom zlepšiť synergie medzi týmito agentúrami, aby sa zabezpečili efektívnejšie a nákladovo efektívnejšie viacúčelové služby pre vnútroštátne orgány vykonávajúce úlohy pobrežnej stráže.</w:t>
      </w:r>
    </w:p>
    <w:p>
      <w:pPr>
        <w:pBdr>
          <w:top w:val="nil"/>
          <w:left w:val="nil"/>
          <w:bottom w:val="nil"/>
          <w:right w:val="nil"/>
          <w:between w:val="nil"/>
          <w:bar w:val="nil"/>
        </w:pBdr>
        <w:spacing w:before="0" w:after="240"/>
        <w:rPr>
          <w:noProof/>
        </w:rPr>
      </w:pPr>
      <w:r>
        <w:rPr>
          <w:noProof/>
        </w:rPr>
        <w:t xml:space="preserve">EMSA bude zohrávať vedúcu úlohu najmä v snahe o výrazné zlepšenie schopnosti dohľadu s cieľom posilniť kontrolu vonkajších námorných hraníc Európskej únie prostredníctvom týchto činností: </w:t>
      </w:r>
    </w:p>
    <w:p>
      <w:pPr>
        <w:pBdr>
          <w:top w:val="nil"/>
          <w:left w:val="nil"/>
          <w:bottom w:val="nil"/>
          <w:right w:val="nil"/>
          <w:between w:val="nil"/>
          <w:bar w:val="nil"/>
        </w:pBdr>
        <w:spacing w:before="0" w:after="240"/>
        <w:rPr>
          <w:noProof/>
        </w:rPr>
      </w:pPr>
      <w:r>
        <w:rPr>
          <w:noProof/>
        </w:rPr>
        <w:t>a)</w:t>
      </w:r>
      <w:r>
        <w:rPr>
          <w:noProof/>
        </w:rPr>
        <w:tab/>
        <w:t>výmena informácií generovaných syntézou a analýzou údajov dostupných v systémoch hlásenia lodí a iných informačných systémoch, ktoré prevádzkujú agentúry alebo sú agentúram prístupné, v súlade s ich príslušnými právnymi základmi a bez toho, aby bolo dotknuté vlastníctvo údajov členskými štátmi;</w:t>
      </w:r>
    </w:p>
    <w:p>
      <w:pPr>
        <w:pBdr>
          <w:top w:val="nil"/>
          <w:left w:val="nil"/>
          <w:bottom w:val="nil"/>
          <w:right w:val="nil"/>
          <w:between w:val="nil"/>
          <w:bar w:val="nil"/>
        </w:pBdr>
        <w:spacing w:before="0" w:after="240"/>
        <w:rPr>
          <w:b/>
          <w:i/>
          <w:noProof/>
        </w:rPr>
      </w:pPr>
      <w:r>
        <w:rPr>
          <w:b/>
          <w:i/>
          <w:noProof/>
        </w:rPr>
        <w:t>Výstup: lepšie šírenie údajov námorného dozoru v reálnom čase alebo takmer reálnom čase medzi týmito tromi agentúrami a príslušnými orgánmi</w:t>
      </w:r>
    </w:p>
    <w:p>
      <w:pPr>
        <w:pBdr>
          <w:top w:val="nil"/>
          <w:left w:val="nil"/>
          <w:bottom w:val="nil"/>
          <w:right w:val="nil"/>
          <w:between w:val="nil"/>
          <w:bar w:val="nil"/>
        </w:pBdr>
        <w:spacing w:before="0" w:after="240"/>
        <w:rPr>
          <w:noProof/>
        </w:rPr>
      </w:pPr>
      <w:r>
        <w:rPr>
          <w:noProof/>
        </w:rPr>
        <w:t xml:space="preserve">Na základe súčasných dohôd o úrovni poskytovaných služieb, ktoré má EMSA s Európskou agentúrou pre pohraničnú a pobrežnú stráž a EFCA, prúdia námorné informácie do systémov iných agentúr. V rámci zlepšovania schopností dohľadu by mali byť údaje nových snímačov, najmä údaje RPAS (vrátane videozáznamov a infračervených záznamov) začlenené do celkového obrazu o situácii na mori, čo bude v súčasnom systéme vyžadovať nové funkcie na zlepšenie poskytovania informácií a ich výmenu s inými agentúrami a príslušnými orgánmi. V rámci aktualizácie systémov je potrebné vyvinúť nový softvér a modernizovať rozhrania, aby systémy dokázali spracovávať informácie z nových snímačov. </w:t>
      </w:r>
    </w:p>
    <w:p>
      <w:pPr>
        <w:pBdr>
          <w:top w:val="nil"/>
          <w:left w:val="nil"/>
          <w:bottom w:val="nil"/>
          <w:right w:val="nil"/>
          <w:between w:val="nil"/>
          <w:bar w:val="nil"/>
        </w:pBdr>
        <w:spacing w:before="0" w:after="240"/>
        <w:rPr>
          <w:noProof/>
        </w:rPr>
      </w:pPr>
      <w:r>
        <w:rPr>
          <w:noProof/>
        </w:rPr>
        <w:t>b)</w:t>
      </w:r>
      <w:r>
        <w:rPr>
          <w:noProof/>
        </w:rPr>
        <w:tab/>
        <w:t>zabezpečenie služieb dohľadu a komunikačných služieb na základe najmodernejších technológií vrátane vesmírnych a pozemných infraštruktúr a snímačov umiestnených na akomkoľvek druhu platformy, ako sú systémy diaľkovo riadených lietadiel;</w:t>
      </w:r>
    </w:p>
    <w:p>
      <w:pPr>
        <w:pBdr>
          <w:top w:val="nil"/>
          <w:left w:val="nil"/>
          <w:bottom w:val="nil"/>
          <w:right w:val="nil"/>
          <w:between w:val="nil"/>
          <w:bar w:val="nil"/>
        </w:pBdr>
        <w:spacing w:before="0" w:after="240"/>
        <w:rPr>
          <w:b/>
          <w:i/>
          <w:noProof/>
        </w:rPr>
      </w:pPr>
      <w:r>
        <w:rPr>
          <w:b/>
          <w:i/>
          <w:noProof/>
        </w:rPr>
        <w:t>Výstup: flexibilné služby RPAS umožňujúce dohľad nad kontrolou hraníc</w:t>
      </w:r>
    </w:p>
    <w:p>
      <w:pPr>
        <w:pBdr>
          <w:top w:val="nil"/>
          <w:left w:val="nil"/>
          <w:bottom w:val="nil"/>
          <w:right w:val="nil"/>
          <w:between w:val="nil"/>
          <w:bar w:val="nil"/>
        </w:pBdr>
        <w:spacing w:before="0" w:after="240"/>
        <w:rPr>
          <w:b/>
          <w:noProof/>
        </w:rPr>
      </w:pPr>
      <w:r>
        <w:rPr>
          <w:noProof/>
        </w:rPr>
        <w:t xml:space="preserve">So súčasnými pozemnými a satelitnými technológiami je stále ťažké odhaliť malé člny z gumy alebo dreva, ktoré sa používajú na prepravu migrantov cez Stredozemné more. Tieto typy člnov zvyčajne nevytvárajú dostatočný odraz, aby boli viditeľné na radarových satelitných snímkach. Optické snímky dokážu pokryť len veľmi cielené a malé oblasti, a aj to len počas dňa a v prípade jasnej oblohy bez oblakov. Satelitné informácie sú zvyčajne k dispozícii len v obmedzenom čase v závislosti od letových dráh satelitov. Tieto obmedzenia sa môžu odstrániť poskytnutím dodatočných služieb založených na RPAS (bezpilotné lietadlá). </w:t>
      </w:r>
    </w:p>
    <w:p>
      <w:pPr>
        <w:pBdr>
          <w:top w:val="nil"/>
          <w:left w:val="nil"/>
          <w:bottom w:val="nil"/>
          <w:right w:val="nil"/>
          <w:between w:val="nil"/>
          <w:bar w:val="nil"/>
        </w:pBdr>
        <w:spacing w:before="0" w:after="240"/>
        <w:rPr>
          <w:b/>
          <w:noProof/>
        </w:rPr>
      </w:pPr>
      <w:r>
        <w:rPr>
          <w:noProof/>
        </w:rPr>
        <w:t xml:space="preserve">Agentúra bude ako inštitucionálny poskytovateľ služieb organizovať a poskytovať služby v súvislosti s operáciami RPAS na podporu Európskej agentúry pre pohraničnú a pobrežnú stráž a orgánov zodpovedných za kontrolu hraníc. Okrem toho prispeje EMSA ako námorná bezpečnostná agentúra k tomu, aby použitie tejto technológie bolo vnímané priaznivejšie. Táto technológia má viacúčelový charakter a môže sa používať pri rôznych verejných úlohách na mori (kontrola hraníc, bezpečnosť plavby, pátranie a záchrana, zistenie znečistenia, kontrola rybárstva, opatrenia na presadzovanie práva). Posilnenie spolupráce medzi agentúrami bude naďalej zvyšovať súčinnosť a viacúčelové využívanie rovnakých prostriedkov. </w:t>
      </w:r>
    </w:p>
    <w:p>
      <w:pPr>
        <w:pBdr>
          <w:top w:val="nil"/>
          <w:left w:val="nil"/>
          <w:bottom w:val="nil"/>
          <w:right w:val="nil"/>
          <w:between w:val="nil"/>
          <w:bar w:val="nil"/>
        </w:pBdr>
        <w:spacing w:before="0" w:after="240"/>
        <w:rPr>
          <w:noProof/>
        </w:rPr>
      </w:pPr>
      <w:r>
        <w:rPr>
          <w:noProof/>
        </w:rPr>
        <w:t xml:space="preserve">Poverenie agentúry EMSA poskytovaním služieb RPAS umožní Európskej agentúre pre pohraničnú a pobrežnú stráž a orgánom zodpovedným za kontrolu hraníc využívať dané služby, keďže EMSA už zhromažďuje, spracováva, zlučuje a prepája informácie o ľudskej činnosti na mori. S informáciami získanými zo systému RPAS by sa zaobchádzalo ako s dodatočným zdrojom údajov, ktoré sa pridajú k informáciám prenášaným do systému EUROSUR. Počíta sa so škálovateľnou službou s niekoľkými simultánnymi operáciami RPAS v Stredozemnom mori, ktoré sa rozdelia napríklad na 4 oblasti záujmu: grécko-turecká hranica (Egejské more), centrálna časť Stredozemného mora (Líbya), západná časť Stredozemného mora (Gibraltársky prieliv) a východná časť Stredozemného mora (Cyprus). Nasadenie by malo byť založené na mobilných jednotkách, ktoré možno premiestniť vzhľadom na to, že časom môžu vznikať nové kritické miesta („hot spots“). </w:t>
      </w:r>
    </w:p>
    <w:p>
      <w:pPr>
        <w:pBdr>
          <w:top w:val="nil"/>
          <w:left w:val="nil"/>
          <w:bottom w:val="nil"/>
          <w:right w:val="nil"/>
          <w:between w:val="nil"/>
          <w:bar w:val="nil"/>
        </w:pBdr>
        <w:spacing w:before="0" w:after="240"/>
        <w:rPr>
          <w:noProof/>
        </w:rPr>
      </w:pPr>
      <w:r>
        <w:rPr>
          <w:noProof/>
        </w:rPr>
        <w:t>Služby RPAS by mali byť lacnejšie ako námorná hliadka s posádkou a mali by sa využívať ako doplnkový nástroj v rámci celkového reťazca dohľadu, ktorý zahŕňa satelitné zábery, informácie o polohe plavidiel a dohľad námorných hliadkovacích plavidiel a lietadiel.</w:t>
      </w:r>
    </w:p>
    <w:p>
      <w:pPr>
        <w:pBdr>
          <w:top w:val="nil"/>
          <w:left w:val="nil"/>
          <w:bottom w:val="nil"/>
          <w:right w:val="nil"/>
          <w:between w:val="nil"/>
          <w:bar w:val="nil"/>
        </w:pBdr>
        <w:spacing w:before="0" w:after="240"/>
        <w:rPr>
          <w:b/>
          <w:i/>
          <w:noProof/>
        </w:rPr>
      </w:pPr>
      <w:r>
        <w:rPr>
          <w:b/>
          <w:i/>
          <w:noProof/>
        </w:rPr>
        <w:t>Výstup: zabezpečenie údajov AIS získaných prostredníctvom satelitov</w:t>
      </w:r>
    </w:p>
    <w:p>
      <w:pPr>
        <w:pBdr>
          <w:top w:val="nil"/>
          <w:left w:val="nil"/>
          <w:bottom w:val="nil"/>
          <w:right w:val="nil"/>
          <w:between w:val="nil"/>
          <w:bar w:val="nil"/>
        </w:pBdr>
        <w:spacing w:before="0" w:after="240"/>
        <w:rPr>
          <w:b/>
          <w:noProof/>
        </w:rPr>
      </w:pPr>
      <w:r>
        <w:rPr>
          <w:noProof/>
        </w:rPr>
        <w:t>EMSA v spolupráci s Európskou vesmírnou agentúrou (ESA), do dnešného dňa poskytuje prostredníctvom svojich námorných aplikácií dátové služby satelitného systému AIS (SAT-AIS) bez toho, aby ostatným agentúram EÚ a členským štátom EÚ vznikli náklady. Tieto údaje financuje ESA do 31. augusta 2016. Po tomto dátume bude program pre výskum a rozvoj ukončený. Údaje zo systému SAT-AIS sú hodnotným zdrojom informácií, ktoré vo veľkej miere prispievajú k zvýšeniu informovanosti o námornej situácii. Údaje pomáhajú členským štátom, agentúram a orgánom EÚ (t. j. Európskej agentúre pre pohraničnú a pobrežnú stráž, EFCA, MAOC-N) pri plnení ich úloh spojených s dohľadom. Bez týchto údajov nie je možné sledovať mnohé plavidlá z dôvodu nedostupnosti iných zdrojov údajov, a to najmä na juhu Stredozemného mora, alebo preto, že plavidlá sa plavia mimo dosah pobrežných staníc AIS, a preto ich nemožno monitorovať prostredníctvom pozemných systémov AIS (v prípade činností rybárskych plavidiel plaviacich sa pod vlajkou EÚ, keď pôsobia mimo EÚ).</w:t>
      </w:r>
    </w:p>
    <w:p>
      <w:pPr>
        <w:rPr>
          <w:b/>
          <w:noProof/>
        </w:rPr>
      </w:pPr>
      <w:r>
        <w:rPr>
          <w:noProof/>
        </w:rPr>
        <w:t>Bez údajov zo systému SAT-AIS sa stratí veľká časť pridanej hodnoty a dôjde k značnému zníženiu informovanosti o námornej situácii, čo negatívne ovplyvní schopnosť dohľadu na vonkajších hraniciach. Získavanie údajov zo systému SAT-AIS je preto potrebné.</w:t>
      </w:r>
    </w:p>
    <w:p>
      <w:pPr>
        <w:rPr>
          <w:b/>
          <w:i/>
          <w:noProof/>
        </w:rPr>
      </w:pPr>
      <w:r>
        <w:rPr>
          <w:b/>
          <w:i/>
          <w:noProof/>
        </w:rPr>
        <w:t>Výstup: komunikačné služby, najmä SAT-COM na podporu spoločných operácií</w:t>
      </w:r>
    </w:p>
    <w:p>
      <w:pPr>
        <w:rPr>
          <w:b/>
          <w:noProof/>
        </w:rPr>
      </w:pPr>
      <w:r>
        <w:rPr>
          <w:noProof/>
        </w:rPr>
        <w:t>Satelitná komunikácia sa vyžaduje na účely koordinácie a poskytovania údajov námorného dozoru pochádzajúcich z RPAS a iných snímačov. Satelitná komunikácia sa používa pri navigácii RPAS a prenose údajov zozbieraných prostredníctvom jej užitočného zaťaženia. To predstavuje významný nákladový faktor. Agentúra bude musieť investovať do rozhraní prijímajúcich údaje z komunikačných satelitov a z európskeho systému na prenos údajov (EDRS). Vstup rozmanitých dátových tokov do rôznych formátov údajov bude určite vyžadovať paralelný vývoj softvéru. Uvedené náklady nezahŕňajú náklady na satelitný prenos.</w:t>
      </w:r>
    </w:p>
    <w:p>
      <w:pPr>
        <w:rPr>
          <w:b/>
          <w:noProof/>
        </w:rPr>
      </w:pPr>
      <w:r>
        <w:rPr>
          <w:noProof/>
        </w:rPr>
        <w:t>EMSA bude takisto prispievať k:</w:t>
      </w:r>
    </w:p>
    <w:p>
      <w:pPr>
        <w:rPr>
          <w:b/>
          <w:noProof/>
        </w:rPr>
      </w:pPr>
      <w:r>
        <w:rPr>
          <w:noProof/>
        </w:rPr>
        <w:t>c)</w:t>
      </w:r>
      <w:r>
        <w:rPr>
          <w:noProof/>
        </w:rPr>
        <w:tab/>
        <w:t>budovaniu kapacít na vnútroštátnej úrovni a na úrovni Únie tým, že vypracuje usmernenia, odporúčania a najlepšie postupy, ako aj tým, že bude podporovať odbornú prípravu a výmenu pracovníkov s cieľom zlepšiť výmenu informácií a spoluprácu v oblasti funkcií pobrežnej stráže;</w:t>
      </w:r>
    </w:p>
    <w:p>
      <w:pPr>
        <w:rPr>
          <w:b/>
          <w:i/>
          <w:noProof/>
        </w:rPr>
      </w:pPr>
      <w:r>
        <w:rPr>
          <w:b/>
          <w:i/>
          <w:noProof/>
        </w:rPr>
        <w:t>Výstup: odborná príprava, vzdelávanie na diaľku a výmena najlepších postupov a projektový rozvoj spoločných alebo interoperabilných noriem v oblasti operácií</w:t>
      </w:r>
    </w:p>
    <w:p>
      <w:pPr>
        <w:rPr>
          <w:b/>
          <w:noProof/>
        </w:rPr>
      </w:pPr>
      <w:r>
        <w:rPr>
          <w:noProof/>
        </w:rPr>
        <w:t xml:space="preserve">Posilnenie funkcií pobrežnej stráže vnútroštátnych orgánov zahŕňa aj vzdelávanie a odbornú prípravu. Agentúra už zaviedla významné portfólio odbornej prípravy vrátane modulov elektronického učenia sa pre odborníkov z členských štátov, prístupových krajín a krajín európskej susedskej politiky. Tento základ sa použije na vytvorenie nových modulov a kurzov odbornej prípravy zameraných na posilnenie zručností a spôsobilostí na vnútroštátnej úrovni. </w:t>
      </w:r>
    </w:p>
    <w:p>
      <w:pPr>
        <w:rPr>
          <w:noProof/>
        </w:rPr>
      </w:pPr>
      <w:r>
        <w:rPr>
          <w:noProof/>
        </w:rPr>
        <w:t xml:space="preserve">Novovzniknuté kurzy odbornej prípravy, semináre na výmenu najlepších postupov a modulov elektronického učenia sa, ako aj nové špecifické projekty v konkrétnych oblastiach pomôžu zvýšiť kapacitu pobrežnej stráže a vytvoriť spoločné normy a postupy na úrovni EÚ, ktoré umožnia nadnárodnú spoluprácu a spoločné operácie. </w:t>
      </w:r>
    </w:p>
    <w:p>
      <w:pPr>
        <w:rPr>
          <w:b/>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2015/0313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(ES) č. 1406/2002, ktorým sa ustanovuje Európska námorná bezpečnostná agentúra</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100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p>
    <w:p>
      <w:pPr>
        <w:rPr>
          <w:noProof/>
        </w:rPr>
      </w:pPr>
      <w:r>
        <w:rPr>
          <w:noProof/>
        </w:rPr>
        <w:t>po porade s Výborom regiónov,</w:t>
      </w:r>
    </w:p>
    <w:p>
      <w:pPr>
        <w:rPr>
          <w:noProof/>
        </w:rPr>
      </w:pPr>
      <w:r>
        <w:rPr>
          <w:noProof/>
        </w:rPr>
        <w:t>konajúc v súlade s riadnym legislatívnym postupom,</w:t>
      </w:r>
    </w:p>
    <w:p>
      <w:pPr>
        <w:rPr>
          <w:noProof/>
        </w:rPr>
      </w:pPr>
      <w:r>
        <w:rPr>
          <w:noProof/>
        </w:rPr>
        <w:t>keďže:</w:t>
      </w:r>
    </w:p>
    <w:p>
      <w:pPr>
        <w:pStyle w:val="ManualConsidrant"/>
        <w:rPr>
          <w:noProof/>
        </w:rPr>
      </w:pPr>
      <w:r>
        <w:rPr>
          <w:noProof/>
        </w:rPr>
        <w:t>(1)</w:t>
      </w:r>
      <w:r>
        <w:rPr>
          <w:noProof/>
        </w:rPr>
        <w:tab/>
        <w:t>Vnútroštátne orgány vykonávajúce funkcie pobrežnej stráže sú zodpovedné za širokú škálu úloh vrátane okrem iného námornej bezpečnosti, ochrany námornej dopravy, pátrania a záchrany, kontroly hraníc, kontroly rybárstva, colnej kontroly, všeobecného presadzovania práva a ochrany životného prostredia. Európska agentúra pre pohraničnú a pobrežnú stráž, Európska agentúra pre kontrolu rybárstva a Európska námorná bezpečnostná agentúra by preto mali posilniť vzájomnú spoluprácu, ako aj spoluprácu s vnútroštátnymi orgánmi vykonávajúcimi funkcie pobrežnej stráže s cieľom zvýšiť informovanosť o námornej situácii, ako aj podporiť súdržné a nákladovo efektívne opatrenia,</w:t>
      </w:r>
    </w:p>
    <w:p>
      <w:pPr>
        <w:rPr>
          <w:noProof/>
        </w:rPr>
      </w:pPr>
    </w:p>
    <w:p>
      <w:pPr>
        <w:pStyle w:val="Formuledadoption"/>
        <w:rPr>
          <w:noProof/>
        </w:rPr>
      </w:pPr>
      <w:r>
        <w:rPr>
          <w:noProof/>
        </w:rPr>
        <w:t>PRIJALI TOTO NARIADENIE:</w:t>
      </w:r>
    </w:p>
    <w:p>
      <w:pPr>
        <w:pStyle w:val="Titrearticle"/>
        <w:rPr>
          <w:noProof/>
        </w:rPr>
      </w:pPr>
      <w:r>
        <w:rPr>
          <w:noProof/>
        </w:rPr>
        <w:t>Článok 1</w:t>
      </w:r>
    </w:p>
    <w:p>
      <w:pPr>
        <w:jc w:val="center"/>
        <w:rPr>
          <w:b/>
          <w:noProof/>
        </w:rPr>
      </w:pPr>
      <w:r>
        <w:rPr>
          <w:b/>
          <w:noProof/>
        </w:rPr>
        <w:t>Zmeny</w:t>
      </w:r>
    </w:p>
    <w:p>
      <w:pPr>
        <w:rPr>
          <w:noProof/>
        </w:rPr>
      </w:pPr>
      <w:r>
        <w:rPr>
          <w:noProof/>
        </w:rPr>
        <w:t>Nariadenie (ES) č. 1406/2002 sa mení takto:</w:t>
      </w:r>
    </w:p>
    <w:p>
      <w:pPr>
        <w:rPr>
          <w:noProof/>
        </w:rPr>
      </w:pPr>
      <w:r>
        <w:rPr>
          <w:noProof/>
        </w:rPr>
        <w:t>1. V článku 2 sa vkladá tento odsek:</w:t>
      </w:r>
    </w:p>
    <w:p>
      <w:pPr>
        <w:rPr>
          <w:noProof/>
        </w:rPr>
      </w:pPr>
      <w:r>
        <w:rPr>
          <w:noProof/>
        </w:rPr>
        <w:t>„4a. Agentúra spolupracuje s Európskou agentúrou pre pohraničnú a pobrežnú stráž a Európskou agentúrou pre kontrolu rybárstva s cieľom podporiť vnútroštátne orgány vykonávajúce funkcie pobrežnej stráže tak, že im poskytuje služby, informácie, vybavenie a odbornú prípravu, a zároveň koordinuje viacúčelové operácie.“</w:t>
      </w:r>
    </w:p>
    <w:p>
      <w:pPr>
        <w:rPr>
          <w:noProof/>
        </w:rPr>
      </w:pPr>
      <w:r>
        <w:rPr>
          <w:noProof/>
        </w:rPr>
        <w:t xml:space="preserve"> 2. Vkladá sa tento článok 2b:</w:t>
      </w:r>
    </w:p>
    <w:p>
      <w:pPr>
        <w:jc w:val="center"/>
        <w:rPr>
          <w:b/>
          <w:noProof/>
        </w:rPr>
      </w:pPr>
      <w:r>
        <w:rPr>
          <w:b/>
          <w:noProof/>
        </w:rPr>
        <w:t>„Článok 2b</w:t>
      </w:r>
    </w:p>
    <w:p>
      <w:pPr>
        <w:jc w:val="center"/>
        <w:rPr>
          <w:b/>
          <w:noProof/>
        </w:rPr>
      </w:pPr>
      <w:r>
        <w:rPr>
          <w:b/>
          <w:noProof/>
        </w:rPr>
        <w:t>Európska spolupráca v oblasti funkcií pobrežnej stráže</w:t>
      </w:r>
    </w:p>
    <w:p>
      <w:pPr>
        <w:rPr>
          <w:noProof/>
        </w:rPr>
      </w:pPr>
      <w:r>
        <w:rPr>
          <w:noProof/>
        </w:rPr>
        <w:t>1. Agentúra v spolupráci s Európskou agentúrou pre pohraničnú a pobrežnú stráž a Európskou agentúrou pre kontrolu rybárstva podporuje vnútroštátne orgány vykonávajúce funkcie pobrežnej stráže na vnútroštátnej úrovni a na úrovni Únie a v prípade potreby na medzinárodnej úrovni prostredníctvom:</w:t>
      </w:r>
    </w:p>
    <w:p>
      <w:pPr>
        <w:rPr>
          <w:noProof/>
        </w:rPr>
      </w:pPr>
      <w:r>
        <w:rPr>
          <w:noProof/>
        </w:rPr>
        <w:t>a)</w:t>
      </w:r>
      <w:r>
        <w:rPr>
          <w:noProof/>
        </w:rPr>
        <w:tab/>
        <w:t>výmeny informácií generovaných syntézou a analýzou údajov dostupných v systémoch hlásenia lodí a iných informačných systémoch, ktoré prevádzkujú agentúry alebo sú agentúram prístupné, v súlade s ich príslušnými právnymi základmi a bez toho, aby bolo dotknuté vlastníctvo údajov členskými štátmi;</w:t>
      </w:r>
    </w:p>
    <w:p>
      <w:pPr>
        <w:rPr>
          <w:noProof/>
        </w:rPr>
      </w:pPr>
      <w:r>
        <w:rPr>
          <w:noProof/>
        </w:rPr>
        <w:t>b)</w:t>
      </w:r>
      <w:r>
        <w:rPr>
          <w:noProof/>
        </w:rPr>
        <w:tab/>
        <w:t>zabezpečovania služieb dohľadu a komunikačných služieb na základe najmodernejších technológií vrátane vesmírnych a pozemných infraštruktúr a snímačov umiestnených na akomkoľvek druhu platformy, ako sú systémy diaľkovo riadených lietadiel;</w:t>
      </w:r>
    </w:p>
    <w:p>
      <w:pPr>
        <w:rPr>
          <w:noProof/>
        </w:rPr>
      </w:pPr>
      <w:r>
        <w:rPr>
          <w:noProof/>
        </w:rPr>
        <w:t>c)</w:t>
      </w:r>
      <w:r>
        <w:rPr>
          <w:noProof/>
        </w:rPr>
        <w:tab/>
        <w:t>budovania kapacít vypracúvaním usmernení, odporúčaní a najlepších postupov, ako aj podporou odbornej prípravy a výmeny pracovníkov s cieľom zlepšiť výmenu informácií a spoluprácu v oblasti funkcií pobrežnej stráže;</w:t>
      </w:r>
    </w:p>
    <w:p>
      <w:pPr>
        <w:rPr>
          <w:noProof/>
        </w:rPr>
      </w:pPr>
      <w:r>
        <w:rPr>
          <w:noProof/>
        </w:rPr>
        <w:t>d)</w:t>
      </w:r>
      <w:r>
        <w:rPr>
          <w:noProof/>
        </w:rPr>
        <w:tab/>
        <w:t>spoločného využívania kapacít vrátane plánovania a vykonávania viacúčelových operácií a spoločného využívania prostriedkov a iných spôsobilostí naprieč odvetviami a hranicami.</w:t>
      </w:r>
    </w:p>
    <w:p>
      <w:pPr>
        <w:rPr>
          <w:noProof/>
        </w:rPr>
      </w:pPr>
      <w:r>
        <w:rPr>
          <w:noProof/>
        </w:rPr>
        <w:t>2. Formy spolupráce agentúry s Európskou agentúrou pre pohraničnú a pobrežnú stráž a Európskou agentúrou pre kontrolu rybárstva v oblasti funkcií pobrežnej stráže sa stanovujú v pracovných podmienkach v súlade s finančnými pravidlami, ktoré sa vzťahujú na agentúry.</w:t>
      </w:r>
    </w:p>
    <w:p>
      <w:pPr>
        <w:rPr>
          <w:noProof/>
          <w:szCs w:val="24"/>
        </w:rPr>
      </w:pPr>
      <w:r>
        <w:rPr>
          <w:noProof/>
        </w:rPr>
        <w:t>3. Komisia môže prijať vo forme odporúčania praktickú príručku o európskej spolupráci v oblasti funkcií pobrežnej stráže, ktorá bude obsahovať usmernenia, odporúčania a najlepšie postupy na výmenu informácií a spoluprácu na vnútroštátnej úrovni, na úrovni Únie a na medzinárodnej úrovni“.</w:t>
      </w:r>
    </w:p>
    <w:p>
      <w:pPr>
        <w:rPr>
          <w:noProof/>
        </w:rPr>
      </w:pPr>
    </w:p>
    <w:p>
      <w:pPr>
        <w:pStyle w:val="Titrearticle"/>
        <w:rPr>
          <w:noProof/>
        </w:rPr>
      </w:pPr>
      <w:r>
        <w:rPr>
          <w:noProof/>
        </w:rPr>
        <w:t>Článok 2</w:t>
      </w:r>
    </w:p>
    <w:p>
      <w:pPr>
        <w:jc w:val="center"/>
        <w:rPr>
          <w:b/>
          <w:noProof/>
        </w:rPr>
      </w:pPr>
      <w:r>
        <w:rPr>
          <w:b/>
          <w:noProof/>
        </w:rPr>
        <w:t>Nadobudnutie účinnosti</w:t>
      </w:r>
    </w:p>
    <w:p>
      <w:pPr>
        <w:rPr>
          <w:noProof/>
        </w:rPr>
      </w:pPr>
      <w:r>
        <w:rPr>
          <w:noProof/>
        </w:rPr>
        <w:t xml:space="preserve">Toto nariadenie nadobúda účinnosť dvadsiatym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Štrasburgu</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hospodárenia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kontroly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noProof/>
        </w:rPr>
      </w:pPr>
      <w:r>
        <w:rPr>
          <w:b/>
          <w:noProof/>
          <w:u w:val="single"/>
        </w:rPr>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Zmena nariadenia (ES) č. 1406/2002, ktorým sa ustanovuje Európska námorná bezpečnostná agentúra (zmenené a doplnené nariadením 1644/2003; 724/2004; 2038/2006; 100/2013)</w:t>
      </w:r>
    </w:p>
    <w:p>
      <w:pPr>
        <w:pStyle w:val="ManualHeading2"/>
        <w:rPr>
          <w:noProof/>
          <w:szCs w:val="24"/>
        </w:rPr>
      </w:pPr>
      <w:r>
        <w:rPr>
          <w:noProof/>
        </w:rPr>
        <w:t>1.2.</w:t>
      </w:r>
      <w:r>
        <w:rPr>
          <w:noProof/>
        </w:rPr>
        <w:tab/>
        <w:t>Príslušné oblasti politiky v rámci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Oblasť politiky: Európska dopravná politika </w:t>
      </w:r>
    </w:p>
    <w:p>
      <w:pPr>
        <w:pStyle w:val="Text1"/>
        <w:pBdr>
          <w:top w:val="single" w:sz="4" w:space="1" w:color="auto"/>
          <w:left w:val="single" w:sz="4" w:space="4" w:color="auto"/>
          <w:bottom w:val="single" w:sz="4" w:space="1" w:color="auto"/>
          <w:right w:val="single" w:sz="4" w:space="4" w:color="auto"/>
        </w:pBdr>
        <w:rPr>
          <w:noProof/>
        </w:rPr>
      </w:pPr>
      <w:r>
        <w:rPr>
          <w:noProof/>
        </w:rPr>
        <w:t>06: Mobilita a doprava</w:t>
      </w:r>
    </w:p>
    <w:p>
      <w:pPr>
        <w:pStyle w:val="Text1"/>
        <w:pBdr>
          <w:top w:val="single" w:sz="4" w:space="1" w:color="auto"/>
          <w:left w:val="single" w:sz="4" w:space="4" w:color="auto"/>
          <w:bottom w:val="single" w:sz="4" w:space="1" w:color="auto"/>
          <w:right w:val="single" w:sz="4" w:space="4" w:color="auto"/>
        </w:pBdr>
        <w:rPr>
          <w:noProof/>
        </w:rPr>
      </w:pPr>
      <w:r>
        <w:rPr>
          <w:noProof/>
        </w:rPr>
        <w:t>06 02: Vnútrozemská, letecká a námorná dopravná politika</w:t>
      </w:r>
    </w:p>
    <w:p>
      <w:pPr>
        <w:pStyle w:val="Text1"/>
        <w:pBdr>
          <w:top w:val="single" w:sz="4" w:space="1" w:color="auto"/>
          <w:left w:val="single" w:sz="4" w:space="4" w:color="auto"/>
          <w:bottom w:val="single" w:sz="4" w:space="1" w:color="auto"/>
          <w:right w:val="single" w:sz="4" w:space="4" w:color="auto"/>
        </w:pBdr>
        <w:rPr>
          <w:noProof/>
        </w:rPr>
      </w:pPr>
      <w:r>
        <w:rPr>
          <w:noProof/>
        </w:rPr>
        <w:t>06 02 03: Európska námorná bezpečnostná agentúra</w:t>
      </w:r>
    </w:p>
    <w:p>
      <w:pPr>
        <w:pStyle w:val="Text1"/>
        <w:pBdr>
          <w:top w:val="single" w:sz="4" w:space="1" w:color="auto"/>
          <w:left w:val="single" w:sz="4" w:space="4" w:color="auto"/>
          <w:bottom w:val="single" w:sz="4" w:space="1" w:color="auto"/>
          <w:right w:val="single" w:sz="4" w:space="4" w:color="auto"/>
        </w:pBdr>
        <w:rPr>
          <w:noProof/>
        </w:rPr>
      </w:pPr>
      <w:r>
        <w:rPr>
          <w:noProof/>
        </w:rPr>
        <w:t>06 02 03 01: Európska námorná bezpečnostná agentúra – Príspevok na hlavy 1, 2 a 3 s výnimkou opatrení proti znečisteniu</w:t>
      </w:r>
    </w:p>
    <w:p>
      <w:pPr>
        <w:pStyle w:val="ManualHeading2"/>
        <w:rPr>
          <w:bCs/>
          <w:noProof/>
          <w:szCs w:val="24"/>
        </w:rPr>
      </w:pPr>
      <w:r>
        <w:rPr>
          <w:noProof/>
        </w:rPr>
        <w:t>1.3.</w:t>
      </w:r>
      <w:r>
        <w:rPr>
          <w:noProof/>
        </w:rPr>
        <w:tab/>
        <w:t xml:space="preserve">Druh návrhu/iniciatívy </w:t>
      </w:r>
    </w:p>
    <w:p>
      <w:pPr>
        <w:pStyle w:val="Text1"/>
        <w:rPr>
          <w:b/>
          <w:noProof/>
          <w:sz w:val="22"/>
        </w:rPr>
      </w:pPr>
      <w:r>
        <w:rPr>
          <w:noProof/>
        </w:rPr>
        <w:sym w:font="Wingdings" w:char="F0FD"/>
      </w:r>
      <w:r>
        <w:rPr>
          <w:noProof/>
          <w:sz w:val="22"/>
        </w:rPr>
        <w:t xml:space="preserve"> </w:t>
      </w:r>
      <w:r>
        <w:rPr>
          <w:noProof/>
        </w:rPr>
        <w:t xml:space="preserve">Návrh/iniciatíva sa týka </w:t>
      </w:r>
      <w:r>
        <w:rPr>
          <w:b/>
          <w:noProof/>
        </w:rPr>
        <w:t>novej akcie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4"/>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r>
        <w:rPr>
          <w:noProof/>
        </w:rPr>
        <w:t xml:space="preserve"> </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Migračná agenda</w:t>
      </w:r>
    </w:p>
    <w:p>
      <w:pPr>
        <w:pStyle w:val="Text1"/>
        <w:pBdr>
          <w:top w:val="single" w:sz="4" w:space="1" w:color="auto"/>
          <w:left w:val="single" w:sz="4" w:space="4" w:color="auto"/>
          <w:bottom w:val="single" w:sz="4" w:space="1" w:color="auto"/>
          <w:right w:val="single" w:sz="4" w:space="4" w:color="auto"/>
        </w:pBdr>
        <w:rPr>
          <w:noProof/>
        </w:rPr>
      </w:pPr>
      <w:r>
        <w:rPr>
          <w:noProof/>
        </w:rPr>
        <w:t>Európska dopravná politika</w:t>
      </w:r>
    </w:p>
    <w:p>
      <w:pPr>
        <w:pStyle w:val="ManualHeading3"/>
        <w:rPr>
          <w:bCs/>
          <w:noProof/>
          <w:szCs w:val="24"/>
        </w:rPr>
      </w:pPr>
      <w:r>
        <w:rPr>
          <w:noProof/>
        </w:rPr>
        <w:t>1.4.2.</w:t>
      </w:r>
      <w:r>
        <w:rPr>
          <w:noProof/>
        </w:rPr>
        <w:tab/>
        <w:t xml:space="preserve">Osobitné ciele a príslušné činnosti v rámci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w:t>
      </w:r>
    </w:p>
    <w:p>
      <w:pPr>
        <w:pStyle w:val="Text1"/>
        <w:pBdr>
          <w:top w:val="single" w:sz="4" w:space="1" w:color="auto"/>
          <w:left w:val="single" w:sz="4" w:space="4" w:color="auto"/>
          <w:bottom w:val="single" w:sz="4" w:space="1" w:color="auto"/>
          <w:right w:val="single" w:sz="4" w:space="4" w:color="auto"/>
        </w:pBdr>
        <w:rPr>
          <w:noProof/>
        </w:rPr>
      </w:pPr>
      <w:r>
        <w:rPr>
          <w:noProof/>
        </w:rPr>
        <w:t>Podporovať bezpečnú a chránenú dopravu vytvorením jednotných noriem európskej politiky pre bezpečnosť a bezpečnostnú ochranu a zabezpečiť vysoký stupeň vykonávania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0602 Vnútrozemská, letecká a námorná dopravná politika</w:t>
      </w:r>
    </w:p>
    <w:p>
      <w:pPr>
        <w:pStyle w:val="ManualHeading3"/>
        <w:rPr>
          <w:bCs/>
          <w:noProof/>
          <w:szCs w:val="24"/>
        </w:rPr>
      </w:pPr>
      <w:r>
        <w:rPr>
          <w:noProof/>
        </w:rPr>
        <w:br w:type="page"/>
        <w:t>1.4.3.</w:t>
      </w:r>
      <w:r>
        <w:rPr>
          <w:noProof/>
        </w:rPr>
        <w:tab/>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Výsledok európskej spolupráce v oblasti funkcií pobrežnej stráže by mal predstavovať výrazné zlepšenie schopnosti dohľadu v záujme posilnenia kontroly vonkajších (námorných) hraníc Európskej únie.</w:t>
      </w:r>
    </w:p>
    <w:p>
      <w:pPr>
        <w:pStyle w:val="Text1"/>
        <w:pBdr>
          <w:top w:val="single" w:sz="4" w:space="1" w:color="auto"/>
          <w:left w:val="single" w:sz="4" w:space="4" w:color="auto"/>
          <w:bottom w:val="single" w:sz="4" w:space="1" w:color="auto"/>
          <w:right w:val="single" w:sz="4" w:space="4" w:color="auto"/>
        </w:pBdr>
        <w:rPr>
          <w:i/>
          <w:noProof/>
        </w:rPr>
      </w:pPr>
      <w:r>
        <w:rPr>
          <w:i/>
          <w:noProof/>
        </w:rPr>
        <w:t>a)</w:t>
      </w:r>
      <w:r>
        <w:rPr>
          <w:noProof/>
        </w:rPr>
        <w:tab/>
      </w:r>
      <w:r>
        <w:rPr>
          <w:i/>
          <w:noProof/>
        </w:rPr>
        <w:t>výmena informácií generovaných syntézou a analýzou údajov dostupných v systémoch hlásenia lodí a iných informačných systémoch, ktoré prevádzkujú agentúry alebo sú agentúram prístupné, v súlade s ich príslušnými právnymi základmi a bez toho, aby bolo dotknuté vlastníctvo údajov členskými štátmi;</w:t>
      </w:r>
    </w:p>
    <w:p>
      <w:pPr>
        <w:pStyle w:val="Text1"/>
        <w:pBdr>
          <w:top w:val="single" w:sz="4" w:space="1" w:color="auto"/>
          <w:left w:val="single" w:sz="4" w:space="4" w:color="auto"/>
          <w:bottom w:val="single" w:sz="4" w:space="1" w:color="auto"/>
          <w:right w:val="single" w:sz="4" w:space="4" w:color="auto"/>
        </w:pBdr>
        <w:rPr>
          <w:b/>
          <w:i/>
          <w:noProof/>
        </w:rPr>
      </w:pPr>
      <w:r>
        <w:rPr>
          <w:b/>
          <w:i/>
          <w:noProof/>
        </w:rPr>
        <w:t>Výstup: lepšie šírenie údajov o námornom dozore v reálnom čase alebo takmer reálnom čase medzi týmito troma agentúrami a príslušnými orgánmi</w:t>
      </w:r>
    </w:p>
    <w:p>
      <w:pPr>
        <w:pStyle w:val="Text1"/>
        <w:pBdr>
          <w:top w:val="single" w:sz="4" w:space="1" w:color="auto"/>
          <w:left w:val="single" w:sz="4" w:space="4" w:color="auto"/>
          <w:bottom w:val="single" w:sz="4" w:space="1" w:color="auto"/>
          <w:right w:val="single" w:sz="4" w:space="4" w:color="auto"/>
        </w:pBdr>
        <w:rPr>
          <w:noProof/>
        </w:rPr>
      </w:pPr>
      <w:r>
        <w:rPr>
          <w:noProof/>
        </w:rPr>
        <w:t>Na základe súčasných dohôd o úrovni poskytovaných služieb, ktoré má EMSA s Európskou agentúrou pre pohraničnú a pobrežnú stráž a EFCA, prúdia námorné informácie do systémov ostatných agentúr. V rámci zlepšovania schopností dohľadu by mali byť údaje nových snímačov, najmä údaje diaľkovo riadeného leteckého systému (vrátane videozáznamov a infračervených záznamov) začlenené do celkového obrazu o situácii na mori, čo bude v súčasnom systéme vyžadovať nové funkcie na zlepšenie poskytovania informácií a ich výmenu s inými agentúrami a príslušnými orgánmi. V rámci aktualizácie systémov je potrebné vyvinúť nový softvér a modernizovať rozhrania, aby systémy dokázali spracovávať informácie z nových snímačov.</w:t>
      </w:r>
    </w:p>
    <w:p>
      <w:pPr>
        <w:pStyle w:val="Text1"/>
        <w:pBdr>
          <w:top w:val="single" w:sz="4" w:space="1" w:color="auto"/>
          <w:left w:val="single" w:sz="4" w:space="4" w:color="auto"/>
          <w:bottom w:val="single" w:sz="4" w:space="1" w:color="auto"/>
          <w:right w:val="single" w:sz="4" w:space="4" w:color="auto"/>
        </w:pBdr>
        <w:rPr>
          <w:i/>
          <w:noProof/>
        </w:rPr>
      </w:pPr>
      <w:r>
        <w:rPr>
          <w:i/>
          <w:noProof/>
        </w:rPr>
        <w:t>b)</w:t>
      </w:r>
      <w:r>
        <w:rPr>
          <w:noProof/>
        </w:rPr>
        <w:tab/>
      </w:r>
      <w:r>
        <w:rPr>
          <w:i/>
          <w:noProof/>
        </w:rPr>
        <w:t>zabezpečenie služieb dohľadu a komunikačných služieb na základe najmodernejších technológií vrátane vesmírnych a pozemných infraštruktúr a snímačov umiestnených na akomkoľvek druhu platformy, ako sú systémy diaľkovo riadených lietadiel;</w:t>
      </w:r>
    </w:p>
    <w:p>
      <w:pPr>
        <w:pStyle w:val="Text1"/>
        <w:pBdr>
          <w:top w:val="single" w:sz="4" w:space="1" w:color="auto"/>
          <w:left w:val="single" w:sz="4" w:space="4" w:color="auto"/>
          <w:bottom w:val="single" w:sz="4" w:space="1" w:color="auto"/>
          <w:right w:val="single" w:sz="4" w:space="4" w:color="auto"/>
        </w:pBdr>
        <w:rPr>
          <w:b/>
          <w:i/>
          <w:noProof/>
        </w:rPr>
      </w:pPr>
      <w:r>
        <w:rPr>
          <w:b/>
          <w:i/>
          <w:noProof/>
        </w:rPr>
        <w:t>Výstup: flexibilné služby RPAS (diaľkovo riadený letecký systém) umožňujúce dohľad nad kontrolou hraníc</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 súčasnými pozemnými a satelitnými technológiami je stále ťažké odhaliť malé člny z gumy alebo dreva, ktoré sa používajú na prepravu migrantov cez Stredozemné more. Tieto typy člnov zvyčajne nevytvárajú dostatočný odraz, aby boli viditeľné na radarových satelitných snímkach. Optické snímky dokážu pokryť len veľmi cielené a malé oblasti, a aj to len počas dňa a v prípade jasnej oblohy bez oblakov. Satelitné informácie sú zvyčajne k dispozícii len v obmedzenom čase v závislosti od letových dráh satelitov. Tieto obmedzenia sa môžu odstrániť poskytnutím dodatočných služieb založených na diaľkovo riadenom leteckom systéme (bezpilotné lietadlá).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Agentúra bude ako inštitucionálny poskytovateľ služieb organizovať a poskytovať služby v súvislosti s operáciami RPAS na podporu Európskej agentúry pre pohraničnú a pobrežnú stráž a orgánov zodpovedných za kontrolu hraníc. Okrem toho prispeje EMSA ako námorná bezpečnostná agentúra k tomu, aby použitie tejto technológie bolo vnímané priaznivejšie. Táto technológia má viacúčelový charakter a môže sa používať pri rôznych verejných úlohách na mori (kontrola hraníc, bezpečnosť plavby, pátranie a záchrana, zistenie znečistenia, kontrola rybárstva, opatrenia na presadzovanie práva). Posilnenie spolupráce medzi agentúrami bude naďalej zvyšovať súčinnosť a viacúčelové využívanie rovnakých prostriedkov.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Poverenie agentúry EMSA poskytovaním služieb RPAS umožní Európskej agentúre pre pohraničnú a pobrežnú stráž a orgánom zodpovedným za kontrolu hraníc využívať dané služby, keďže EMSA už zhromažďuje, spracováva, zlučuje a prepája informácie o ľudskej činnosti na mori. S informáciami získanými zo systému RPAS by sa zaobchádzalo ako s dodatočným zdrojom údajov, ktoré sa pridajú k informáciám prenášaným do systému EUROSUR. Počíta sa so škálovateľnou službou s niekoľkými simultánnymi operáciami RPAS v Stredozemnom mori, ktoré sa rozdelia napríklad na 4 oblasti záujmu: grécko-turecká hranica (Egejské more), centrálna časť Stredozemného mora (Líbya), západná časť Stredozemného mora (Gibraltársky prieliv) a východná časť Stredozemného mora (Cyprus). Nasadenie by malo byť založené na mobilných jednotkách, ktoré možno premiestniť vzhľadom na to, že časom môžu vznikať nové kritické miesta („hot spots“). </w:t>
      </w:r>
    </w:p>
    <w:p>
      <w:pPr>
        <w:pStyle w:val="Text1"/>
        <w:pBdr>
          <w:top w:val="single" w:sz="4" w:space="1" w:color="auto"/>
          <w:left w:val="single" w:sz="4" w:space="4" w:color="auto"/>
          <w:bottom w:val="single" w:sz="4" w:space="1" w:color="auto"/>
          <w:right w:val="single" w:sz="4" w:space="4" w:color="auto"/>
        </w:pBdr>
        <w:rPr>
          <w:noProof/>
        </w:rPr>
      </w:pPr>
      <w:r>
        <w:rPr>
          <w:noProof/>
        </w:rPr>
        <w:t>Služby RPAS by mali byť lacnejšie ako námorná hliadka s posádkou a mali by sa využívať ako doplnkový nástroj v rámci celkového reťazca dohľadu, ktorý zahŕňa satelitné zábery, informácie o polohe plavidiel a dohľad námorných hliadkovacích plavidiel a lietadiel.</w:t>
      </w:r>
    </w:p>
    <w:p>
      <w:pPr>
        <w:pStyle w:val="Text1"/>
        <w:pBdr>
          <w:top w:val="single" w:sz="4" w:space="1" w:color="auto"/>
          <w:left w:val="single" w:sz="4" w:space="4" w:color="auto"/>
          <w:bottom w:val="single" w:sz="4" w:space="1" w:color="auto"/>
          <w:right w:val="single" w:sz="4" w:space="4" w:color="auto"/>
        </w:pBdr>
        <w:rPr>
          <w:b/>
          <w:i/>
          <w:noProof/>
        </w:rPr>
      </w:pPr>
      <w:r>
        <w:rPr>
          <w:b/>
          <w:i/>
          <w:noProof/>
        </w:rPr>
        <w:t>Výstup: zabezpečenie údajov leteckej informačnej služby získaných prostredníctvom satelitov</w:t>
      </w:r>
    </w:p>
    <w:p>
      <w:pPr>
        <w:pStyle w:val="Text1"/>
        <w:pBdr>
          <w:top w:val="single" w:sz="4" w:space="1" w:color="auto"/>
          <w:left w:val="single" w:sz="4" w:space="4" w:color="auto"/>
          <w:bottom w:val="single" w:sz="4" w:space="1" w:color="auto"/>
          <w:right w:val="single" w:sz="4" w:space="4" w:color="auto"/>
        </w:pBdr>
        <w:rPr>
          <w:noProof/>
        </w:rPr>
      </w:pPr>
      <w:r>
        <w:rPr>
          <w:noProof/>
        </w:rPr>
        <w:t>EMSA v spolupráci s Európskou vesmírnou agentúrou (ESA), do dnešného dňa poskytuje prostredníctvom svojich námorných aplikácií dátové služby satelitného systému AIS (SAT-AIS) bez toho, aby ostatným agentúram EÚ a členským štátom EÚ vznikli náklady. Tieto údaje financuje ESA do 31. augusta 2016. Po tomto dátume bude program pre výskum a rozvoj ukončený. Údaje zo systému SAT-AIS sú hodnotným zdrojom informácií, ktoré vo veľkej miere prispievajú k zvýšeniu informovanosti o námornej situácii. Údaje pomáhajú členským štátom, agentúram a orgánom EÚ (t. j. Európskej agentúre pre pohraničnú a pobrežnú stráž, EFCA, MAOC-N) pri plnení ich úloh spojených s dohľadom. Bez týchto údajov nie je možné sledovať mnohé plavidlá z dôvodu nedostupnosti iných zdrojov údajov, a to najmä na juhu Stredozemného mora, alebo preto, že plavidlá sa plavia mimo dosah pobrežných staníc AIS, a preto ich nemožno monitorovať prostredníctvom pozemných systémov AIS (v prípade činností rybárskych plavidiel plaviacich sa pod vlajkou EÚ, keď pôsobia mimo EÚ).</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Bez údajov zo systému SAT-AIS sa stratí veľká časť pridanej hodnoty a dôjde k značnému zníženiu informovanosti o námornej situácii, čo negatívne ovplyvní schopnosť dohľadu na vonkajších hraniciach. Získavanie údajov zo systému SAT-AIS je preto potrebné. </w:t>
      </w:r>
    </w:p>
    <w:p>
      <w:pPr>
        <w:pStyle w:val="Italics"/>
        <w:rPr>
          <w:i/>
          <w:noProof/>
        </w:rPr>
      </w:pPr>
      <w:r>
        <w:rPr>
          <w:i/>
          <w:noProof/>
        </w:rPr>
        <w:t xml:space="preserve"> Výstup: komunikačné služby, najmä SAT-COM na podporu spoločných operácií</w:t>
      </w:r>
    </w:p>
    <w:p>
      <w:pPr>
        <w:pStyle w:val="Text1"/>
        <w:pBdr>
          <w:top w:val="single" w:sz="4" w:space="1" w:color="auto"/>
          <w:left w:val="single" w:sz="4" w:space="4" w:color="auto"/>
          <w:bottom w:val="single" w:sz="4" w:space="1" w:color="auto"/>
          <w:right w:val="single" w:sz="4" w:space="4" w:color="auto"/>
        </w:pBdr>
        <w:rPr>
          <w:noProof/>
        </w:rPr>
      </w:pPr>
      <w:r>
        <w:rPr>
          <w:noProof/>
        </w:rPr>
        <w:t>Satelitná komunikácia sa vyžaduje na účely koordinácie a poskytovania údajov námorného dozoru pochádzajúcich z RPAS a iných snímačov. Satelitná komunikácia sa používa pri navigácii RPAS a prenose údajov zozbieraných prostredníctvom jej užitočného zaťaženia. To predstavuje významný nákladový faktor. Agentúra bude musieť investovať do rozhraní prijímajúcich údaje z komunikačných satelitov a z európskeho systému na prenos údajov (EDRS). Vstup rozmanitých dátových tokov do rôznych formátov údajov bude určite vyžadovať paralelný vývoj softvéru. Uvedené náklady nezahŕňajú náklady na satelitný prenos.</w:t>
      </w:r>
    </w:p>
    <w:p>
      <w:pPr>
        <w:pStyle w:val="Text1"/>
        <w:pBdr>
          <w:top w:val="single" w:sz="4" w:space="1" w:color="auto"/>
          <w:left w:val="single" w:sz="4" w:space="4" w:color="auto"/>
          <w:bottom w:val="single" w:sz="4" w:space="1" w:color="auto"/>
          <w:right w:val="single" w:sz="4" w:space="4" w:color="auto"/>
        </w:pBdr>
        <w:rPr>
          <w:i/>
          <w:noProof/>
        </w:rPr>
      </w:pPr>
      <w:r>
        <w:rPr>
          <w:i/>
          <w:noProof/>
        </w:rPr>
        <w:t>c)</w:t>
      </w:r>
      <w:r>
        <w:rPr>
          <w:noProof/>
        </w:rPr>
        <w:tab/>
      </w:r>
      <w:r>
        <w:rPr>
          <w:i/>
          <w:noProof/>
        </w:rPr>
        <w:t>budovanie kapacít na vnútroštátnej úrovni a na úrovni Únie tým, že vypracuje usmernenia, odporúčania a najlepšie postupy, ako aj tým, že bude podporovať odbornú prípravu a výmenu pracovníkov s cieľom zlepšiť výmenu informácií a spoluprácu v oblasti funkcií pobrežnej stráže;</w:t>
      </w:r>
    </w:p>
    <w:p>
      <w:pPr>
        <w:pStyle w:val="Text1"/>
        <w:pBdr>
          <w:top w:val="single" w:sz="4" w:space="1" w:color="auto"/>
          <w:left w:val="single" w:sz="4" w:space="4" w:color="auto"/>
          <w:bottom w:val="single" w:sz="4" w:space="1" w:color="auto"/>
          <w:right w:val="single" w:sz="4" w:space="4" w:color="auto"/>
        </w:pBdr>
        <w:rPr>
          <w:b/>
          <w:i/>
          <w:noProof/>
        </w:rPr>
      </w:pPr>
      <w:r>
        <w:rPr>
          <w:b/>
          <w:i/>
          <w:noProof/>
        </w:rPr>
        <w:t>Výstup: odborná príprava, vzdelávanie na diaľku a výmena najlepších postupov a projektový rozvoj spoločných alebo interoperabilných noriem v oblasti operácií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Posilnenie funkcií pobrežnej stráže vnútroštátnych orgánov zahŕňa aj vzdelávanie a odbornú prípravu. Agentúra už zaviedla významné portfólio odbornej prípravy vrátane modulov elektronického učenia sa pre odborníkov z členských štátov, prístupových krajín a krajín ESP. Tento základ sa použije na vytvorenie nových modulov a kurzov odbornej prípravy zameraných na posilnenie zručností a kapacít na vnútroštátnej úrovni.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Novovzniknuté kurzy odbornej prípravy, semináre na výmenu najlepších postupov a modulov elektronického učenia sa, ako aj nové špecifické projekty v konkrétnych oblastiach pomôžu zvýšiť kapacitu pobrežnej stráže a vytvoriť spoločné normy a postupy na úrovni EÚ, ktoré umožnia nadnárodnú spoluprácu a spoločné operácie. </w:t>
      </w:r>
    </w:p>
    <w:p>
      <w:pPr>
        <w:pStyle w:val="ManualHeading3"/>
        <w:rPr>
          <w:bCs/>
          <w:noProof/>
          <w:szCs w:val="24"/>
        </w:rPr>
      </w:pPr>
      <w:r>
        <w:rPr>
          <w:noProof/>
        </w:rPr>
        <w:t>1.4.4.</w:t>
      </w:r>
      <w:r>
        <w:rPr>
          <w:noProof/>
        </w:rPr>
        <w:tab/>
        <w:t xml:space="preserve">Ukazovatele výsledkov a vplyvu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Lepšie šírenie údajov o námornom dozore v reálnom čase alebo takmer reálnom čase medzi týmito troma agentúrami a príslušnými orgánmi:</w:t>
      </w:r>
    </w:p>
    <w:p>
      <w:pPr>
        <w:pStyle w:val="Text1"/>
        <w:pBdr>
          <w:top w:val="single" w:sz="4" w:space="1" w:color="auto"/>
          <w:left w:val="single" w:sz="4" w:space="4" w:color="auto"/>
          <w:bottom w:val="single" w:sz="4" w:space="1" w:color="auto"/>
          <w:right w:val="single" w:sz="4" w:space="4" w:color="auto"/>
        </w:pBdr>
        <w:rPr>
          <w:noProof/>
        </w:rPr>
      </w:pPr>
      <w:r>
        <w:rPr>
          <w:noProof/>
        </w:rPr>
        <w:t>Modernizácia a zlepšenie rozhraní a funkcií:</w:t>
      </w:r>
    </w:p>
    <w:p>
      <w:pPr>
        <w:pStyle w:val="Text1"/>
        <w:pBdr>
          <w:top w:val="single" w:sz="4" w:space="1" w:color="auto"/>
          <w:left w:val="single" w:sz="4" w:space="4" w:color="auto"/>
          <w:bottom w:val="single" w:sz="4" w:space="1" w:color="auto"/>
          <w:right w:val="single" w:sz="4" w:space="4" w:color="auto"/>
        </w:pBdr>
        <w:rPr>
          <w:noProof/>
        </w:rPr>
      </w:pPr>
      <w:r>
        <w:rPr>
          <w:noProof/>
        </w:rPr>
        <w:t>– umožní výmenu údajov z nových snímačov (s použitím nových formátov údajov);</w:t>
      </w:r>
    </w:p>
    <w:p>
      <w:pPr>
        <w:pStyle w:val="Text1"/>
        <w:pBdr>
          <w:top w:val="single" w:sz="4" w:space="1" w:color="auto"/>
          <w:left w:val="single" w:sz="4" w:space="4" w:color="auto"/>
          <w:bottom w:val="single" w:sz="4" w:space="1" w:color="auto"/>
          <w:right w:val="single" w:sz="4" w:space="4" w:color="auto"/>
        </w:pBdr>
        <w:rPr>
          <w:noProof/>
        </w:rPr>
      </w:pPr>
      <w:r>
        <w:rPr>
          <w:noProof/>
        </w:rPr>
        <w:t>– prispeje k výmene väčšieho objemu údajov dozoru medzi všetkými príslušnými zainteresovanými stranami.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Flexibilné služby RPAS umožňujúce dohľad nad kontrolou hraníc: </w:t>
      </w:r>
    </w:p>
    <w:p>
      <w:pPr>
        <w:pStyle w:val="Text1"/>
        <w:pBdr>
          <w:top w:val="single" w:sz="4" w:space="1" w:color="auto"/>
          <w:left w:val="single" w:sz="4" w:space="4" w:color="auto"/>
          <w:bottom w:val="single" w:sz="4" w:space="1" w:color="auto"/>
          <w:right w:val="single" w:sz="4" w:space="4" w:color="auto"/>
        </w:pBdr>
        <w:rPr>
          <w:noProof/>
        </w:rPr>
      </w:pPr>
      <w:r>
        <w:rPr>
          <w:noProof/>
        </w:rPr>
        <w:t>Zvýšený námorný dozor na vonkajších hraniciach EÚ by mal viesť k:</w:t>
      </w:r>
    </w:p>
    <w:p>
      <w:pPr>
        <w:pStyle w:val="Text1"/>
        <w:pBdr>
          <w:top w:val="single" w:sz="4" w:space="1" w:color="auto"/>
          <w:left w:val="single" w:sz="4" w:space="4" w:color="auto"/>
          <w:bottom w:val="single" w:sz="4" w:space="1" w:color="auto"/>
          <w:right w:val="single" w:sz="4" w:space="4" w:color="auto"/>
        </w:pBdr>
        <w:rPr>
          <w:noProof/>
        </w:rPr>
      </w:pPr>
      <w:r>
        <w:rPr>
          <w:noProof/>
        </w:rPr>
        <w:t>– včasnému odhaleniu odchodu migrantov;</w:t>
      </w:r>
    </w:p>
    <w:p>
      <w:pPr>
        <w:pStyle w:val="Text1"/>
        <w:pBdr>
          <w:top w:val="single" w:sz="4" w:space="1" w:color="auto"/>
          <w:left w:val="single" w:sz="4" w:space="4" w:color="auto"/>
          <w:bottom w:val="single" w:sz="4" w:space="1" w:color="auto"/>
          <w:right w:val="single" w:sz="4" w:space="4" w:color="auto"/>
        </w:pBdr>
        <w:rPr>
          <w:noProof/>
        </w:rPr>
      </w:pPr>
      <w:r>
        <w:rPr>
          <w:noProof/>
        </w:rPr>
        <w:t>– lepšiemu odhaleniu migrantov v núdzi na mori (k záchrane viacerých životov), podpore pátracích a záchranných operácií na mori;</w:t>
      </w:r>
    </w:p>
    <w:p>
      <w:pPr>
        <w:pStyle w:val="Text1"/>
        <w:pBdr>
          <w:top w:val="single" w:sz="4" w:space="1" w:color="auto"/>
          <w:left w:val="single" w:sz="4" w:space="4" w:color="auto"/>
          <w:bottom w:val="single" w:sz="4" w:space="1" w:color="auto"/>
          <w:right w:val="single" w:sz="4" w:space="4" w:color="auto"/>
        </w:pBdr>
        <w:rPr>
          <w:noProof/>
        </w:rPr>
      </w:pPr>
      <w:r>
        <w:rPr>
          <w:noProof/>
        </w:rPr>
        <w:t>– včasnému a lepšiemu odhaleniu akejkoľvek inej nezákonnej činnosti pri prekračovaní vonkajších námorných hraníc Európskej únie;</w:t>
      </w:r>
    </w:p>
    <w:p>
      <w:pPr>
        <w:pStyle w:val="Text1"/>
        <w:pBdr>
          <w:top w:val="single" w:sz="4" w:space="1" w:color="auto"/>
          <w:left w:val="single" w:sz="4" w:space="4" w:color="auto"/>
          <w:bottom w:val="single" w:sz="4" w:space="1" w:color="auto"/>
          <w:right w:val="single" w:sz="4" w:space="4" w:color="auto"/>
        </w:pBdr>
        <w:rPr>
          <w:noProof/>
        </w:rPr>
      </w:pPr>
      <w:r>
        <w:rPr>
          <w:noProof/>
        </w:rPr>
        <w:t>– využívaniu týchto misií na viaceré účely (pobrežnej stráže), k poskytnutiu pomoci v rámci námorného dozoru pri:</w:t>
      </w:r>
    </w:p>
    <w:p>
      <w:pPr>
        <w:pStyle w:val="Text1"/>
        <w:pBdr>
          <w:top w:val="single" w:sz="4" w:space="1" w:color="auto"/>
          <w:left w:val="single" w:sz="4" w:space="4" w:color="auto"/>
          <w:bottom w:val="single" w:sz="4" w:space="1" w:color="auto"/>
          <w:right w:val="single" w:sz="4" w:space="4" w:color="auto"/>
        </w:pBdr>
        <w:rPr>
          <w:noProof/>
        </w:rPr>
      </w:pPr>
      <w:r>
        <w:rPr>
          <w:noProof/>
        </w:rPr>
        <w:tab/>
        <w:t>– odhaľovaní nezákonného rybolovu,</w:t>
      </w:r>
    </w:p>
    <w:p>
      <w:pPr>
        <w:pStyle w:val="Text1"/>
        <w:pBdr>
          <w:top w:val="single" w:sz="4" w:space="1" w:color="auto"/>
          <w:left w:val="single" w:sz="4" w:space="4" w:color="auto"/>
          <w:bottom w:val="single" w:sz="4" w:space="1" w:color="auto"/>
          <w:right w:val="single" w:sz="4" w:space="4" w:color="auto"/>
        </w:pBdr>
        <w:rPr>
          <w:noProof/>
        </w:rPr>
      </w:pPr>
      <w:r>
        <w:rPr>
          <w:noProof/>
        </w:rPr>
        <w:tab/>
        <w:t>– odhaľovaní a zachytávaní obchodovania s drogami a pašovania drog,</w:t>
      </w:r>
    </w:p>
    <w:p>
      <w:pPr>
        <w:pStyle w:val="Text1"/>
        <w:pBdr>
          <w:top w:val="single" w:sz="4" w:space="1" w:color="auto"/>
          <w:left w:val="single" w:sz="4" w:space="4" w:color="auto"/>
          <w:bottom w:val="single" w:sz="4" w:space="1" w:color="auto"/>
          <w:right w:val="single" w:sz="4" w:space="4" w:color="auto"/>
        </w:pBdr>
        <w:rPr>
          <w:noProof/>
        </w:rPr>
      </w:pPr>
      <w:r>
        <w:rPr>
          <w:noProof/>
        </w:rPr>
        <w:tab/>
        <w:t>– zisťovaní a monitorovaní znečistenia,</w:t>
      </w:r>
    </w:p>
    <w:p>
      <w:pPr>
        <w:pStyle w:val="Text1"/>
        <w:pBdr>
          <w:top w:val="single" w:sz="4" w:space="1" w:color="auto"/>
          <w:left w:val="single" w:sz="4" w:space="4" w:color="auto"/>
          <w:bottom w:val="single" w:sz="4" w:space="1" w:color="auto"/>
          <w:right w:val="single" w:sz="4" w:space="4" w:color="auto"/>
        </w:pBdr>
        <w:rPr>
          <w:noProof/>
        </w:rPr>
      </w:pPr>
      <w:r>
        <w:rPr>
          <w:noProof/>
        </w:rPr>
        <w:tab/>
        <w:t>– podpore činností v oblasti presadzovania práva.</w:t>
      </w:r>
    </w:p>
    <w:p>
      <w:pPr>
        <w:pStyle w:val="Text1"/>
        <w:pBdr>
          <w:top w:val="single" w:sz="4" w:space="1" w:color="auto"/>
          <w:left w:val="single" w:sz="4" w:space="4" w:color="auto"/>
          <w:bottom w:val="single" w:sz="4" w:space="1" w:color="auto"/>
          <w:right w:val="single" w:sz="4" w:space="4" w:color="auto"/>
        </w:pBdr>
        <w:rPr>
          <w:noProof/>
        </w:rPr>
      </w:pPr>
      <w:r>
        <w:rPr>
          <w:noProof/>
        </w:rPr>
        <w:t>Údaje dozoru predstavujú „technickú pomoc“ a budú poskytované príslušným orgánom buď na vnútroštátnej úrovni alebo na úrovni EÚ s cieľom prijať vhodné následné opatrenia.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Zabezpečenie údajov leteckej informačnej služby získaných prostredníctvom satelitov:</w:t>
      </w:r>
    </w:p>
    <w:p>
      <w:pPr>
        <w:pStyle w:val="Text1"/>
        <w:pBdr>
          <w:top w:val="single" w:sz="4" w:space="1" w:color="auto"/>
          <w:left w:val="single" w:sz="4" w:space="4" w:color="auto"/>
          <w:bottom w:val="single" w:sz="4" w:space="1" w:color="auto"/>
          <w:right w:val="single" w:sz="4" w:space="4" w:color="auto"/>
        </w:pBdr>
        <w:rPr>
          <w:noProof/>
        </w:rPr>
      </w:pPr>
      <w:r>
        <w:rPr>
          <w:noProof/>
        </w:rPr>
        <w:t>Tieto informácie umožnia identifikáciu plavidiel mimo rozsahu pobrežných staníc AIS členských štátov EÚ a pomôžu používateľom vytvoriť ucelenejší obraz o situácii na mori, pokiaľ ide o operácie zamerané na kontrolu hraníc. Vďaka týmto informáciám:</w:t>
      </w:r>
    </w:p>
    <w:p>
      <w:pPr>
        <w:pStyle w:val="Text1"/>
        <w:pBdr>
          <w:top w:val="single" w:sz="4" w:space="1" w:color="auto"/>
          <w:left w:val="single" w:sz="4" w:space="4" w:color="auto"/>
          <w:bottom w:val="single" w:sz="4" w:space="1" w:color="auto"/>
          <w:right w:val="single" w:sz="4" w:space="4" w:color="auto"/>
        </w:pBdr>
        <w:rPr>
          <w:noProof/>
        </w:rPr>
      </w:pPr>
      <w:r>
        <w:rPr>
          <w:noProof/>
        </w:rPr>
        <w:t>– bude možné rozlišovať bežnú prevádzku od neidentifikovateľnej ľudskej činnosti na mori, ktorú môže byť potrebné hlbšie preveriť na základe prepojenia týchto informácií s inými zdrojmi údajov, ktoré má agentúra EMSA k dispozícii,</w:t>
      </w:r>
    </w:p>
    <w:p>
      <w:pPr>
        <w:pStyle w:val="Text1"/>
        <w:pBdr>
          <w:top w:val="single" w:sz="4" w:space="1" w:color="auto"/>
          <w:left w:val="single" w:sz="4" w:space="4" w:color="auto"/>
          <w:bottom w:val="single" w:sz="4" w:space="1" w:color="auto"/>
          <w:right w:val="single" w:sz="4" w:space="4" w:color="auto"/>
        </w:pBdr>
        <w:rPr>
          <w:noProof/>
        </w:rPr>
      </w:pPr>
      <w:r>
        <w:rPr>
          <w:noProof/>
        </w:rPr>
        <w:t>– bude možné lepšie sledovať umiestnenie vládnych prostriedkov rozmiestnených jednotlivými členskými štátmi alebo EÚ počas operácií pátrania a záchrany v záujme optimálnejšej koordinácie;</w:t>
      </w:r>
    </w:p>
    <w:p>
      <w:pPr>
        <w:pStyle w:val="Text1"/>
        <w:pBdr>
          <w:top w:val="single" w:sz="4" w:space="1" w:color="auto"/>
          <w:left w:val="single" w:sz="4" w:space="4" w:color="auto"/>
          <w:bottom w:val="single" w:sz="4" w:space="1" w:color="auto"/>
          <w:right w:val="single" w:sz="4" w:space="4" w:color="auto"/>
        </w:pBdr>
        <w:rPr>
          <w:noProof/>
        </w:rPr>
      </w:pPr>
      <w:r>
        <w:rPr>
          <w:noProof/>
        </w:rPr>
        <w:t>– bude možné lepšie rozmiestniť tieto prostriedky na správnu geografickú polohu plavidiel, v prípade ktorých sa zistila potreba podpory, čím sa pre orgány/pátracie a záchranné operácie zníži čas potrebný na príchod na miesto,</w:t>
      </w:r>
    </w:p>
    <w:p>
      <w:pPr>
        <w:pStyle w:val="Text1"/>
        <w:pBdr>
          <w:top w:val="single" w:sz="4" w:space="1" w:color="auto"/>
          <w:left w:val="single" w:sz="4" w:space="4" w:color="auto"/>
          <w:bottom w:val="single" w:sz="4" w:space="1" w:color="auto"/>
          <w:right w:val="single" w:sz="4" w:space="4" w:color="auto"/>
        </w:pBdr>
        <w:rPr>
          <w:noProof/>
        </w:rPr>
      </w:pPr>
      <w:r>
        <w:rPr>
          <w:noProof/>
        </w:rPr>
        <w:t>– vznikne možnosť využiť geopriestorové spravodajstvo na presné a včasné monitorovanie plavidiel na globálnom základe.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Ak by nebolo možné poskytnúť tieto údaje SAT-AIS, poskytli by sa menej komplexné informácie o dianí na vonkajších morských hraniciach.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Komunikačné služby, najmä SAT-COM na podporu spoločných operácií: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Satelitná komunikácia zohráva kľúčovú úlohu pri využívaní nových technológií, ako sú diaľkovo riadené letecké systémy. Práve prostredníctvom satelitnej komunikačnej technológie sa poskytuje lepší námorný dozor v (takmer) reálnom čase.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Odborná príprava, vzdelávanie na diaľku a výmena najlepších postupov a projektový rozvoj spoločných alebo interoperabilných noriem v oblasti operácií:</w:t>
      </w:r>
    </w:p>
    <w:p>
      <w:pPr>
        <w:pStyle w:val="Text1"/>
        <w:pBdr>
          <w:top w:val="single" w:sz="4" w:space="1" w:color="auto"/>
          <w:left w:val="single" w:sz="4" w:space="4" w:color="auto"/>
          <w:bottom w:val="single" w:sz="4" w:space="1" w:color="auto"/>
          <w:right w:val="single" w:sz="4" w:space="4" w:color="auto"/>
        </w:pBdr>
        <w:rPr>
          <w:noProof/>
        </w:rPr>
      </w:pPr>
      <w:r>
        <w:rPr>
          <w:noProof/>
        </w:rPr>
        <w:t>Investície do odbornej prípravy, elektronického učenia sa a výmeny najlepších postupov a projektový rozvoj spoločných alebo interoperabilných noriem v oblasti operácií by mali priniesť:</w:t>
      </w:r>
    </w:p>
    <w:p>
      <w:pPr>
        <w:pStyle w:val="Text1"/>
        <w:pBdr>
          <w:top w:val="single" w:sz="4" w:space="1" w:color="auto"/>
          <w:left w:val="single" w:sz="4" w:space="4" w:color="auto"/>
          <w:bottom w:val="single" w:sz="4" w:space="1" w:color="auto"/>
          <w:right w:val="single" w:sz="4" w:space="4" w:color="auto"/>
        </w:pBdr>
        <w:rPr>
          <w:noProof/>
        </w:rPr>
      </w:pPr>
      <w:r>
        <w:rPr>
          <w:noProof/>
        </w:rPr>
        <w:t>– zlepšenie zručností a spôsobilostí v oblasti funkcií pobrežnej stráže na vnútroštátnej úrovni, čo povedie k výkonnejších operáciám,</w:t>
      </w:r>
    </w:p>
    <w:p>
      <w:pPr>
        <w:pStyle w:val="Text1"/>
        <w:pBdr>
          <w:top w:val="single" w:sz="4" w:space="1" w:color="auto"/>
          <w:left w:val="single" w:sz="4" w:space="4" w:color="auto"/>
          <w:bottom w:val="single" w:sz="4" w:space="1" w:color="auto"/>
          <w:right w:val="single" w:sz="4" w:space="4" w:color="auto"/>
        </w:pBdr>
        <w:rPr>
          <w:noProof/>
        </w:rPr>
      </w:pPr>
      <w:r>
        <w:rPr>
          <w:noProof/>
        </w:rPr>
        <w:t>– zvýšenie úrovne harmonizácie a spoločných prístupov k námornému dozoru a ďalším funkciám pobrežnej stráže, čo povedie k interoperabilite a spoločným normám týkajúcim sa operácií, ktoré by mali uľahčiť spoločné operácie.</w:t>
      </w:r>
    </w:p>
    <w:p>
      <w:pPr>
        <w:pStyle w:val="ManualHeading2"/>
        <w:rPr>
          <w:bCs/>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rPr>
      </w:pPr>
      <w:r>
        <w:rPr>
          <w:noProof/>
        </w:rPr>
        <w:t>Najzložitejší a najrozhodujúcejší proces je organizovanie pilotných služieb RPAS.</w:t>
      </w:r>
    </w:p>
    <w:p>
      <w:pPr>
        <w:pStyle w:val="Text1"/>
        <w:pBdr>
          <w:top w:val="single" w:sz="4" w:space="1" w:color="auto"/>
          <w:left w:val="single" w:sz="4" w:space="4" w:color="auto"/>
          <w:bottom w:val="single" w:sz="4" w:space="1" w:color="auto"/>
          <w:right w:val="single" w:sz="4" w:space="4" w:color="auto"/>
        </w:pBdr>
        <w:rPr>
          <w:noProof/>
        </w:rPr>
      </w:pPr>
      <w:r>
        <w:rPr>
          <w:noProof/>
        </w:rPr>
        <w:t>V roku 2016 agentúra plánuje predviesť pilotnú službu RPAS pre členské štáty a agentúry EÚ. Na strane regulačných orgánov plánuje agentúra zapojiť agentúru EASA a EUROCONTROL a na strane používateľov sú do tejto pilotnej činnosti prizvané Európska agentúra pre pohraničnú a pobrežnú stráž a EFCA. Okrem toho konzultácie s Európskou vesmírnou agentúrou by mali prispieť k ďalšiemu rozvoju riešení RPAS pre oblasť civilného námorného dozoru.</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Činnosti s pridanou hodnotou na úrovni EÚ zahŕňajú: </w:t>
      </w:r>
    </w:p>
    <w:p>
      <w:pPr>
        <w:pStyle w:val="Text1"/>
        <w:pBdr>
          <w:top w:val="single" w:sz="4" w:space="1" w:color="auto"/>
          <w:left w:val="single" w:sz="4" w:space="4" w:color="auto"/>
          <w:bottom w:val="single" w:sz="4" w:space="1" w:color="auto"/>
          <w:right w:val="single" w:sz="4" w:space="4" w:color="auto"/>
        </w:pBdr>
        <w:rPr>
          <w:noProof/>
        </w:rPr>
      </w:pPr>
      <w:r>
        <w:rPr>
          <w:noProof/>
        </w:rPr>
        <w:t>– poskytovanie hodnotných informácií v záujme zlepšenia dohľadu nad vonkajšími hranicami Európskej únie s novými službami RPAS a pokračujúce služby SAT-AIS, ktoré by sa inak neposkytovali alebo by sa poskytovali v menšom rozsahu (vzdušný dozor, ktorý je veľmi nákladný),</w:t>
      </w:r>
    </w:p>
    <w:p>
      <w:pPr>
        <w:pStyle w:val="Text1"/>
        <w:pBdr>
          <w:top w:val="single" w:sz="4" w:space="1" w:color="auto"/>
          <w:left w:val="single" w:sz="4" w:space="4" w:color="auto"/>
          <w:bottom w:val="single" w:sz="4" w:space="1" w:color="auto"/>
          <w:right w:val="single" w:sz="4" w:space="4" w:color="auto"/>
        </w:pBdr>
        <w:rPr>
          <w:noProof/>
        </w:rPr>
      </w:pPr>
      <w:r>
        <w:rPr>
          <w:noProof/>
        </w:rPr>
        <w:t>– poskytovanie služieb a údajov na úrovni EÚ je nákladovo efektívne z dôvodu úspor z rozsahu, ktoré nemožno dosiahnuť prostredníctvom podobných opatrení na vnútroštátnej úrovni,</w:t>
      </w:r>
    </w:p>
    <w:p>
      <w:pPr>
        <w:pStyle w:val="Text1"/>
        <w:pBdr>
          <w:top w:val="single" w:sz="4" w:space="1" w:color="auto"/>
          <w:left w:val="single" w:sz="4" w:space="4" w:color="auto"/>
          <w:bottom w:val="single" w:sz="4" w:space="1" w:color="auto"/>
          <w:right w:val="single" w:sz="4" w:space="4" w:color="auto"/>
        </w:pBdr>
        <w:rPr>
          <w:noProof/>
        </w:rPr>
      </w:pPr>
      <w:r>
        <w:rPr>
          <w:noProof/>
        </w:rPr>
        <w:t>– opakované použitie údajov a výmenu údajov so všetkými dotknutými členskými štátmi a agentúrami EÚ umožňujúce vyhnúť sa duplicite úsilia, ponúknuť viacnásobné použitie rovnakých údajov a služieb a využívať nové a moderné technológie;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zhromažďovanie všetkých relevantných námorných údajov o ľudskej činnosti na mori na jednom mieste predstavujúce riešenie „jednotného kontaktného miesta“, ktoré tieto údaje poskytuje aj ostatným orgánom na vnútroštátnej úrovni a úrovni EÚ. Infraštruktúra IKT a distribučná sieť sú už zväčša zavedené a nemusia sa znovu vytvárať. EMSA už poskytuje rôzne súbory námorných údajov Európskej agentúre pre pohraničnú a pobrežnú stráž a agentúre EFCA, pre ktoré boli vytvorené rozhrania,</w:t>
      </w:r>
    </w:p>
    <w:p>
      <w:pPr>
        <w:pStyle w:val="Text1"/>
        <w:pBdr>
          <w:top w:val="single" w:sz="4" w:space="1" w:color="auto"/>
          <w:left w:val="single" w:sz="4" w:space="4" w:color="auto"/>
          <w:bottom w:val="single" w:sz="4" w:space="1" w:color="auto"/>
          <w:right w:val="single" w:sz="4" w:space="4" w:color="auto"/>
        </w:pBdr>
        <w:rPr>
          <w:noProof/>
        </w:rPr>
      </w:pPr>
      <w:r>
        <w:rPr>
          <w:noProof/>
        </w:rPr>
        <w:t>– používanie už vytvorených informačných systémov agentúry EMSA, harmonizácia existujúcich systémov a služieb na podporu výmeny informácií medzi orgánmi pobrežnej stráže na úrovni EÚ,</w:t>
      </w:r>
    </w:p>
    <w:p>
      <w:pPr>
        <w:pStyle w:val="Text1"/>
        <w:pBdr>
          <w:top w:val="single" w:sz="4" w:space="1" w:color="auto"/>
          <w:left w:val="single" w:sz="4" w:space="4" w:color="auto"/>
          <w:bottom w:val="single" w:sz="4" w:space="1" w:color="auto"/>
          <w:right w:val="single" w:sz="4" w:space="4" w:color="auto"/>
        </w:pBdr>
        <w:rPr>
          <w:noProof/>
        </w:rPr>
      </w:pPr>
      <w:r>
        <w:rPr>
          <w:noProof/>
        </w:rPr>
        <w:t>– skvalitňovanie kolektívnych zručností a zvyšovanie kapacity orgánov pobrežnej stráže a pomoc týmto orgánom pri ich spolupráci a spoločnom konaní na základe harmonizovaného prístupu.</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0" w:color="auto"/>
          <w:right w:val="single" w:sz="4" w:space="4" w:color="auto"/>
        </w:pBdr>
        <w:rPr>
          <w:noProof/>
        </w:rPr>
      </w:pPr>
      <w:r>
        <w:rPr>
          <w:noProof/>
        </w:rPr>
        <w:t xml:space="preserve">EMSA zistila na základe predchádzajúceho vojenského použitia technológie RPAS, čo je uskutočniteľné z hľadiska civilnej kapacity RPAS a ako by bolo možné využiť RPAS na zlepšenie námorného dozoru s lepším pomerom ceny a kvality a dosiahnuť  pomocou neho lepšiu informovanosť o tom, čo sa deje na vonkajších námorných hraniciach Európskej únie.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Na základe prebiehajúcej spolupráce s Európskou vesmírnou agentúrou sa preukázalo, že vďaka využívaniu údajov sa výrazne zlepšila informovanosť o námornej situácii. Mnohé členské štáty a používatelia európskych agentúr preukázali operatívny prínos údajov SAT-AIS prostredníctvom skutočných prípadov do tej miery, že v súčasnosti sú ich každodenné operácie vo veľkej miere založené na používaní údajov SAT-AIS. Na základe stretnutí s používateľmi za posledné tri roky boli zozbierané svedectvá používateľov. Preto je jasné, že bez údajov SAT-AIS by došlo k zjavnému obmedzeniu kvality informovanosti o námornej oblasti, čo by negatívne ovplyvnilo schopnosť používateľov konať účinne. </w:t>
      </w:r>
    </w:p>
    <w:p>
      <w:pPr>
        <w:pStyle w:val="Text1"/>
        <w:pBdr>
          <w:top w:val="single" w:sz="4" w:space="1" w:color="auto"/>
          <w:left w:val="single" w:sz="4" w:space="4" w:color="auto"/>
          <w:bottom w:val="single" w:sz="4" w:space="0" w:color="auto"/>
          <w:right w:val="single" w:sz="4" w:space="4" w:color="auto"/>
        </w:pBdr>
        <w:rPr>
          <w:noProof/>
        </w:rPr>
      </w:pPr>
      <w:r>
        <w:rPr>
          <w:noProof/>
        </w:rPr>
        <w:t>V oblasti štátnej prístavnej kontroly agentúra podporuje celoeurópsky systém pre minimálnu úroveň odbornej prípravy, ktorý zlepšuje budovanie kapacít na úrovni EÚ a na vnútroštátnej úrovni. Okrem toho sa preukázalo, že odborná príprava zameraná na „základné zručnosti“ pre určité funkcie predstavujú pridanú hodnotu z hľadiska doplnenia vnútroštátnych kapacít a podpory najlepších postupov, a preto by mohli byť pridanou hodnotou pre jednotlivé funkcie pobrežnej stráže.</w:t>
      </w:r>
    </w:p>
    <w:p>
      <w:pPr>
        <w:pStyle w:val="Text1"/>
        <w:pBdr>
          <w:top w:val="single" w:sz="4" w:space="1" w:color="auto"/>
          <w:left w:val="single" w:sz="4" w:space="4" w:color="auto"/>
          <w:bottom w:val="single" w:sz="4" w:space="0" w:color="auto"/>
          <w:right w:val="single" w:sz="4" w:space="4" w:color="auto"/>
        </w:pBdr>
        <w:rPr>
          <w:noProof/>
        </w:rPr>
      </w:pPr>
      <w:r>
        <w:rPr>
          <w:noProof/>
        </w:rPr>
        <w:t>Agentúra má rozsiahle skúsenosti so spoluprácou s vnútroštátnymi orgánmi, ktoré vykonávajú funkcie pobrežnej stráže a podporujú cezhraničnú spoluprácu. Nedávny príklad sa týka pomoci plavidlám v núdzi, pre ktoré agentúra spolu s Komisiou umožnila vypracovanie operačných usmernení o útočištiach na základe právnych predpisov EÚ, ktoré budú podporovať zosúladenú a účinnú reakciu zo strany vnútroštátnych orgánov. Takéto operačné usmernenia a spoločné/interoperabilné normy a postupy by sa mohli vypracovať aj v iných oblastiach.</w:t>
      </w:r>
    </w:p>
    <w:p>
      <w:pPr>
        <w:pStyle w:val="ManualHeading3"/>
        <w:rPr>
          <w:bCs/>
          <w:noProof/>
          <w:szCs w:val="24"/>
        </w:rPr>
      </w:pPr>
      <w:r>
        <w:rPr>
          <w:noProof/>
        </w:rPr>
        <w:t>1.5.4.</w:t>
      </w:r>
      <w:r>
        <w:rPr>
          <w:noProof/>
        </w:rPr>
        <w:tab/>
        <w:t>Zlučiteľnosť a možná synergia s inými vhodnými finančnými nástrojmi</w:t>
      </w:r>
    </w:p>
    <w:p>
      <w:pPr>
        <w:pStyle w:val="Text1"/>
        <w:pBdr>
          <w:top w:val="single" w:sz="4" w:space="1" w:color="auto"/>
          <w:left w:val="single" w:sz="4" w:space="4" w:color="auto"/>
          <w:bottom w:val="single" w:sz="4" w:space="1" w:color="auto"/>
          <w:right w:val="single" w:sz="4" w:space="4" w:color="auto"/>
        </w:pBdr>
        <w:rPr>
          <w:noProof/>
        </w:rPr>
      </w:pPr>
      <w:r>
        <w:rPr>
          <w:noProof/>
        </w:rPr>
        <w:t>Tieto ďalšie úlohy EMSA sú v úplnom súlade s mandátom Európskej agentúry pre pohraničnú a pobrežnú stráž a mandátom agentúry EFCA a prispejú k tomu, aby aj ony plnili svoje povinnosti a úlohy. Údaje získané prostredníctvom RPAS ako aj SAT-AIS výrazne zlepšia ich informovanosť o aktuálnej situácii. Už existujú dvojstranné dohody o úrovni služieb medzi EMSA a Európskou agentúrou pre pohraničnú a pobrežnú stráž a medzi agentúrami EFCA a EMSA o poskytovaní námorných informačných služieb. S Európskou agentúrou pre pohraničnú a pobrežnú stráž prebieha výmena v súčasnosti dostupných údajov od apríla 2013 a údaje trvale prúdia z agentúry EMSA do Európskeho systému hraničného dozoru (EUROSUR) a situačného centra Európskej agentúry pre pohraničnú a pobrežnú stráž. Postupy, ktoré sa osvedčili, sa použijú na zlepšenie toku údajov.</w:t>
      </w:r>
    </w:p>
    <w:p>
      <w:pPr>
        <w:pStyle w:val="ManualHeading2"/>
        <w:rPr>
          <w:bCs/>
          <w:noProof/>
          <w:szCs w:val="24"/>
        </w:rPr>
      </w:pPr>
      <w:r>
        <w:rPr>
          <w:noProof/>
        </w:rPr>
        <w:br w:type="page"/>
        <w:t>1.6.</w:t>
      </w:r>
      <w:r>
        <w:rPr>
          <w:noProof/>
        </w:rPr>
        <w:tab/>
        <w:t xml:space="preserve">Trvanie a finančný vplyv </w:t>
      </w:r>
    </w:p>
    <w:p>
      <w:pPr>
        <w:pStyle w:val="Text1"/>
        <w:rPr>
          <w:noProof/>
        </w:rPr>
      </w:pPr>
      <w:r>
        <w:rPr>
          <w:noProof/>
        </w:rPr>
        <w:sym w:font="Wingdings" w:char="F0A8"/>
      </w:r>
      <w:r>
        <w:rPr>
          <w:b/>
          <w:i/>
          <w:noProof/>
        </w:rPr>
        <w:t xml:space="preserve"> </w:t>
      </w:r>
      <w:r>
        <w:rPr>
          <w:noProof/>
        </w:rPr>
        <w:t xml:space="preserve">Návrh/iniciatíva </w:t>
      </w:r>
      <w:r>
        <w:rPr>
          <w:b/>
          <w:noProof/>
        </w:rPr>
        <w:t xml:space="preserve">s obmedzeným trvaním </w:t>
      </w:r>
    </w:p>
    <w:p>
      <w:pPr>
        <w:pStyle w:val="ListDash2"/>
        <w:rPr>
          <w:noProof/>
        </w:rPr>
      </w:pPr>
      <w:r>
        <w:rPr>
          <w:noProof/>
        </w:rPr>
        <w:sym w:font="Wingdings" w:char="F0A8"/>
      </w:r>
      <w:r>
        <w:rPr>
          <w:noProof/>
        </w:rPr>
        <w:tab/>
        <w:t xml:space="preserve">Návrh/iniciatíva je v platnosti od [DD/MM]RRRR do [DD/MM]RRRR. </w:t>
      </w:r>
    </w:p>
    <w:p>
      <w:pPr>
        <w:pStyle w:val="ListDash2"/>
        <w:rPr>
          <w:noProof/>
        </w:rPr>
      </w:pPr>
      <w:r>
        <w:rPr>
          <w:noProof/>
        </w:rPr>
        <w:sym w:font="Wingdings" w:char="F0A8"/>
      </w:r>
      <w:r>
        <w:rPr>
          <w:noProof/>
        </w:rPr>
        <w:tab/>
        <w:t xml:space="preserve">Finančný vplyv trvá od RRRR do RRRR </w:t>
      </w:r>
    </w:p>
    <w:p>
      <w:pPr>
        <w:pStyle w:val="Text1"/>
        <w:rPr>
          <w:noProof/>
        </w:rPr>
      </w:pPr>
      <w:r>
        <w:rPr>
          <w:noProof/>
        </w:rPr>
        <w:sym w:font="Wingdings" w:char="F078"/>
      </w:r>
      <w:r>
        <w:rPr>
          <w:b/>
          <w:i/>
          <w:noProof/>
        </w:rPr>
        <w:t xml:space="preserve"> </w:t>
      </w:r>
      <w:r>
        <w:rPr>
          <w:noProof/>
        </w:rPr>
        <w:t xml:space="preserve">Návrh/iniciatíva </w:t>
      </w:r>
      <w:r>
        <w:rPr>
          <w:b/>
          <w:noProof/>
        </w:rPr>
        <w:t>s neobmedzeným trvaním</w:t>
      </w:r>
    </w:p>
    <w:p>
      <w:pPr>
        <w:pStyle w:val="ListDash1"/>
        <w:rPr>
          <w:noProof/>
        </w:rPr>
      </w:pPr>
      <w:r>
        <w:rPr>
          <w:noProof/>
        </w:rPr>
        <w:t>Počiatočná fáza vykonávania bude trvať od RRRR do RRRR,</w:t>
      </w:r>
    </w:p>
    <w:p>
      <w:pPr>
        <w:pStyle w:val="ListDash1"/>
        <w:rPr>
          <w:noProof/>
        </w:rPr>
      </w:pPr>
      <w:r>
        <w:rPr>
          <w:noProof/>
        </w:rPr>
        <w:t>a potom bude vykonávanie pokračovať v plnom rozsahu.</w:t>
      </w:r>
    </w:p>
    <w:p>
      <w:pPr>
        <w:pStyle w:val="ManualHeading2"/>
        <w:rPr>
          <w:bCs/>
          <w:noProof/>
          <w:szCs w:val="24"/>
        </w:rPr>
      </w:pPr>
      <w:r>
        <w:rPr>
          <w:noProof/>
        </w:rPr>
        <w:t>1.7.</w:t>
      </w:r>
      <w:r>
        <w:rPr>
          <w:noProof/>
        </w:rPr>
        <w:tab/>
        <w:t>Plánovaný spôsob hospodárenia</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i/>
          <w:noProof/>
        </w:rPr>
        <w:t xml:space="preserve"> </w:t>
      </w:r>
      <w:r>
        <w:rPr>
          <w:b/>
          <w:noProof/>
        </w:rPr>
        <w:t>Priame hospodárenie</w:t>
      </w:r>
      <w:r>
        <w:rPr>
          <w:noProof/>
        </w:rPr>
        <w:t xml:space="preserve"> na úrovni Komisie</w:t>
      </w:r>
    </w:p>
    <w:p>
      <w:pPr>
        <w:pStyle w:val="ListDash2"/>
        <w:rPr>
          <w:rFonts w:cs="EUAlbertina"/>
          <w:noProof/>
        </w:rPr>
      </w:pPr>
      <w:r>
        <w:rPr>
          <w:noProof/>
        </w:rPr>
        <w:sym w:font="Wingdings" w:char="F0A8"/>
      </w:r>
      <w:r>
        <w:rPr>
          <w:noProof/>
        </w:rPr>
        <w:t xml:space="preserve"> 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A8"/>
      </w:r>
      <w:r>
        <w:rPr>
          <w:b/>
          <w:i/>
          <w:noProof/>
        </w:rPr>
        <w:t xml:space="preserve"> </w:t>
      </w:r>
      <w:r>
        <w:rPr>
          <w:b/>
          <w:noProof/>
        </w:rPr>
        <w:t>Zdieľané hospodárenie</w:t>
      </w:r>
      <w:r>
        <w:rPr>
          <w:noProof/>
        </w:rPr>
        <w:t xml:space="preserve"> s členskými štátmi </w:t>
      </w:r>
    </w:p>
    <w:p>
      <w:pPr>
        <w:pStyle w:val="Text1"/>
        <w:rPr>
          <w:noProof/>
        </w:rPr>
      </w:pPr>
      <w:r>
        <w:rPr>
          <w:noProof/>
        </w:rPr>
        <w:sym w:font="Wingdings" w:char="F078"/>
      </w:r>
      <w:r>
        <w:rPr>
          <w:i/>
          <w:noProof/>
        </w:rPr>
        <w:t xml:space="preserve"> </w:t>
      </w:r>
      <w:r>
        <w:rPr>
          <w:b/>
          <w:noProof/>
        </w:rPr>
        <w:t>Nepriame hospodárenie</w:t>
      </w:r>
      <w:r>
        <w:rPr>
          <w:noProof/>
        </w:rPr>
        <w:t xml:space="preserve"> so zverením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 </w:t>
      </w:r>
      <w:r>
        <w:rPr>
          <w:noProof/>
        </w:rPr>
        <w:br/>
      </w:r>
    </w:p>
    <w:p>
      <w:pPr>
        <w:pStyle w:val="ListDash2"/>
        <w:rPr>
          <w:noProof/>
        </w:rPr>
      </w:pPr>
      <w:r>
        <w:rPr>
          <w:noProof/>
        </w:rPr>
        <w:sym w:font="Wingdings" w:char="F07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kontroly a predkladania správ </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V agentúre každoročne vykonáva audit Európsky dvor audítorov a Útvar pre vnútorný audit Komisie. Dohľad nad činnosťami, tvorbou programov a rozpočtov vykonáva správna rada vrátane zástupcov Komisie. Tento systém sa bude aj naďalej uplatňovať, ako je stanovené v zakladajúcom nariadení o EMSA.</w:t>
      </w:r>
    </w:p>
    <w:p>
      <w:pPr>
        <w:pStyle w:val="ManualHeading2"/>
        <w:rPr>
          <w:bCs/>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rPr>
      </w:pPr>
      <w:r>
        <w:rPr>
          <w:noProof/>
        </w:rPr>
        <w:t>Neexistujú žiadne dodatočné riziká v porovnaní s existujúcimi úlohami a činnosťami agentúry.</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Na dodatočný rozpočet sa vzťahujú tie isté ustanovenia a záruky ako na všetky ostatné činnosti agentúry.</w:t>
      </w:r>
    </w:p>
    <w:p>
      <w:pPr>
        <w:pStyle w:val="ManualHeading3"/>
        <w:rPr>
          <w:noProof/>
        </w:rPr>
      </w:pPr>
      <w:r>
        <w:rPr>
          <w:noProof/>
        </w:rPr>
        <w:t>2.2.3.</w:t>
      </w:r>
      <w:r>
        <w:rPr>
          <w:noProof/>
        </w:rPr>
        <w:tab/>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Opatrenia na predchádzanie podvodom a nezrovnalostiam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Opatrenia na boj proti podvodom sú uvedené v článku 20 zakladajúceho nariadenia EMSA, ktorým sa upravujú právomoci OLAF, pokiaľ ide o činnosti agentúry, a budú platiť aj naďalej. Osobitnú stratégiu boja proti podvodom prijala správna rada EMSA v novembri 2015.</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0"/>
                <w:szCs w:val="20"/>
              </w:rPr>
            </w:pPr>
            <w:r>
              <w:rPr>
                <w:noProof/>
                <w:sz w:val="20"/>
                <w:szCs w:val="20"/>
              </w:rPr>
              <w:t>Druh 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0"/>
                <w:szCs w:val="20"/>
              </w:rPr>
            </w:pPr>
            <w:r>
              <w:rPr>
                <w:noProof/>
                <w:sz w:val="20"/>
                <w:szCs w:val="20"/>
              </w:rPr>
              <w:t>Číslo[Názov………………………...……………]</w:t>
            </w:r>
          </w:p>
        </w:tc>
        <w:tc>
          <w:tcPr>
            <w:tcW w:w="1080" w:type="dxa"/>
            <w:vAlign w:val="center"/>
          </w:tcPr>
          <w:p>
            <w:pPr>
              <w:jc w:val="center"/>
              <w:rPr>
                <w:noProof/>
                <w:sz w:val="22"/>
              </w:rPr>
            </w:pPr>
            <w:r>
              <w:rPr>
                <w:noProof/>
              </w:rPr>
              <w:t>DRP/NRP</w:t>
            </w:r>
            <w:r>
              <w:rPr>
                <w:rStyle w:val="FootnoteReference"/>
                <w:noProof/>
              </w:rPr>
              <w:footnoteReference w:id="6"/>
            </w:r>
          </w:p>
        </w:tc>
        <w:tc>
          <w:tcPr>
            <w:tcW w:w="956" w:type="dxa"/>
            <w:vAlign w:val="center"/>
          </w:tcPr>
          <w:p>
            <w:pPr>
              <w:jc w:val="center"/>
              <w:rPr>
                <w:noProof/>
                <w:sz w:val="22"/>
              </w:rPr>
            </w:pPr>
            <w:r>
              <w:rPr>
                <w:noProof/>
                <w:sz w:val="18"/>
              </w:rPr>
              <w:t>krajín EZVO</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kandidátskych krajín</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sz w:val="22"/>
              </w:rPr>
              <w:t>060203 Európska námorná bezpečnostná agentúra</w:t>
            </w:r>
          </w:p>
        </w:tc>
        <w:tc>
          <w:tcPr>
            <w:tcW w:w="1080" w:type="dxa"/>
            <w:vAlign w:val="center"/>
          </w:tcPr>
          <w:p>
            <w:pPr>
              <w:jc w:val="center"/>
              <w:rPr>
                <w:noProof/>
                <w:color w:val="0000FF"/>
                <w:sz w:val="22"/>
              </w:rPr>
            </w:pPr>
            <w:r>
              <w:rPr>
                <w:noProof/>
                <w:sz w:val="22"/>
              </w:rPr>
              <w:t>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 v akom za sebou nasledujú okruhy viacročného finančného rámca a rozpočtové riadky</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0"/>
                <w:szCs w:val="20"/>
              </w:rPr>
            </w:pPr>
            <w:r>
              <w:rPr>
                <w:noProof/>
                <w:sz w:val="20"/>
                <w:szCs w:val="20"/>
              </w:rPr>
              <w:t>Druh 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rPr>
              <w:t>Číslo</w:t>
            </w:r>
            <w:r>
              <w:rPr>
                <w:noProof/>
                <w:sz w:val="20"/>
              </w:rPr>
              <w:t>[Názov………………………...……………]</w:t>
            </w:r>
          </w:p>
        </w:tc>
        <w:tc>
          <w:tcPr>
            <w:tcW w:w="1080" w:type="dxa"/>
            <w:vAlign w:val="center"/>
          </w:tcPr>
          <w:p>
            <w:pPr>
              <w:jc w:val="center"/>
              <w:rPr>
                <w:noProof/>
                <w:sz w:val="22"/>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 YY YY 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ÁNO/NIE</w:t>
            </w:r>
          </w:p>
        </w:tc>
        <w:tc>
          <w:tcPr>
            <w:tcW w:w="1080" w:type="dxa"/>
            <w:vAlign w:val="center"/>
          </w:tcPr>
          <w:p>
            <w:pPr>
              <w:jc w:val="center"/>
              <w:rPr>
                <w:noProof/>
                <w:color w:val="0000FF"/>
                <w:sz w:val="18"/>
              </w:rPr>
            </w:pPr>
            <w:r>
              <w:rPr>
                <w:noProof/>
                <w:sz w:val="22"/>
              </w:rPr>
              <w:t>ÁNO/NIE</w:t>
            </w:r>
          </w:p>
        </w:tc>
        <w:tc>
          <w:tcPr>
            <w:tcW w:w="956" w:type="dxa"/>
            <w:vAlign w:val="center"/>
          </w:tcPr>
          <w:p>
            <w:pPr>
              <w:jc w:val="center"/>
              <w:rPr>
                <w:noProof/>
                <w:color w:val="0000FF"/>
                <w:sz w:val="18"/>
              </w:rPr>
            </w:pPr>
            <w:r>
              <w:rPr>
                <w:noProof/>
                <w:sz w:val="22"/>
              </w:rPr>
              <w:t>ÁNO/NIE</w:t>
            </w:r>
          </w:p>
        </w:tc>
        <w:tc>
          <w:tcPr>
            <w:tcW w:w="1448"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Odhadovaný vplyv na výdavky </w:t>
      </w:r>
    </w:p>
    <w:p>
      <w:pPr>
        <w:pStyle w:val="ManualHeading3"/>
        <w:rPr>
          <w:noProof/>
          <w:u w:val="single"/>
        </w:rPr>
      </w:pPr>
      <w:r>
        <w:rPr>
          <w:noProof/>
        </w:rPr>
        <w:t>3.2.1.</w:t>
      </w:r>
      <w:r>
        <w:rPr>
          <w:noProof/>
        </w:rPr>
        <w:tab/>
        <w:t xml:space="preserve">Zhrnutie odhadovaného vplyvu na výdavky </w:t>
      </w:r>
    </w:p>
    <w:p>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Okruh viacročného finančného</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060203 Európska námorná bezpečnostná agentúra</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2131"/>
        <w:gridCol w:w="1777"/>
      </w:tblGrid>
      <w:tr>
        <w:tc>
          <w:tcPr>
            <w:tcW w:w="396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Európska námorná bezpečnostná agentúra</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p>
        </w:tc>
        <w:tc>
          <w:tcPr>
            <w:tcW w:w="96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2017</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2018</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2019</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2020</w:t>
            </w:r>
          </w:p>
        </w:tc>
        <w:tc>
          <w:tcPr>
            <w:tcW w:w="2131"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2021</w:t>
            </w:r>
            <w:r>
              <w:rPr>
                <w:b/>
                <w:noProof/>
                <w:sz w:val="18"/>
                <w:vertAlign w:val="superscript"/>
              </w:rPr>
              <w:t>*1</w:t>
            </w:r>
          </w:p>
        </w:tc>
        <w:tc>
          <w:tcPr>
            <w:tcW w:w="177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SPOLU</w:t>
            </w:r>
            <w:r>
              <w:rPr>
                <w:b/>
                <w:noProof/>
                <w:sz w:val="18"/>
                <w:vertAlign w:val="superscript"/>
              </w:rPr>
              <w:t>*2</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Hlava 1</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Záväzky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1,034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1,423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1,385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1,408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5,250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Platby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1,034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1,423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1,385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1,408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5,250 EUR</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Hlava 2</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Záväzky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Platby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 EUR</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Hlava 3</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Záväzky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16,550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21,502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21,578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21,678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81,308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Platby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9,930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19,521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21,548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21,638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72,637 EUR</w:t>
            </w:r>
          </w:p>
        </w:tc>
      </w:tr>
      <w:tr>
        <w:tc>
          <w:tcPr>
            <w:tcW w:w="3960" w:type="dxa"/>
            <w:vMerge w:val="restart"/>
            <w:tcBorders>
              <w:top w:val="single" w:sz="4" w:space="0" w:color="auto"/>
              <w:left w:val="single" w:sz="4" w:space="0" w:color="auto"/>
              <w:right w:val="single" w:sz="4" w:space="0" w:color="auto"/>
            </w:tcBorders>
            <w:vAlign w:val="center"/>
          </w:tcPr>
          <w:p>
            <w:pPr>
              <w:jc w:val="center"/>
              <w:rPr>
                <w:b/>
                <w:noProof/>
                <w:sz w:val="18"/>
                <w:szCs w:val="18"/>
              </w:rPr>
            </w:pPr>
            <w:r>
              <w:rPr>
                <w:b/>
                <w:noProof/>
                <w:sz w:val="18"/>
              </w:rPr>
              <w:t>Rozpočtové prostriedky</w:t>
            </w:r>
            <w:r>
              <w:rPr>
                <w:b/>
                <w:noProof/>
                <w:sz w:val="18"/>
                <w:szCs w:val="18"/>
              </w:rPr>
              <w:br/>
            </w:r>
            <w:r>
              <w:rPr>
                <w:b/>
                <w:noProof/>
                <w:sz w:val="18"/>
              </w:rPr>
              <w:t>pre Európsku námornú bezpečnostnú agentúru SPOLU</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Záväzky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 1 + 1a + 3a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17,670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23,107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23,148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23,276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87,201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Platby</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 2 + 2a</w:t>
            </w:r>
          </w:p>
          <w:p>
            <w:pPr>
              <w:jc w:val="center"/>
              <w:rPr>
                <w:noProof/>
                <w:sz w:val="18"/>
                <w:szCs w:val="18"/>
              </w:rPr>
            </w:pPr>
            <w:r>
              <w:rPr>
                <w:noProof/>
                <w:sz w:val="18"/>
              </w:rPr>
              <w:t>+ 3b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11,050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21,126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23,117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23,236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78,530 EUR</w:t>
            </w:r>
          </w:p>
        </w:tc>
      </w:tr>
    </w:tbl>
    <w:p>
      <w:pPr>
        <w:rPr>
          <w:noProof/>
        </w:rPr>
      </w:pPr>
      <w:r>
        <w:rPr>
          <w:noProof/>
        </w:rPr>
        <w:br/>
        <w:t>* 1 mimo súčasného VFR</w:t>
      </w:r>
    </w:p>
    <w:p>
      <w:pPr>
        <w:rPr>
          <w:noProof/>
        </w:rPr>
      </w:pPr>
      <w:r>
        <w:rPr>
          <w:noProof/>
        </w:rPr>
        <w:t>* 2 pre súčasný VFR SPOLU</w:t>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Okruh viacročného finančného</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Rok</w:t>
            </w:r>
            <w:r>
              <w:rPr>
                <w:b/>
                <w:noProof/>
                <w:sz w:val="20"/>
              </w:rPr>
              <w:t>N</w:t>
            </w:r>
          </w:p>
        </w:tc>
        <w:tc>
          <w:tcPr>
            <w:tcW w:w="868" w:type="dxa"/>
            <w:vAlign w:val="center"/>
          </w:tcPr>
          <w:p>
            <w:pPr>
              <w:jc w:val="center"/>
              <w:rPr>
                <w:noProof/>
                <w:sz w:val="20"/>
              </w:rPr>
            </w:pPr>
            <w:r>
              <w:rPr>
                <w:noProof/>
              </w:rPr>
              <w:t>Rok</w:t>
            </w:r>
            <w:r>
              <w:rPr>
                <w:b/>
                <w:noProof/>
                <w:sz w:val="20"/>
              </w:rPr>
              <w:t>N + 1</w:t>
            </w:r>
          </w:p>
        </w:tc>
        <w:tc>
          <w:tcPr>
            <w:tcW w:w="868" w:type="dxa"/>
            <w:vAlign w:val="center"/>
          </w:tcPr>
          <w:p>
            <w:pPr>
              <w:jc w:val="center"/>
              <w:rPr>
                <w:noProof/>
                <w:sz w:val="20"/>
              </w:rPr>
            </w:pPr>
            <w:r>
              <w:rPr>
                <w:noProof/>
              </w:rPr>
              <w:t>Rok</w:t>
            </w:r>
            <w:r>
              <w:rPr>
                <w:b/>
                <w:noProof/>
                <w:sz w:val="20"/>
              </w:rPr>
              <w:t>N + 2</w:t>
            </w:r>
          </w:p>
        </w:tc>
        <w:tc>
          <w:tcPr>
            <w:tcW w:w="868" w:type="dxa"/>
            <w:vAlign w:val="center"/>
          </w:tcPr>
          <w:p>
            <w:pPr>
              <w:jc w:val="center"/>
              <w:rPr>
                <w:noProof/>
                <w:sz w:val="20"/>
              </w:rPr>
            </w:pPr>
            <w:r>
              <w:rPr>
                <w:noProof/>
              </w:rPr>
              <w:t>Rok</w:t>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sz w:val="22"/>
              </w:rPr>
            </w:pPr>
            <w:r>
              <w:rPr>
                <w:noProof/>
                <w:sz w:val="22"/>
              </w:rPr>
              <w:t>GR: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Ostatné administratívne výdavky</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noProof/>
              </w:rPr>
              <w:t>GR &lt;…….&gt;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Rozpočtové prostriedky</w:t>
            </w:r>
            <w:r>
              <w:rPr>
                <w:noProof/>
                <w:sz w:val="22"/>
              </w:rPr>
              <w:br/>
            </w:r>
            <w:r>
              <w:rPr>
                <w:b/>
                <w:noProof/>
                <w:sz w:val="22"/>
              </w:rPr>
              <w:t>v rámci OKRUHU 5</w:t>
            </w:r>
            <w:r>
              <w:rPr>
                <w:noProof/>
                <w:sz w:val="22"/>
              </w:rPr>
              <w:br/>
              <w:t>viacročného finančného rámca SPOLU</w:t>
            </w:r>
            <w:r>
              <w:rPr>
                <w:b/>
                <w:noProof/>
                <w:sz w:val="22"/>
              </w:rPr>
              <w:t xml:space="preserve">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395"/>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2017</w:t>
            </w:r>
          </w:p>
        </w:tc>
        <w:tc>
          <w:tcPr>
            <w:tcW w:w="992" w:type="dxa"/>
            <w:vAlign w:val="center"/>
          </w:tcPr>
          <w:p>
            <w:pPr>
              <w:jc w:val="center"/>
              <w:rPr>
                <w:noProof/>
                <w:sz w:val="20"/>
              </w:rPr>
            </w:pPr>
            <w:r>
              <w:rPr>
                <w:noProof/>
                <w:sz w:val="20"/>
              </w:rPr>
              <w:t>2018</w:t>
            </w:r>
          </w:p>
        </w:tc>
        <w:tc>
          <w:tcPr>
            <w:tcW w:w="992" w:type="dxa"/>
            <w:vAlign w:val="center"/>
          </w:tcPr>
          <w:p>
            <w:pPr>
              <w:jc w:val="center"/>
              <w:rPr>
                <w:noProof/>
                <w:sz w:val="20"/>
              </w:rPr>
            </w:pPr>
            <w:r>
              <w:rPr>
                <w:noProof/>
                <w:sz w:val="20"/>
              </w:rPr>
              <w:t>2019</w:t>
            </w:r>
          </w:p>
        </w:tc>
        <w:tc>
          <w:tcPr>
            <w:tcW w:w="992" w:type="dxa"/>
            <w:vAlign w:val="center"/>
          </w:tcPr>
          <w:p>
            <w:pPr>
              <w:jc w:val="center"/>
              <w:rPr>
                <w:noProof/>
                <w:sz w:val="20"/>
              </w:rPr>
            </w:pPr>
            <w:r>
              <w:rPr>
                <w:noProof/>
                <w:sz w:val="20"/>
              </w:rPr>
              <w:t>2020</w:t>
            </w:r>
          </w:p>
        </w:tc>
        <w:tc>
          <w:tcPr>
            <w:tcW w:w="2131"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sz w:val="22"/>
              </w:rPr>
            </w:pPr>
            <w:r>
              <w:rPr>
                <w:b/>
                <w:noProof/>
              </w:rPr>
              <w:t>Rozpočtové prostriedky</w:t>
            </w:r>
            <w:r>
              <w:rPr>
                <w:noProof/>
                <w:sz w:val="22"/>
              </w:rPr>
              <w:br/>
            </w:r>
            <w:r>
              <w:rPr>
                <w:b/>
                <w:noProof/>
                <w:sz w:val="22"/>
              </w:rPr>
              <w:t>v rámci OKRUHOV 1 až 5</w:t>
            </w:r>
            <w:r>
              <w:rPr>
                <w:noProof/>
                <w:sz w:val="22"/>
              </w:rPr>
              <w:br/>
              <w:t>viacročného finančného rámca SPOLU</w:t>
            </w:r>
            <w:r>
              <w:rPr>
                <w:b/>
                <w:noProof/>
                <w:sz w:val="22"/>
              </w:rPr>
              <w:t xml:space="preserve"> </w:t>
            </w:r>
          </w:p>
        </w:tc>
        <w:tc>
          <w:tcPr>
            <w:tcW w:w="2094" w:type="dxa"/>
            <w:gridSpan w:val="2"/>
            <w:vAlign w:val="center"/>
          </w:tcPr>
          <w:p>
            <w:pPr>
              <w:rPr>
                <w:noProof/>
                <w:sz w:val="14"/>
              </w:rPr>
            </w:pPr>
            <w:r>
              <w:rPr>
                <w:noProof/>
                <w:sz w:val="18"/>
              </w:rPr>
              <w:t>Záväzky</w:t>
            </w:r>
          </w:p>
        </w:tc>
        <w:tc>
          <w:tcPr>
            <w:tcW w:w="969" w:type="dxa"/>
          </w:tcPr>
          <w:p>
            <w:pPr>
              <w:rPr>
                <w:noProof/>
                <w:sz w:val="18"/>
                <w:szCs w:val="18"/>
              </w:rPr>
            </w:pPr>
            <w:r>
              <w:rPr>
                <w:noProof/>
                <w:sz w:val="18"/>
              </w:rPr>
              <w:t>17,670 EUR</w:t>
            </w:r>
          </w:p>
        </w:tc>
        <w:tc>
          <w:tcPr>
            <w:tcW w:w="992" w:type="dxa"/>
          </w:tcPr>
          <w:p>
            <w:pPr>
              <w:rPr>
                <w:noProof/>
                <w:sz w:val="18"/>
                <w:szCs w:val="18"/>
              </w:rPr>
            </w:pPr>
            <w:r>
              <w:rPr>
                <w:noProof/>
                <w:sz w:val="18"/>
              </w:rPr>
              <w:t>23,107 EUR</w:t>
            </w:r>
          </w:p>
        </w:tc>
        <w:tc>
          <w:tcPr>
            <w:tcW w:w="992" w:type="dxa"/>
          </w:tcPr>
          <w:p>
            <w:pPr>
              <w:rPr>
                <w:noProof/>
                <w:sz w:val="18"/>
                <w:szCs w:val="18"/>
              </w:rPr>
            </w:pPr>
            <w:r>
              <w:rPr>
                <w:noProof/>
                <w:sz w:val="18"/>
              </w:rPr>
              <w:t>23,148 EUR</w:t>
            </w:r>
          </w:p>
        </w:tc>
        <w:tc>
          <w:tcPr>
            <w:tcW w:w="992" w:type="dxa"/>
          </w:tcPr>
          <w:p>
            <w:pPr>
              <w:rPr>
                <w:noProof/>
                <w:sz w:val="18"/>
                <w:szCs w:val="18"/>
              </w:rPr>
            </w:pPr>
            <w:r>
              <w:rPr>
                <w:noProof/>
                <w:sz w:val="18"/>
              </w:rPr>
              <w:t>23,276 EUR</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87,201 EUR</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969" w:type="dxa"/>
          </w:tcPr>
          <w:p>
            <w:pPr>
              <w:rPr>
                <w:noProof/>
                <w:sz w:val="18"/>
                <w:szCs w:val="18"/>
              </w:rPr>
            </w:pPr>
            <w:r>
              <w:rPr>
                <w:noProof/>
                <w:sz w:val="18"/>
              </w:rPr>
              <w:t>11,050 EUR</w:t>
            </w:r>
          </w:p>
        </w:tc>
        <w:tc>
          <w:tcPr>
            <w:tcW w:w="992" w:type="dxa"/>
          </w:tcPr>
          <w:p>
            <w:pPr>
              <w:rPr>
                <w:noProof/>
                <w:sz w:val="18"/>
                <w:szCs w:val="18"/>
              </w:rPr>
            </w:pPr>
            <w:r>
              <w:rPr>
                <w:noProof/>
                <w:sz w:val="18"/>
              </w:rPr>
              <w:t>21,126 EUR</w:t>
            </w:r>
          </w:p>
        </w:tc>
        <w:tc>
          <w:tcPr>
            <w:tcW w:w="992" w:type="dxa"/>
          </w:tcPr>
          <w:p>
            <w:pPr>
              <w:rPr>
                <w:noProof/>
                <w:sz w:val="18"/>
                <w:szCs w:val="18"/>
              </w:rPr>
            </w:pPr>
            <w:r>
              <w:rPr>
                <w:noProof/>
                <w:sz w:val="18"/>
              </w:rPr>
              <w:t>23,117 EUR</w:t>
            </w:r>
          </w:p>
        </w:tc>
        <w:tc>
          <w:tcPr>
            <w:tcW w:w="992" w:type="dxa"/>
          </w:tcPr>
          <w:p>
            <w:pPr>
              <w:rPr>
                <w:noProof/>
                <w:sz w:val="18"/>
                <w:szCs w:val="18"/>
              </w:rPr>
            </w:pPr>
            <w:r>
              <w:rPr>
                <w:noProof/>
                <w:sz w:val="18"/>
              </w:rPr>
              <w:t>23,236 EUR</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78,530 EUR</w:t>
            </w: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Odhadovaný vplyv na operačné rozpočtové prostriedky </w:t>
      </w:r>
    </w:p>
    <w:p>
      <w:pPr>
        <w:pStyle w:val="ListDash1"/>
        <w:rPr>
          <w:noProof/>
        </w:rPr>
      </w:pPr>
      <w:r>
        <w:rPr>
          <w:noProof/>
        </w:rPr>
        <w:sym w:font="Wingdings" w:char="F0A8"/>
      </w:r>
      <w:r>
        <w:rPr>
          <w:noProof/>
        </w:rPr>
        <w:tab/>
        <w:t xml:space="preserve">Návrh/iniciatíva si nevyžaduje použitie operačných rozpočtových prostriedkov. </w:t>
      </w:r>
    </w:p>
    <w:p>
      <w:pPr>
        <w:pStyle w:val="ListDash1"/>
        <w:rPr>
          <w:noProof/>
        </w:rPr>
      </w:pPr>
      <w:r>
        <w:rPr>
          <w:noProof/>
        </w:rPr>
        <w:t xml:space="preserve"> </w:t>
      </w:r>
      <w:r>
        <w:rPr>
          <w:noProof/>
        </w:rPr>
        <w:sym w:font="Wingdings" w:char="F07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912" w:type="dxa"/>
        <w:tblInd w:w="534" w:type="dxa"/>
        <w:tblLook w:val="04A0" w:firstRow="1" w:lastRow="0" w:firstColumn="1" w:lastColumn="0" w:noHBand="0" w:noVBand="1"/>
      </w:tblPr>
      <w:tblGrid>
        <w:gridCol w:w="3089"/>
        <w:gridCol w:w="586"/>
        <w:gridCol w:w="1002"/>
        <w:gridCol w:w="763"/>
        <w:gridCol w:w="938"/>
        <w:gridCol w:w="709"/>
        <w:gridCol w:w="1134"/>
        <w:gridCol w:w="759"/>
        <w:gridCol w:w="1467"/>
        <w:gridCol w:w="598"/>
        <w:gridCol w:w="1042"/>
        <w:gridCol w:w="724"/>
        <w:gridCol w:w="1101"/>
      </w:tblGrid>
      <w:tr>
        <w:trPr>
          <w:trHeight w:val="315"/>
        </w:trPr>
        <w:tc>
          <w:tcPr>
            <w:tcW w:w="3089" w:type="dxa"/>
            <w:tcBorders>
              <w:top w:val="nil"/>
              <w:left w:val="nil"/>
              <w:bottom w:val="single" w:sz="8" w:space="0" w:color="auto"/>
              <w:right w:val="nil"/>
            </w:tcBorders>
            <w:shd w:val="clear" w:color="auto" w:fill="auto"/>
            <w:noWrap/>
            <w:vAlign w:val="bottom"/>
          </w:tcPr>
          <w:p>
            <w:pPr>
              <w:spacing w:before="0" w:after="0"/>
              <w:jc w:val="left"/>
              <w:rPr>
                <w:noProof/>
                <w:color w:val="000000"/>
                <w:sz w:val="18"/>
                <w:szCs w:val="18"/>
              </w:rPr>
            </w:pPr>
            <w:r>
              <w:rPr>
                <w:noProof/>
                <w:color w:val="000000"/>
                <w:sz w:val="18"/>
              </w:rPr>
              <w:t> </w:t>
            </w:r>
          </w:p>
        </w:tc>
        <w:tc>
          <w:tcPr>
            <w:tcW w:w="586" w:type="dxa"/>
            <w:tcBorders>
              <w:top w:val="nil"/>
              <w:left w:val="nil"/>
              <w:bottom w:val="single" w:sz="8" w:space="0" w:color="auto"/>
              <w:right w:val="nil"/>
            </w:tcBorders>
          </w:tcPr>
          <w:p>
            <w:pPr>
              <w:spacing w:before="0" w:after="0"/>
              <w:jc w:val="left"/>
              <w:rPr>
                <w:noProof/>
                <w:color w:val="000000"/>
                <w:sz w:val="18"/>
                <w:szCs w:val="18"/>
              </w:rPr>
            </w:pPr>
          </w:p>
        </w:tc>
        <w:tc>
          <w:tcPr>
            <w:tcW w:w="1002" w:type="dxa"/>
            <w:tcBorders>
              <w:top w:val="nil"/>
              <w:left w:val="nil"/>
              <w:bottom w:val="single" w:sz="8" w:space="0" w:color="auto"/>
              <w:right w:val="single" w:sz="8" w:space="0" w:color="auto"/>
            </w:tcBorders>
            <w:shd w:val="clear" w:color="auto" w:fill="auto"/>
            <w:noWrap/>
            <w:vAlign w:val="bottom"/>
          </w:tcPr>
          <w:p>
            <w:pPr>
              <w:spacing w:before="0" w:after="0"/>
              <w:jc w:val="left"/>
              <w:rPr>
                <w:noProof/>
                <w:color w:val="000000"/>
                <w:sz w:val="18"/>
                <w:szCs w:val="18"/>
              </w:rPr>
            </w:pPr>
            <w:r>
              <w:rPr>
                <w:noProof/>
                <w:color w:val="000000"/>
                <w:sz w:val="18"/>
              </w:rPr>
              <w:t> </w:t>
            </w:r>
          </w:p>
        </w:tc>
        <w:tc>
          <w:tcPr>
            <w:tcW w:w="1701"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2017</w:t>
            </w:r>
          </w:p>
        </w:tc>
        <w:tc>
          <w:tcPr>
            <w:tcW w:w="1843"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2018</w:t>
            </w:r>
          </w:p>
        </w:tc>
        <w:tc>
          <w:tcPr>
            <w:tcW w:w="2226"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2019</w:t>
            </w:r>
          </w:p>
        </w:tc>
        <w:tc>
          <w:tcPr>
            <w:tcW w:w="1640" w:type="dxa"/>
            <w:gridSpan w:val="2"/>
            <w:tcBorders>
              <w:top w:val="single" w:sz="8" w:space="0" w:color="auto"/>
              <w:left w:val="nil"/>
              <w:bottom w:val="single" w:sz="4" w:space="0" w:color="auto"/>
              <w:right w:val="nil"/>
            </w:tcBorders>
            <w:shd w:val="clear" w:color="auto" w:fill="auto"/>
            <w:noWrap/>
            <w:vAlign w:val="center"/>
          </w:tcPr>
          <w:p>
            <w:pPr>
              <w:spacing w:before="0" w:after="0"/>
              <w:jc w:val="center"/>
              <w:rPr>
                <w:b/>
                <w:bCs/>
                <w:noProof/>
                <w:color w:val="000000"/>
                <w:sz w:val="18"/>
                <w:szCs w:val="18"/>
              </w:rPr>
            </w:pPr>
            <w:r>
              <w:rPr>
                <w:b/>
                <w:noProof/>
                <w:color w:val="000000"/>
                <w:sz w:val="18"/>
              </w:rPr>
              <w:t>2020</w:t>
            </w:r>
          </w:p>
        </w:tc>
        <w:tc>
          <w:tcPr>
            <w:tcW w:w="182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b/>
                <w:bCs/>
                <w:noProof/>
                <w:color w:val="000000"/>
                <w:sz w:val="18"/>
                <w:szCs w:val="18"/>
              </w:rPr>
            </w:pPr>
            <w:r>
              <w:rPr>
                <w:b/>
                <w:noProof/>
                <w:color w:val="000000"/>
                <w:sz w:val="18"/>
              </w:rPr>
              <w:t>Spolu</w:t>
            </w:r>
          </w:p>
        </w:tc>
      </w:tr>
      <w:tr>
        <w:trPr>
          <w:cantSplit/>
          <w:trHeight w:val="369"/>
        </w:trPr>
        <w:tc>
          <w:tcPr>
            <w:tcW w:w="3089" w:type="dxa"/>
            <w:vMerge w:val="restart"/>
            <w:tcBorders>
              <w:top w:val="nil"/>
              <w:left w:val="single" w:sz="8" w:space="0" w:color="auto"/>
              <w:right w:val="single" w:sz="8" w:space="0" w:color="auto"/>
            </w:tcBorders>
            <w:shd w:val="clear" w:color="auto" w:fill="auto"/>
            <w:vAlign w:val="center"/>
          </w:tcPr>
          <w:p>
            <w:pPr>
              <w:ind w:right="-29"/>
              <w:jc w:val="center"/>
              <w:rPr>
                <w:b/>
                <w:noProof/>
                <w:sz w:val="18"/>
              </w:rPr>
            </w:pPr>
            <w:r>
              <w:rPr>
                <w:b/>
                <w:noProof/>
                <w:sz w:val="18"/>
              </w:rPr>
              <w:t xml:space="preserve">Uveďte ciele a výstupy </w:t>
            </w:r>
          </w:p>
          <w:p>
            <w:pPr>
              <w:ind w:right="-29"/>
              <w:jc w:val="center"/>
              <w:rPr>
                <w:b/>
                <w:noProof/>
                <w:sz w:val="18"/>
              </w:rPr>
            </w:pPr>
          </w:p>
          <w:p>
            <w:pPr>
              <w:spacing w:before="0" w:after="0"/>
              <w:jc w:val="center"/>
              <w:rPr>
                <w:b/>
                <w:noProof/>
                <w:sz w:val="18"/>
              </w:rPr>
            </w:pPr>
            <w:r>
              <w:rPr>
                <w:noProof/>
                <w:sz w:val="18"/>
              </w:rPr>
              <w:sym w:font="Wingdings" w:char="F0F2"/>
            </w:r>
          </w:p>
        </w:tc>
        <w:tc>
          <w:tcPr>
            <w:tcW w:w="10823" w:type="dxa"/>
            <w:gridSpan w:val="12"/>
            <w:tcBorders>
              <w:top w:val="single" w:sz="8" w:space="0" w:color="auto"/>
              <w:left w:val="nil"/>
              <w:bottom w:val="single" w:sz="8" w:space="0" w:color="auto"/>
              <w:right w:val="single" w:sz="8" w:space="0" w:color="auto"/>
            </w:tcBorders>
            <w:vAlign w:val="center"/>
          </w:tcPr>
          <w:p>
            <w:pPr>
              <w:spacing w:before="0" w:after="0"/>
              <w:jc w:val="center"/>
              <w:rPr>
                <w:b/>
                <w:bCs/>
                <w:noProof/>
                <w:color w:val="000000"/>
                <w:sz w:val="18"/>
                <w:szCs w:val="18"/>
              </w:rPr>
            </w:pPr>
            <w:r>
              <w:rPr>
                <w:b/>
                <w:noProof/>
                <w:color w:val="000000"/>
                <w:sz w:val="18"/>
              </w:rPr>
              <w:t>VÝSTUPY</w:t>
            </w:r>
          </w:p>
        </w:tc>
      </w:tr>
      <w:tr>
        <w:trPr>
          <w:cantSplit/>
          <w:trHeight w:val="559"/>
        </w:trPr>
        <w:tc>
          <w:tcPr>
            <w:tcW w:w="3089" w:type="dxa"/>
            <w:vMerge/>
            <w:tcBorders>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p>
        </w:tc>
        <w:tc>
          <w:tcPr>
            <w:tcW w:w="586" w:type="dxa"/>
            <w:tcBorders>
              <w:top w:val="single" w:sz="8" w:space="0" w:color="auto"/>
              <w:left w:val="single" w:sz="8" w:space="0" w:color="auto"/>
              <w:bottom w:val="single" w:sz="8" w:space="0" w:color="auto"/>
              <w:right w:val="single" w:sz="8" w:space="0" w:color="auto"/>
            </w:tcBorders>
            <w:vAlign w:val="center"/>
          </w:tcPr>
          <w:p>
            <w:pPr>
              <w:spacing w:before="0" w:after="0"/>
              <w:jc w:val="center"/>
              <w:rPr>
                <w:bCs/>
                <w:noProof/>
                <w:color w:val="000000"/>
                <w:sz w:val="18"/>
                <w:szCs w:val="18"/>
              </w:rPr>
            </w:pPr>
            <w:r>
              <w:rPr>
                <w:noProof/>
                <w:color w:val="000000"/>
                <w:sz w:val="18"/>
              </w:rPr>
              <w:t>Druh</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r>
              <w:rPr>
                <w:noProof/>
                <w:color w:val="000000"/>
                <w:sz w:val="18"/>
              </w:rPr>
              <w:t>Priemerné náklady</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Č.</w:t>
            </w:r>
          </w:p>
        </w:tc>
        <w:tc>
          <w:tcPr>
            <w:tcW w:w="938"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Náklady</w:t>
            </w:r>
          </w:p>
        </w:tc>
        <w:tc>
          <w:tcPr>
            <w:tcW w:w="70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Č.</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Náklady</w:t>
            </w:r>
          </w:p>
        </w:tc>
        <w:tc>
          <w:tcPr>
            <w:tcW w:w="75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Č.</w:t>
            </w:r>
          </w:p>
        </w:tc>
        <w:tc>
          <w:tcPr>
            <w:tcW w:w="1467"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Náklady</w:t>
            </w:r>
          </w:p>
        </w:tc>
        <w:tc>
          <w:tcPr>
            <w:tcW w:w="598"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Č.</w:t>
            </w:r>
          </w:p>
        </w:tc>
        <w:tc>
          <w:tcPr>
            <w:tcW w:w="1042"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Náklady</w:t>
            </w:r>
          </w:p>
        </w:tc>
        <w:tc>
          <w:tcPr>
            <w:tcW w:w="7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bCs/>
                <w:noProof/>
                <w:color w:val="000000"/>
                <w:sz w:val="18"/>
                <w:szCs w:val="18"/>
              </w:rPr>
            </w:pPr>
            <w:r>
              <w:rPr>
                <w:noProof/>
                <w:color w:val="000000"/>
                <w:sz w:val="18"/>
              </w:rPr>
              <w:t>N</w:t>
            </w:r>
          </w:p>
        </w:tc>
        <w:tc>
          <w:tcPr>
            <w:tcW w:w="1101" w:type="dxa"/>
            <w:tcBorders>
              <w:top w:val="single" w:sz="8" w:space="0" w:color="auto"/>
              <w:left w:val="single" w:sz="8" w:space="0" w:color="auto"/>
              <w:bottom w:val="single" w:sz="8" w:space="0" w:color="auto"/>
              <w:right w:val="single" w:sz="8" w:space="0" w:color="auto"/>
            </w:tcBorders>
            <w:shd w:val="clear" w:color="000000" w:fill="D9D9D9"/>
            <w:vAlign w:val="center"/>
          </w:tcPr>
          <w:p>
            <w:pPr>
              <w:spacing w:before="0" w:after="0"/>
              <w:jc w:val="center"/>
              <w:rPr>
                <w:bCs/>
                <w:noProof/>
                <w:color w:val="000000"/>
                <w:sz w:val="18"/>
                <w:szCs w:val="18"/>
              </w:rPr>
            </w:pPr>
            <w:r>
              <w:rPr>
                <w:noProof/>
                <w:color w:val="000000"/>
                <w:sz w:val="18"/>
              </w:rPr>
              <w:t>Náklady</w:t>
            </w:r>
          </w:p>
        </w:tc>
      </w:tr>
      <w:tr>
        <w:trPr>
          <w:cantSplit/>
          <w:trHeight w:val="496"/>
        </w:trPr>
        <w:tc>
          <w:tcPr>
            <w:tcW w:w="3089"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Osobitný cieľ 1 (článok 1a): </w:t>
            </w:r>
            <w:r>
              <w:rPr>
                <w:b/>
                <w:bCs/>
                <w:noProof/>
                <w:color w:val="000000"/>
                <w:sz w:val="18"/>
                <w:szCs w:val="18"/>
              </w:rPr>
              <w:br/>
            </w:r>
            <w:r>
              <w:rPr>
                <w:b/>
                <w:noProof/>
                <w:color w:val="000000"/>
                <w:sz w:val="18"/>
              </w:rPr>
              <w:t>Analýza, syntéza a výmena údajov</w:t>
            </w:r>
          </w:p>
        </w:tc>
        <w:tc>
          <w:tcPr>
            <w:tcW w:w="586" w:type="dxa"/>
            <w:tcBorders>
              <w:top w:val="single" w:sz="8" w:space="0" w:color="auto"/>
              <w:left w:val="single" w:sz="8" w:space="0" w:color="auto"/>
              <w:bottom w:val="single" w:sz="8" w:space="0" w:color="auto"/>
              <w:right w:val="single" w:sz="8" w:space="0" w:color="auto"/>
            </w:tcBorders>
          </w:tcPr>
          <w:p>
            <w:pPr>
              <w:spacing w:before="0" w:after="0"/>
              <w:jc w:val="center"/>
              <w:rPr>
                <w:bCs/>
                <w:noProof/>
                <w:color w:val="000000"/>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bottom"/>
          </w:tcPr>
          <w:p>
            <w:pPr>
              <w:spacing w:before="0" w:after="0"/>
              <w:jc w:val="center"/>
              <w:rPr>
                <w:bCs/>
                <w:noProof/>
                <w:color w:val="000000"/>
                <w:sz w:val="18"/>
                <w:szCs w:val="18"/>
              </w:rPr>
            </w:pPr>
          </w:p>
        </w:tc>
        <w:tc>
          <w:tcPr>
            <w:tcW w:w="763"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467"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598"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24"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bCs/>
                <w:noProof/>
                <w:color w:val="000000"/>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p>
        </w:tc>
      </w:tr>
      <w:tr>
        <w:trPr>
          <w:trHeight w:val="255"/>
        </w:trPr>
        <w:tc>
          <w:tcPr>
            <w:tcW w:w="308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služby v oblasti analýzy, syntézy a výmeny údajov</w:t>
            </w:r>
          </w:p>
        </w:tc>
        <w:tc>
          <w:tcPr>
            <w:tcW w:w="586" w:type="dxa"/>
            <w:tcBorders>
              <w:top w:val="single" w:sz="8" w:space="0" w:color="auto"/>
              <w:left w:val="single" w:sz="8" w:space="0" w:color="auto"/>
              <w:bottom w:val="single" w:sz="8"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0,800 EUR</w:t>
            </w:r>
          </w:p>
        </w:tc>
        <w:tc>
          <w:tcPr>
            <w:tcW w:w="70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75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59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72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tcPr>
          <w:p>
            <w:pPr>
              <w:rPr>
                <w:noProof/>
                <w:sz w:val="18"/>
                <w:szCs w:val="18"/>
              </w:rPr>
            </w:pPr>
            <w:r>
              <w:rPr>
                <w:noProof/>
                <w:sz w:val="18"/>
              </w:rPr>
              <w:t>2,000 EUR</w:t>
            </w:r>
          </w:p>
        </w:tc>
      </w:tr>
      <w:tr>
        <w:trPr>
          <w:trHeight w:val="270"/>
        </w:trPr>
        <w:tc>
          <w:tcPr>
            <w:tcW w:w="3089" w:type="dxa"/>
            <w:tcBorders>
              <w:top w:val="single" w:sz="8"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Osobitný cieľ č. 1 medzisúčet</w:t>
            </w:r>
          </w:p>
        </w:tc>
        <w:tc>
          <w:tcPr>
            <w:tcW w:w="586" w:type="dxa"/>
            <w:tcBorders>
              <w:top w:val="single" w:sz="8" w:space="0" w:color="auto"/>
              <w:left w:val="single" w:sz="8" w:space="0" w:color="auto"/>
              <w:bottom w:val="single" w:sz="12"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0,800 EUR</w:t>
            </w:r>
          </w:p>
        </w:tc>
        <w:tc>
          <w:tcPr>
            <w:tcW w:w="70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75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59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72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12" w:space="0" w:color="auto"/>
              <w:right w:val="single" w:sz="8" w:space="0" w:color="auto"/>
            </w:tcBorders>
            <w:shd w:val="clear" w:color="auto" w:fill="auto"/>
          </w:tcPr>
          <w:p>
            <w:pPr>
              <w:rPr>
                <w:noProof/>
                <w:sz w:val="18"/>
                <w:szCs w:val="18"/>
              </w:rPr>
            </w:pPr>
            <w:r>
              <w:rPr>
                <w:noProof/>
                <w:sz w:val="18"/>
              </w:rPr>
              <w:t>2,000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Osobitný cieľ 2 (článok 1b): </w:t>
            </w:r>
            <w:r>
              <w:rPr>
                <w:b/>
                <w:bCs/>
                <w:noProof/>
                <w:color w:val="000000"/>
                <w:sz w:val="18"/>
                <w:szCs w:val="18"/>
              </w:rPr>
              <w:br/>
            </w:r>
            <w:r>
              <w:rPr>
                <w:b/>
                <w:noProof/>
                <w:color w:val="000000"/>
                <w:sz w:val="18"/>
              </w:rPr>
              <w:t>Operácie RPAS</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Vybavenie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0,263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0,150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1,050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Premiestnenie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Prevádzka</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16,463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4250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12,750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21950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65,850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Služobné cesty</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15</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105</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0,210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Osobitný cieľ č. 2 medzisúčet</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12,980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67,310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Osobitný cieľ 3 (článok 1b): </w:t>
            </w:r>
            <w:r>
              <w:rPr>
                <w:b/>
                <w:bCs/>
                <w:noProof/>
                <w:color w:val="000000"/>
                <w:sz w:val="18"/>
                <w:szCs w:val="18"/>
              </w:rPr>
              <w:br/>
            </w:r>
            <w:r>
              <w:rPr>
                <w:b/>
                <w:noProof/>
                <w:color w:val="000000"/>
                <w:sz w:val="18"/>
              </w:rPr>
              <w:t>Satelitná komunikácia</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Údaje a služby satelitnej komunikácie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2,000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Služobné cesty</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Osobitný cieľ č. 3 medzisúčet</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2,055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Osobitný cieľ 4 (článok 1b): </w:t>
            </w:r>
            <w:r>
              <w:rPr>
                <w:b/>
                <w:bCs/>
                <w:noProof/>
                <w:color w:val="000000"/>
                <w:sz w:val="18"/>
                <w:szCs w:val="18"/>
              </w:rPr>
              <w:br/>
            </w:r>
            <w:r>
              <w:rPr>
                <w:b/>
                <w:noProof/>
                <w:color w:val="000000"/>
                <w:sz w:val="18"/>
              </w:rPr>
              <w:t>Satelitné AIS</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Poskytovanie globálnych satelitných služieb AIS</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8,000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Služobné cesty</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Osobitný cieľ č. 4 medzisúčet</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8,055 EUR</w:t>
            </w:r>
          </w:p>
        </w:tc>
      </w:tr>
      <w:tr>
        <w:trPr>
          <w:trHeight w:val="765"/>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Osobitný cieľ 5 (článok 1c): </w:t>
            </w:r>
            <w:r>
              <w:rPr>
                <w:b/>
                <w:bCs/>
                <w:noProof/>
                <w:color w:val="000000"/>
                <w:sz w:val="18"/>
                <w:szCs w:val="18"/>
              </w:rPr>
              <w:br/>
            </w:r>
            <w:r>
              <w:rPr>
                <w:b/>
                <w:noProof/>
                <w:color w:val="000000"/>
                <w:sz w:val="18"/>
              </w:rPr>
              <w:t>Budovanie kapacít</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odborná príprava, elektronické učenie sa a budovanie kapacít</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0,230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0,422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0,498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0,598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1,748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Služobné cesty</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0,035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0,020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70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0,140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Osobitný cieľ č. 5 medzisúčet</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0,250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0,462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0,538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0,638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1,888 EUR</w:t>
            </w:r>
          </w:p>
        </w:tc>
      </w:tr>
      <w:tr>
        <w:trPr>
          <w:trHeight w:val="315"/>
        </w:trPr>
        <w:tc>
          <w:tcPr>
            <w:tcW w:w="3089" w:type="dxa"/>
            <w:tcBorders>
              <w:top w:val="single" w:sz="12" w:space="0" w:color="auto"/>
              <w:left w:val="single" w:sz="12" w:space="0" w:color="auto"/>
              <w:bottom w:val="single" w:sz="12" w:space="0" w:color="auto"/>
              <w:right w:val="single" w:sz="6" w:space="0" w:color="auto"/>
            </w:tcBorders>
            <w:shd w:val="clear" w:color="auto" w:fill="auto"/>
            <w:noWrap/>
            <w:vAlign w:val="center"/>
          </w:tcPr>
          <w:p>
            <w:pPr>
              <w:spacing w:before="0" w:after="0"/>
              <w:jc w:val="center"/>
              <w:rPr>
                <w:b/>
                <w:bCs/>
                <w:noProof/>
                <w:color w:val="000000"/>
                <w:sz w:val="18"/>
                <w:szCs w:val="18"/>
              </w:rPr>
            </w:pPr>
            <w:r>
              <w:rPr>
                <w:b/>
                <w:noProof/>
                <w:color w:val="000000"/>
                <w:sz w:val="18"/>
              </w:rPr>
              <w:t>SPOLU</w:t>
            </w:r>
          </w:p>
        </w:tc>
        <w:tc>
          <w:tcPr>
            <w:tcW w:w="586" w:type="dxa"/>
            <w:tcBorders>
              <w:top w:val="single" w:sz="12" w:space="0" w:color="auto"/>
              <w:left w:val="single" w:sz="6" w:space="0" w:color="auto"/>
              <w:bottom w:val="single" w:sz="12" w:space="0" w:color="auto"/>
              <w:right w:val="single" w:sz="6" w:space="0" w:color="auto"/>
            </w:tcBorders>
            <w:vAlign w:val="center"/>
          </w:tcPr>
          <w:p>
            <w:pPr>
              <w:jc w:val="center"/>
              <w:rPr>
                <w:b/>
                <w:noProof/>
                <w:sz w:val="18"/>
                <w:szCs w:val="18"/>
              </w:rPr>
            </w:pPr>
          </w:p>
        </w:tc>
        <w:tc>
          <w:tcPr>
            <w:tcW w:w="100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763"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93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16,550 EUR</w:t>
            </w:r>
          </w:p>
        </w:tc>
        <w:tc>
          <w:tcPr>
            <w:tcW w:w="70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21,502 EUR</w:t>
            </w:r>
          </w:p>
        </w:tc>
        <w:tc>
          <w:tcPr>
            <w:tcW w:w="75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467"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21,578 EUR</w:t>
            </w:r>
          </w:p>
        </w:tc>
        <w:tc>
          <w:tcPr>
            <w:tcW w:w="59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0</w:t>
            </w:r>
          </w:p>
        </w:tc>
        <w:tc>
          <w:tcPr>
            <w:tcW w:w="104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21,678 EUR</w:t>
            </w:r>
          </w:p>
        </w:tc>
        <w:tc>
          <w:tcPr>
            <w:tcW w:w="72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p>
        </w:tc>
        <w:tc>
          <w:tcPr>
            <w:tcW w:w="1101" w:type="dxa"/>
            <w:tcBorders>
              <w:top w:val="single" w:sz="12" w:space="0" w:color="auto"/>
              <w:left w:val="single" w:sz="6" w:space="0" w:color="auto"/>
              <w:bottom w:val="single" w:sz="12" w:space="0" w:color="auto"/>
              <w:right w:val="single" w:sz="12" w:space="0" w:color="auto"/>
            </w:tcBorders>
            <w:shd w:val="clear" w:color="auto" w:fill="auto"/>
            <w:vAlign w:val="center"/>
          </w:tcPr>
          <w:p>
            <w:pPr>
              <w:jc w:val="center"/>
              <w:rPr>
                <w:b/>
                <w:noProof/>
                <w:sz w:val="18"/>
                <w:szCs w:val="18"/>
              </w:rPr>
            </w:pPr>
            <w:r>
              <w:rPr>
                <w:b/>
                <w:noProof/>
                <w:sz w:val="18"/>
              </w:rPr>
              <w:t>81,308 EUR</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 xml:space="preserve">Zhrnutie </w:t>
      </w:r>
    </w:p>
    <w:p>
      <w:pPr>
        <w:pStyle w:val="ListDash1"/>
        <w:rPr>
          <w:noProof/>
        </w:rPr>
      </w:pPr>
      <w:r>
        <w:rPr>
          <w:noProof/>
        </w:rPr>
        <w:sym w:font="Wingdings" w:char="F0A8"/>
      </w:r>
      <w:r>
        <w:rPr>
          <w:noProof/>
        </w:rPr>
        <w:tab/>
        <w:t xml:space="preserve">Návrh/iniciatíva si nevyžaduje použitie administratívnych rozpočtových prostriedkov </w:t>
      </w:r>
    </w:p>
    <w:p>
      <w:pPr>
        <w:pStyle w:val="ListDash1"/>
        <w:rPr>
          <w:noProof/>
        </w:rPr>
      </w:pPr>
      <w:r>
        <w:rPr>
          <w:noProof/>
        </w:rPr>
        <w:sym w:font="Wingdings" w:char="F07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7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ind w:left="142" w:hanging="142"/>
              <w:rPr>
                <w:noProof/>
                <w:sz w:val="20"/>
              </w:rPr>
            </w:pPr>
          </w:p>
        </w:tc>
        <w:tc>
          <w:tcPr>
            <w:tcW w:w="1080" w:type="dxa"/>
            <w:vAlign w:val="center"/>
          </w:tcPr>
          <w:p>
            <w:pPr>
              <w:spacing w:before="60" w:after="60"/>
              <w:ind w:left="142" w:hanging="142"/>
              <w:jc w:val="center"/>
              <w:rPr>
                <w:b/>
                <w:noProof/>
                <w:sz w:val="20"/>
              </w:rPr>
            </w:pPr>
            <w:r>
              <w:rPr>
                <w:b/>
                <w:noProof/>
                <w:sz w:val="20"/>
              </w:rPr>
              <w:t>2017*</w:t>
            </w:r>
          </w:p>
        </w:tc>
        <w:tc>
          <w:tcPr>
            <w:tcW w:w="1080" w:type="dxa"/>
            <w:vAlign w:val="center"/>
          </w:tcPr>
          <w:p>
            <w:pPr>
              <w:spacing w:before="60" w:after="60"/>
              <w:ind w:left="142" w:hanging="142"/>
              <w:jc w:val="center"/>
              <w:rPr>
                <w:b/>
                <w:noProof/>
                <w:sz w:val="20"/>
              </w:rPr>
            </w:pPr>
            <w:r>
              <w:rPr>
                <w:b/>
                <w:noProof/>
                <w:sz w:val="20"/>
              </w:rPr>
              <w:t>2018</w:t>
            </w:r>
          </w:p>
        </w:tc>
        <w:tc>
          <w:tcPr>
            <w:tcW w:w="1080" w:type="dxa"/>
            <w:vAlign w:val="center"/>
          </w:tcPr>
          <w:p>
            <w:pPr>
              <w:spacing w:before="60" w:after="60"/>
              <w:ind w:left="142" w:hanging="142"/>
              <w:jc w:val="center"/>
              <w:rPr>
                <w:b/>
                <w:noProof/>
                <w:sz w:val="20"/>
              </w:rPr>
            </w:pPr>
            <w:r>
              <w:rPr>
                <w:b/>
                <w:noProof/>
                <w:sz w:val="20"/>
              </w:rPr>
              <w:t>2019</w:t>
            </w:r>
          </w:p>
        </w:tc>
        <w:tc>
          <w:tcPr>
            <w:tcW w:w="1080" w:type="dxa"/>
            <w:vAlign w:val="center"/>
          </w:tcPr>
          <w:p>
            <w:pPr>
              <w:spacing w:before="60" w:after="60"/>
              <w:ind w:left="142" w:hanging="142"/>
              <w:jc w:val="center"/>
              <w:rPr>
                <w:b/>
                <w:noProof/>
                <w:sz w:val="20"/>
              </w:rPr>
            </w:pPr>
            <w:r>
              <w:rPr>
                <w:b/>
                <w:noProof/>
                <w:sz w:val="20"/>
              </w:rPr>
              <w:t>2020</w:t>
            </w:r>
          </w:p>
        </w:tc>
        <w:tc>
          <w:tcPr>
            <w:tcW w:w="1080" w:type="dxa"/>
            <w:vAlign w:val="center"/>
          </w:tcPr>
          <w:p>
            <w:pPr>
              <w:spacing w:before="60" w:after="60"/>
              <w:ind w:left="142" w:hanging="142"/>
              <w:jc w:val="center"/>
              <w:rPr>
                <w:b/>
                <w:noProof/>
                <w:sz w:val="20"/>
              </w:rPr>
            </w:pPr>
            <w:r>
              <w:rPr>
                <w:b/>
                <w:noProof/>
                <w:sz w:val="20"/>
              </w:rPr>
              <w:t>SPOLU</w:t>
            </w:r>
          </w:p>
        </w:tc>
      </w:tr>
    </w:tbl>
    <w:p>
      <w:pPr>
        <w:ind w:left="142" w:hanging="142"/>
        <w:rPr>
          <w:noProof/>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BFBFBF"/>
            <w:vAlign w:val="center"/>
          </w:tcPr>
          <w:p>
            <w:pPr>
              <w:spacing w:before="60" w:after="60"/>
              <w:jc w:val="center"/>
              <w:rPr>
                <w:b/>
                <w:noProof/>
                <w:sz w:val="20"/>
                <w:szCs w:val="20"/>
              </w:rPr>
            </w:pPr>
            <w:r>
              <w:rPr>
                <w:b/>
                <w:noProof/>
                <w:sz w:val="20"/>
              </w:rPr>
              <w:t>Dočasní zamestnanci 2F (pracovné miesta AD)</w:t>
            </w:r>
          </w:p>
        </w:tc>
        <w:tc>
          <w:tcPr>
            <w:tcW w:w="1080" w:type="dxa"/>
            <w:shd w:val="clear" w:color="auto" w:fill="BFBFBF"/>
            <w:vAlign w:val="center"/>
          </w:tcPr>
          <w:p>
            <w:pPr>
              <w:spacing w:before="60" w:after="60"/>
              <w:ind w:left="142" w:hanging="142"/>
              <w:jc w:val="right"/>
              <w:rPr>
                <w:noProof/>
                <w:sz w:val="20"/>
                <w:szCs w:val="20"/>
              </w:rPr>
            </w:pPr>
            <w:r>
              <w:rPr>
                <w:noProof/>
                <w:sz w:val="20"/>
              </w:rPr>
              <w:t>13</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r>
      <w:tr>
        <w:trPr>
          <w:trHeight w:val="585"/>
        </w:trPr>
        <w:tc>
          <w:tcPr>
            <w:tcW w:w="1980" w:type="dxa"/>
            <w:shd w:val="clear" w:color="auto" w:fill="BFBFBF"/>
            <w:vAlign w:val="center"/>
          </w:tcPr>
          <w:p>
            <w:pPr>
              <w:spacing w:before="60" w:after="60"/>
              <w:ind w:left="142" w:hanging="142"/>
              <w:jc w:val="center"/>
              <w:rPr>
                <w:b/>
                <w:noProof/>
                <w:sz w:val="20"/>
                <w:szCs w:val="20"/>
              </w:rPr>
            </w:pPr>
            <w:r>
              <w:rPr>
                <w:b/>
                <w:noProof/>
                <w:sz w:val="20"/>
              </w:rPr>
              <w:t>Dočasní zamestnanci 2F (pracovné miesta AST)</w:t>
            </w:r>
          </w:p>
        </w:tc>
        <w:tc>
          <w:tcPr>
            <w:tcW w:w="1080" w:type="dxa"/>
            <w:shd w:val="clear" w:color="auto" w:fill="BFBFBF"/>
            <w:vAlign w:val="center"/>
          </w:tcPr>
          <w:p>
            <w:pPr>
              <w:spacing w:before="60" w:after="60"/>
              <w:ind w:left="142" w:hanging="142"/>
              <w:jc w:val="right"/>
              <w:rPr>
                <w:noProof/>
                <w:sz w:val="20"/>
                <w:szCs w:val="20"/>
              </w:rPr>
            </w:pPr>
            <w:r>
              <w:rPr>
                <w:noProof/>
                <w:sz w:val="20"/>
              </w:rPr>
              <w:t>1</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r>
      <w:tr>
        <w:trPr>
          <w:trHeight w:val="585"/>
        </w:trPr>
        <w:tc>
          <w:tcPr>
            <w:tcW w:w="1980" w:type="dxa"/>
            <w:shd w:val="clear" w:color="auto" w:fill="BFBFBF"/>
            <w:vAlign w:val="center"/>
          </w:tcPr>
          <w:p>
            <w:pPr>
              <w:spacing w:before="60" w:after="60"/>
              <w:ind w:left="142" w:hanging="142"/>
              <w:jc w:val="center"/>
              <w:rPr>
                <w:b/>
                <w:noProof/>
                <w:sz w:val="20"/>
                <w:szCs w:val="20"/>
              </w:rPr>
            </w:pPr>
            <w:r>
              <w:rPr>
                <w:b/>
                <w:noProof/>
                <w:sz w:val="20"/>
              </w:rPr>
              <w:t>Zmluvní zamestnanci</w:t>
            </w:r>
          </w:p>
          <w:p>
            <w:pPr>
              <w:spacing w:before="60" w:after="60"/>
              <w:ind w:left="142" w:hanging="142"/>
              <w:jc w:val="center"/>
              <w:rPr>
                <w:b/>
                <w:noProof/>
                <w:sz w:val="20"/>
                <w:szCs w:val="20"/>
              </w:rPr>
            </w:pPr>
            <w:r>
              <w:rPr>
                <w:b/>
                <w:noProof/>
                <w:sz w:val="20"/>
              </w:rPr>
              <w:t>(pracovné miesta CA)</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shd w:val="clear" w:color="auto" w:fill="BFBFBF"/>
            <w:vAlign w:val="center"/>
          </w:tcPr>
          <w:p>
            <w:pPr>
              <w:spacing w:before="60" w:after="60"/>
              <w:ind w:left="142" w:hanging="142"/>
              <w:jc w:val="center"/>
              <w:rPr>
                <w:b/>
                <w:noProof/>
                <w:sz w:val="20"/>
                <w:szCs w:val="20"/>
              </w:rPr>
            </w:pPr>
            <w:r>
              <w:rPr>
                <w:b/>
                <w:noProof/>
                <w:sz w:val="20"/>
              </w:rPr>
              <w:t>Vyslaní národní experti</w:t>
            </w:r>
          </w:p>
          <w:p>
            <w:pPr>
              <w:spacing w:before="60" w:after="60"/>
              <w:ind w:left="142" w:hanging="142"/>
              <w:jc w:val="center"/>
              <w:rPr>
                <w:b/>
                <w:noProof/>
                <w:sz w:val="20"/>
                <w:szCs w:val="20"/>
              </w:rPr>
            </w:pPr>
            <w:r>
              <w:rPr>
                <w:b/>
                <w:noProof/>
                <w:sz w:val="20"/>
              </w:rPr>
              <w:t>(pracovné miesta SNE)</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FFFFFF"/>
            <w:vAlign w:val="center"/>
          </w:tcPr>
          <w:p>
            <w:pPr>
              <w:spacing w:before="60" w:after="60"/>
              <w:ind w:left="142" w:hanging="142"/>
              <w:jc w:val="center"/>
              <w:rPr>
                <w:b/>
                <w:noProof/>
                <w:sz w:val="20"/>
                <w:szCs w:val="20"/>
              </w:rPr>
            </w:pPr>
            <w:r>
              <w:rPr>
                <w:b/>
                <w:noProof/>
                <w:sz w:val="20"/>
              </w:rPr>
              <w:t>Dočasní zamestnanci (2f) náklady (AD+AST)</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1,120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1,605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1,570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1,598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5,893 EUR</w:t>
            </w:r>
          </w:p>
        </w:tc>
      </w:tr>
    </w:tbl>
    <w:p>
      <w:pPr>
        <w:ind w:left="142" w:hanging="142"/>
        <w:rPr>
          <w:noProof/>
          <w:sz w:val="20"/>
          <w:szCs w:val="20"/>
        </w:rPr>
      </w:pPr>
    </w:p>
    <w:tbl>
      <w:tblPr>
        <w:tblW w:w="0" w:type="auto"/>
        <w:tblInd w:w="108"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ind w:left="142" w:hanging="142"/>
              <w:jc w:val="center"/>
              <w:rPr>
                <w:noProof/>
                <w:sz w:val="20"/>
                <w:szCs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1,120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1,605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1,570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1,598 EUR</w:t>
            </w:r>
          </w:p>
        </w:tc>
        <w:tc>
          <w:tcPr>
            <w:tcW w:w="1080" w:type="dxa"/>
            <w:tcBorders>
              <w:top w:val="single" w:sz="12" w:space="0" w:color="auto"/>
              <w:left w:val="single" w:sz="2" w:space="0" w:color="auto"/>
              <w:bottom w:val="single" w:sz="12" w:space="0" w:color="auto"/>
              <w:right w:val="single" w:sz="12" w:space="0" w:color="auto"/>
            </w:tcBorders>
            <w:vAlign w:val="bottom"/>
          </w:tcPr>
          <w:p>
            <w:pPr>
              <w:jc w:val="right"/>
              <w:rPr>
                <w:rFonts w:ascii="Arial" w:hAnsi="Arial" w:cs="Arial"/>
                <w:noProof/>
                <w:color w:val="000000"/>
                <w:sz w:val="20"/>
                <w:szCs w:val="20"/>
              </w:rPr>
            </w:pPr>
            <w:r>
              <w:rPr>
                <w:rFonts w:ascii="Arial" w:hAnsi="Arial"/>
                <w:noProof/>
                <w:color w:val="000000"/>
                <w:sz w:val="20"/>
              </w:rPr>
              <w:t>5,893 EUR</w:t>
            </w:r>
          </w:p>
        </w:tc>
      </w:tr>
    </w:tbl>
    <w:p>
      <w:pPr>
        <w:rPr>
          <w:noProof/>
          <w:u w:val="single"/>
        </w:rPr>
      </w:pPr>
      <w:r>
        <w:rPr>
          <w:noProof/>
          <w:u w:val="single"/>
        </w:rPr>
        <w:t>* v roku 2017 sa za dátum prijatia do zamestnania považuje 1. jún</w:t>
      </w:r>
    </w:p>
    <w:p>
      <w:pPr>
        <w:rPr>
          <w:noProof/>
          <w:u w:val="single"/>
        </w:rPr>
      </w:pPr>
      <w:r>
        <w:rPr>
          <w:noProof/>
          <w:u w:val="single"/>
        </w:rPr>
        <w:t>v roku 2018 sa za dátum prijatia do zamestnania považuje 1. január</w:t>
      </w:r>
    </w:p>
    <w:p>
      <w:pPr>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98"/>
        <w:gridCol w:w="1443"/>
        <w:gridCol w:w="1443"/>
        <w:gridCol w:w="1443"/>
        <w:gridCol w:w="1443"/>
      </w:tblGrid>
      <w:tr>
        <w:tc>
          <w:tcPr>
            <w:tcW w:w="1764" w:type="dxa"/>
            <w:shd w:val="clear" w:color="auto" w:fill="auto"/>
          </w:tcPr>
          <w:p>
            <w:pPr>
              <w:rPr>
                <w:noProof/>
                <w:sz w:val="22"/>
              </w:rPr>
            </w:pPr>
          </w:p>
        </w:tc>
        <w:tc>
          <w:tcPr>
            <w:tcW w:w="1298" w:type="dxa"/>
            <w:shd w:val="clear" w:color="auto" w:fill="auto"/>
          </w:tcPr>
          <w:p>
            <w:pPr>
              <w:rPr>
                <w:noProof/>
                <w:sz w:val="22"/>
              </w:rPr>
            </w:pPr>
            <w:r>
              <w:rPr>
                <w:noProof/>
                <w:sz w:val="22"/>
              </w:rPr>
              <w:t>2016</w:t>
            </w:r>
          </w:p>
        </w:tc>
        <w:tc>
          <w:tcPr>
            <w:tcW w:w="1443" w:type="dxa"/>
            <w:shd w:val="clear" w:color="auto" w:fill="auto"/>
          </w:tcPr>
          <w:p>
            <w:pPr>
              <w:rPr>
                <w:noProof/>
                <w:sz w:val="22"/>
              </w:rPr>
            </w:pPr>
            <w:r>
              <w:rPr>
                <w:noProof/>
                <w:sz w:val="22"/>
              </w:rPr>
              <w:t>2017</w:t>
            </w:r>
          </w:p>
        </w:tc>
        <w:tc>
          <w:tcPr>
            <w:tcW w:w="1443" w:type="dxa"/>
            <w:shd w:val="clear" w:color="auto" w:fill="auto"/>
          </w:tcPr>
          <w:p>
            <w:pPr>
              <w:rPr>
                <w:noProof/>
                <w:sz w:val="22"/>
              </w:rPr>
            </w:pPr>
            <w:r>
              <w:rPr>
                <w:noProof/>
                <w:sz w:val="22"/>
              </w:rPr>
              <w:t>2018</w:t>
            </w:r>
          </w:p>
        </w:tc>
        <w:tc>
          <w:tcPr>
            <w:tcW w:w="1443" w:type="dxa"/>
            <w:shd w:val="clear" w:color="auto" w:fill="auto"/>
          </w:tcPr>
          <w:p>
            <w:pPr>
              <w:rPr>
                <w:noProof/>
                <w:sz w:val="22"/>
              </w:rPr>
            </w:pPr>
            <w:r>
              <w:rPr>
                <w:noProof/>
                <w:sz w:val="22"/>
              </w:rPr>
              <w:t>2019</w:t>
            </w:r>
          </w:p>
        </w:tc>
        <w:tc>
          <w:tcPr>
            <w:tcW w:w="1443" w:type="dxa"/>
            <w:shd w:val="clear" w:color="auto" w:fill="auto"/>
          </w:tcPr>
          <w:p>
            <w:pPr>
              <w:rPr>
                <w:noProof/>
                <w:sz w:val="22"/>
              </w:rPr>
            </w:pPr>
            <w:r>
              <w:rPr>
                <w:noProof/>
                <w:sz w:val="22"/>
              </w:rPr>
              <w:t>2020</w:t>
            </w:r>
          </w:p>
        </w:tc>
      </w:tr>
      <w:tr>
        <w:tc>
          <w:tcPr>
            <w:tcW w:w="1764" w:type="dxa"/>
            <w:shd w:val="clear" w:color="auto" w:fill="auto"/>
          </w:tcPr>
          <w:p>
            <w:pPr>
              <w:rPr>
                <w:noProof/>
                <w:sz w:val="22"/>
              </w:rPr>
            </w:pPr>
            <w:r>
              <w:rPr>
                <w:noProof/>
                <w:sz w:val="22"/>
              </w:rPr>
              <w:t>Základný scenár – oznámenie</w:t>
            </w:r>
          </w:p>
        </w:tc>
        <w:tc>
          <w:tcPr>
            <w:tcW w:w="1298" w:type="dxa"/>
            <w:shd w:val="clear" w:color="auto" w:fill="auto"/>
          </w:tcPr>
          <w:p>
            <w:pPr>
              <w:rPr>
                <w:noProof/>
                <w:sz w:val="22"/>
              </w:rPr>
            </w:pPr>
            <w:r>
              <w:rPr>
                <w:noProof/>
                <w:sz w:val="22"/>
              </w:rPr>
              <w:t>202</w:t>
            </w:r>
          </w:p>
        </w:tc>
        <w:tc>
          <w:tcPr>
            <w:tcW w:w="1443" w:type="dxa"/>
            <w:shd w:val="clear" w:color="auto" w:fill="auto"/>
          </w:tcPr>
          <w:p>
            <w:pPr>
              <w:rPr>
                <w:noProof/>
                <w:sz w:val="22"/>
              </w:rPr>
            </w:pPr>
            <w:r>
              <w:rPr>
                <w:noProof/>
                <w:sz w:val="22"/>
              </w:rPr>
              <w:t>198</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r>
      <w:tr>
        <w:tc>
          <w:tcPr>
            <w:tcW w:w="1764" w:type="dxa"/>
            <w:shd w:val="clear" w:color="auto" w:fill="auto"/>
          </w:tcPr>
          <w:p>
            <w:pPr>
              <w:rPr>
                <w:noProof/>
                <w:sz w:val="22"/>
              </w:rPr>
            </w:pPr>
            <w:r>
              <w:rPr>
                <w:noProof/>
                <w:sz w:val="22"/>
              </w:rPr>
              <w:t>Ďalšie pracovné miesta</w:t>
            </w:r>
          </w:p>
        </w:tc>
        <w:tc>
          <w:tcPr>
            <w:tcW w:w="1298" w:type="dxa"/>
            <w:shd w:val="clear" w:color="auto" w:fill="auto"/>
          </w:tcPr>
          <w:p>
            <w:pPr>
              <w:rPr>
                <w:noProof/>
                <w:sz w:val="22"/>
              </w:rPr>
            </w:pPr>
            <w:r>
              <w:rPr>
                <w:noProof/>
                <w:sz w:val="22"/>
              </w:rPr>
              <w:t>–</w:t>
            </w:r>
          </w:p>
        </w:tc>
        <w:tc>
          <w:tcPr>
            <w:tcW w:w="1443" w:type="dxa"/>
            <w:shd w:val="clear" w:color="auto" w:fill="auto"/>
          </w:tcPr>
          <w:p>
            <w:pPr>
              <w:rPr>
                <w:noProof/>
                <w:sz w:val="22"/>
              </w:rPr>
            </w:pPr>
            <w:r>
              <w:rPr>
                <w:noProof/>
                <w:sz w:val="22"/>
              </w:rPr>
              <w:t>14</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r>
      <w:tr>
        <w:tc>
          <w:tcPr>
            <w:tcW w:w="1764" w:type="dxa"/>
            <w:shd w:val="clear" w:color="auto" w:fill="auto"/>
          </w:tcPr>
          <w:p>
            <w:pPr>
              <w:rPr>
                <w:b/>
                <w:noProof/>
                <w:sz w:val="22"/>
              </w:rPr>
            </w:pPr>
            <w:r>
              <w:rPr>
                <w:b/>
                <w:noProof/>
                <w:sz w:val="22"/>
              </w:rPr>
              <w:t>Spolu</w:t>
            </w:r>
          </w:p>
        </w:tc>
        <w:tc>
          <w:tcPr>
            <w:tcW w:w="1298" w:type="dxa"/>
            <w:shd w:val="clear" w:color="auto" w:fill="auto"/>
          </w:tcPr>
          <w:p>
            <w:pPr>
              <w:rPr>
                <w:b/>
                <w:noProof/>
                <w:sz w:val="22"/>
              </w:rPr>
            </w:pPr>
            <w:r>
              <w:rPr>
                <w:b/>
                <w:noProof/>
                <w:sz w:val="22"/>
              </w:rPr>
              <w:t>202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r>
    </w:tbl>
    <w:p>
      <w:pPr>
        <w:rPr>
          <w:noProof/>
          <w:u w:val="single"/>
        </w:rPr>
      </w:pPr>
    </w:p>
    <w:p>
      <w:pPr>
        <w:rPr>
          <w:noProof/>
          <w:u w:val="single"/>
        </w:rPr>
      </w:pPr>
    </w:p>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Odhadované potreby ľudských zdrojov pre príslušné GR</w:t>
      </w:r>
    </w:p>
    <w:p>
      <w:pPr>
        <w:pStyle w:val="ListDash1"/>
        <w:rPr>
          <w:noProof/>
        </w:rPr>
      </w:pPr>
      <w:r>
        <w:rPr>
          <w:noProof/>
        </w:rPr>
        <w:sym w:font="Wingdings" w:char="F078"/>
      </w:r>
      <w:r>
        <w:rPr>
          <w:noProof/>
        </w:rPr>
        <w:tab/>
        <w:t xml:space="preserve">Návrh/iniciatíva si nevyžaduje použitie ľudských zdrojov. </w:t>
      </w:r>
    </w:p>
    <w:p>
      <w:pPr>
        <w:pStyle w:val="ListDash1"/>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szCs w:val="16"/>
              </w:rPr>
              <w:t>Rok</w:t>
            </w:r>
            <w:r>
              <w:rPr>
                <w:b/>
                <w:noProof/>
                <w:sz w:val="16"/>
                <w:szCs w:val="16"/>
              </w:rPr>
              <w:t>N</w:t>
            </w:r>
          </w:p>
        </w:tc>
        <w:tc>
          <w:tcPr>
            <w:tcW w:w="318" w:type="pct"/>
            <w:shd w:val="clear" w:color="auto" w:fill="auto"/>
            <w:vAlign w:val="center"/>
          </w:tcPr>
          <w:p>
            <w:pPr>
              <w:spacing w:before="20" w:after="20"/>
              <w:jc w:val="center"/>
              <w:rPr>
                <w:noProof/>
                <w:sz w:val="16"/>
                <w:szCs w:val="16"/>
              </w:rPr>
            </w:pPr>
            <w:r>
              <w:rPr>
                <w:noProof/>
                <w:sz w:val="16"/>
                <w:szCs w:val="16"/>
              </w:rPr>
              <w:t>Rok</w:t>
            </w:r>
            <w:r>
              <w:rPr>
                <w:b/>
                <w:noProof/>
                <w:sz w:val="16"/>
                <w:szCs w:val="16"/>
              </w:rPr>
              <w:t>N + 1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w:t>
            </w:r>
            <w:r>
              <w:rPr>
                <w:rStyle w:val="FootnoteReference"/>
                <w:b/>
                <w:noProof/>
                <w:sz w:val="16"/>
              </w:rPr>
              <w:footnoteReference w:id="9"/>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yy</w:t>
            </w:r>
            <w:r>
              <w:rPr>
                <w:b/>
                <w:i/>
                <w:noProof/>
                <w:sz w:val="16"/>
                <w:szCs w:val="16"/>
              </w:rPr>
              <w:t xml:space="preserve"> </w:t>
            </w:r>
            <w:r>
              <w:rPr>
                <w:rStyle w:val="FootnoteReference"/>
                <w:b/>
                <w:i/>
                <w:noProof/>
                <w:sz w:val="16"/>
                <w:szCs w:val="16"/>
              </w:rPr>
              <w:footnoteReference w:id="1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DAZ, VNE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Súlad s platným viacročným finančným rámcom </w:t>
      </w:r>
    </w:p>
    <w:p>
      <w:pPr>
        <w:pStyle w:val="ListDash1"/>
        <w:rPr>
          <w:noProof/>
        </w:rPr>
      </w:pPr>
      <w:r>
        <w:rPr>
          <w:noProof/>
        </w:rPr>
        <w:sym w:font="Wingdings" w:char="F0A8"/>
      </w:r>
      <w:r>
        <w:rPr>
          <w:noProof/>
        </w:rPr>
        <w:tab/>
        <w:t>Návrh/iniciatíva je v súlade s platným viacročným finančným rámcom.</w:t>
      </w:r>
    </w:p>
    <w:p>
      <w:pPr>
        <w:pStyle w:val="ListDash1"/>
        <w:rPr>
          <w:noProof/>
        </w:rPr>
      </w:pPr>
      <w:r>
        <w:rPr>
          <w:noProof/>
        </w:rPr>
        <w:sym w:font="Wingdings" w:char="F07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060203 Európska námorná bezpečnostná agentúra</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Príspevky od tretích strán </w:t>
      </w:r>
    </w:p>
    <w:p>
      <w:pPr>
        <w:pStyle w:val="ListDash1"/>
        <w:rPr>
          <w:noProof/>
        </w:rPr>
      </w:pPr>
      <w:r>
        <w:rPr>
          <w:noProof/>
        </w:rPr>
        <w:t xml:space="preserve">Návrh/iniciatíva nezahŕňa spolufinancovanie tretími stranami. </w:t>
      </w:r>
    </w:p>
    <w:p>
      <w:pPr>
        <w:pStyle w:val="ListDash1"/>
        <w:rPr>
          <w:noProof/>
        </w:rPr>
      </w:pPr>
      <w:r>
        <w:rPr>
          <w:noProof/>
        </w:rPr>
        <w:t>Návrh/iniciatíva zahŕňa spolufinancovanie tretími stranami, ako je uvedené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Rok</w:t>
            </w:r>
            <w:r>
              <w:rPr>
                <w:b/>
                <w:noProof/>
                <w:sz w:val="20"/>
              </w:rPr>
              <w:t>N</w:t>
            </w:r>
          </w:p>
        </w:tc>
        <w:tc>
          <w:tcPr>
            <w:tcW w:w="964" w:type="dxa"/>
            <w:vAlign w:val="center"/>
          </w:tcPr>
          <w:p>
            <w:pPr>
              <w:jc w:val="center"/>
              <w:rPr>
                <w:noProof/>
                <w:sz w:val="20"/>
              </w:rPr>
            </w:pPr>
            <w:r>
              <w:rPr>
                <w:noProof/>
              </w:rPr>
              <w:t>Rok</w:t>
            </w:r>
            <w:r>
              <w:rPr>
                <w:b/>
                <w:noProof/>
                <w:sz w:val="20"/>
              </w:rPr>
              <w:t>N + 1</w:t>
            </w:r>
          </w:p>
        </w:tc>
        <w:tc>
          <w:tcPr>
            <w:tcW w:w="964" w:type="dxa"/>
            <w:vAlign w:val="center"/>
          </w:tcPr>
          <w:p>
            <w:pPr>
              <w:jc w:val="center"/>
              <w:rPr>
                <w:noProof/>
                <w:sz w:val="20"/>
              </w:rPr>
            </w:pPr>
            <w:r>
              <w:rPr>
                <w:noProof/>
              </w:rPr>
              <w:t>Rok</w:t>
            </w:r>
            <w:r>
              <w:rPr>
                <w:b/>
                <w:noProof/>
                <w:sz w:val="20"/>
              </w:rPr>
              <w:t>N + 2</w:t>
            </w:r>
          </w:p>
        </w:tc>
        <w:tc>
          <w:tcPr>
            <w:tcW w:w="964" w:type="dxa"/>
            <w:vAlign w:val="center"/>
          </w:tcPr>
          <w:p>
            <w:pPr>
              <w:jc w:val="center"/>
              <w:rPr>
                <w:noProof/>
                <w:sz w:val="20"/>
              </w:rPr>
            </w:pPr>
            <w:r>
              <w:rPr>
                <w:noProof/>
              </w:rPr>
              <w:t>Rok</w:t>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Odhadovaný vplyv na príjmy </w:t>
      </w:r>
    </w:p>
    <w:p>
      <w:pPr>
        <w:pStyle w:val="ListDash1"/>
        <w:rPr>
          <w:noProof/>
        </w:rPr>
      </w:pPr>
      <w:r>
        <w:rPr>
          <w:noProof/>
        </w:rPr>
        <w:sym w:font="Wingdings" w:char="F078"/>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 xml:space="preserve">vplyv na vlastné zdroje </w:t>
      </w:r>
    </w:p>
    <w:p>
      <w:pPr>
        <w:pStyle w:val="ListNumberLevel3"/>
        <w:rPr>
          <w:noProof/>
        </w:rPr>
      </w:pPr>
      <w:r>
        <w:rPr>
          <w:noProof/>
        </w:rPr>
        <w:sym w:font="Wingdings" w:char="F0A8"/>
      </w:r>
      <w:r>
        <w:rPr>
          <w:noProof/>
        </w:rPr>
        <w:tab/>
        <w:t xml:space="preserve">vplyv na rôzne príjmy </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1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Rok</w:t>
            </w:r>
            <w:r>
              <w:rPr>
                <w:b/>
                <w:noProof/>
                <w:sz w:val="18"/>
                <w:szCs w:val="18"/>
              </w:rPr>
              <w:t>N</w:t>
            </w:r>
          </w:p>
        </w:tc>
        <w:tc>
          <w:tcPr>
            <w:tcW w:w="900" w:type="dxa"/>
            <w:vAlign w:val="center"/>
          </w:tcPr>
          <w:p>
            <w:pPr>
              <w:jc w:val="center"/>
              <w:rPr>
                <w:noProof/>
                <w:sz w:val="18"/>
                <w:szCs w:val="18"/>
              </w:rPr>
            </w:pPr>
            <w:r>
              <w:rPr>
                <w:noProof/>
                <w:sz w:val="18"/>
                <w:szCs w:val="18"/>
              </w:rPr>
              <w:t>Rok</w:t>
            </w:r>
            <w:r>
              <w:rPr>
                <w:b/>
                <w:noProof/>
                <w:sz w:val="18"/>
                <w:szCs w:val="18"/>
              </w:rPr>
              <w:t>N + 1</w:t>
            </w:r>
          </w:p>
        </w:tc>
        <w:tc>
          <w:tcPr>
            <w:tcW w:w="900" w:type="dxa"/>
            <w:vAlign w:val="center"/>
          </w:tcPr>
          <w:p>
            <w:pPr>
              <w:jc w:val="center"/>
              <w:rPr>
                <w:noProof/>
                <w:sz w:val="18"/>
                <w:szCs w:val="18"/>
              </w:rPr>
            </w:pPr>
            <w:r>
              <w:rPr>
                <w:noProof/>
                <w:sz w:val="18"/>
                <w:szCs w:val="18"/>
              </w:rPr>
              <w:t>Rok</w:t>
            </w:r>
            <w:r>
              <w:rPr>
                <w:b/>
                <w:noProof/>
                <w:sz w:val="18"/>
                <w:szCs w:val="18"/>
              </w:rPr>
              <w:t>N + 2</w:t>
            </w:r>
          </w:p>
        </w:tc>
        <w:tc>
          <w:tcPr>
            <w:tcW w:w="1080" w:type="dxa"/>
            <w:vAlign w:val="center"/>
          </w:tcPr>
          <w:p>
            <w:pPr>
              <w:jc w:val="center"/>
              <w:rPr>
                <w:noProof/>
                <w:sz w:val="18"/>
                <w:szCs w:val="18"/>
              </w:rPr>
            </w:pPr>
            <w:r>
              <w:rPr>
                <w:noProof/>
                <w:sz w:val="18"/>
                <w:szCs w:val="18"/>
              </w:rPr>
              <w:t>Rok</w:t>
            </w:r>
            <w:r>
              <w:rPr>
                <w:b/>
                <w:noProof/>
                <w:sz w:val="18"/>
                <w:szCs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 na ktoré bude mať návrh/iniciatíva vplyv.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 xml:space="preserve">Štúdia o uskutočniteľnosti zlepšenia spolupráce medzi orgánmi vykonávajúcimi funkcie európskej pobrežnej stráže (94 strán), </w:t>
      </w:r>
      <w:hyperlink r:id="rId1">
        <w:r>
          <w:rPr>
            <w:rStyle w:val="Hyperlink"/>
          </w:rPr>
          <w:t>http://ec.europa.eu/transport/modes/maritime/studies/doc/2014-06-icf-coastguard.pdf</w:t>
        </w:r>
      </w:hyperlink>
      <w:r>
        <w:rPr>
          <w:rStyle w:val="Hyperlink"/>
        </w:rPr>
        <w:t>.</w:t>
      </w:r>
    </w:p>
  </w:footnote>
  <w:footnote w:id="2">
    <w:p>
      <w:pPr>
        <w:pStyle w:val="FootnoteText"/>
      </w:pPr>
      <w:r>
        <w:rPr>
          <w:rStyle w:val="FootnoteReference"/>
        </w:rPr>
        <w:footnoteRef/>
      </w:r>
      <w:r>
        <w:tab/>
        <w:t>Nariadenie 1406/2002, ktorým sa ustanovuje Európska námorná bezpečnostná agentúra (odôvodnenie 30).</w:t>
      </w:r>
    </w:p>
  </w:footnote>
  <w:footnote w:id="3">
    <w:p>
      <w:pPr>
        <w:pStyle w:val="FootnoteText"/>
        <w:rPr>
          <w:szCs w:val="24"/>
        </w:rPr>
      </w:pPr>
      <w:r>
        <w:rPr>
          <w:rStyle w:val="FootnoteReference"/>
        </w:rPr>
        <w:footnoteRef/>
      </w:r>
      <w:r>
        <w:tab/>
        <w:t>ABM: riadenie podľa činností; ABB: zostavovanie rozpočtu podľa činností.</w:t>
      </w:r>
    </w:p>
  </w:footnote>
  <w:footnote w:id="4">
    <w:p>
      <w:pPr>
        <w:pStyle w:val="FootnoteText"/>
        <w:rPr>
          <w:szCs w:val="24"/>
        </w:rPr>
      </w:pPr>
      <w:r>
        <w:rPr>
          <w:rStyle w:val="FootnoteReference"/>
        </w:rPr>
        <w:footnoteRef/>
      </w:r>
      <w:r>
        <w:tab/>
        <w:t>Podľa článku 54 ods. 2 písm. a) alebo b) nariadenia o rozpočtových pravidlách.</w:t>
      </w:r>
    </w:p>
  </w:footnote>
  <w:footnote w:id="5">
    <w:p>
      <w:pPr>
        <w:pStyle w:val="FootnoteText"/>
        <w:rPr>
          <w:szCs w:val="24"/>
        </w:rPr>
      </w:pPr>
      <w:r>
        <w:rPr>
          <w:rStyle w:val="FootnoteReference"/>
        </w:rPr>
        <w:footnoteRef/>
      </w:r>
      <w:r>
        <w:tab/>
        <w:t xml:space="preserve">Vysvetlenie spôsobov hospodárenia a odkazy na nariadenie o rozpočtových pravidlách sú k dispozícii na webovej lokalite BudgWeb: </w:t>
      </w:r>
      <w:hyperlink r:id="rId2">
        <w:r>
          <w:rPr>
            <w:rStyle w:val="Hyperlink"/>
            <w:sz w:val="18"/>
          </w:rPr>
          <w:t>http://www.cc.cec/budg/man/budgmanag/budgmanag_en.html</w:t>
        </w:r>
      </w:hyperlink>
      <w:r>
        <w:rPr>
          <w:rStyle w:val="Hyperlink"/>
          <w:sz w:val="18"/>
        </w:rPr>
        <w:t>.</w:t>
      </w:r>
    </w:p>
  </w:footnote>
  <w:footnote w:id="6">
    <w:p>
      <w:pPr>
        <w:pStyle w:val="FootnoteText"/>
        <w:rPr>
          <w:szCs w:val="24"/>
        </w:rPr>
      </w:pPr>
      <w:r>
        <w:rPr>
          <w:rStyle w:val="FootnoteReference"/>
        </w:rPr>
        <w:footnoteRef/>
      </w:r>
      <w:r>
        <w:tab/>
        <w:t>DRP = diferencované rozpočtové prostriedky / NRP = nediferencované rozpočtové prostriedky.</w:t>
      </w:r>
    </w:p>
  </w:footnote>
  <w:footnote w:id="7">
    <w:p>
      <w:pPr>
        <w:pStyle w:val="FootnoteText"/>
        <w:rPr>
          <w:szCs w:val="24"/>
        </w:rPr>
      </w:pPr>
      <w:r>
        <w:rPr>
          <w:rStyle w:val="FootnoteReference"/>
        </w:rPr>
        <w:footnoteRef/>
      </w:r>
      <w:r>
        <w:tab/>
        <w:t xml:space="preserve">EZVO: Európske združenie voľného obchodu. </w:t>
      </w:r>
    </w:p>
  </w:footnote>
  <w:footnote w:id="8">
    <w:p>
      <w:pPr>
        <w:pStyle w:val="FootnoteText"/>
        <w:rPr>
          <w:szCs w:val="24"/>
        </w:rPr>
      </w:pPr>
      <w:r>
        <w:rPr>
          <w:rStyle w:val="FootnoteReference"/>
        </w:rPr>
        <w:footnoteRef/>
      </w:r>
      <w:r>
        <w:tab/>
        <w:t>Kandidátske krajiny a prípadne potenciálne kandidátske krajiny západného Balkánu.</w:t>
      </w:r>
    </w:p>
  </w:footnote>
  <w:footnote w:id="9">
    <w:p>
      <w:pPr>
        <w:pStyle w:val="FootnoteText"/>
        <w:rPr>
          <w:szCs w:val="24"/>
        </w:rPr>
      </w:pPr>
      <w:r>
        <w:rPr>
          <w:rStyle w:val="FootnoteReference"/>
        </w:rPr>
        <w:footnoteRef/>
      </w:r>
      <w:r>
        <w:tab/>
        <w:t>ZZ = zmluvný zamestnanec; MZ = miestny zamestnanec; VNE = vyslaný národný expert; DAZ = dočasný agentúrny zamestnanec; PED = pomocný expert v delegácii.</w:t>
      </w:r>
    </w:p>
  </w:footnote>
  <w:footnote w:id="10">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11">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CC8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A1B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C683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9221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5AA8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0"/>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31: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417E84652EA744C598AFE23A682528FF"/>
    <w:docVar w:name="LW_CROSSREFERENCE" w:val="&lt;UNUSED&gt;"/>
    <w:docVar w:name="LW_DocType" w:val="COM"/>
    <w:docVar w:name="LW_EMISSION" w:val="15. 12. 2015"/>
    <w:docVar w:name="LW_EMISSION_ISODATE" w:val="2015-12-15"/>
    <w:docVar w:name="LW_EMISSION_LOCATION" w:val="STR"/>
    <w:docVar w:name="LW_EMISSION_PREFIX" w:val="V Štrasburgu"/>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13"/>
    <w:docVar w:name="LW_REF.II.NEW.CP_YEAR" w:val="2015"/>
    <w:docVar w:name="LW_REF.INST.NEW" w:val="COM"/>
    <w:docVar w:name="LW_REF.INST.NEW_ADOPTED" w:val="final"/>
    <w:docVar w:name="LW_REF.INST.NEW_TEXT" w:val="(2015) 667"/>
    <w:docVar w:name="LW_REF.INTERNE" w:val="&lt;UNUSED&gt;"/>
    <w:docVar w:name="LW_SOUS.TITRE.OBJ.CP" w:val="&lt;UNUSED&gt;"/>
    <w:docVar w:name="LW_STATUT.CP" w:val="Návrh"/>
    <w:docVar w:name="LW_SUPERTITRE" w:val="&lt;UNUSED&gt;"/>
    <w:docVar w:name="LW_TITRE.OBJ.CP" w:val="ktorým sa mení nariadenie (ES) \u269?. 1406/2002, ktorým sa ustanovuje Európska námorná bezpe\u269?nostná agentúra"/>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166">
      <w:bodyDiv w:val="1"/>
      <w:marLeft w:val="0"/>
      <w:marRight w:val="0"/>
      <w:marTop w:val="0"/>
      <w:marBottom w:val="0"/>
      <w:divBdr>
        <w:top w:val="none" w:sz="0" w:space="0" w:color="auto"/>
        <w:left w:val="none" w:sz="0" w:space="0" w:color="auto"/>
        <w:bottom w:val="none" w:sz="0" w:space="0" w:color="auto"/>
        <w:right w:val="none" w:sz="0" w:space="0" w:color="auto"/>
      </w:divBdr>
    </w:div>
    <w:div w:id="317807775">
      <w:bodyDiv w:val="1"/>
      <w:marLeft w:val="0"/>
      <w:marRight w:val="0"/>
      <w:marTop w:val="0"/>
      <w:marBottom w:val="0"/>
      <w:divBdr>
        <w:top w:val="none" w:sz="0" w:space="0" w:color="auto"/>
        <w:left w:val="none" w:sz="0" w:space="0" w:color="auto"/>
        <w:bottom w:val="none" w:sz="0" w:space="0" w:color="auto"/>
        <w:right w:val="none" w:sz="0" w:space="0" w:color="auto"/>
      </w:divBdr>
    </w:div>
    <w:div w:id="436489572">
      <w:bodyDiv w:val="1"/>
      <w:marLeft w:val="0"/>
      <w:marRight w:val="0"/>
      <w:marTop w:val="0"/>
      <w:marBottom w:val="0"/>
      <w:divBdr>
        <w:top w:val="none" w:sz="0" w:space="0" w:color="auto"/>
        <w:left w:val="none" w:sz="0" w:space="0" w:color="auto"/>
        <w:bottom w:val="none" w:sz="0" w:space="0" w:color="auto"/>
        <w:right w:val="none" w:sz="0" w:space="0" w:color="auto"/>
      </w:divBdr>
    </w:div>
    <w:div w:id="1009016516">
      <w:bodyDiv w:val="1"/>
      <w:marLeft w:val="0"/>
      <w:marRight w:val="0"/>
      <w:marTop w:val="0"/>
      <w:marBottom w:val="0"/>
      <w:divBdr>
        <w:top w:val="none" w:sz="0" w:space="0" w:color="auto"/>
        <w:left w:val="none" w:sz="0" w:space="0" w:color="auto"/>
        <w:bottom w:val="none" w:sz="0" w:space="0" w:color="auto"/>
        <w:right w:val="none" w:sz="0" w:space="0" w:color="auto"/>
      </w:divBdr>
    </w:div>
    <w:div w:id="1546063763">
      <w:bodyDiv w:val="1"/>
      <w:marLeft w:val="0"/>
      <w:marRight w:val="0"/>
      <w:marTop w:val="0"/>
      <w:marBottom w:val="0"/>
      <w:divBdr>
        <w:top w:val="none" w:sz="0" w:space="0" w:color="auto"/>
        <w:left w:val="none" w:sz="0" w:space="0" w:color="auto"/>
        <w:bottom w:val="none" w:sz="0" w:space="0" w:color="auto"/>
        <w:right w:val="none" w:sz="0" w:space="0" w:color="auto"/>
      </w:divBdr>
    </w:div>
    <w:div w:id="1680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transport/modes/maritime/studies/doc/2014-06-icf-coastgu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32</Pages>
  <Words>7356</Words>
  <Characters>45390</Characters>
  <Application>Microsoft Office Word</Application>
  <DocSecurity>0</DocSecurity>
  <Lines>1745</Lines>
  <Paragraphs>864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2015-12-09T12:32:00Z</cp:lastPrinted>
  <dcterms:created xsi:type="dcterms:W3CDTF">2016-01-14T13:31:00Z</dcterms:created>
  <dcterms:modified xsi:type="dcterms:W3CDTF">2016-01-15T15:31:00Z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