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B7" w:rsidRDefault="00B44548" w:rsidP="00B4454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1FF476261CB4F90903354DD829B8453" style="width:450pt;height:423pt">
            <v:imagedata r:id="rId9" o:title=""/>
          </v:shape>
        </w:pict>
      </w:r>
    </w:p>
    <w:p w:rsidR="00865EB7" w:rsidRDefault="00865EB7">
      <w:pPr>
        <w:pStyle w:val="Pagedecouverture"/>
        <w:rPr>
          <w:noProof/>
        </w:rPr>
        <w:sectPr w:rsidR="00865EB7" w:rsidSect="00B4454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65EB7" w:rsidRDefault="00B44548">
      <w:pPr>
        <w:pStyle w:val="Exposdesmotifstitre"/>
        <w:rPr>
          <w:noProof/>
        </w:rPr>
      </w:pPr>
      <w:r>
        <w:rPr>
          <w:noProof/>
        </w:rPr>
        <w:lastRenderedPageBreak/>
        <w:t>PASKAIDROJUMA RAKSTS</w:t>
      </w:r>
    </w:p>
    <w:p w:rsidR="00865EB7" w:rsidRDefault="00B44548">
      <w:pPr>
        <w:pStyle w:val="ManualHeading1"/>
        <w:rPr>
          <w:noProof/>
        </w:rPr>
      </w:pPr>
      <w:r>
        <w:t>1.</w:t>
      </w:r>
      <w:r>
        <w:tab/>
      </w:r>
      <w:r>
        <w:rPr>
          <w:noProof/>
        </w:rPr>
        <w:t>PRIEKŠLIKUMA KONTEKSTS</w:t>
      </w:r>
    </w:p>
    <w:p w:rsidR="00865EB7" w:rsidRDefault="00B44548">
      <w:pPr>
        <w:pStyle w:val="ManualHeading2"/>
        <w:rPr>
          <w:noProof/>
        </w:rPr>
      </w:pPr>
      <w:r>
        <w:t>1.1.</w:t>
      </w:r>
      <w:r>
        <w:tab/>
      </w:r>
      <w:r>
        <w:rPr>
          <w:noProof/>
        </w:rPr>
        <w:t>Priekšlikuma pamatojums un mērķi</w:t>
      </w:r>
    </w:p>
    <w:p w:rsidR="00865EB7" w:rsidRDefault="00B44548">
      <w:pPr>
        <w:ind w:left="850"/>
        <w:rPr>
          <w:noProof/>
        </w:rPr>
      </w:pPr>
      <w:r>
        <w:rPr>
          <w:noProof/>
        </w:rPr>
        <w:t>Komisija politiskajās pamatnostādnēs nāca klajā un apstiprināja savā 2016. gada darba programmā nodomu mērķtiecīgi pārskatīt Darba ņēmēju norīkošanas direktīvu, lai novērstu negodīgu praksi un sekmētu principu, ka par vienādu darbu vienā un tajā pašā vietā</w:t>
      </w:r>
      <w:r>
        <w:rPr>
          <w:noProof/>
        </w:rPr>
        <w:t xml:space="preserve"> būtu jāsaņem vienāds atalgojums. </w:t>
      </w:r>
    </w:p>
    <w:p w:rsidR="00865EB7" w:rsidRDefault="00B44548">
      <w:pPr>
        <w:ind w:left="850"/>
        <w:rPr>
          <w:noProof/>
        </w:rPr>
      </w:pPr>
      <w:r>
        <w:rPr>
          <w:noProof/>
        </w:rPr>
        <w:t>Darba ņēmēju norīkošanai ir svarīga nozīme iekšējā tirgū, jo īpaši pārrobežu pakalpojumu sniegšanā. Direktīva 96/71/EK</w:t>
      </w:r>
      <w:r>
        <w:rPr>
          <w:rStyle w:val="FootnoteReference"/>
          <w:noProof/>
        </w:rPr>
        <w:footnoteReference w:id="1"/>
      </w:r>
      <w:r>
        <w:rPr>
          <w:noProof/>
        </w:rPr>
        <w:t xml:space="preserve"> (turpmāk "direktīva") reglamentē trīs darbā norīkošanas variantus: uzņēmumi veic tiešu pakalpojumu sn</w:t>
      </w:r>
      <w:r>
        <w:rPr>
          <w:noProof/>
        </w:rPr>
        <w:t xml:space="preserve">iegšanu saskaņā ar pakalpojumu līgumu, darba ņēmēji tiek norīkoti uz iestādi vai uzņēmumu, kas pieder tai pašai grupai (grupas iekšējā norīkošana), un norīkošana, īrējot darba ņēmēju  no citā dalībvalstī izveidotas pagaidu darba aģentūras. </w:t>
      </w:r>
    </w:p>
    <w:p w:rsidR="00865EB7" w:rsidRDefault="00B44548">
      <w:pPr>
        <w:ind w:left="850"/>
        <w:rPr>
          <w:noProof/>
        </w:rPr>
      </w:pPr>
      <w:r>
        <w:rPr>
          <w:noProof/>
        </w:rPr>
        <w:t>ES izveidoja ie</w:t>
      </w:r>
      <w:r>
        <w:rPr>
          <w:noProof/>
        </w:rPr>
        <w:t>kšējo tirgu, kā pamatā ir sociālā tirgus ekonomika ar augstu konkurētspēju, kuras mērķis ir panākt pilnīgu nodarbinātību un sociālo attīstību. (LES 3. panta 3. punkts).</w:t>
      </w:r>
    </w:p>
    <w:p w:rsidR="00865EB7" w:rsidRDefault="00B44548">
      <w:pPr>
        <w:ind w:left="850"/>
        <w:rPr>
          <w:noProof/>
        </w:rPr>
      </w:pPr>
      <w:r>
        <w:rPr>
          <w:noProof/>
        </w:rPr>
        <w:t>Līgumā noteiktas tiesības uzņēmumam sniegt pakalpojumus citās dalībvalstīs. Tajā noteik</w:t>
      </w:r>
      <w:r>
        <w:rPr>
          <w:noProof/>
        </w:rPr>
        <w:t xml:space="preserve">ts, ka "Savienībā aizliedz pakalpojumu sniegšanas brīvības ierobežojumus to dalībvalstu pilsoņiem, kas veic uzņēmējdarbību kādā dalībvalstī, bet sniedz pakalpojumus citas dalībvalsts personai" (LESD 56. pants). Pakalpojumu sniegšanas brīvību var ierobežot </w:t>
      </w:r>
      <w:r>
        <w:rPr>
          <w:noProof/>
        </w:rPr>
        <w:t>tikai ar noteikumiem, ko var pamatot ar būtiskām vispārējām interesēm, ar nosacījumu, ka tie ir pamatoti, proporcionāli un tiek piemēroti nediskriminējošā veidā.</w:t>
      </w:r>
    </w:p>
    <w:p w:rsidR="00865EB7" w:rsidRDefault="00B44548">
      <w:pPr>
        <w:ind w:left="850"/>
        <w:rPr>
          <w:noProof/>
        </w:rPr>
      </w:pPr>
      <w:r>
        <w:rPr>
          <w:noProof/>
        </w:rPr>
        <w:t>Kopumā 2014. gadā (jaunākie pieejamie dati) ES bija vairāk nekā 1,9 miljoni (0,7 % no kopējā E</w:t>
      </w:r>
      <w:r>
        <w:rPr>
          <w:noProof/>
        </w:rPr>
        <w:t xml:space="preserve">S darbaspēka) norīkojumu, kas salīdzinājumā ar 2013. gadu ir pieaugums par 10,3 % un salīdzinājumā ar 2010. gadu - pieaugums par 44,4 %. Augšupejošā tendence sekoja pēc stagnācijas 2009. un 2010. gadā. </w:t>
      </w:r>
    </w:p>
    <w:p w:rsidR="00865EB7" w:rsidRDefault="00B44548">
      <w:pPr>
        <w:ind w:left="850"/>
        <w:rPr>
          <w:noProof/>
        </w:rPr>
      </w:pPr>
      <w:r>
        <w:rPr>
          <w:noProof/>
        </w:rPr>
        <w:t>1996. gada direktīvā noteikti ES reglamentējošie note</w:t>
      </w:r>
      <w:r>
        <w:rPr>
          <w:noProof/>
        </w:rPr>
        <w:t>ikumi, lai panāktu vajadzīgo līdzsvaru starp mērķi veicināt un sekmēt pārrobežu pakalpojumu sniegšanu, nodrošināt norīkoto darba ņēmēju aizsardzību un garantēt vienlīdzīgus noteikumus ārvalstu un vietējiem uzņēmumiem. Tajā paredzēts uzņēmējdalībvalsts noda</w:t>
      </w:r>
      <w:r>
        <w:rPr>
          <w:noProof/>
        </w:rPr>
        <w:t>rbinātības noteikumu "pamatkopums", kas obligāti piemērojami ārvalstu pakalpojumu sniedzējiem, tostarp (direktīvas 3. panta 1. punkts): maksimālais darba un minimālais atpūtas laiks; minimālās algas likmes, to skaitā likmes par virsstundām; minimālais apma</w:t>
      </w:r>
      <w:r>
        <w:rPr>
          <w:noProof/>
        </w:rPr>
        <w:t xml:space="preserve">ksātais ikgadējais atvaļinājums; darba ņēmēju izīrēšanas nosacījumi; veselības aizsardzība, drošība un higiēna darbā; aizsardzības pasākumi attiecībā uz grūtnieču vai sieviešu pēcdzemdību periodā, bērnu un jauniešu darba noteikumiem; vienlīdzīga attieksme </w:t>
      </w:r>
      <w:r>
        <w:rPr>
          <w:noProof/>
        </w:rPr>
        <w:t xml:space="preserve">pret vīriešiem un sievietēm un citi diskrimināciju izslēdzoši noteikumi.  </w:t>
      </w:r>
    </w:p>
    <w:p w:rsidR="00865EB7" w:rsidRDefault="00B44548">
      <w:pPr>
        <w:ind w:left="850"/>
        <w:rPr>
          <w:noProof/>
        </w:rPr>
      </w:pPr>
      <w:r>
        <w:rPr>
          <w:noProof/>
        </w:rPr>
        <w:t>2014. gada Izpildes direktīvā</w:t>
      </w:r>
      <w:r>
        <w:rPr>
          <w:rStyle w:val="FootnoteReference"/>
          <w:noProof/>
        </w:rPr>
        <w:footnoteReference w:id="2"/>
      </w:r>
      <w:r>
        <w:rPr>
          <w:noProof/>
        </w:rPr>
        <w:t xml:space="preserve"> ir sniegti vairāki jauni un nostiprinoši instrumenti, lai apkarotu un sodītu likuma apiešanu, krāpšanu un ļaunprātīgu izmantošanu. Tajā </w:t>
      </w:r>
      <w:r>
        <w:rPr>
          <w:noProof/>
        </w:rPr>
        <w:lastRenderedPageBreak/>
        <w:t>risinātas t.s.</w:t>
      </w:r>
      <w:r>
        <w:rPr>
          <w:noProof/>
        </w:rPr>
        <w:t xml:space="preserve"> "pastkastītes uzņēmumu" izraisītās problēmas un palielināta dalībvalstu spēja pārraudzīt darba nosacījumus un īstenot piemērojamos noteikumus. Direktīvā cita starpā uzskaitīti kvalitātes kritēriji, kas liecina par patiesu saikni starp darba devēju un dalī</w:t>
      </w:r>
      <w:r>
        <w:rPr>
          <w:noProof/>
        </w:rPr>
        <w:t>bvalsti, kurā uzņēmums veic uzņēmējdarbību, ko var izmantot arī, lai noteiktu, vai persona atbilst norīkotā darba ņēmēja definīcijai. Izpildes direktīvā arī paredzēti noteikumi administratīvās sadarbības uzlabošanai starp valsts iestādēm, kas atbildīgas pa</w:t>
      </w:r>
      <w:r>
        <w:rPr>
          <w:noProof/>
        </w:rPr>
        <w:t>r norīkošanu darbā. Piemēram, tajā noteikts pienākums atbildēt uz palīdzības pieprasījumiem, kas saņemti no citu dalībvalstu kompetentām iestādēm divu darba dienu laikā attiecībā uz steidzamiem informācijas pieprasījumiem un 25 darbdienu laikā parastos gad</w:t>
      </w:r>
      <w:r>
        <w:rPr>
          <w:noProof/>
        </w:rPr>
        <w:t>ījumos. Turklāt direktīvā ir minēti valsts kontroles pasākumi, ko dalībvalstis var piemērot, pārraugot atbilstību darba nosacījumiem, ko piemēro darbā norīkotajiem darba ņēmējiem, kā arī noteikts, ka jābūt atbilstošām un efektīvām pārbaudēm un pārraudzības</w:t>
      </w:r>
      <w:r>
        <w:rPr>
          <w:noProof/>
        </w:rPr>
        <w:t xml:space="preserve"> mehānismiem un ka valsts iestādēm jāveic efektīvas un atbilstīgas pārbaudes to teritorijā, lai kontrolētu un pārraudzītu atbilstību Direktīvā 96/71/EK izklāstītajiem nosacījumiem un noteikumiem. Pilna direktīvas ietekme būs redzama no 2016. gada vidus, jo</w:t>
      </w:r>
      <w:r>
        <w:rPr>
          <w:noProof/>
        </w:rPr>
        <w:t xml:space="preserve"> dalībvalstīm direktīvas transponēšanai ir dots laiks līdz 2016. gada 18. jūnijam. </w:t>
      </w:r>
    </w:p>
    <w:p w:rsidR="00865EB7" w:rsidRDefault="00B44548">
      <w:pPr>
        <w:ind w:left="850"/>
        <w:rPr>
          <w:noProof/>
        </w:rPr>
      </w:pPr>
      <w:r>
        <w:rPr>
          <w:noProof/>
        </w:rPr>
        <w:t>Pašreizējā iniciatīva nerisina nevienu jautājumu, kas apskatīti Izpildes direktīvā. Tā drīzāk koncentrējas uz jautājumiem, kas tajā netika apskatīti un kas attiecas uz ES r</w:t>
      </w:r>
      <w:r>
        <w:rPr>
          <w:noProof/>
        </w:rPr>
        <w:t>eglamentējošajiem noteikumiem, kas noteikti ar sākotnējo 1996. gada direktīvu. Tādēļ pārskatītā Darba ņēmēju norīkošanas direktīva un Izpildes direktīva viena otru papildina un savstarpēji stiprina.</w:t>
      </w:r>
    </w:p>
    <w:p w:rsidR="00865EB7" w:rsidRDefault="00B44548">
      <w:pPr>
        <w:pStyle w:val="ManualHeading2"/>
        <w:rPr>
          <w:noProof/>
        </w:rPr>
      </w:pPr>
      <w:r>
        <w:t>1.2.</w:t>
      </w:r>
      <w:r>
        <w:tab/>
      </w:r>
      <w:r>
        <w:rPr>
          <w:noProof/>
        </w:rPr>
        <w:t>Saskanība ar pašreizējiem noteikumiem konkrētajā pol</w:t>
      </w:r>
      <w:r>
        <w:rPr>
          <w:noProof/>
        </w:rPr>
        <w:t>itikas jomā</w:t>
      </w:r>
    </w:p>
    <w:p w:rsidR="00865EB7" w:rsidRDefault="00B44548">
      <w:pPr>
        <w:ind w:left="850"/>
        <w:rPr>
          <w:noProof/>
        </w:rPr>
      </w:pPr>
      <w:r>
        <w:rPr>
          <w:noProof/>
        </w:rPr>
        <w:t>Kā vienu no savu pilnvaru galvenajām prioritātēm Komisija ir izvirzījusi darbu, lai panāktu ciešāku un taisnīgāku vienoto tirgu. Darba ņēmēju norīkošanas direktīvas mērķtiecīgo grozījumu priekšlikums integrē un papildina noteikumus, kas iekļaut</w:t>
      </w:r>
      <w:r>
        <w:rPr>
          <w:noProof/>
        </w:rPr>
        <w:t>i Izpildes direktīvā, kura jātransponē līdz 2016. gada 18. jūnijam.</w:t>
      </w:r>
    </w:p>
    <w:p w:rsidR="00865EB7" w:rsidRDefault="00B44548">
      <w:pPr>
        <w:ind w:left="850"/>
        <w:rPr>
          <w:noProof/>
        </w:rPr>
      </w:pPr>
      <w:r>
        <w:rPr>
          <w:noProof/>
        </w:rPr>
        <w:t>Komisijas vadītajās sagatavošanas konsultācijās, kurās piedalījās aptuveni 300 ieinteresētās personas, galvenokārt MVU, 30 % uzņēmumu, kuri sniedz pakalpojumus pāri robežām, ziņoja par pro</w:t>
      </w:r>
      <w:r>
        <w:rPr>
          <w:noProof/>
        </w:rPr>
        <w:t>blēmām saistībā ar spēkā esošajiem noteikumi par darba ņēmēju norīkošanu darbā, piemēram, apgrūtinošām administratīvām prasībām, formalitātēm, nodevām un reģistrācijas prasībām. Skaidrības trūkums par darba tirgus noteikumiem galamērķa valstī arī tiek uzsk</w:t>
      </w:r>
      <w:r>
        <w:rPr>
          <w:noProof/>
        </w:rPr>
        <w:t xml:space="preserve">atīts par būtisku šķērsli pārrobežu pakalpojumu sniegšanai, īpaši MVU. </w:t>
      </w:r>
    </w:p>
    <w:p w:rsidR="00865EB7" w:rsidRDefault="00B44548">
      <w:pPr>
        <w:ind w:left="850"/>
        <w:rPr>
          <w:noProof/>
        </w:rPr>
      </w:pPr>
      <w:r>
        <w:rPr>
          <w:noProof/>
        </w:rPr>
        <w:t>Vienlaikus Darba ņēmēju norīkošanas direktīva ir pamatā iniciatīvām autopārvadājumu nozarē, par ko Komisija paziņoja savā 2016. gada darba programmā. Šie pasākumi būs jo īpaši vērsti u</w:t>
      </w:r>
      <w:r>
        <w:rPr>
          <w:noProof/>
        </w:rPr>
        <w:t>z autopārvadājumu nozarē strādājošo sociālo un darba apstākļu turpmāku uzlabošanu, tajā pašā laikā veicinot efektīvu un godīgu autopārvadājumu pakalpojumu sniegšanu. Divi miljoni darbinieku, kas nodrošina starptautiskos autopārvadājumus, regulāri īsus laik</w:t>
      </w:r>
      <w:r>
        <w:rPr>
          <w:noProof/>
        </w:rPr>
        <w:t>a periodus veic darbu dažādu dalībvalstu teritorijā. Šajā sakarā gaidāmajām iniciatīvām autopārvadājumu nozarē vajadzētu radīt lielāku skaidrību un labāku to noteikumu izpildi, kas piemērojami darba līgumiem autopārvadājumu nozarē, un varētu risināt konkrē</w:t>
      </w:r>
      <w:r>
        <w:rPr>
          <w:noProof/>
        </w:rPr>
        <w:t>tas problēmas, ko šajā konkrētajā nozarē rada Darba ņēmēju norīkošanas direktīvas noteikumu piemērošana.</w:t>
      </w:r>
    </w:p>
    <w:p w:rsidR="00865EB7" w:rsidRDefault="00B44548">
      <w:pPr>
        <w:ind w:left="850"/>
        <w:rPr>
          <w:noProof/>
        </w:rPr>
      </w:pPr>
      <w:r>
        <w:rPr>
          <w:noProof/>
        </w:rPr>
        <w:lastRenderedPageBreak/>
        <w:t xml:space="preserve">Modernizēts tiesiskais regulējums attiecībā uz darba ņēmēju norīkošanu darbā palīdzēs radīt pārredzamus un taisnīgus nosacījumus, lai īstenotu </w:t>
      </w:r>
      <w:r>
        <w:rPr>
          <w:noProof/>
        </w:rPr>
        <w:t>Investīciju plānu Eiropai. Investīciju plāns dos papildu stimulu pārrobežu pakalpojumu sniegšanai un tādējādi palīdzēs apmierināt palielināto pieprasījumu pēc kvalificēta darbaspēka. Tā kā stratēģiski infrastruktūras projekti tiek īstenoti visās dalībvalst</w:t>
      </w:r>
      <w:r>
        <w:rPr>
          <w:noProof/>
        </w:rPr>
        <w:t>īs, uzņēmumiem būs vajadzīgas atbilstošas darba prasmes un būs jānosaka atbilstīgi nosacījumi šāda pieprasījuma apmierināšanai ar pietiekamu nodrošinājumu pāri robežām. Modernizēta Darba ņēmēju norīkošanas direktīva sekmēs ieguldījumus, kas noritēs neizkro</w:t>
      </w:r>
      <w:r>
        <w:rPr>
          <w:noProof/>
        </w:rPr>
        <w:t>pļotas konkurences nosacījumos, ievērojot darba ņēmēju tiesību aizsardzību.</w:t>
      </w:r>
    </w:p>
    <w:p w:rsidR="00865EB7" w:rsidRDefault="00B44548">
      <w:pPr>
        <w:ind w:left="850"/>
        <w:rPr>
          <w:noProof/>
        </w:rPr>
      </w:pPr>
      <w:r>
        <w:rPr>
          <w:noProof/>
        </w:rPr>
        <w:t>ES platforma cīņai pret nedeklarētu darbu var pozitīvi mijiedarboties ar mērķi novērst darba ņēmēju norīkošanas fenomena krāpnieciskus aspektus. Norīkošana darbā ir pakļauta nedekl</w:t>
      </w:r>
      <w:r>
        <w:rPr>
          <w:noProof/>
        </w:rPr>
        <w:t>arēta darba prakses riskam, piemēram, “aplokšņu algas” vai “skaidrā naudā”, kad tikai daļa no algas tiek izmaksāta oficiāli, bet pārējā darbiniekam tiek izsniegta neoficiāli, fiktīva pašnodarbinātība un attiecīgo ES un valstu tiesību aktu apiešana. ES ir p</w:t>
      </w:r>
      <w:r>
        <w:rPr>
          <w:noProof/>
        </w:rPr>
        <w:t>alielinājusi rīcību, lai apkarotu nedeklarētu darbu un turpina rīkoties pret “pastkastīšu” uzņēmumiem. Komisija 2014. gada aprīlī ierosināja izveidot platformu nedeklarēta darba novēršanai un atturēšanai no tā. Platforma apvienos tiesībaizsardzības iestāde</w:t>
      </w:r>
      <w:r>
        <w:rPr>
          <w:noProof/>
        </w:rPr>
        <w:t>s visās dalībvalstīs. Tā veicinās labās prakses apmaiņu, izvērsīs pieredzi un analīzi un veicinās pārrobežu sadarbību ar dalībvalstīm, lai efektīvāk un lietderīgāk apkarotu nedeklarētu darbu.</w:t>
      </w:r>
    </w:p>
    <w:p w:rsidR="00865EB7" w:rsidRDefault="00B44548">
      <w:pPr>
        <w:pStyle w:val="ManualHeading1"/>
        <w:rPr>
          <w:noProof/>
        </w:rPr>
      </w:pPr>
      <w:r>
        <w:t>2.</w:t>
      </w:r>
      <w:r>
        <w:tab/>
      </w:r>
      <w:r>
        <w:rPr>
          <w:noProof/>
        </w:rPr>
        <w:t>JURIDISKAIS PAMATS, SUBSIDIARITĀTE UN PROPORCIONALITĀTE</w:t>
      </w:r>
    </w:p>
    <w:p w:rsidR="00865EB7" w:rsidRDefault="00B44548">
      <w:pPr>
        <w:pStyle w:val="ManualHeading2"/>
        <w:rPr>
          <w:noProof/>
          <w:u w:color="000000"/>
          <w:bdr w:val="nil"/>
        </w:rPr>
      </w:pPr>
      <w:r>
        <w:t>2.1.</w:t>
      </w:r>
      <w:r>
        <w:tab/>
      </w:r>
      <w:r>
        <w:rPr>
          <w:noProof/>
        </w:rPr>
        <w:t>Juridiskais pamats</w:t>
      </w:r>
    </w:p>
    <w:p w:rsidR="00865EB7" w:rsidRDefault="00B44548">
      <w:pPr>
        <w:ind w:left="850"/>
        <w:rPr>
          <w:noProof/>
        </w:rPr>
      </w:pPr>
      <w:r>
        <w:rPr>
          <w:noProof/>
        </w:rPr>
        <w:t>Ar šo priekšlikumu groza Direktīvu 96/71/EK, un tādēļ tas balstās uz to pašu juridisko pamatu – LESD 53. panta 1. punktu un 62. pantu.</w:t>
      </w:r>
    </w:p>
    <w:p w:rsidR="00865EB7" w:rsidRDefault="00B44548">
      <w:pPr>
        <w:pStyle w:val="ManualHeading2"/>
        <w:rPr>
          <w:noProof/>
          <w:u w:color="000000"/>
          <w:bdr w:val="nil"/>
        </w:rPr>
      </w:pPr>
      <w:r>
        <w:t>2.2.</w:t>
      </w:r>
      <w:r>
        <w:tab/>
      </w:r>
      <w:r>
        <w:rPr>
          <w:noProof/>
        </w:rPr>
        <w:t>Subsidiaritāte (neekskluzīvas kompetences gadījumā)</w:t>
      </w:r>
    </w:p>
    <w:p w:rsidR="00865EB7" w:rsidRDefault="00B44548">
      <w:pPr>
        <w:ind w:left="850"/>
        <w:rPr>
          <w:noProof/>
        </w:rPr>
      </w:pPr>
      <w:r>
        <w:rPr>
          <w:noProof/>
        </w:rPr>
        <w:t>Spēkā esošo direktīvu var grozīt, tikai pieņe</w:t>
      </w:r>
      <w:r>
        <w:rPr>
          <w:noProof/>
        </w:rPr>
        <w:t>mot jaunu direktīvu.</w:t>
      </w:r>
    </w:p>
    <w:p w:rsidR="00865EB7" w:rsidRDefault="00B44548">
      <w:pPr>
        <w:pStyle w:val="ManualHeading2"/>
        <w:rPr>
          <w:noProof/>
          <w:u w:color="000000"/>
          <w:bdr w:val="nil"/>
        </w:rPr>
      </w:pPr>
      <w:r>
        <w:t>2.3.</w:t>
      </w:r>
      <w:r>
        <w:tab/>
      </w:r>
      <w:r>
        <w:rPr>
          <w:noProof/>
        </w:rPr>
        <w:t>Proporcionalitāte</w:t>
      </w:r>
    </w:p>
    <w:p w:rsidR="00865EB7" w:rsidRDefault="00B44548">
      <w:pPr>
        <w:ind w:left="850"/>
        <w:rPr>
          <w:noProof/>
        </w:rPr>
      </w:pPr>
      <w:r>
        <w:rPr>
          <w:noProof/>
        </w:rPr>
        <w:t xml:space="preserve">No pastāvīgās judikatūras izriet, ka pakalpojumu sniegšanas brīvību var ierobežot tikai ar noteikumiem, ko var pamatot ar būtiskām vispārējām interesēm, jo īpaši attiecībā uz darba ņēmēju aizsardzību, un tiem </w:t>
      </w:r>
      <w:r>
        <w:rPr>
          <w:noProof/>
        </w:rPr>
        <w:t>jābūt samērīgiem un vajadzīgiem.</w:t>
      </w:r>
    </w:p>
    <w:p w:rsidR="00865EB7" w:rsidRDefault="00B44548">
      <w:pPr>
        <w:ind w:left="850"/>
        <w:rPr>
          <w:noProof/>
        </w:rPr>
      </w:pPr>
      <w:r>
        <w:rPr>
          <w:noProof/>
        </w:rPr>
        <w:t>Šis priekšlikums atbilst minētajai prasībai, jo ar to Eiropā netiek saskaņotas darba izmaksas un tas ir ierobežots tikai tiktāl, cik nepieciešams, lai norīkotajiem darba ņēmējiem norīkojuma laikā nodrošinātu uzņēmējdalībval</w:t>
      </w:r>
      <w:r>
        <w:rPr>
          <w:noProof/>
        </w:rPr>
        <w:t>sts dzīves līmenim atbilstošus apstākļus un nosacījumus.</w:t>
      </w:r>
    </w:p>
    <w:p w:rsidR="00865EB7" w:rsidRDefault="00B44548">
      <w:pPr>
        <w:ind w:left="850"/>
        <w:rPr>
          <w:noProof/>
        </w:rPr>
      </w:pPr>
      <w:r>
        <w:rPr>
          <w:noProof/>
        </w:rPr>
        <w:t xml:space="preserve">Augsti konkurētspējīgā iekšējā tirgū konkurence balstās uz pakalpojumu kvalitāti, ražīgumu, izmaksām (darbaspēka izmaksas ir tikai viena daļa) un inovāciju. Tādēļ šis priekšlikums paredz vienīgi tos </w:t>
      </w:r>
      <w:r>
        <w:rPr>
          <w:noProof/>
        </w:rPr>
        <w:t>pasākumus, kas ir vajadzīgi tā mērķa sasniegšanai.</w:t>
      </w:r>
    </w:p>
    <w:p w:rsidR="00865EB7" w:rsidRDefault="00B44548">
      <w:pPr>
        <w:pStyle w:val="ManualHeading1"/>
        <w:rPr>
          <w:noProof/>
        </w:rPr>
      </w:pPr>
      <w:r>
        <w:t>3.</w:t>
      </w:r>
      <w:r>
        <w:tab/>
      </w:r>
      <w:r>
        <w:rPr>
          <w:i/>
          <w:noProof/>
        </w:rPr>
        <w:t>EX POST</w:t>
      </w:r>
      <w:r>
        <w:rPr>
          <w:noProof/>
        </w:rPr>
        <w:t xml:space="preserve"> IZVĒRTĒJUMU, APSPRIEŠANĀS AR IEINTERESĒTAJĀM PERSONĀM UN IETEKMES NOVĒRTĒJUMU REZULTĀTI</w:t>
      </w:r>
    </w:p>
    <w:p w:rsidR="00865EB7" w:rsidRDefault="00B44548">
      <w:pPr>
        <w:pStyle w:val="ManualHeading2"/>
        <w:rPr>
          <w:noProof/>
          <w:u w:color="000000"/>
          <w:bdr w:val="nil"/>
        </w:rPr>
      </w:pPr>
      <w:r>
        <w:t>3.1.</w:t>
      </w:r>
      <w:r>
        <w:tab/>
      </w:r>
      <w:r>
        <w:rPr>
          <w:noProof/>
        </w:rPr>
        <w:t>Apspriešanās ar ieinteresētajām personām</w:t>
      </w:r>
    </w:p>
    <w:p w:rsidR="00865EB7" w:rsidRDefault="00B44548">
      <w:pPr>
        <w:ind w:left="850"/>
        <w:rPr>
          <w:noProof/>
        </w:rPr>
      </w:pPr>
      <w:r>
        <w:rPr>
          <w:noProof/>
        </w:rPr>
        <w:t>Ar kopīgu vēstuli Austrija, Beļģija, Francija, Vācija, Lukse</w:t>
      </w:r>
      <w:r>
        <w:rPr>
          <w:noProof/>
        </w:rPr>
        <w:t>mburga, Nīderlande un Zviedrija ir pieprasījušas atbalstu Darba ņēmēju norīkošanas direktīvas modernizēšanai, kurā noteikts princips “vienāda samaksa par vienādu darbu vienā un tajā pašā vietā”. Šīs dalībvalstis ierosināja, ka būtu jāgroza un jāpaplašina n</w:t>
      </w:r>
      <w:r>
        <w:rPr>
          <w:noProof/>
        </w:rPr>
        <w:t>oteikumi par norīkotajiem darba ņēmējiem piemērojamajiem darba un sociālajiem nosacījumiem, jo īpaši atalgojumu; jānosaka maksimālais norīkojuma ilguma ierobežojums, īpašu uzmanību pievēršot noteikumu saskaņošanai ar ES regulu par sociālā nodrošinājuma sis</w:t>
      </w:r>
      <w:r>
        <w:rPr>
          <w:noProof/>
        </w:rPr>
        <w:t>tēmu koordināciju; būtu jāprecizē nosacījumi, kas piemērojami autotransporta nozarē; jāstiprina portatīvajā dokumentā A1 ietvertās informācijas bāzes uzticamība; jāuzlabo pārrobežu sadarbība starp pārbaudes dienestiem; un būtu jāveicina pētījums par fiktīv</w:t>
      </w:r>
      <w:r>
        <w:rPr>
          <w:noProof/>
        </w:rPr>
        <w:t>as pašnodarbinātības ietekmes apmēru darbā norīkošanas kontekstā.</w:t>
      </w:r>
    </w:p>
    <w:p w:rsidR="00865EB7" w:rsidRDefault="00B44548">
      <w:pPr>
        <w:ind w:left="850"/>
        <w:rPr>
          <w:noProof/>
        </w:rPr>
      </w:pPr>
      <w:r>
        <w:rPr>
          <w:noProof/>
        </w:rPr>
        <w:t xml:space="preserve">Bulgārija, Čehijas Republika, Igaunija, Ungārija, Latvija, Lietuva, Polija, Slovākija un Rumānija kopīgā vēstulē apgalvoja, ka 1996. gada Direktīvas pārskatīšana ir pāragra un būtu jāatliek </w:t>
      </w:r>
      <w:r>
        <w:rPr>
          <w:noProof/>
        </w:rPr>
        <w:t>uz laiku pēc Izpildes direktīvas transponēšanai noteiktā termiņa beigām, kad būs rūpīgi izvērtēta tās ietekme. Šīs dalībvalstis pauda bažas, ka princips “vienāda samaksa par vienādu darbu vienā un tajā pašā vietā” var būt nesaderīgs ar vienoto tirgu, jo sa</w:t>
      </w:r>
      <w:r>
        <w:rPr>
          <w:noProof/>
        </w:rPr>
        <w:t>maksas likmes atšķirības ir viens no konkurences priekšrocību likumīgiem elementiem pakalpojumu sniedzējiem. Turklāt tās uzskata, ka uz norīkotajiem darba ņēmējiem vajadzētu attiecināt nosūtītājas valsts tiesību aktus sociālā nodrošinājuma vajadzībām, un t</w:t>
      </w:r>
      <w:r>
        <w:rPr>
          <w:noProof/>
        </w:rPr>
        <w:t>ādēļ nebūtu nekas jādara, lai pārskatītu saikni starp darba ņēmēju norīkošanu un sociālā nodrošinājuma koordināciju šajā jomā. Visbeidzot tās aicināja Komisiju apsvērt rīcību tikai tad, ja tā ir rūpīgi izanalizējusi pierādījumus par pārrobežu pakalpojumu s</w:t>
      </w:r>
      <w:r>
        <w:rPr>
          <w:noProof/>
        </w:rPr>
        <w:t xml:space="preserve">niegšanas problēmām un īpatnībām. </w:t>
      </w:r>
    </w:p>
    <w:p w:rsidR="00865EB7" w:rsidRDefault="00B44548">
      <w:pPr>
        <w:ind w:left="850"/>
        <w:rPr>
          <w:noProof/>
          <w:vanish/>
          <w:specVanish/>
        </w:rPr>
      </w:pPr>
      <w:r>
        <w:rPr>
          <w:noProof/>
        </w:rPr>
        <w:t>Eiropas Arodbiedrību konfederācija (</w:t>
      </w:r>
      <w:r>
        <w:rPr>
          <w:i/>
          <w:noProof/>
        </w:rPr>
        <w:t>ETUC</w:t>
      </w:r>
      <w:r>
        <w:rPr>
          <w:noProof/>
        </w:rPr>
        <w:t xml:space="preserve">) pauda atbalstu pārskatīšanai, lai nodrošinātu vienlīdzīgas attieksmes principa ievērošanu. Tomēr šajā kontekstā </w:t>
      </w:r>
      <w:r>
        <w:rPr>
          <w:i/>
          <w:noProof/>
        </w:rPr>
        <w:t>ETUC</w:t>
      </w:r>
      <w:r>
        <w:rPr>
          <w:noProof/>
        </w:rPr>
        <w:t xml:space="preserve"> aicināja Komisiju ievērot sociālo partneru neatkarību sarunās </w:t>
      </w:r>
      <w:r>
        <w:rPr>
          <w:noProof/>
        </w:rPr>
        <w:t xml:space="preserve">par algām un valstu darba attiecību sistēmu daudzveidību, paredzot noteikumus par atalgojuma pamatelementiem un tādējādi radot labvēlīgus apstākļus uzņēmumu nevis nozares koplīgumiem. Savukārt </w:t>
      </w:r>
      <w:r>
        <w:rPr>
          <w:i/>
          <w:noProof/>
        </w:rPr>
        <w:t>ETUC</w:t>
      </w:r>
      <w:r>
        <w:rPr>
          <w:noProof/>
        </w:rPr>
        <w:t xml:space="preserve"> ieteica Komisijai ierosināt pasākumus attiecībā uz prasību</w:t>
      </w:r>
      <w:r>
        <w:rPr>
          <w:noProof/>
        </w:rPr>
        <w:t xml:space="preserve"> par iepriekšējās nodarbinātības periodu izcelsmes valstī īpašu piemērošanu norīkotajiem pagaidu darba aģentūru darba ņēmējiem, jaunus noteikumi par cīņu pret fiktīvu pašnodarbinātību un efektīvākus izpildes pasākumus, jo īpaši pārbaudes un uzticamākus soc</w:t>
      </w:r>
      <w:r>
        <w:rPr>
          <w:noProof/>
        </w:rPr>
        <w:t xml:space="preserve">iālā nodrošinājuma veidus.  </w:t>
      </w:r>
    </w:p>
    <w:p w:rsidR="00865EB7" w:rsidRDefault="00B44548">
      <w:pPr>
        <w:ind w:left="850"/>
        <w:rPr>
          <w:noProof/>
        </w:rPr>
      </w:pPr>
      <w:r>
        <w:rPr>
          <w:noProof/>
        </w:rPr>
        <w:t>Eiropas Būvnieku konfederācija (</w:t>
      </w:r>
      <w:r>
        <w:rPr>
          <w:i/>
          <w:noProof/>
        </w:rPr>
        <w:t>EBC</w:t>
      </w:r>
      <w:r>
        <w:rPr>
          <w:noProof/>
        </w:rPr>
        <w:t>), kas pārstāv MVU būvniecības nozarē, ir paudusi atbalstu 1996. gada direktīvas izskatīšanas atsākšanai saskaņā ar principu “vienāda samaksa par vienādu darbu vienā un tajā pašā vietā”. Direk</w:t>
      </w:r>
      <w:r>
        <w:rPr>
          <w:noProof/>
        </w:rPr>
        <w:t>tīvas pārskatīšanu ir atbalstījusi arī ES Būvniecības un kokapstrādes darbinieku arodbiedrība (</w:t>
      </w:r>
      <w:r>
        <w:rPr>
          <w:i/>
          <w:noProof/>
        </w:rPr>
        <w:t>EFBWW</w:t>
      </w:r>
      <w:r>
        <w:rPr>
          <w:noProof/>
        </w:rPr>
        <w:t>), Nīderlandes arodbiedrību konfederācija (</w:t>
      </w:r>
      <w:r>
        <w:rPr>
          <w:i/>
          <w:noProof/>
        </w:rPr>
        <w:t>FNV</w:t>
      </w:r>
      <w:r>
        <w:rPr>
          <w:noProof/>
        </w:rPr>
        <w:t>), Igaunijas arodbiedrību konfederācija un Ziemeļvalstu arodbiedrību padome. ES būvniecības nozares sociālie p</w:t>
      </w:r>
      <w:r>
        <w:rPr>
          <w:noProof/>
        </w:rPr>
        <w:t>artneri (</w:t>
      </w:r>
      <w:r>
        <w:rPr>
          <w:i/>
          <w:noProof/>
        </w:rPr>
        <w:t>FIEC</w:t>
      </w:r>
      <w:r>
        <w:rPr>
          <w:noProof/>
        </w:rPr>
        <w:t xml:space="preserve"> un</w:t>
      </w:r>
      <w:r>
        <w:rPr>
          <w:i/>
          <w:noProof/>
        </w:rPr>
        <w:t xml:space="preserve"> EFBWW</w:t>
      </w:r>
      <w:r>
        <w:rPr>
          <w:noProof/>
        </w:rPr>
        <w:t>) arī ir pieņēmuši kopējo nostāju, aicinot Komisiju izvērtēt vairākus ar norīkošanu darbā saistītos jautājumus.</w:t>
      </w:r>
    </w:p>
    <w:p w:rsidR="00865EB7" w:rsidRDefault="00B44548">
      <w:pPr>
        <w:ind w:left="850"/>
        <w:rPr>
          <w:noProof/>
        </w:rPr>
      </w:pPr>
      <w:r>
        <w:rPr>
          <w:i/>
          <w:noProof/>
        </w:rPr>
        <w:t>BUSINESSEUROPE</w:t>
      </w:r>
      <w:r>
        <w:rPr>
          <w:noProof/>
        </w:rPr>
        <w:t xml:space="preserve"> par prioritāti uzskatījusi pareizu Izpildes direktīvas transponēšanu, jo tā uzskata, ka lielākā daļa problē</w:t>
      </w:r>
      <w:r>
        <w:rPr>
          <w:noProof/>
        </w:rPr>
        <w:t xml:space="preserve">mu attiecībā uz darba ņēmēju norīkošanu ir saistītas ar sliktu izpildi un kontroles trūkumu dalībvalstīs. </w:t>
      </w:r>
      <w:r>
        <w:rPr>
          <w:i/>
          <w:noProof/>
        </w:rPr>
        <w:t>BUSINESSEUROPE</w:t>
      </w:r>
      <w:r>
        <w:rPr>
          <w:noProof/>
        </w:rPr>
        <w:t xml:space="preserve"> arī norādīja, ka ar direktīvas izskatīšanas atsākšana var samazināt darbā norīkošanas darbības dēļ nenoteiktības, kas rastos sarunās st</w:t>
      </w:r>
      <w:r>
        <w:rPr>
          <w:noProof/>
        </w:rPr>
        <w:t xml:space="preserve">arp uzņēmumiem. Lai gan </w:t>
      </w:r>
      <w:r>
        <w:rPr>
          <w:i/>
          <w:noProof/>
        </w:rPr>
        <w:t>BUSINESSEUROPE</w:t>
      </w:r>
      <w:r>
        <w:rPr>
          <w:noProof/>
        </w:rPr>
        <w:t xml:space="preserve"> atbalstīja pasākumus, lai palielinātu portatīvo dokumentu uzticamību un pārredzamību, tā uzskatīja, ka princips “vienāda samaksa par vienādu darbu” radītu nevajadzīgu ES iejaukšanos sociālo partneru brīvā algu līmeņa </w:t>
      </w:r>
      <w:r>
        <w:rPr>
          <w:noProof/>
        </w:rPr>
        <w:t>noteikšanā, un atgādināja, ka vienlīdzīgus konkurences apstākļus rada liels ES tiesību aktu kopums, kas risina dažādus darba likumdošanas aspektus. Šiem argumentiem piekrita arī Metālapstrādes, mašīnbūves un tehnoloģiskās rūpniecības (</w:t>
      </w:r>
      <w:r>
        <w:rPr>
          <w:i/>
          <w:noProof/>
        </w:rPr>
        <w:t>CEEMET</w:t>
      </w:r>
      <w:r>
        <w:rPr>
          <w:noProof/>
        </w:rPr>
        <w:t xml:space="preserve">) darba devēju </w:t>
      </w:r>
      <w:r>
        <w:rPr>
          <w:noProof/>
        </w:rPr>
        <w:t>pārstāvji un Eiropas Vadošā personāla konfederācija (</w:t>
      </w:r>
      <w:r>
        <w:rPr>
          <w:i/>
          <w:noProof/>
        </w:rPr>
        <w:t>CEC</w:t>
      </w:r>
      <w:r>
        <w:rPr>
          <w:noProof/>
        </w:rPr>
        <w:t>). Čehijas Republikas rūpniecības konfederācijas un Rūpniecības apvienības no Somijas, Zviedrijas, Dānijas, Islandes un Norvēģijas kopīgā vēstulē arī izteica bažas par principa “vienāda samaksa par vi</w:t>
      </w:r>
      <w:r>
        <w:rPr>
          <w:noProof/>
        </w:rPr>
        <w:t xml:space="preserve">enādu darbu” ieviešanu Darba ņēmēju norīkošanas direktīvā. </w:t>
      </w:r>
    </w:p>
    <w:p w:rsidR="00865EB7" w:rsidRDefault="00B44548">
      <w:pPr>
        <w:ind w:left="850"/>
        <w:rPr>
          <w:noProof/>
        </w:rPr>
      </w:pPr>
      <w:r>
        <w:rPr>
          <w:noProof/>
        </w:rPr>
        <w:t xml:space="preserve">Tāpat </w:t>
      </w:r>
      <w:r>
        <w:rPr>
          <w:i/>
          <w:noProof/>
        </w:rPr>
        <w:t>UAPME</w:t>
      </w:r>
      <w:r>
        <w:rPr>
          <w:noProof/>
        </w:rPr>
        <w:t xml:space="preserve"> uzskata, ka Darba ņēmēju norīkošanas direktīvu nevajadzētu grozīt pirms ir pabeigta Izpildes direktīvas transponēšana un izvērtēta tās ietekme. </w:t>
      </w:r>
    </w:p>
    <w:p w:rsidR="00865EB7" w:rsidRDefault="00B44548">
      <w:pPr>
        <w:ind w:left="850"/>
        <w:rPr>
          <w:noProof/>
        </w:rPr>
      </w:pPr>
      <w:r>
        <w:rPr>
          <w:i/>
          <w:noProof/>
        </w:rPr>
        <w:t>EUROCIETT</w:t>
      </w:r>
      <w:r>
        <w:rPr>
          <w:noProof/>
        </w:rPr>
        <w:t>, kas pārstāv pagaidu darba aģ</w:t>
      </w:r>
      <w:r>
        <w:rPr>
          <w:noProof/>
        </w:rPr>
        <w:t xml:space="preserve">entūru nozari, ir konstatējusi, ka kopumā nav nepieciešams atkārtoti izskatīt 1996. gada direktīvu. </w:t>
      </w:r>
      <w:r>
        <w:rPr>
          <w:i/>
          <w:noProof/>
        </w:rPr>
        <w:t>EUROCIETT</w:t>
      </w:r>
      <w:r>
        <w:rPr>
          <w:noProof/>
        </w:rPr>
        <w:t xml:space="preserve"> tomēr atbalstīja principu par vienādu darba samaksu par vienādu darbu attiecībā uz norīkotajiem pagaidu darba aģentūru darba ņēmējiem un atbalstīj</w:t>
      </w:r>
      <w:r>
        <w:rPr>
          <w:noProof/>
        </w:rPr>
        <w:t xml:space="preserve">a direktīvas par pagaidu darba aģentūrām pilna noteikumu kopuma piemērošanu norīkotiem aģentūru darba ņēmējiem. </w:t>
      </w:r>
    </w:p>
    <w:p w:rsidR="00865EB7" w:rsidRDefault="00B44548">
      <w:pPr>
        <w:pStyle w:val="ManualHeading1"/>
        <w:rPr>
          <w:noProof/>
          <w:u w:color="000000"/>
          <w:bdr w:val="nil"/>
        </w:rPr>
      </w:pPr>
      <w:r>
        <w:t>4.</w:t>
      </w:r>
      <w:r>
        <w:tab/>
      </w:r>
      <w:r>
        <w:rPr>
          <w:noProof/>
        </w:rPr>
        <w:t>Ekspertu atzinumu pieprasīšana un izmantošana</w:t>
      </w:r>
    </w:p>
    <w:p w:rsidR="00865EB7" w:rsidRDefault="00B44548">
      <w:pPr>
        <w:ind w:left="850"/>
        <w:rPr>
          <w:noProof/>
        </w:rPr>
      </w:pPr>
      <w:r>
        <w:rPr>
          <w:noProof/>
        </w:rPr>
        <w:t>Gatavojot šo iniciatīvu tika izmantoti vairāki pētījumi, ziņojumi un raksti. Atsauces ir atrod</w:t>
      </w:r>
      <w:r>
        <w:rPr>
          <w:noProof/>
        </w:rPr>
        <w:t xml:space="preserve">amas ietekmes novērtējuma ziņojumā, kas pievienots šim priekšlikumam. </w:t>
      </w:r>
    </w:p>
    <w:p w:rsidR="00865EB7" w:rsidRDefault="00B44548">
      <w:pPr>
        <w:pStyle w:val="ManualHeading1"/>
        <w:rPr>
          <w:noProof/>
          <w:u w:color="000000"/>
          <w:bdr w:val="nil"/>
        </w:rPr>
      </w:pPr>
      <w:r>
        <w:t>5.</w:t>
      </w:r>
      <w:r>
        <w:tab/>
      </w:r>
      <w:r>
        <w:rPr>
          <w:noProof/>
        </w:rPr>
        <w:t>Ietekmes novērtējums</w:t>
      </w:r>
    </w:p>
    <w:p w:rsidR="00865EB7" w:rsidRDefault="00B44548">
      <w:pPr>
        <w:ind w:left="850"/>
        <w:rPr>
          <w:noProof/>
        </w:rPr>
      </w:pPr>
      <w:r>
        <w:rPr>
          <w:noProof/>
        </w:rPr>
        <w:t>Šim priekšlikumam ir pievienots ietekmes novērtējuma ziņojums, kurā analizēts norīkošanas fenomens, aprakstīta problēma ar pašreizējo tiesisko regulējumu, paredz</w:t>
      </w:r>
      <w:r>
        <w:rPr>
          <w:noProof/>
        </w:rPr>
        <w:t>ēti dažādi politikas varianti, lai to risinātu, un, visbeidzot, novērtēta politikas risinājumu sociālā un ekonomiskā ietekme.</w:t>
      </w:r>
    </w:p>
    <w:p w:rsidR="00865EB7" w:rsidRDefault="00B44548">
      <w:pPr>
        <w:pStyle w:val="ManualHeading1"/>
        <w:rPr>
          <w:noProof/>
          <w:u w:color="000000"/>
          <w:bdr w:val="nil"/>
        </w:rPr>
      </w:pPr>
      <w:r>
        <w:t>6.</w:t>
      </w:r>
      <w:r>
        <w:tab/>
      </w:r>
      <w:r>
        <w:rPr>
          <w:noProof/>
        </w:rPr>
        <w:t>Pamattiesības</w:t>
      </w:r>
    </w:p>
    <w:p w:rsidR="00865EB7" w:rsidRDefault="00B44548">
      <w:pPr>
        <w:ind w:left="850"/>
        <w:rPr>
          <w:noProof/>
        </w:rPr>
      </w:pPr>
      <w:r>
        <w:rPr>
          <w:noProof/>
        </w:rPr>
        <w:t>Šajā direktīvā ievēro pamattiesības un principus, kas atzīti Eiropas Savienības Pamattiesību hartā</w:t>
      </w:r>
      <w:bookmarkStart w:id="0" w:name="_GoBack"/>
      <w:bookmarkEnd w:id="0"/>
      <w:r>
        <w:rPr>
          <w:noProof/>
        </w:rPr>
        <w:t>. Tā jo īpa</w:t>
      </w:r>
      <w:r>
        <w:rPr>
          <w:noProof/>
        </w:rPr>
        <w:t>ši ir izstrādāta, lai nodrošinātu pilnīgu atbilstību hartas 31. pantam, kas nosaka, ka katram darba ņēmējam ir tiesības uz veselībai nekaitīgiem, drošiem un cilvēka cieņai atbilstošiem darba apstākļiem un uz maksimālā darba laika ierobežošanu, uz dienas un</w:t>
      </w:r>
      <w:r>
        <w:rPr>
          <w:noProof/>
        </w:rPr>
        <w:t xml:space="preserve"> nedēļas atpūtas laiku, kā arī uz ikgadēju apmaksātu atvaļinājumu.</w:t>
      </w:r>
    </w:p>
    <w:p w:rsidR="00865EB7" w:rsidRDefault="00B44548">
      <w:pPr>
        <w:pStyle w:val="ManualHeading1"/>
        <w:rPr>
          <w:noProof/>
          <w:u w:color="000000"/>
          <w:bdr w:val="nil"/>
        </w:rPr>
      </w:pPr>
      <w:r>
        <w:t>7.</w:t>
      </w:r>
      <w:r>
        <w:tab/>
      </w:r>
      <w:r>
        <w:rPr>
          <w:noProof/>
        </w:rPr>
        <w:t>Priekšlikuma konkrēto noteikumu sīks skaidrojums</w:t>
      </w:r>
    </w:p>
    <w:p w:rsidR="00865EB7" w:rsidRDefault="00B44548">
      <w:pPr>
        <w:ind w:left="850"/>
        <w:rPr>
          <w:noProof/>
        </w:rPr>
      </w:pPr>
      <w:r>
        <w:rPr>
          <w:noProof/>
        </w:rPr>
        <w:t>Ar priekšlikuma 1. pantu Direktīvā 96/71/EK ievieš vairākas izmaiņas.</w:t>
      </w:r>
    </w:p>
    <w:p w:rsidR="00865EB7" w:rsidRDefault="00B44548">
      <w:pPr>
        <w:pStyle w:val="ManualHeading2"/>
        <w:rPr>
          <w:noProof/>
        </w:rPr>
      </w:pPr>
      <w:r>
        <w:t>7.1.</w:t>
      </w:r>
      <w:r>
        <w:tab/>
      </w:r>
      <w:r>
        <w:rPr>
          <w:noProof/>
        </w:rPr>
        <w:t>1. punkts</w:t>
      </w:r>
    </w:p>
    <w:p w:rsidR="00865EB7" w:rsidRDefault="00B44548">
      <w:pPr>
        <w:ind w:left="850"/>
        <w:rPr>
          <w:noProof/>
        </w:rPr>
      </w:pPr>
      <w:r>
        <w:rPr>
          <w:noProof/>
        </w:rPr>
        <w:t xml:space="preserve">Ar 1. punktu direktīvai pievieno jaunu 2.bis pantu. Šis pants attiecas uz darba tiesībām, kas piemērojamas norīkotajiem darba ņēmējiem, ja plānotā vai faktiskā norīkojuma ilgums pārsniedz divdesmit četrus mēnešus. Tas neskar pagaidu pakalpojumu sniegšanas </w:t>
      </w:r>
      <w:r>
        <w:rPr>
          <w:noProof/>
        </w:rPr>
        <w:t>iespējamo ilgumu. Tiesa ir konsekventi atzinusi, ka atšķirība starp brīvību veikt uzņēmējdarbību un brīvību sniegt pakalpojumus uz laiku ir jāpieņem katrā gadījumā atsevišķi, ņemot vērā ne tikai pakalpojumu sniegšanas ilgumu, bet regularitāti, periodiskumu</w:t>
      </w:r>
      <w:r>
        <w:rPr>
          <w:noProof/>
        </w:rPr>
        <w:t xml:space="preserve"> un pastāvīgumu. </w:t>
      </w:r>
    </w:p>
    <w:p w:rsidR="00865EB7" w:rsidRDefault="00B44548">
      <w:pPr>
        <w:ind w:left="850"/>
        <w:rPr>
          <w:noProof/>
        </w:rPr>
      </w:pPr>
      <w:r>
        <w:rPr>
          <w:noProof/>
        </w:rPr>
        <w:t xml:space="preserve">Jaunā 2.bis panta 1. punktu piemēro, ja sagaidāms, ka norīkojuma ilgums pārsniegs 24 mēnešus vai ja faktiskais norīkojuma ilgums pārsniedz 24 mēnešus. Abos gadījumos par uzņēmējdalībvalsti uzskata valsti, kurā darba ņēmējs pastāvīgi veic </w:t>
      </w:r>
      <w:r>
        <w:rPr>
          <w:noProof/>
        </w:rPr>
        <w:t>darbu. Piemērojot regulas Roma I</w:t>
      </w:r>
      <w:r>
        <w:rPr>
          <w:rStyle w:val="FootnoteReference"/>
          <w:noProof/>
        </w:rPr>
        <w:footnoteReference w:id="3"/>
      </w:r>
      <w:r>
        <w:rPr>
          <w:noProof/>
        </w:rPr>
        <w:t xml:space="preserve"> noteikumus, šādu norīkoto darba ņēmēju darba līgumam tādējādi piemēro uzņēmējdalībvalsts tiesību aktus, ja nav izdarīta cita izvēle. Ja cita izvēle ir izdarīta, tai nedrīkst būt ietekme, kā rezultātā darba ņēmējam tiktu li</w:t>
      </w:r>
      <w:r>
        <w:rPr>
          <w:noProof/>
        </w:rPr>
        <w:t>egta aizsardzība, ko nodrošina tādi noteikumi, no kuriem nevar atkāpties ar līgumu saskaņā ar uzņēmējdalībvalsts tiesību aktiem.</w:t>
      </w:r>
    </w:p>
    <w:p w:rsidR="00865EB7" w:rsidRDefault="00B44548">
      <w:pPr>
        <w:ind w:left="850"/>
        <w:rPr>
          <w:noProof/>
        </w:rPr>
      </w:pPr>
      <w:r>
        <w:rPr>
          <w:noProof/>
        </w:rPr>
        <w:t xml:space="preserve">Lai izvairītos no tā, ka tiek apieti noteikumi, kas izklāstīti 1. punktā, 2. punktā ir precizēts, ka, darba ņēmēja aizstāšanas </w:t>
      </w:r>
      <w:r>
        <w:rPr>
          <w:noProof/>
        </w:rPr>
        <w:t>gadījumā attiecībā uz vienu un to pašu uzdevumu, aprēķinot norīkojuma ilgumu, ir jāņem vērā attiecīgo darba ņēmēju norīkojuma kumulatīvais ilgums. 1. punkta noteikumu piemēro vienmēr, kad kopējais ilgums pārsniedz 24 mēnešus, bet, lai ievērotu proporcional</w:t>
      </w:r>
      <w:r>
        <w:rPr>
          <w:noProof/>
        </w:rPr>
        <w:t>itātes principu, to piemēro tikai darba ņēmējiem, kas norīkoti vismaz sešus mēnešus.</w:t>
      </w:r>
    </w:p>
    <w:p w:rsidR="00865EB7" w:rsidRDefault="00B44548">
      <w:pPr>
        <w:pStyle w:val="ManualHeading2"/>
        <w:rPr>
          <w:noProof/>
        </w:rPr>
      </w:pPr>
      <w:r>
        <w:t>7.2.</w:t>
      </w:r>
      <w:r>
        <w:tab/>
      </w:r>
      <w:r>
        <w:rPr>
          <w:noProof/>
        </w:rPr>
        <w:t>2. punkts</w:t>
      </w:r>
    </w:p>
    <w:p w:rsidR="00865EB7" w:rsidRDefault="00B44548">
      <w:pPr>
        <w:ind w:left="850"/>
        <w:rPr>
          <w:noProof/>
        </w:rPr>
      </w:pPr>
      <w:r>
        <w:rPr>
          <w:noProof/>
        </w:rPr>
        <w:t>Ar 2. pantu ievieš vairākas izmaiņas direktīvas 3. pantā.</w:t>
      </w:r>
    </w:p>
    <w:p w:rsidR="00865EB7" w:rsidRDefault="00B44548">
      <w:pPr>
        <w:ind w:left="850"/>
        <w:rPr>
          <w:b/>
          <w:noProof/>
        </w:rPr>
      </w:pPr>
      <w:r>
        <w:rPr>
          <w:b/>
          <w:noProof/>
        </w:rPr>
        <w:t>a) apakšpunkts</w:t>
      </w:r>
    </w:p>
    <w:p w:rsidR="00865EB7" w:rsidRDefault="00B44548">
      <w:pPr>
        <w:ind w:left="850"/>
        <w:rPr>
          <w:noProof/>
        </w:rPr>
      </w:pPr>
      <w:r>
        <w:rPr>
          <w:noProof/>
        </w:rPr>
        <w:t>Ar a) apakšpunktu aizstāj direktīvas 3. panta 1. punktu.</w:t>
      </w:r>
    </w:p>
    <w:p w:rsidR="00865EB7" w:rsidRDefault="00B44548">
      <w:pPr>
        <w:ind w:left="850"/>
        <w:rPr>
          <w:noProof/>
        </w:rPr>
      </w:pPr>
      <w:r>
        <w:rPr>
          <w:noProof/>
        </w:rPr>
        <w:t>Ar jauno tekstu ievieš trī</w:t>
      </w:r>
      <w:r>
        <w:rPr>
          <w:noProof/>
        </w:rPr>
        <w:t>s galvenās izmaiņas:</w:t>
      </w:r>
    </w:p>
    <w:p w:rsidR="00865EB7" w:rsidRDefault="00B44548">
      <w:pPr>
        <w:pStyle w:val="Tiret1"/>
        <w:numPr>
          <w:ilvl w:val="0"/>
          <w:numId w:val="6"/>
        </w:numPr>
        <w:rPr>
          <w:noProof/>
        </w:rPr>
      </w:pPr>
      <w:r>
        <w:rPr>
          <w:noProof/>
        </w:rPr>
        <w:t>tiek likvidēta atsauce otrajā ievilkumā “uz pielikumā minētajām darbībām”;</w:t>
      </w:r>
    </w:p>
    <w:p w:rsidR="00865EB7" w:rsidRDefault="00B44548">
      <w:pPr>
        <w:pStyle w:val="Tiret1"/>
        <w:rPr>
          <w:noProof/>
        </w:rPr>
      </w:pPr>
      <w:r>
        <w:rPr>
          <w:noProof/>
        </w:rPr>
        <w:t>atsauce uz “minimālajām algas likmēm” tiek aizstāta ar atsauci uz “atalgojums”</w:t>
      </w:r>
      <w:r>
        <w:rPr>
          <w:rStyle w:val="FootnoteReference"/>
          <w:noProof/>
        </w:rPr>
        <w:footnoteReference w:id="4"/>
      </w:r>
      <w:r>
        <w:rPr>
          <w:noProof/>
        </w:rPr>
        <w:t>;</w:t>
      </w:r>
    </w:p>
    <w:p w:rsidR="00865EB7" w:rsidRDefault="00B44548">
      <w:pPr>
        <w:pStyle w:val="Tiret1"/>
        <w:rPr>
          <w:noProof/>
        </w:rPr>
      </w:pPr>
      <w:r>
        <w:rPr>
          <w:noProof/>
        </w:rPr>
        <w:t>tiek pievienota jauna daļa, ar kuru dalībvalstīm uzliek pienākumu publicēt info</w:t>
      </w:r>
      <w:r>
        <w:rPr>
          <w:noProof/>
        </w:rPr>
        <w:t>rmāciju par atalgojuma pamatelementiem.</w:t>
      </w:r>
    </w:p>
    <w:p w:rsidR="00865EB7" w:rsidRDefault="00B44548">
      <w:pPr>
        <w:ind w:left="850"/>
        <w:rPr>
          <w:noProof/>
        </w:rPr>
      </w:pPr>
      <w:r>
        <w:rPr>
          <w:noProof/>
        </w:rPr>
        <w:t>Pirmā izmaiņa padara koplīgumus par vispārēji piemērojamiem 3. panta 8. punkta nozīmē, ko piemēro norīkotajiem darba ņēmējiem visās tautsaimniecības nozarēs, neatkarīgi no tā, vai šīs darbības ir minētas Direktīvas p</w:t>
      </w:r>
      <w:r>
        <w:rPr>
          <w:noProof/>
        </w:rPr>
        <w:t xml:space="preserve">ielikumā (kas šobrīd attiecas tikai uz būvniecības nozari). </w:t>
      </w:r>
    </w:p>
    <w:p w:rsidR="00865EB7" w:rsidRDefault="00B44548">
      <w:pPr>
        <w:ind w:left="850"/>
        <w:rPr>
          <w:noProof/>
        </w:rPr>
      </w:pPr>
      <w:r>
        <w:rPr>
          <w:noProof/>
        </w:rPr>
        <w:t>Paredzēt noteikumus par atalgojumu saskaņā ar saviem tiesību aktiem un praksi ir dalībvalstu kompetence. Otrais grozījums paredz, ka vietējiem darba ņēmējiem piemērojamie noteikumi par atalgojumu</w:t>
      </w:r>
      <w:r>
        <w:rPr>
          <w:noProof/>
        </w:rPr>
        <w:t xml:space="preserve">, kas izriet no tiesību aktiem vai koplīgumiem, kas ir vispārēji piemērojami 3. panta 8. punkta nozīmē, ir jāpiemēro arī norīkotajiem darba ņēmējiem. </w:t>
      </w:r>
    </w:p>
    <w:p w:rsidR="00865EB7" w:rsidRDefault="00B44548">
      <w:pPr>
        <w:ind w:left="850"/>
        <w:rPr>
          <w:noProof/>
        </w:rPr>
      </w:pPr>
      <w:r>
        <w:rPr>
          <w:noProof/>
        </w:rPr>
        <w:t>Visbeidzot, jaunā daļa uzliek dalībvalstīm pienākumu publicēt Direktīvas 2014/67/ES 5. pantā minētajā vie</w:t>
      </w:r>
      <w:r>
        <w:rPr>
          <w:noProof/>
        </w:rPr>
        <w:t>notajā oficiālajā tīmekļa vietnē atalgojuma pamatelementus, kas piemērojami darbā norīkotajiem darba ņēmējiem.</w:t>
      </w:r>
    </w:p>
    <w:p w:rsidR="00865EB7" w:rsidRDefault="00B44548">
      <w:pPr>
        <w:ind w:left="850"/>
        <w:rPr>
          <w:b/>
          <w:noProof/>
        </w:rPr>
      </w:pPr>
      <w:r>
        <w:rPr>
          <w:b/>
          <w:noProof/>
        </w:rPr>
        <w:t>b) apakšpunkts</w:t>
      </w:r>
    </w:p>
    <w:p w:rsidR="00865EB7" w:rsidRDefault="00B44548">
      <w:pPr>
        <w:ind w:left="850"/>
        <w:rPr>
          <w:noProof/>
        </w:rPr>
      </w:pPr>
      <w:r>
        <w:rPr>
          <w:noProof/>
        </w:rPr>
        <w:t>Pievieno jaunu punktu, kas attiecas uz situācijām ar apakšuzņēmumu ķēdēm. Šis jaunais noteikums piešķir dalībvalstīm tiesības uzli</w:t>
      </w:r>
      <w:r>
        <w:rPr>
          <w:noProof/>
        </w:rPr>
        <w:t>kt uzņēmumiem pienākumu slēgt apakšuzņēmuma līgumus tikai ar uzņēmumiem, kuri piešķir darba ņēmējiem konkrētus nosacījumus attiecībā uz atalgojumu, ko piemēro līgumslēdzējam, tostarp tos, kas ietverti citos koplīgumos, kas nav vispārēji piemērojami. Tas ir</w:t>
      </w:r>
      <w:r>
        <w:rPr>
          <w:noProof/>
        </w:rPr>
        <w:t xml:space="preserve"> iespējams tikai proporcionālā un nediskriminējošā veidā un tādējādi jo īpaši pieprasa, lai tie paši pienākumi tiktu noteikti visiem valsts apakšuzņēmējiem.</w:t>
      </w:r>
    </w:p>
    <w:p w:rsidR="00865EB7" w:rsidRDefault="00B44548">
      <w:pPr>
        <w:ind w:left="1417" w:hanging="567"/>
        <w:rPr>
          <w:b/>
          <w:noProof/>
        </w:rPr>
      </w:pPr>
      <w:r>
        <w:rPr>
          <w:b/>
          <w:noProof/>
        </w:rPr>
        <w:t>c) apakšpunkts</w:t>
      </w:r>
    </w:p>
    <w:p w:rsidR="00865EB7" w:rsidRDefault="00B44548">
      <w:pPr>
        <w:ind w:left="850"/>
        <w:rPr>
          <w:noProof/>
        </w:rPr>
      </w:pPr>
      <w:r>
        <w:rPr>
          <w:noProof/>
        </w:rPr>
        <w:t>Tiek pievienots jauns punkts, kas paredz nosacījumus attiecībā uz direktīvas 1. pant</w:t>
      </w:r>
      <w:r>
        <w:rPr>
          <w:noProof/>
        </w:rPr>
        <w:t xml:space="preserve">a 3. punkta c) apakšpunktā minētajiem darba ņēmējiem, proti, darba ņēmējiem, ko izīrējusi pagaidu darba aģentūra, kas veic uzņēmējdarbību citā dalībvalstī, nevis dalībvalstī, kurā uzņēmējdarbību veic lietotājuzņēmums. Šis jaunais punkts atbilst direktīvas </w:t>
      </w:r>
      <w:r>
        <w:rPr>
          <w:noProof/>
        </w:rPr>
        <w:t>3. panta 9. punktam. Tajā precizēts, ka nosacījumiem, kas piemērojami pārrobežu darba aģentūrām, kas izīrē darba ņēmējus, jābūt tādiem, ko saskaņā ar Direktīvas 2008/104/EK 5. pantu piemēro valsts aģentūrām, kas izīrē darba ņēmējus. Pretēji direktīvas 3. p</w:t>
      </w:r>
      <w:r>
        <w:rPr>
          <w:noProof/>
        </w:rPr>
        <w:t>anta 9. punktam tagad tas ir dalībvalstīm uzlikts juridisks pienākums.</w:t>
      </w:r>
    </w:p>
    <w:p w:rsidR="00865EB7" w:rsidRDefault="00B44548">
      <w:pPr>
        <w:pStyle w:val="ManualHeading2"/>
        <w:rPr>
          <w:noProof/>
        </w:rPr>
      </w:pPr>
      <w:r>
        <w:t>7.3.</w:t>
      </w:r>
      <w:r>
        <w:tab/>
      </w:r>
      <w:r>
        <w:rPr>
          <w:noProof/>
        </w:rPr>
        <w:t>3. punkts</w:t>
      </w:r>
    </w:p>
    <w:p w:rsidR="00865EB7" w:rsidRDefault="00B44548">
      <w:pPr>
        <w:ind w:left="850"/>
        <w:rPr>
          <w:noProof/>
        </w:rPr>
      </w:pPr>
      <w:r>
        <w:rPr>
          <w:noProof/>
        </w:rPr>
        <w:t>Ar 3. punktu groza direktīvas pielikumu atbilstīgi izmaiņām 3. panta 1. punktā.</w:t>
      </w:r>
    </w:p>
    <w:p w:rsidR="00865EB7" w:rsidRDefault="00865EB7">
      <w:pPr>
        <w:pStyle w:val="Typedudocument"/>
        <w:rPr>
          <w:noProof/>
        </w:rPr>
        <w:sectPr w:rsidR="00865EB7" w:rsidSect="00B44548">
          <w:footerReference w:type="default" r:id="rId16"/>
          <w:footerReference w:type="first" r:id="rId17"/>
          <w:pgSz w:w="11907" w:h="16839"/>
          <w:pgMar w:top="1134" w:right="1417" w:bottom="1134" w:left="1417" w:header="709" w:footer="709" w:gutter="0"/>
          <w:cols w:space="708"/>
          <w:docGrid w:linePitch="360"/>
        </w:sectPr>
      </w:pPr>
    </w:p>
    <w:p w:rsidR="00865EB7" w:rsidRDefault="00B44548" w:rsidP="00B44548">
      <w:pPr>
        <w:pStyle w:val="Rfrenceinterinstitutionnelle"/>
        <w:rPr>
          <w:noProof/>
        </w:rPr>
      </w:pPr>
      <w:r w:rsidRPr="00B44548">
        <w:t>2016/0070 (COD)</w:t>
      </w:r>
    </w:p>
    <w:p w:rsidR="00865EB7" w:rsidRDefault="00B44548" w:rsidP="00B44548">
      <w:pPr>
        <w:pStyle w:val="Statut"/>
        <w:rPr>
          <w:noProof/>
        </w:rPr>
      </w:pPr>
      <w:r w:rsidRPr="00B44548">
        <w:t>Priekšlikums</w:t>
      </w:r>
    </w:p>
    <w:p w:rsidR="00865EB7" w:rsidRDefault="00B44548" w:rsidP="00B44548">
      <w:pPr>
        <w:pStyle w:val="Typedudocument"/>
        <w:rPr>
          <w:noProof/>
        </w:rPr>
      </w:pPr>
      <w:r w:rsidRPr="00B44548">
        <w:t>EIROPAS PARLAMENTA UN PADOMES DIREKTĪVA,</w:t>
      </w:r>
    </w:p>
    <w:p w:rsidR="00865EB7" w:rsidRDefault="00B44548" w:rsidP="00B44548">
      <w:pPr>
        <w:pStyle w:val="Titreobjet"/>
        <w:rPr>
          <w:noProof/>
        </w:rPr>
      </w:pPr>
      <w:r w:rsidRPr="00B44548">
        <w:t>ar ko groza Eiropas Parlamenta un Padomes 1996. gada 16. decembra Direktīvu 96/71/EK par darba ņēmēju norīkošanu darbā pakalpojumu sniegšanas jomā</w:t>
      </w:r>
    </w:p>
    <w:p w:rsidR="00865EB7" w:rsidRDefault="00B44548" w:rsidP="00B44548">
      <w:pPr>
        <w:pStyle w:val="IntrtEEE"/>
        <w:rPr>
          <w:noProof/>
        </w:rPr>
      </w:pPr>
      <w:r w:rsidRPr="00B44548">
        <w:t>(Dokuments attiecas uz EEZ)</w:t>
      </w:r>
    </w:p>
    <w:p w:rsidR="00865EB7" w:rsidRDefault="00B44548">
      <w:pPr>
        <w:pStyle w:val="Institutionquiagit"/>
        <w:rPr>
          <w:noProof/>
        </w:rPr>
      </w:pPr>
      <w:r>
        <w:rPr>
          <w:noProof/>
        </w:rPr>
        <w:t>EIROPAS PARLAMENTS UN EIROPAS SAVIENĪBAS PADOME,</w:t>
      </w:r>
    </w:p>
    <w:p w:rsidR="00865EB7" w:rsidRDefault="00B44548">
      <w:pPr>
        <w:rPr>
          <w:noProof/>
        </w:rPr>
      </w:pPr>
      <w:r>
        <w:rPr>
          <w:noProof/>
        </w:rPr>
        <w:t>ņemot vērā Līgumu par Eiropas Savienības darbību un jo īpaši tā 53. panta 1. punktu un 62. pantu,</w:t>
      </w:r>
    </w:p>
    <w:p w:rsidR="00865EB7" w:rsidRDefault="00B44548">
      <w:pPr>
        <w:rPr>
          <w:noProof/>
        </w:rPr>
      </w:pPr>
      <w:r>
        <w:rPr>
          <w:noProof/>
        </w:rPr>
        <w:t>ņemot vērā Eiropas Komisijas priekšlikumu,</w:t>
      </w:r>
    </w:p>
    <w:p w:rsidR="00865EB7" w:rsidRDefault="00B44548">
      <w:pPr>
        <w:rPr>
          <w:noProof/>
        </w:rPr>
      </w:pPr>
      <w:r>
        <w:rPr>
          <w:noProof/>
        </w:rPr>
        <w:t>pēc leģislatīvā akta projekta nosūtīšanas valstu parlament</w:t>
      </w:r>
      <w:r>
        <w:rPr>
          <w:noProof/>
        </w:rPr>
        <w:t>iem,</w:t>
      </w:r>
    </w:p>
    <w:p w:rsidR="00865EB7" w:rsidRDefault="00B44548">
      <w:pPr>
        <w:rPr>
          <w:noProof/>
        </w:rPr>
      </w:pPr>
      <w:r>
        <w:rPr>
          <w:noProof/>
        </w:rPr>
        <w:t>ņemot vērā Eiropas Ekonomikas un sociālo lietu komitejas atzinumu</w:t>
      </w:r>
      <w:r>
        <w:rPr>
          <w:rStyle w:val="FootnoteReference"/>
          <w:noProof/>
        </w:rPr>
        <w:footnoteReference w:id="5"/>
      </w:r>
      <w:r>
        <w:rPr>
          <w:noProof/>
        </w:rPr>
        <w:t>,</w:t>
      </w:r>
    </w:p>
    <w:p w:rsidR="00865EB7" w:rsidRDefault="00B44548">
      <w:pPr>
        <w:rPr>
          <w:noProof/>
        </w:rPr>
      </w:pPr>
      <w:r>
        <w:rPr>
          <w:noProof/>
        </w:rPr>
        <w:t>saskaņā ar parasto likumdošanas procedūru,</w:t>
      </w:r>
    </w:p>
    <w:p w:rsidR="00865EB7" w:rsidRDefault="00B44548">
      <w:pPr>
        <w:rPr>
          <w:noProof/>
        </w:rPr>
      </w:pPr>
      <w:r>
        <w:rPr>
          <w:noProof/>
        </w:rPr>
        <w:t>tā kā:</w:t>
      </w:r>
    </w:p>
    <w:p w:rsidR="00865EB7" w:rsidRDefault="00B44548">
      <w:pPr>
        <w:pStyle w:val="ManualConsidrant"/>
        <w:rPr>
          <w:noProof/>
        </w:rPr>
      </w:pPr>
      <w:r>
        <w:t>(1)</w:t>
      </w:r>
      <w:r>
        <w:tab/>
      </w:r>
      <w:r>
        <w:rPr>
          <w:noProof/>
        </w:rPr>
        <w:t xml:space="preserve">Darba ņēmēju pārvietošanās brīvība, brīvība veikt uzņēmējdarbību un pakalpojumu sniegšanas brīvība ir iekšējā tirgus </w:t>
      </w:r>
      <w:r>
        <w:rPr>
          <w:noProof/>
        </w:rPr>
        <w:t>pamatprincipi, kas Savienībā noteikti Līgumā par Eiropas Savienības darbību (LESD). Savienība padziļina minēto principu īstenošanu ar mērķi garantēt vienlīdzīgus noteikumus uzņēmumiem un darba ņēmēju tiesību ievērošanu.</w:t>
      </w:r>
    </w:p>
    <w:p w:rsidR="00865EB7" w:rsidRDefault="00B44548">
      <w:pPr>
        <w:pStyle w:val="ManualConsidrant"/>
        <w:rPr>
          <w:noProof/>
        </w:rPr>
      </w:pPr>
      <w:r>
        <w:t>(2)</w:t>
      </w:r>
      <w:r>
        <w:tab/>
      </w:r>
      <w:r>
        <w:rPr>
          <w:noProof/>
        </w:rPr>
        <w:t>Pakalpojumu sniegšanas brīvība i</w:t>
      </w:r>
      <w:r>
        <w:rPr>
          <w:noProof/>
        </w:rPr>
        <w:t>r arī uzņēmumu tiesības sniegt pakalpojumus citā dalībvalstī, uz kuru uzņēmumi uz laiku var norīkot savus darba ņēmējus, lai tur sniegtu minētos pakalpojumus.</w:t>
      </w:r>
    </w:p>
    <w:p w:rsidR="00865EB7" w:rsidRDefault="00B44548">
      <w:pPr>
        <w:pStyle w:val="ManualConsidrant"/>
        <w:rPr>
          <w:noProof/>
        </w:rPr>
      </w:pPr>
      <w:r>
        <w:t>(3)</w:t>
      </w:r>
      <w:r>
        <w:tab/>
      </w:r>
      <w:r>
        <w:rPr>
          <w:noProof/>
        </w:rPr>
        <w:t>Atbilstoši LES 3. pantam Savienība veicina sociālo taisnīgumu un aizsardzību. Saskaņā ar LESD</w:t>
      </w:r>
      <w:r>
        <w:rPr>
          <w:noProof/>
        </w:rPr>
        <w:t xml:space="preserve"> 9. pantu Savienības uzdevums ir veicināt augstu nodarbinātības līmeni, nodrošināt atbilstīgu sociālo aizsardzību un apkarot sociālo atstumtību.</w:t>
      </w:r>
    </w:p>
    <w:p w:rsidR="00865EB7" w:rsidRDefault="00B44548">
      <w:pPr>
        <w:pStyle w:val="ManualConsidrant"/>
        <w:rPr>
          <w:noProof/>
        </w:rPr>
      </w:pPr>
      <w:r>
        <w:t>(4)</w:t>
      </w:r>
      <w:r>
        <w:tab/>
      </w:r>
      <w:r>
        <w:rPr>
          <w:noProof/>
        </w:rPr>
        <w:t>Teju divdesmit gadus pēc tās pieņemšanas ir nepieciešams izvērtēt, vai Darba ņēmēju norīkošanas direktīva v</w:t>
      </w:r>
      <w:r>
        <w:rPr>
          <w:noProof/>
        </w:rPr>
        <w:t>ēl aizvien nodrošina pareizo līdzsvaru starp vajadzību veicināt pakalpojumu sniegšanas brīvību un vajadzību aizsargāt norīkoto darba ņēmēju tiesības.</w:t>
      </w:r>
    </w:p>
    <w:p w:rsidR="00865EB7" w:rsidRDefault="00B44548">
      <w:pPr>
        <w:pStyle w:val="ManualConsidrant"/>
        <w:rPr>
          <w:noProof/>
        </w:rPr>
      </w:pPr>
      <w:r>
        <w:t>(5)</w:t>
      </w:r>
      <w:r>
        <w:tab/>
      </w:r>
      <w:r>
        <w:rPr>
          <w:noProof/>
        </w:rPr>
        <w:t>Kopš dibināšanas līgumiem ES tiesībās ir nostiprināts princips, kas paredz vienlīdzīgas iespējas, un i</w:t>
      </w:r>
      <w:r>
        <w:rPr>
          <w:noProof/>
        </w:rPr>
        <w:t>r aizliegta jebkāda diskriminācija valstspiederības dēļ. Vienādas darba samaksas princips ir īstenots ar sekundārajiem tiesību aktiem, un minētais princips attiecas ne tikai uz vīriešiem un sievietēm, bet arī uz darba ņēmējiem ar līgumu uz noteiktu laiku u</w:t>
      </w:r>
      <w:r>
        <w:rPr>
          <w:noProof/>
        </w:rPr>
        <w:t>n salīdzināmiem pastāvīgajiem darba ņēmējiem, uz nepilna laika un pilna laika darba ņēmējiem un uz pagaidu darba aģentūras darba ņēmējiem un salīdzināmiem lietotājuzņēmuma  darba ņēmējiem.</w:t>
      </w:r>
    </w:p>
    <w:p w:rsidR="00865EB7" w:rsidRDefault="00B44548">
      <w:pPr>
        <w:pStyle w:val="ManualConsidrant"/>
        <w:rPr>
          <w:noProof/>
        </w:rPr>
      </w:pPr>
      <w:r>
        <w:t>(6)</w:t>
      </w:r>
      <w:r>
        <w:tab/>
      </w:r>
      <w:r>
        <w:rPr>
          <w:noProof/>
        </w:rPr>
        <w:t>Ar regulu Roma I darba devējiem un darba ņēmējiem tiek ļauts iz</w:t>
      </w:r>
      <w:r>
        <w:rPr>
          <w:noProof/>
        </w:rPr>
        <w:t>vēlēties tiesību aktus, kas piemērojami darba līgumam. Tomēr darba ņēmējam nedrīkst liegt tās valsts obligāti piemērojamās tiesību normās paredzēto aizsardzību, kurā viņš strādā, vai, ja tas nav iespējams, no kuras darba ņēmējs pastāvīgi veic savu darbu. J</w:t>
      </w:r>
      <w:r>
        <w:rPr>
          <w:noProof/>
        </w:rPr>
        <w:t xml:space="preserve">a izvēle nav izdarīta, līgumam piemēro tās valsts tiesību aktus, kurā darba ņēmējs strādā, vai, ja tas nav iespējams, no kuras darba ņēmējs pastāvīgi veic savu darbu līguma izpildei. </w:t>
      </w:r>
    </w:p>
    <w:p w:rsidR="00865EB7" w:rsidRDefault="00B44548">
      <w:pPr>
        <w:pStyle w:val="ManualConsidrant"/>
        <w:rPr>
          <w:noProof/>
        </w:rPr>
      </w:pPr>
      <w:r>
        <w:t>(7)</w:t>
      </w:r>
      <w:r>
        <w:tab/>
      </w:r>
      <w:r>
        <w:rPr>
          <w:noProof/>
        </w:rPr>
        <w:t xml:space="preserve">Regulā Roma I noteikts, ka, ja darba ņēmējs uz laiku ir nodarbināts </w:t>
      </w:r>
      <w:r>
        <w:rPr>
          <w:noProof/>
        </w:rPr>
        <w:t>citā valstī, neuzskata, ka ir mainījusies valsts, kurā darba ņēmējs pastāvīgi veic savu darbu</w:t>
      </w:r>
    </w:p>
    <w:p w:rsidR="00865EB7" w:rsidRDefault="00B44548">
      <w:pPr>
        <w:pStyle w:val="ManualConsidrant"/>
        <w:rPr>
          <w:noProof/>
        </w:rPr>
      </w:pPr>
      <w:r>
        <w:t>(8)</w:t>
      </w:r>
      <w:r>
        <w:tab/>
      </w:r>
      <w:r>
        <w:rPr>
          <w:noProof/>
        </w:rPr>
        <w:t xml:space="preserve">Ņemot vērā dažu darbā norīkojumu ilgumu, ir nepieciešams nodrošināt, ka gadījumos, kad norīkojums pārsniedz 24 mēnešus, uzņēmējdalībvalsts tiek uzskatīta par </w:t>
      </w:r>
      <w:r>
        <w:rPr>
          <w:noProof/>
        </w:rPr>
        <w:t xml:space="preserve">valsti, kurā tiek veikts darbs. Atbilstoši regulas Roma I principam tādējādi šādu norīkoto darba ņēmēju darba līgumam piemēro uzņēmējdalībvalsts tiesību aktus, ja puses nav izdarījušas citu tiesību normām atbilstošu izvēli. Ja cita izvēle ir izdarīta, tai </w:t>
      </w:r>
      <w:r>
        <w:rPr>
          <w:noProof/>
        </w:rPr>
        <w:t>nedrīkst būt ietekme, kā rezultātā darba ņēmējam tiktu liegta aizsardzība, ko nodrošina tādi noteikumi, no kuriem nevar atkāpties ar līgumu saskaņā ar uzņēmējdalībvalsts tiesību aktiem. Tas būtu jāpiemēro no norīkojuma sākuma katrreiz, kad norīkojums pared</w:t>
      </w:r>
      <w:r>
        <w:rPr>
          <w:noProof/>
        </w:rPr>
        <w:t>zēts uz laiku, kas pārsniedz 24 mēnešus, un no pirmās dienas pēc 24 mēnešiem, kad šis ilgums tiek reāli pārsniegts. Šis noteikums neskar tādu uzņēmumu, kas norīko darba ņēmējus uz citas dalībvalsts teritoriju, tiesības atsaukties uz brīvību sniegt pakalpoj</w:t>
      </w:r>
      <w:r>
        <w:rPr>
          <w:noProof/>
        </w:rPr>
        <w:t>umus, arī tad, ja norīkojums darbā pārsniedz 24 mēnešus. Tā mērķis ir radīt tiesisko noteiktību regulas Roma I piemērošanā konkrētā situācijā, šo regulu nekādā veidā negrozot. Uz darba ņēmēju jo īpaši attieksies aizsardzība un priekšrocības saskaņā ar regu</w:t>
      </w:r>
      <w:r>
        <w:rPr>
          <w:noProof/>
        </w:rPr>
        <w:t>lu Roma I.</w:t>
      </w:r>
    </w:p>
    <w:p w:rsidR="00865EB7" w:rsidRDefault="00B44548">
      <w:pPr>
        <w:pStyle w:val="ManualConsidrant"/>
        <w:rPr>
          <w:noProof/>
        </w:rPr>
      </w:pPr>
      <w:r>
        <w:t>(9)</w:t>
      </w:r>
      <w:r>
        <w:tab/>
      </w:r>
      <w:r>
        <w:rPr>
          <w:noProof/>
        </w:rPr>
        <w:t>No pastāvīgās judikatūras izriet, ka pakalpojumu sniegšanas brīvību var ierobežot tikai ar noteikumiem, ko var pamatot ar būtiskām vispārējām interesēm, un tiem jābūt samērīgiem un vajadzīgiem.</w:t>
      </w:r>
    </w:p>
    <w:p w:rsidR="00865EB7" w:rsidRDefault="00B44548">
      <w:pPr>
        <w:pStyle w:val="ManualConsidrant"/>
        <w:rPr>
          <w:noProof/>
        </w:rPr>
      </w:pPr>
      <w:r>
        <w:t>(10)</w:t>
      </w:r>
      <w:r>
        <w:tab/>
      </w:r>
      <w:r>
        <w:rPr>
          <w:noProof/>
        </w:rPr>
        <w:t>Ņemot vērā starptautisko autopārvadājumu i</w:t>
      </w:r>
      <w:r>
        <w:rPr>
          <w:noProof/>
        </w:rPr>
        <w:t>zteikti mobilo darba raksturu, Darba ņēmēju norīkošanas direktīvas īstenošana raisa īpašus juridiskus jautājumus un grūtības (jo īpaši gadījumos, kad nav pietiekamas saiknes ar attiecīgo dalībvalsti). Vispiemērotākā pieeja būtu šos jautājumus risināt ar no</w:t>
      </w:r>
      <w:r>
        <w:rPr>
          <w:noProof/>
        </w:rPr>
        <w:t>zaru tiesību aktu starpniecību kopā ar citām ES iniciatīvām, kuru mērķis ir uzlabot autopārvadājumu iekšējā tirgus darbību.</w:t>
      </w:r>
    </w:p>
    <w:p w:rsidR="00865EB7" w:rsidRDefault="00B44548">
      <w:pPr>
        <w:pStyle w:val="ManualConsidrant"/>
        <w:rPr>
          <w:noProof/>
        </w:rPr>
      </w:pPr>
      <w:r>
        <w:t>(11)</w:t>
      </w:r>
      <w:r>
        <w:tab/>
      </w:r>
      <w:r>
        <w:rPr>
          <w:noProof/>
        </w:rPr>
        <w:t>Konkurētspējīgā iekšējā tirgū pakalpojumu sniedzēji konkurē, ne tikai ņemot vērā darbaspēka izmaksas, bet arī tādus faktorus kā</w:t>
      </w:r>
      <w:r>
        <w:rPr>
          <w:noProof/>
        </w:rPr>
        <w:t xml:space="preserve"> ražība un efektivitāte vai ražojumu un pakalpojumu kvalitāte un inovācija.</w:t>
      </w:r>
    </w:p>
    <w:p w:rsidR="00865EB7" w:rsidRDefault="00B44548">
      <w:pPr>
        <w:pStyle w:val="ManualConsidrant"/>
        <w:rPr>
          <w:noProof/>
        </w:rPr>
      </w:pPr>
      <w:r>
        <w:t>(12)</w:t>
      </w:r>
      <w:r>
        <w:tab/>
      </w:r>
      <w:r>
        <w:rPr>
          <w:noProof/>
        </w:rPr>
        <w:t>Paredzēt noteikumus par atalgojumu saskaņā ar saviem tiesību aktiem un praksi ir dalībvalstu kompetence. Tomēr valsts tiesību aktiem par atalgojumu, ko piemēro norīkotajiem da</w:t>
      </w:r>
      <w:r>
        <w:rPr>
          <w:noProof/>
        </w:rPr>
        <w:t>rba ņēmējiem, jābūt pamatotiem ar vajadzību aizsargāt norīkotos darba ņēmējus un ar tiem nedrīkst neproporcionāli ierobežot pārrobežu pakalpojumu sniegšanu.</w:t>
      </w:r>
    </w:p>
    <w:p w:rsidR="00865EB7" w:rsidRDefault="00B44548">
      <w:pPr>
        <w:pStyle w:val="ManualConsidrant"/>
        <w:rPr>
          <w:noProof/>
        </w:rPr>
      </w:pPr>
      <w:r>
        <w:t>(13)</w:t>
      </w:r>
      <w:r>
        <w:tab/>
      </w:r>
      <w:r>
        <w:rPr>
          <w:noProof/>
        </w:rPr>
        <w:t>Atalgojuma elementiem, ko paredz valsts tiesību akti vai vispārpiemērojami darba koplīgumi, jā</w:t>
      </w:r>
      <w:r>
        <w:rPr>
          <w:noProof/>
        </w:rPr>
        <w:t>būt skaidriem un pārredzamiem visiem pakalpojumu sniedzējiem. Tāpēc ir pamatoti noteikt dalībvalstīm pienākumu publicēt atalgojuma pamatelementus vienotajā oficiālajā tīmekļa vietnē, kā paredzēts Izpildes direktīvas 5. pantā.</w:t>
      </w:r>
    </w:p>
    <w:p w:rsidR="00865EB7" w:rsidRDefault="00B44548">
      <w:pPr>
        <w:pStyle w:val="ManualConsidrant"/>
        <w:rPr>
          <w:noProof/>
        </w:rPr>
      </w:pPr>
      <w:r>
        <w:t>(14)</w:t>
      </w:r>
      <w:r>
        <w:tab/>
      </w:r>
      <w:r>
        <w:rPr>
          <w:noProof/>
        </w:rPr>
        <w:t xml:space="preserve">Dalībvalstī piemērojamie </w:t>
      </w:r>
      <w:r>
        <w:rPr>
          <w:noProof/>
        </w:rPr>
        <w:t>tiesību akti, normas, administratīvie noteikumi vai koplīgumi var nodrošināt, ka apakšuzņēmējdarbība nedod uzņēmumiem iespēju izvairīties no noteikumiem, kas garantē konkrētus nodarbinātības noteikumus un nosacījumus attiecībā uz atalgojumu. Gadījumos, kad</w:t>
      </w:r>
      <w:r>
        <w:rPr>
          <w:noProof/>
        </w:rPr>
        <w:t xml:space="preserve"> valsts līmenī pastāv šādi noteikumi par atalgojumu, dalībvalsts tos var piemērot nediskriminējošā veidā uzņēmumiem, kas darba ņēmējus norīko darbā savā teritorijā, ar nosacījumu, ka tie neproporcionāli neierobežo pārrobežu pakalpojumu sniegšanu.</w:t>
      </w:r>
    </w:p>
    <w:p w:rsidR="00865EB7" w:rsidRDefault="00B44548">
      <w:pPr>
        <w:pStyle w:val="ManualConsidrant"/>
        <w:rPr>
          <w:noProof/>
        </w:rPr>
      </w:pPr>
      <w:r>
        <w:t>(15)</w:t>
      </w:r>
      <w:r>
        <w:tab/>
      </w:r>
      <w:r>
        <w:rPr>
          <w:noProof/>
        </w:rPr>
        <w:t>Eiro</w:t>
      </w:r>
      <w:r>
        <w:rPr>
          <w:noProof/>
        </w:rPr>
        <w:t>pas Parlamenta un Padomes Direktīvā 2008/104/EK par pagaidu darba aģentūrām ir pausts princips, ka darba un nodarbinātības pamata nosacījumiem, ko piemēro pagaidu darba aģentūru darba ņēmējiem, vajadzētu būt vismaz tādiem, kādus piemērotu šādiem darba ņēmē</w:t>
      </w:r>
      <w:r>
        <w:rPr>
          <w:noProof/>
        </w:rPr>
        <w:t>jiem, ja lietotājuzņēmums pats tos būtu pieņēmis darbā veikt šo pašu darbu. Šis princips būtu jāattiecina arī uz pagaidu darba aģentūru darba ņēmējiem, kuri norīkoti darbā citā dalībvalstī.</w:t>
      </w:r>
    </w:p>
    <w:p w:rsidR="00865EB7" w:rsidRDefault="00B44548">
      <w:pPr>
        <w:pStyle w:val="ManualConsidrant"/>
        <w:rPr>
          <w:noProof/>
        </w:rPr>
      </w:pPr>
      <w:r>
        <w:t>(16)</w:t>
      </w:r>
      <w:r>
        <w:tab/>
      </w:r>
      <w:r>
        <w:rPr>
          <w:noProof/>
        </w:rPr>
        <w:t xml:space="preserve">Saskaņā ar dalībvalstu un Komisijas 2011. gada 28. septembra </w:t>
      </w:r>
      <w:r>
        <w:rPr>
          <w:noProof/>
        </w:rPr>
        <w:t>kopīgo politisko deklarāciju par skaidrojošiem dokumentiem</w:t>
      </w:r>
      <w:r>
        <w:rPr>
          <w:rStyle w:val="FootnoteReference"/>
          <w:noProof/>
        </w:rPr>
        <w:footnoteReference w:id="6"/>
      </w:r>
      <w:r>
        <w:rPr>
          <w:noProof/>
        </w:rPr>
        <w:t xml:space="preserve"> dalībvalstis ir apņēmušās pamatotos gadījumos paziņojumam par saviem transponēšanas pasākumiem pievienot vienu vai vairākus dokumentus, kuros izskaidrota saikne starp direktīvas elementiem un atti</w:t>
      </w:r>
      <w:r>
        <w:rPr>
          <w:noProof/>
        </w:rPr>
        <w:t>ecīgajām daļām valsts transponēšanas instrumentos. Attiecībā uz šo direktīvu likumdevējs šādu dokumentu nosūtīšanu uzskata par pamatotu,</w:t>
      </w:r>
    </w:p>
    <w:p w:rsidR="00865EB7" w:rsidRDefault="00B44548">
      <w:pPr>
        <w:pStyle w:val="Formuledadoption"/>
        <w:rPr>
          <w:noProof/>
        </w:rPr>
      </w:pPr>
      <w:r>
        <w:rPr>
          <w:noProof/>
        </w:rPr>
        <w:t>IR PIEŅĒMUŠI ŠO DIREKTĪVU.</w:t>
      </w:r>
    </w:p>
    <w:p w:rsidR="00865EB7" w:rsidRDefault="00B44548">
      <w:pPr>
        <w:pStyle w:val="Titrearticle"/>
        <w:rPr>
          <w:noProof/>
        </w:rPr>
      </w:pPr>
      <w:r>
        <w:rPr>
          <w:noProof/>
        </w:rPr>
        <w:t>1. pants</w:t>
      </w:r>
      <w:r>
        <w:rPr>
          <w:noProof/>
        </w:rPr>
        <w:br/>
      </w:r>
      <w:r>
        <w:rPr>
          <w:b/>
          <w:i w:val="0"/>
          <w:noProof/>
        </w:rPr>
        <w:t>Grozījumi Direktīvā 96/71/EK</w:t>
      </w:r>
    </w:p>
    <w:p w:rsidR="00865EB7" w:rsidRDefault="00B44548">
      <w:pPr>
        <w:rPr>
          <w:noProof/>
        </w:rPr>
      </w:pPr>
      <w:r>
        <w:rPr>
          <w:noProof/>
        </w:rPr>
        <w:t>Direktīvu 96/71/EK ar šo groza šādi:</w:t>
      </w:r>
    </w:p>
    <w:p w:rsidR="00865EB7" w:rsidRDefault="00B44548">
      <w:pPr>
        <w:pStyle w:val="Point0number"/>
        <w:numPr>
          <w:ilvl w:val="0"/>
          <w:numId w:val="8"/>
        </w:numPr>
        <w:rPr>
          <w:noProof/>
        </w:rPr>
      </w:pPr>
      <w:r>
        <w:rPr>
          <w:noProof/>
        </w:rPr>
        <w:t>pievieno šādu 2.a</w:t>
      </w:r>
      <w:r>
        <w:rPr>
          <w:noProof/>
        </w:rPr>
        <w:t xml:space="preserve"> pantu.</w:t>
      </w:r>
    </w:p>
    <w:p w:rsidR="00865EB7" w:rsidRDefault="00B44548">
      <w:pPr>
        <w:pStyle w:val="Text1"/>
        <w:rPr>
          <w:i/>
          <w:noProof/>
        </w:rPr>
      </w:pPr>
      <w:r>
        <w:rPr>
          <w:i/>
          <w:noProof/>
        </w:rPr>
        <w:t>2.a pants</w:t>
      </w:r>
    </w:p>
    <w:p w:rsidR="00865EB7" w:rsidRDefault="00B44548">
      <w:pPr>
        <w:pStyle w:val="Text1"/>
        <w:rPr>
          <w:noProof/>
        </w:rPr>
      </w:pPr>
      <w:r>
        <w:rPr>
          <w:noProof/>
        </w:rPr>
        <w:t>Norīkojums, kas pārsniedz divdesmit četrus mēnešus</w:t>
      </w:r>
    </w:p>
    <w:p w:rsidR="00865EB7" w:rsidRDefault="00B44548">
      <w:pPr>
        <w:pStyle w:val="Text1"/>
        <w:rPr>
          <w:noProof/>
        </w:rPr>
      </w:pPr>
      <w:r>
        <w:rPr>
          <w:noProof/>
        </w:rPr>
        <w:t>1. Ja plānotā vai faktiskā norīkojuma ilgums pārsniedz divdesmit četrus mēnešus, to dalībvalsti, kuras teritorijā darba ņēmējs ir norīkots, uzskata par valsti, kurā viņš parasti veic darb</w:t>
      </w:r>
      <w:r>
        <w:rPr>
          <w:noProof/>
        </w:rPr>
        <w:t>u.</w:t>
      </w:r>
    </w:p>
    <w:p w:rsidR="00865EB7" w:rsidRDefault="00B44548">
      <w:pPr>
        <w:pStyle w:val="Text1"/>
        <w:rPr>
          <w:noProof/>
        </w:rPr>
      </w:pPr>
      <w:r>
        <w:rPr>
          <w:noProof/>
        </w:rPr>
        <w:t>2. Šā panta 1. punkta nolūkā darba ņēmēja aizstāšanas gadījumā attiecībā uz vienu un to pašu uzdevumu un vietu, ņem vērā attiecīgo darba ņēmēju norīkojuma kumulatīvo ilgumu. To piemēro darba ņēmējiem, kas faktiski norīkoti vismaz sešus mēnešus.</w:t>
      </w:r>
    </w:p>
    <w:p w:rsidR="00865EB7" w:rsidRDefault="00B44548">
      <w:pPr>
        <w:pStyle w:val="Point0number"/>
        <w:rPr>
          <w:noProof/>
        </w:rPr>
      </w:pPr>
      <w:r>
        <w:rPr>
          <w:noProof/>
        </w:rPr>
        <w:t>direktīv</w:t>
      </w:r>
      <w:r>
        <w:rPr>
          <w:noProof/>
        </w:rPr>
        <w:t>as 3. pantu groza šādi:</w:t>
      </w:r>
    </w:p>
    <w:p w:rsidR="00865EB7" w:rsidRDefault="00B44548">
      <w:pPr>
        <w:pStyle w:val="Point1letter"/>
        <w:rPr>
          <w:noProof/>
        </w:rPr>
      </w:pPr>
      <w:r>
        <w:rPr>
          <w:noProof/>
        </w:rPr>
        <w:t>1. punktu aizstāj ar šādu:</w:t>
      </w:r>
    </w:p>
    <w:p w:rsidR="00865EB7" w:rsidRDefault="00B44548">
      <w:pPr>
        <w:pStyle w:val="Point2"/>
        <w:rPr>
          <w:noProof/>
        </w:rPr>
      </w:pPr>
      <w:r>
        <w:rPr>
          <w:noProof/>
        </w:rPr>
        <w:t>1.</w:t>
      </w:r>
      <w:r>
        <w:rPr>
          <w:noProof/>
        </w:rPr>
        <w:tab/>
        <w:t>Dalībvalstis nodrošina, lai neatkarīgi no tiesību akta, ko piemēro darba attiecībām, 1. panta 1. punktā minētie uzņēmumi nodrošinātu to teritorijā darbā norīkotajiem darba ņēmējiem darba noteikumus, kas</w:t>
      </w:r>
      <w:r>
        <w:rPr>
          <w:noProof/>
        </w:rPr>
        <w:t xml:space="preserve"> attiecas uz šādiem jautājumiem, kurus tajā dalībvalstī, kurā darbu veic, nosaka</w:t>
      </w:r>
    </w:p>
    <w:p w:rsidR="00865EB7" w:rsidRDefault="00B44548">
      <w:pPr>
        <w:pStyle w:val="Tiret2"/>
        <w:numPr>
          <w:ilvl w:val="0"/>
          <w:numId w:val="13"/>
        </w:numPr>
        <w:rPr>
          <w:noProof/>
        </w:rPr>
      </w:pPr>
      <w:r>
        <w:rPr>
          <w:noProof/>
        </w:rPr>
        <w:t>ar normatīviem vai administratīviem noteikumiem un/ vai</w:t>
      </w:r>
    </w:p>
    <w:p w:rsidR="00865EB7" w:rsidRDefault="00B44548">
      <w:pPr>
        <w:pStyle w:val="Tiret2"/>
        <w:rPr>
          <w:noProof/>
        </w:rPr>
      </w:pPr>
      <w:r>
        <w:rPr>
          <w:noProof/>
        </w:rPr>
        <w:t>ar kolektīviem līgumiem vai šķīrējtiesas nolēmumiem, kas ir pasludināti par vispārēji piemērojamiem 8. punkta nozīmē:</w:t>
      </w:r>
    </w:p>
    <w:p w:rsidR="00865EB7" w:rsidRDefault="00B44548">
      <w:pPr>
        <w:pStyle w:val="Point2letter"/>
        <w:rPr>
          <w:noProof/>
        </w:rPr>
      </w:pPr>
      <w:r>
        <w:rPr>
          <w:noProof/>
        </w:rPr>
        <w:t>m</w:t>
      </w:r>
      <w:r>
        <w:rPr>
          <w:noProof/>
        </w:rPr>
        <w:t>aksimālais darba un minimālais atpūtas laiks;</w:t>
      </w:r>
    </w:p>
    <w:p w:rsidR="00865EB7" w:rsidRDefault="00B44548">
      <w:pPr>
        <w:pStyle w:val="Point2letter"/>
        <w:rPr>
          <w:noProof/>
        </w:rPr>
      </w:pPr>
      <w:r>
        <w:rPr>
          <w:noProof/>
        </w:rPr>
        <w:t>minimālais apmaksātais ikgadējais atvaļinājums;</w:t>
      </w:r>
    </w:p>
    <w:p w:rsidR="00865EB7" w:rsidRDefault="00B44548">
      <w:pPr>
        <w:pStyle w:val="Point2letter"/>
        <w:rPr>
          <w:noProof/>
        </w:rPr>
      </w:pPr>
      <w:r>
        <w:rPr>
          <w:noProof/>
        </w:rPr>
        <w:t>atalgojums, tai skaitā likmes par virsstundām; šo apakšpunktu nepiemēro darba pensiju papildu sistēmām;</w:t>
      </w:r>
    </w:p>
    <w:p w:rsidR="00865EB7" w:rsidRDefault="00B44548">
      <w:pPr>
        <w:pStyle w:val="Point2letter"/>
        <w:rPr>
          <w:noProof/>
        </w:rPr>
      </w:pPr>
      <w:r>
        <w:rPr>
          <w:noProof/>
        </w:rPr>
        <w:t xml:space="preserve">darba ņēmēju izīrēšanas nosacījumi, jo īpaši darba ņēmēju </w:t>
      </w:r>
      <w:r>
        <w:rPr>
          <w:noProof/>
        </w:rPr>
        <w:t>piegāde, ko veic pagaidu darbavietas;</w:t>
      </w:r>
    </w:p>
    <w:p w:rsidR="00865EB7" w:rsidRDefault="00B44548">
      <w:pPr>
        <w:pStyle w:val="Point2letter"/>
        <w:rPr>
          <w:noProof/>
        </w:rPr>
      </w:pPr>
      <w:r>
        <w:rPr>
          <w:noProof/>
        </w:rPr>
        <w:t>veselības aizsardzība, drošība un higiēna darbā;</w:t>
      </w:r>
    </w:p>
    <w:p w:rsidR="00865EB7" w:rsidRDefault="00B44548">
      <w:pPr>
        <w:pStyle w:val="Point2letter"/>
        <w:rPr>
          <w:noProof/>
        </w:rPr>
      </w:pPr>
      <w:r>
        <w:rPr>
          <w:noProof/>
        </w:rPr>
        <w:t>aizsardzības pasākumi attiecībā uz grūtnieču vai sieviešu pēcdzemdību periodā, bērnu un jauniešu darba noteikumiem un nosacījumiem;</w:t>
      </w:r>
    </w:p>
    <w:p w:rsidR="00865EB7" w:rsidRDefault="00B44548">
      <w:pPr>
        <w:pStyle w:val="Point2letter"/>
        <w:rPr>
          <w:noProof/>
        </w:rPr>
      </w:pPr>
      <w:r>
        <w:rPr>
          <w:noProof/>
        </w:rPr>
        <w:t xml:space="preserve">vienlīdzīga attieksme pret vīriešiem </w:t>
      </w:r>
      <w:r>
        <w:rPr>
          <w:noProof/>
        </w:rPr>
        <w:t>un sievietēm un citi diskrimināciju izslēdzoši noteikumi.</w:t>
      </w:r>
    </w:p>
    <w:p w:rsidR="00865EB7" w:rsidRDefault="00B44548">
      <w:pPr>
        <w:pStyle w:val="Text2"/>
        <w:rPr>
          <w:noProof/>
        </w:rPr>
      </w:pPr>
      <w:r>
        <w:rPr>
          <w:noProof/>
        </w:rPr>
        <w:t>Šajā direktīvā atalgojums ir visi obligātie atalgojuma elementi saskaņā ar valsts normatīvajiem vai administratīvajiem aktiem, koplīgumiem vai šķīrējtiesas nolēmumiem, kas ir pasludināti par vispārē</w:t>
      </w:r>
      <w:r>
        <w:rPr>
          <w:noProof/>
        </w:rPr>
        <w:t>ji piemērojamiem, un/vai gadījumā, ja nav sistēmas kolektīvu līgumu vai šķīrējtiesas nolēmumu pasludināšanai par vispārēji piemērojamiem, citiem koplīgumiem vai šķīrējtiesas nolēmumiem 8. punkta otrās daļas nozīmē dalībvalstī, kuras teritorijā darba ņēmējs</w:t>
      </w:r>
      <w:r>
        <w:rPr>
          <w:noProof/>
        </w:rPr>
        <w:t xml:space="preserve"> ir norīkots.</w:t>
      </w:r>
    </w:p>
    <w:p w:rsidR="00865EB7" w:rsidRDefault="00B44548">
      <w:pPr>
        <w:pStyle w:val="Text2"/>
        <w:rPr>
          <w:noProof/>
        </w:rPr>
      </w:pPr>
      <w:r>
        <w:rPr>
          <w:noProof/>
        </w:rPr>
        <w:t xml:space="preserve">Dalībvalstis Direktīvas 2014/67/ES 5. pantā minētajā vienotajā oficiālajā tīmekļa vietnē publicē atalgojuma pamatelementus saskaņā ar c) apakšpunktu; </w:t>
      </w:r>
    </w:p>
    <w:p w:rsidR="00865EB7" w:rsidRDefault="00B44548">
      <w:pPr>
        <w:pStyle w:val="Point1letter"/>
        <w:rPr>
          <w:noProof/>
        </w:rPr>
      </w:pPr>
      <w:r>
        <w:rPr>
          <w:noProof/>
        </w:rPr>
        <w:t>pievieno šādu punktu:</w:t>
      </w:r>
    </w:p>
    <w:p w:rsidR="00865EB7" w:rsidRDefault="00B44548">
      <w:pPr>
        <w:pStyle w:val="Text2"/>
        <w:rPr>
          <w:noProof/>
        </w:rPr>
      </w:pPr>
      <w:r>
        <w:rPr>
          <w:noProof/>
        </w:rPr>
        <w:t>1a. Ja uzņēmumiem, kas veic uzņēmējdarbību dalībvalsts teritorijā, sa</w:t>
      </w:r>
      <w:r>
        <w:rPr>
          <w:noProof/>
        </w:rPr>
        <w:t>skaņā ar normatīvajiem un administratīvajiem aktiem vai koplīgumiem ir pienākums noslēgt apakšlīgumu savu līgumsaistību kontekstā tikai ar uzņēmumiem, kuri garantē konkrētus nodarbinātības noteikumus un nosacījumus attiecībā uz atalgojumu, dalībvalsts var,</w:t>
      </w:r>
      <w:r>
        <w:rPr>
          <w:noProof/>
        </w:rPr>
        <w:t xml:space="preserve"> nediskriminējot un ievērojot proporcionalitāti, paredzēt, ka šādiem uzņēmumiem būs tāds pats pienākums attiecībā uz apakšlīgumiem ar 1. panta 1. punktā minētajiem uzņēmumiem, kuri darba ņēmējus norīko darbā tās teritorijā;</w:t>
      </w:r>
    </w:p>
    <w:p w:rsidR="00865EB7" w:rsidRDefault="00B44548">
      <w:pPr>
        <w:pStyle w:val="Point1letter"/>
        <w:rPr>
          <w:noProof/>
        </w:rPr>
      </w:pPr>
      <w:r>
        <w:rPr>
          <w:noProof/>
        </w:rPr>
        <w:t>pievieno šādu punktu:</w:t>
      </w:r>
    </w:p>
    <w:p w:rsidR="00865EB7" w:rsidRDefault="00B44548">
      <w:pPr>
        <w:pStyle w:val="Text2"/>
        <w:rPr>
          <w:noProof/>
        </w:rPr>
      </w:pPr>
      <w:r>
        <w:rPr>
          <w:noProof/>
        </w:rPr>
        <w:t>1b. Dalībv</w:t>
      </w:r>
      <w:r>
        <w:rPr>
          <w:noProof/>
        </w:rPr>
        <w:t>alstis nodrošina, ka 1. panta 3. punkta c) apakšpunktā minētie uzņēmumi garantē norīkotajiem darba ņēmējiem darba noteikumus un nosacījumus, kurus saskaņā ar 5. pantu Eiropas Parlamenta un Padomes 2008. gada 19. novembra Direktīvā 2008/104/EK par pagaidu d</w:t>
      </w:r>
      <w:r>
        <w:rPr>
          <w:noProof/>
        </w:rPr>
        <w:t>arba aģentūrām piemēro pagaidu darba ņēmējiem, ko izīrējusi pagaidu darba aģentūra, kas veic uzņēmējdarbību tajā dalībvalstī, kurā tiek veikts attiecīgais darbs;</w:t>
      </w:r>
    </w:p>
    <w:p w:rsidR="00865EB7" w:rsidRDefault="00B44548">
      <w:pPr>
        <w:pStyle w:val="Point1letter"/>
        <w:rPr>
          <w:noProof/>
        </w:rPr>
      </w:pPr>
      <w:r>
        <w:rPr>
          <w:noProof/>
        </w:rPr>
        <w:t>svītro 9. punktu;</w:t>
      </w:r>
    </w:p>
    <w:p w:rsidR="00865EB7" w:rsidRDefault="00B44548">
      <w:pPr>
        <w:pStyle w:val="Point1letter"/>
        <w:rPr>
          <w:noProof/>
        </w:rPr>
      </w:pPr>
      <w:r>
        <w:rPr>
          <w:noProof/>
        </w:rPr>
        <w:t>svītro 10. punkta otro daļu;</w:t>
      </w:r>
    </w:p>
    <w:p w:rsidR="00865EB7" w:rsidRDefault="00B44548">
      <w:pPr>
        <w:pStyle w:val="Point0number"/>
        <w:rPr>
          <w:noProof/>
        </w:rPr>
      </w:pPr>
      <w:r>
        <w:rPr>
          <w:noProof/>
        </w:rPr>
        <w:t>pielikuma pirmo daļu groza šādi:</w:t>
      </w:r>
    </w:p>
    <w:p w:rsidR="00865EB7" w:rsidRDefault="00B44548">
      <w:pPr>
        <w:pStyle w:val="Text1"/>
        <w:rPr>
          <w:noProof/>
        </w:rPr>
      </w:pPr>
      <w:r>
        <w:rPr>
          <w:noProof/>
        </w:rPr>
        <w:t xml:space="preserve">Pie 3. pantā </w:t>
      </w:r>
      <w:r>
        <w:rPr>
          <w:noProof/>
        </w:rPr>
        <w:t>minētajām darbībām pieder visi būvdarbi, kas saistīti ar ēku celtniecību, remontēšanu, apkopi, pārveidošanu vai nojaukšanu, un jo īpaši šādi darbi:.</w:t>
      </w:r>
    </w:p>
    <w:p w:rsidR="00865EB7" w:rsidRDefault="00B44548">
      <w:pPr>
        <w:pStyle w:val="Titrearticle"/>
        <w:keepLines/>
        <w:rPr>
          <w:noProof/>
        </w:rPr>
      </w:pPr>
      <w:r>
        <w:rPr>
          <w:noProof/>
        </w:rPr>
        <w:t>2. pants</w:t>
      </w:r>
    </w:p>
    <w:p w:rsidR="00865EB7" w:rsidRDefault="00B44548">
      <w:pPr>
        <w:pStyle w:val="ManualNumPar1"/>
        <w:rPr>
          <w:noProof/>
        </w:rPr>
      </w:pPr>
      <w:r>
        <w:rPr>
          <w:noProof/>
        </w:rPr>
        <w:t>1.</w:t>
      </w:r>
      <w:r>
        <w:rPr>
          <w:noProof/>
        </w:rPr>
        <w:tab/>
        <w:t>Normatīvie un administratīvie akti, kas vajadzīgi, lai izpildītu šīs direktīvas prasības, dalīb</w:t>
      </w:r>
      <w:r>
        <w:rPr>
          <w:noProof/>
        </w:rPr>
        <w:t xml:space="preserve">valstīs stājas spēkā vēlākais līdz </w:t>
      </w:r>
      <w:r>
        <w:t>[divi gadi pēc pieņemšanas]</w:t>
      </w:r>
      <w:r>
        <w:rPr>
          <w:noProof/>
        </w:rPr>
        <w:t>. Dalībvalstis tūlīt dara zināmus Komisijai minēto noteikumu tekstus.</w:t>
      </w:r>
    </w:p>
    <w:p w:rsidR="00865EB7" w:rsidRDefault="00B44548">
      <w:pPr>
        <w:pStyle w:val="Text1"/>
        <w:rPr>
          <w:noProof/>
        </w:rPr>
      </w:pPr>
      <w:r>
        <w:rPr>
          <w:noProof/>
        </w:rPr>
        <w:t>Kad dalībvalstis pieņem minētos noteikumus, tajos ietver atsauci uz šo direktīvu vai šādu atsauci pievieno to oficiālai publ</w:t>
      </w:r>
      <w:r>
        <w:rPr>
          <w:noProof/>
        </w:rPr>
        <w:t>ikācijai. Dalībvalstis nosaka, kā izdarāma šāda atsauce.</w:t>
      </w:r>
    </w:p>
    <w:p w:rsidR="00865EB7" w:rsidRDefault="00B44548">
      <w:pPr>
        <w:pStyle w:val="ManualNumPar1"/>
        <w:rPr>
          <w:noProof/>
        </w:rPr>
      </w:pPr>
      <w:r>
        <w:rPr>
          <w:noProof/>
        </w:rPr>
        <w:t>2.</w:t>
      </w:r>
      <w:r>
        <w:rPr>
          <w:noProof/>
        </w:rPr>
        <w:tab/>
        <w:t>Dalībvalstis dara Komisijai zināmus to tiesību aktu galvenos noteikumus, ko tās pieņem jomā, uz kuru attiecas šī direktīva.</w:t>
      </w:r>
    </w:p>
    <w:p w:rsidR="00865EB7" w:rsidRDefault="00B44548">
      <w:pPr>
        <w:pStyle w:val="Titrearticle"/>
        <w:rPr>
          <w:noProof/>
        </w:rPr>
      </w:pPr>
      <w:r>
        <w:rPr>
          <w:noProof/>
        </w:rPr>
        <w:t>3. pants</w:t>
      </w:r>
    </w:p>
    <w:p w:rsidR="00865EB7" w:rsidRDefault="00B44548">
      <w:pPr>
        <w:rPr>
          <w:noProof/>
        </w:rPr>
      </w:pPr>
      <w:r>
        <w:rPr>
          <w:noProof/>
        </w:rPr>
        <w:t xml:space="preserve">Šī direktīva stājas spēkā </w:t>
      </w:r>
      <w:r>
        <w:t>[divdesmitajā]</w:t>
      </w:r>
      <w:r>
        <w:rPr>
          <w:noProof/>
        </w:rPr>
        <w:t xml:space="preserve"> dienā pēc tās publicēš</w:t>
      </w:r>
      <w:r>
        <w:rPr>
          <w:noProof/>
        </w:rPr>
        <w:t xml:space="preserve">anas </w:t>
      </w:r>
      <w:r>
        <w:rPr>
          <w:i/>
          <w:noProof/>
        </w:rPr>
        <w:t>Eiropas Savienības Oficiālajā Vēstnesī</w:t>
      </w:r>
      <w:r>
        <w:rPr>
          <w:noProof/>
        </w:rPr>
        <w:t>.</w:t>
      </w:r>
    </w:p>
    <w:p w:rsidR="00865EB7" w:rsidRDefault="00B44548">
      <w:pPr>
        <w:pStyle w:val="Titrearticle"/>
        <w:rPr>
          <w:noProof/>
        </w:rPr>
      </w:pPr>
      <w:r>
        <w:rPr>
          <w:noProof/>
        </w:rPr>
        <w:t>4. pants</w:t>
      </w:r>
    </w:p>
    <w:p w:rsidR="00865EB7" w:rsidRDefault="00B44548">
      <w:pPr>
        <w:keepNext/>
        <w:keepLines/>
        <w:rPr>
          <w:noProof/>
        </w:rPr>
      </w:pPr>
      <w:r>
        <w:rPr>
          <w:noProof/>
        </w:rPr>
        <w:t>Šī direktīva ir adresēta dalībvalstīm.</w:t>
      </w:r>
    </w:p>
    <w:p w:rsidR="00865EB7" w:rsidRDefault="00B44548" w:rsidP="00B44548">
      <w:pPr>
        <w:pStyle w:val="Fait"/>
        <w:rPr>
          <w:noProof/>
        </w:rPr>
      </w:pPr>
      <w:r w:rsidRPr="00B44548">
        <w:t>Strasbūrā,</w:t>
      </w:r>
    </w:p>
    <w:p w:rsidR="00865EB7" w:rsidRDefault="00B44548">
      <w:pPr>
        <w:pStyle w:val="Institutionquisigne"/>
        <w:rPr>
          <w:noProof/>
        </w:rPr>
      </w:pPr>
      <w:r>
        <w:rPr>
          <w:noProof/>
        </w:rPr>
        <w:t>Eiropas Parlamenta vārdā —</w:t>
      </w:r>
      <w:r>
        <w:rPr>
          <w:noProof/>
        </w:rPr>
        <w:tab/>
        <w:t>Padomes vārdā —</w:t>
      </w:r>
    </w:p>
    <w:p w:rsidR="00865EB7" w:rsidRDefault="00B44548">
      <w:pPr>
        <w:pStyle w:val="Personnequisigne"/>
        <w:rPr>
          <w:noProof/>
        </w:rPr>
      </w:pPr>
      <w:r>
        <w:rPr>
          <w:noProof/>
        </w:rPr>
        <w:t>priekšsēdētājs</w:t>
      </w:r>
      <w:r>
        <w:rPr>
          <w:noProof/>
        </w:rPr>
        <w:tab/>
        <w:t>priekšsēdētājs</w:t>
      </w:r>
    </w:p>
    <w:sectPr w:rsidR="00865EB7" w:rsidSect="00B4454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B7" w:rsidRDefault="00B44548">
      <w:pPr>
        <w:spacing w:before="0" w:after="0"/>
      </w:pPr>
      <w:r>
        <w:separator/>
      </w:r>
    </w:p>
  </w:endnote>
  <w:endnote w:type="continuationSeparator" w:id="0">
    <w:p w:rsidR="00865EB7" w:rsidRDefault="00B445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48" w:rsidRPr="00B44548" w:rsidRDefault="00B44548" w:rsidP="00B44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B7" w:rsidRPr="00B44548" w:rsidRDefault="00B44548" w:rsidP="00B44548">
    <w:pPr>
      <w:pStyle w:val="Footer"/>
      <w:rPr>
        <w:rFonts w:ascii="Arial" w:hAnsi="Arial" w:cs="Arial"/>
        <w:b/>
        <w:sz w:val="48"/>
      </w:rPr>
    </w:pPr>
    <w:r w:rsidRPr="00B44548">
      <w:rPr>
        <w:rFonts w:ascii="Arial" w:hAnsi="Arial" w:cs="Arial"/>
        <w:b/>
        <w:sz w:val="48"/>
      </w:rPr>
      <w:t>LV</w:t>
    </w:r>
    <w:r w:rsidRPr="00B44548">
      <w:rPr>
        <w:rFonts w:ascii="Arial" w:hAnsi="Arial" w:cs="Arial"/>
        <w:b/>
        <w:sz w:val="48"/>
      </w:rPr>
      <w:tab/>
    </w:r>
    <w:r w:rsidRPr="00B44548">
      <w:rPr>
        <w:rFonts w:ascii="Arial" w:hAnsi="Arial" w:cs="Arial"/>
        <w:b/>
        <w:sz w:val="48"/>
      </w:rPr>
      <w:tab/>
    </w:r>
    <w:fldSimple w:instr=" DOCVARIABLE &quot;LW_Confidence&quot; \* MERGEFORMAT ">
      <w:r>
        <w:t xml:space="preserve"> </w:t>
      </w:r>
    </w:fldSimple>
    <w:r w:rsidRPr="00B44548">
      <w:tab/>
    </w:r>
    <w:r w:rsidRPr="00B44548">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48" w:rsidRPr="00B44548" w:rsidRDefault="00B44548" w:rsidP="00B445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48" w:rsidRPr="00B44548" w:rsidRDefault="00B44548" w:rsidP="00B44548">
    <w:pPr>
      <w:pStyle w:val="Footer"/>
      <w:rPr>
        <w:rFonts w:ascii="Arial" w:hAnsi="Arial" w:cs="Arial"/>
        <w:b/>
        <w:sz w:val="48"/>
      </w:rPr>
    </w:pPr>
    <w:r w:rsidRPr="00B44548">
      <w:rPr>
        <w:rFonts w:ascii="Arial" w:hAnsi="Arial" w:cs="Arial"/>
        <w:b/>
        <w:sz w:val="48"/>
      </w:rPr>
      <w:t>LV</w:t>
    </w:r>
    <w:r w:rsidRPr="00B44548">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fldSimple w:instr=" DOCVARIABLE &quot;LW_Confidence&quot; \* MERGEFORMAT ">
      <w:r>
        <w:t xml:space="preserve"> </w:t>
      </w:r>
    </w:fldSimple>
    <w:r w:rsidRPr="00B44548">
      <w:tab/>
    </w:r>
    <w:r w:rsidRPr="00B44548">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48" w:rsidRPr="00B44548" w:rsidRDefault="00B44548" w:rsidP="00B44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B7" w:rsidRDefault="00B44548">
      <w:pPr>
        <w:spacing w:before="0" w:after="0"/>
      </w:pPr>
      <w:r>
        <w:separator/>
      </w:r>
    </w:p>
  </w:footnote>
  <w:footnote w:type="continuationSeparator" w:id="0">
    <w:p w:rsidR="00865EB7" w:rsidRDefault="00B44548">
      <w:pPr>
        <w:spacing w:before="0" w:after="0"/>
      </w:pPr>
      <w:r>
        <w:continuationSeparator/>
      </w:r>
    </w:p>
  </w:footnote>
  <w:footnote w:id="1">
    <w:p w:rsidR="00865EB7" w:rsidRDefault="00B44548">
      <w:pPr>
        <w:pStyle w:val="FootnoteText"/>
      </w:pPr>
      <w:r>
        <w:rPr>
          <w:rStyle w:val="FootnoteReference"/>
        </w:rPr>
        <w:footnoteRef/>
      </w:r>
      <w:r>
        <w:tab/>
        <w:t xml:space="preserve">Eiropas Parlamenta un Padomes 1996. gada 16. decembra Direktīva 96/71/EK </w:t>
      </w:r>
      <w:r>
        <w:t>par darba ņēmēju norīkošanu darbā pakalpojumu sniegšanas jomā (OV L 18, 21.1.1997., 1. </w:t>
      </w:r>
      <w:proofErr w:type="spellStart"/>
      <w:r>
        <w:t>lpp</w:t>
      </w:r>
      <w:proofErr w:type="spellEnd"/>
      <w:r>
        <w:t>.).</w:t>
      </w:r>
    </w:p>
  </w:footnote>
  <w:footnote w:id="2">
    <w:p w:rsidR="00865EB7" w:rsidRDefault="00B44548">
      <w:pPr>
        <w:pStyle w:val="FootnoteText"/>
      </w:pPr>
      <w:r>
        <w:rPr>
          <w:rStyle w:val="FootnoteReference"/>
        </w:rPr>
        <w:footnoteRef/>
      </w:r>
      <w:r>
        <w:tab/>
      </w:r>
      <w:r>
        <w:t>Eiropas Parlamenta un Padomes 2014. gada 15. maija Direktīva 2014/67/ES par to, kā izpildīt Direktīvu 96/71/EK par darba ņēmēju norīkošanu darbā pakalpojumu sni</w:t>
      </w:r>
      <w:r>
        <w:t xml:space="preserve">egšanas jomā, un ar ko groza Eiropas Parlamenta un Padomes Regulu (ES) </w:t>
      </w:r>
      <w:proofErr w:type="spellStart"/>
      <w:r>
        <w:t>Nr</w:t>
      </w:r>
      <w:proofErr w:type="spellEnd"/>
      <w:r>
        <w:t>. 1024/2012 par administratīvo sadarbību, izmantojot Iekšējā tirgus informācijas sistēmu ("IMI regula") (OV L 159., 28.5.2014., 11. </w:t>
      </w:r>
      <w:proofErr w:type="spellStart"/>
      <w:r>
        <w:t>lpp</w:t>
      </w:r>
      <w:proofErr w:type="spellEnd"/>
      <w:r>
        <w:t>.).</w:t>
      </w:r>
    </w:p>
  </w:footnote>
  <w:footnote w:id="3">
    <w:p w:rsidR="00865EB7" w:rsidRDefault="00B44548">
      <w:pPr>
        <w:pStyle w:val="FootnoteText"/>
      </w:pPr>
      <w:r>
        <w:rPr>
          <w:rStyle w:val="FootnoteReference"/>
        </w:rPr>
        <w:footnoteRef/>
      </w:r>
      <w:r>
        <w:tab/>
      </w:r>
      <w:r>
        <w:t>Eiropas Parlamenta un Padomes 2008. gada 1</w:t>
      </w:r>
      <w:r>
        <w:t xml:space="preserve">7. jūnija Regula (EK) </w:t>
      </w:r>
      <w:proofErr w:type="spellStart"/>
      <w:r>
        <w:t>Nr</w:t>
      </w:r>
      <w:proofErr w:type="spellEnd"/>
      <w:r>
        <w:t>. 593/2008 par tiesību aktiem, kas piemērojami līgumsaistībām (Roma I) ( OV L 177, 4.7.2008., 6. </w:t>
      </w:r>
      <w:proofErr w:type="spellStart"/>
      <w:r>
        <w:t>lpp</w:t>
      </w:r>
      <w:proofErr w:type="spellEnd"/>
      <w:r>
        <w:t>.).</w:t>
      </w:r>
    </w:p>
  </w:footnote>
  <w:footnote w:id="4">
    <w:p w:rsidR="00865EB7" w:rsidRDefault="00B44548">
      <w:pPr>
        <w:pStyle w:val="FootnoteText"/>
      </w:pPr>
      <w:r>
        <w:rPr>
          <w:rStyle w:val="FootnoteReference"/>
        </w:rPr>
        <w:footnoteRef/>
      </w:r>
      <w:r>
        <w:tab/>
      </w:r>
      <w:r>
        <w:t xml:space="preserve">Pamatojoties uz Tiesas judikatūru lietā C-396/13. </w:t>
      </w:r>
    </w:p>
  </w:footnote>
  <w:footnote w:id="5">
    <w:p w:rsidR="00865EB7" w:rsidRDefault="00B44548">
      <w:pPr>
        <w:pStyle w:val="FootnoteText"/>
        <w:rPr>
          <w:lang w:val="nn-NO"/>
        </w:rPr>
      </w:pPr>
      <w:r>
        <w:rPr>
          <w:rStyle w:val="FootnoteReference"/>
        </w:rPr>
        <w:footnoteRef/>
      </w:r>
      <w:r>
        <w:rPr>
          <w:lang w:val="nn-NO"/>
        </w:rPr>
        <w:tab/>
      </w:r>
      <w:r>
        <w:rPr>
          <w:rStyle w:val="FootnoteReference"/>
        </w:rPr>
        <w:footnoteRef/>
      </w:r>
      <w:r>
        <w:rPr>
          <w:lang w:val="nn-NO"/>
        </w:rPr>
        <w:t>OV C  , , . </w:t>
      </w:r>
      <w:proofErr w:type="spellStart"/>
      <w:r>
        <w:rPr>
          <w:lang w:val="nn-NO"/>
        </w:rPr>
        <w:t>lpp</w:t>
      </w:r>
      <w:proofErr w:type="spellEnd"/>
      <w:r>
        <w:rPr>
          <w:lang w:val="nn-NO"/>
        </w:rPr>
        <w:t>.</w:t>
      </w:r>
    </w:p>
  </w:footnote>
  <w:footnote w:id="6">
    <w:p w:rsidR="00865EB7" w:rsidRDefault="00B44548">
      <w:pPr>
        <w:pStyle w:val="FootnoteText"/>
        <w:rPr>
          <w:lang w:val="nn-NO"/>
        </w:rPr>
      </w:pPr>
      <w:r>
        <w:rPr>
          <w:rStyle w:val="FootnoteReference"/>
        </w:rPr>
        <w:footnoteRef/>
      </w:r>
      <w:r>
        <w:rPr>
          <w:lang w:val="nn-NO"/>
        </w:rPr>
        <w:tab/>
      </w:r>
      <w:r>
        <w:rPr>
          <w:rStyle w:val="FootnoteReference"/>
        </w:rPr>
        <w:footnoteRef/>
      </w:r>
      <w:r>
        <w:rPr>
          <w:lang w:val="nn-NO"/>
        </w:rPr>
        <w:t xml:space="preserve">OV C 369, 17.12.2011., 14. </w:t>
      </w:r>
      <w:proofErr w:type="spellStart"/>
      <w:r>
        <w:rPr>
          <w:lang w:val="nn-NO"/>
        </w:rPr>
        <w:t>lpp</w:t>
      </w:r>
      <w:proofErr w:type="spellEnd"/>
      <w:r>
        <w:rPr>
          <w:lang w:val="nn-N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48" w:rsidRPr="00B44548" w:rsidRDefault="00B44548" w:rsidP="00B44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48" w:rsidRPr="00B44548" w:rsidRDefault="00B44548" w:rsidP="00B44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48" w:rsidRPr="00B44548" w:rsidRDefault="00B44548" w:rsidP="00B44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6: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51FF476261CB4F90903354DD829B8453"/>
    <w:docVar w:name="LW_CROSSREFERENCE" w:val="{SWD(2016) 52 final}_x000b_{SWD(2016) 53 final}"/>
    <w:docVar w:name="LW_DocType" w:val="COM"/>
    <w:docVar w:name="LW_EMISSION" w:val="8.3.2016"/>
    <w:docVar w:name="LW_EMISSION_ISODATE" w:val="2016-03-08"/>
    <w:docVar w:name="LW_EMISSION_LOCATION" w:val="STR"/>
    <w:docVar w:name="LW_EMISSION_PREFIX" w:val="Strasb\u363?r\u257?,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Priek\u353?likums"/>
    <w:docVar w:name="LW_SUPERTITRE" w:val="&lt;UNUSED&gt;"/>
    <w:docVar w:name="LW_TITRE.OBJ.CP" w:val="ar ko groza Eiropas Parlamenta un Padomes 1996. gada 16. decembra Direkt\u299?vu 96/71/EK par darba \u326?\u275?m\u275?ju nor\u299?ko\u353?anu darb\u257? pakalpojumu snieg\u353?anas jom\u257?"/>
    <w:docVar w:name="LW_TYPE.DOC.CP" w:val="EIROPAS PARLAMENTA UN PADOMES DIREKT\u298?VA,"/>
  </w:docVars>
  <w:rsids>
    <w:rsidRoot w:val="00865EB7"/>
    <w:rsid w:val="00865EB7"/>
    <w:rsid w:val="00B44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4454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4454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44548"/>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4454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4454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44548"/>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4747-E4D9-46C9-9E60-7BCC4BC7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4006</Words>
  <Characters>27047</Characters>
  <Application>Microsoft Office Word</Application>
  <DocSecurity>0</DocSecurity>
  <Lines>458</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2016-03-09T15:09:00Z</cp:lastPrinted>
  <dcterms:created xsi:type="dcterms:W3CDTF">2016-03-10T07:48:00Z</dcterms:created>
  <dcterms:modified xsi:type="dcterms:W3CDTF">2016-03-10T14:02:00Z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