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6E" w:rsidRDefault="00C242A5" w:rsidP="00C242A5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93D72A06BE4F489B845BB0095175C6EA" style="width:450.35pt;height:348.45pt">
            <v:imagedata r:id="rId9" o:title=""/>
          </v:shape>
        </w:pict>
      </w:r>
    </w:p>
    <w:bookmarkEnd w:id="0"/>
    <w:p w:rsidR="009C2C6E" w:rsidRDefault="009C2C6E">
      <w:pPr>
        <w:rPr>
          <w:noProof/>
        </w:rPr>
        <w:sectPr w:rsidR="009C2C6E" w:rsidSect="00C242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C2C6E" w:rsidRDefault="00C242A5">
      <w:pPr>
        <w:keepNext/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1. Introdução </w:t>
      </w:r>
    </w:p>
    <w:p w:rsidR="009C2C6E" w:rsidRDefault="00C242A5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 Presidente Juncker anunciou a criação de um Pilar Europeu dos Direitos Sociais no </w:t>
      </w:r>
      <w:r>
        <w:rPr>
          <w:rFonts w:ascii="Times New Roman" w:hAnsi="Times New Roman"/>
          <w:noProof/>
          <w:sz w:val="24"/>
        </w:rPr>
        <w:t>seu discurso sobre o estado da União, no Parlamento Europeu, em 9 de setembro de 2015. Esta iniciativa faz parte do trabalho da Comissão com vista a um maior aprofundamento e equidade da União Económica e Monetária (UEM)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 xml:space="preserve"> e do programa de trabalho da Comis</w:t>
      </w:r>
      <w:r>
        <w:rPr>
          <w:rFonts w:ascii="Times New Roman" w:hAnsi="Times New Roman"/>
          <w:noProof/>
          <w:sz w:val="24"/>
        </w:rPr>
        <w:t>são para 2016.</w:t>
      </w:r>
    </w:p>
    <w:p w:rsidR="009C2C6E" w:rsidRDefault="00C242A5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Segundo palavras do Presidente Juncker no seu discurso: «</w:t>
      </w:r>
      <w:r>
        <w:rPr>
          <w:rFonts w:ascii="Times New Roman" w:hAnsi="Times New Roman"/>
          <w:i/>
          <w:noProof/>
          <w:sz w:val="24"/>
        </w:rPr>
        <w:t>Temos de intensificar os trabalhos com vista a um mercado de trabalho equitativo e com uma dimensão verdadeiramente pan-europeia. (…) No quadro dos esforços envidados neste contexto, q</w:t>
      </w:r>
      <w:r>
        <w:rPr>
          <w:rFonts w:ascii="Times New Roman" w:hAnsi="Times New Roman"/>
          <w:i/>
          <w:noProof/>
          <w:sz w:val="24"/>
        </w:rPr>
        <w:t>uero desenvolver um Pilar Europeu dos Direitos Sociais, que tome em consideração a situação em mutação das sociedades europeias e do mundo do trabalho. E que possa servir para orientar o processo de convergência renovada na área do euro. O Pilar Europeu do</w:t>
      </w:r>
      <w:r>
        <w:rPr>
          <w:rFonts w:ascii="Times New Roman" w:hAnsi="Times New Roman"/>
          <w:i/>
          <w:noProof/>
          <w:sz w:val="24"/>
        </w:rPr>
        <w:t>s Direitos Sociais deve complementar os resultados já alcançados no que respeita à proteção dos trabalhadores na UE. Espero que os parceiros sociais desempenhem um papel fulcral neste processo. Considero que se justifica que esta iniciativa seja inicialmen</w:t>
      </w:r>
      <w:r>
        <w:rPr>
          <w:rFonts w:ascii="Times New Roman" w:hAnsi="Times New Roman"/>
          <w:i/>
          <w:noProof/>
          <w:sz w:val="24"/>
        </w:rPr>
        <w:t>te lançada na área do euro, permitindo simultaneamente a participação aos demais Estados-Membros da UE que nela desejem participar.</w:t>
      </w:r>
      <w:r>
        <w:rPr>
          <w:rFonts w:ascii="Times New Roman" w:hAnsi="Times New Roman"/>
          <w:noProof/>
          <w:sz w:val="24"/>
        </w:rPr>
        <w:t xml:space="preserve">» </w:t>
      </w:r>
    </w:p>
    <w:p w:rsidR="009C2C6E" w:rsidRDefault="00C242A5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presente comunicação define o percurso a seguir para o Pilar Europeu dos Direitos Sociais. Estabelece a lógica subjacent</w:t>
      </w:r>
      <w:r>
        <w:rPr>
          <w:rFonts w:ascii="Times New Roman" w:hAnsi="Times New Roman"/>
          <w:noProof/>
          <w:sz w:val="24"/>
        </w:rPr>
        <w:t>e à iniciativa, analisa o seu papel, âmbito de aplicação e natureza, e lança uma ampla consulta para a recolha de observações. Anexa-se à presente comunicação um primeiro esboço do pilar a fim de facilitar o debate. A presente Comunicação é igualmente acom</w:t>
      </w:r>
      <w:r>
        <w:rPr>
          <w:rFonts w:ascii="Times New Roman" w:hAnsi="Times New Roman"/>
          <w:noProof/>
          <w:sz w:val="24"/>
        </w:rPr>
        <w:t>panhada por documentos de trabalho dos serviços da Comissão: o primeiro descreve as principais tendências ao nível da economia, do mercado de trabalho e da sociedade em que se baseia o Pilar e que este deverá ajudar a enfrentar; o segundo recorda o «acervo</w:t>
      </w:r>
      <w:r>
        <w:rPr>
          <w:rFonts w:ascii="Times New Roman" w:hAnsi="Times New Roman"/>
          <w:noProof/>
          <w:sz w:val="24"/>
        </w:rPr>
        <w:t>» jurídico mais pertinente a nível da UE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</w:t>
      </w:r>
    </w:p>
    <w:p w:rsidR="009C2C6E" w:rsidRDefault="00C242A5">
      <w:pPr>
        <w:keepNext/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 Porquê um Pilar Europeu dos Direitos Sociais?</w:t>
      </w:r>
    </w:p>
    <w:p w:rsidR="009C2C6E" w:rsidRDefault="00C242A5">
      <w:pPr>
        <w:keepNext/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2.1. Uma economia social de mercado altamente competitiva</w:t>
      </w:r>
    </w:p>
    <w:p w:rsidR="009C2C6E" w:rsidRDefault="00C242A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ação a nível da UE reflete os princípios fundamentais da União. Assenta na convicção de que o desenvolv</w:t>
      </w:r>
      <w:r>
        <w:rPr>
          <w:rFonts w:ascii="Times New Roman" w:hAnsi="Times New Roman"/>
          <w:noProof/>
          <w:sz w:val="24"/>
        </w:rPr>
        <w:t>imento económico tem de se refletir num maior progresso e coesão social e que, ao mesmo tempo que assegura redes de segurança adequadas conformes aos valores europeus, a política social deve também ser concebida como um fator produtivo, que reduz a desigua</w:t>
      </w:r>
      <w:r>
        <w:rPr>
          <w:rFonts w:ascii="Times New Roman" w:hAnsi="Times New Roman"/>
          <w:noProof/>
          <w:sz w:val="24"/>
        </w:rPr>
        <w:t>ldade, maximiza a criação de emprego e faz prosperar o capital humano europeu. Esta convicção é confirmada por dados sobre o desempenho em matéria social e de emprego. Os Estados-Membros que apresentam melhores resultados em termos económicos foram os mesm</w:t>
      </w:r>
      <w:r>
        <w:rPr>
          <w:rFonts w:ascii="Times New Roman" w:hAnsi="Times New Roman"/>
          <w:noProof/>
          <w:sz w:val="24"/>
        </w:rPr>
        <w:t>os que desenvolveram políticas sociais mais ambiciosas e eficazes, não só como resultado do seu desenvolvimento económico, mas ainda como um elemento central do seu modelo de crescimento. Para este efeito, é essencial conceber sistemas de proteção social e</w:t>
      </w:r>
      <w:r>
        <w:rPr>
          <w:rFonts w:ascii="Times New Roman" w:hAnsi="Times New Roman"/>
          <w:noProof/>
          <w:sz w:val="24"/>
        </w:rPr>
        <w:t xml:space="preserve"> instituições do mercado de trabalho que cumpram o seu papel e apoiem a criação de emprego.  </w:t>
      </w:r>
    </w:p>
    <w:p w:rsidR="009C2C6E" w:rsidRDefault="00C242A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Esta abordagem também está no cerne da agenda económica global da Comissão, conforme estabelece a sua Análise Anual do Crescimento para 2016. A centrar a sua atenção na promoção das reformas estruturais, do investimento e das políticas orçamentais responsá</w:t>
      </w:r>
      <w:r>
        <w:rPr>
          <w:rFonts w:ascii="Times New Roman" w:hAnsi="Times New Roman"/>
          <w:noProof/>
          <w:sz w:val="24"/>
        </w:rPr>
        <w:t xml:space="preserve">veis, é clara a ênfase dada pela Comissão aos aspetos sociais e à justiça social. </w:t>
      </w:r>
    </w:p>
    <w:p w:rsidR="009C2C6E" w:rsidRDefault="00C242A5">
      <w:pPr>
        <w:keepLine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Em conformidade com o princípio da subsidiariedade, os Estados-Membros são os principais responsáveis pela definição das suas políticas sociais e de emprego, o que inclui o </w:t>
      </w:r>
      <w:r>
        <w:rPr>
          <w:rFonts w:ascii="Times New Roman" w:hAnsi="Times New Roman"/>
          <w:noProof/>
          <w:sz w:val="24"/>
        </w:rPr>
        <w:t>direito do trabalho e a organização dos sistemas de proteção social. Essa competência é reconhecida pelos Tratados da UE que, desde a fundação da Comunidade Económica Europeia, preveem igualmente que cabe à UE completar as ações dos Estados-Membros. O arti</w:t>
      </w:r>
      <w:r>
        <w:rPr>
          <w:rFonts w:ascii="Times New Roman" w:hAnsi="Times New Roman"/>
          <w:noProof/>
          <w:sz w:val="24"/>
        </w:rPr>
        <w:t>go 3.º do Tratado da União Europeia reflete este objetivo global segundo o qual a União: «</w:t>
      </w:r>
      <w:r>
        <w:rPr>
          <w:rFonts w:ascii="Times New Roman" w:hAnsi="Times New Roman"/>
          <w:i/>
          <w:noProof/>
          <w:sz w:val="24"/>
        </w:rPr>
        <w:t>Empenha-se no desenvolvimento sustentável da Europa, assente num crescimento económico equilibrado e na estabilidade dos preços, numa economia social de mercado altam</w:t>
      </w:r>
      <w:r>
        <w:rPr>
          <w:rFonts w:ascii="Times New Roman" w:hAnsi="Times New Roman"/>
          <w:i/>
          <w:noProof/>
          <w:sz w:val="24"/>
        </w:rPr>
        <w:t>ente competitiva que tenha como meta o pleno emprego e o progresso social, e num elevado nível de proteção e de melhoramento da qualidade do ambiente.</w:t>
      </w:r>
      <w:r>
        <w:rPr>
          <w:rFonts w:ascii="Times New Roman" w:hAnsi="Times New Roman"/>
          <w:noProof/>
          <w:sz w:val="24"/>
        </w:rPr>
        <w:t>»</w:t>
      </w:r>
    </w:p>
    <w:p w:rsidR="009C2C6E" w:rsidRDefault="00C242A5">
      <w:pPr>
        <w:pStyle w:val="PlainText"/>
        <w:spacing w:after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Por esta razão, a criação e o aprofundamento do mercado único europeu tem acompanhado o desenvolvimento </w:t>
      </w:r>
      <w:r>
        <w:rPr>
          <w:rFonts w:ascii="Times New Roman" w:hAnsi="Times New Roman"/>
          <w:noProof/>
          <w:sz w:val="24"/>
        </w:rPr>
        <w:t xml:space="preserve">do «acervo» no domínio social a nível da UE, a fim de garantir condições equitativas, limitar o risco de </w:t>
      </w:r>
      <w:r>
        <w:rPr>
          <w:rFonts w:ascii="Times New Roman" w:hAnsi="Times New Roman"/>
          <w:i/>
          <w:noProof/>
          <w:sz w:val="24"/>
        </w:rPr>
        <w:t>dumping social</w:t>
      </w:r>
      <w:r>
        <w:rPr>
          <w:rFonts w:ascii="Times New Roman" w:hAnsi="Times New Roman"/>
          <w:noProof/>
          <w:sz w:val="24"/>
        </w:rPr>
        <w:t xml:space="preserve"> ou de «nivelamento por baixo» e facilitar a integração económica e social. É também por este motivo que, desde a década de 1990, as cons</w:t>
      </w:r>
      <w:r>
        <w:rPr>
          <w:rFonts w:ascii="Times New Roman" w:hAnsi="Times New Roman"/>
          <w:noProof/>
          <w:sz w:val="24"/>
        </w:rPr>
        <w:t>iderações sociais e em matéria o emprego têm sido uma característica essencial do processo de coordenação da política económica a nível da UE, agora conhecido por Semestre Europeu. A base subjacente ao Pilar Europeu dos Direitos Sociais segue esta lógica e</w:t>
      </w:r>
      <w:r>
        <w:rPr>
          <w:rFonts w:ascii="Times New Roman" w:hAnsi="Times New Roman"/>
          <w:noProof/>
          <w:sz w:val="24"/>
        </w:rPr>
        <w:t xml:space="preserve"> responde a uma dupla necessidade: superar a crise e perspetivar o futuro e avançar no sentido de uma UEM mais profunda e mais justa. </w:t>
      </w:r>
    </w:p>
    <w:p w:rsidR="009C2C6E" w:rsidRDefault="00C242A5">
      <w:pPr>
        <w:pStyle w:val="PlainText"/>
        <w:keepNext/>
        <w:spacing w:before="120"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2.2. Superar a crise e perspetivar o futuro </w:t>
      </w:r>
    </w:p>
    <w:p w:rsidR="009C2C6E" w:rsidRDefault="00C242A5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Europa está a sair da sua pior crise desde há décadas: todos os Estados-Membros e a UE no seu conjunto têm de fazer face às consequências políticas, económicas e sociais, ao mesmo tempo que procuram antecipar os desenvolvimentos futuros. A crise teve efe</w:t>
      </w:r>
      <w:r>
        <w:rPr>
          <w:rFonts w:ascii="Times New Roman" w:hAnsi="Times New Roman"/>
          <w:noProof/>
          <w:sz w:val="24"/>
        </w:rPr>
        <w:t>itos graves e visíveis sobre a sociedade e a economia europeias. Os sistemas de proteção social amortizaram parte do impacto, mas o desemprego tem aumentado, uma parte significativa da população vive em risco de pobreza, as finanças públicas têm sofrido re</w:t>
      </w:r>
      <w:r>
        <w:rPr>
          <w:rFonts w:ascii="Times New Roman" w:hAnsi="Times New Roman"/>
          <w:noProof/>
          <w:sz w:val="24"/>
        </w:rPr>
        <w:t>duções e os resultados nacionais têm divergido de forma acentuada. O desemprego, em particular, tem onerado fortemente as pessoas e a sociedade desde há muitos anos: quase 22 milhões de pessoas continuam desempregadas e à procura de trabalho (cerca de 17 m</w:t>
      </w:r>
      <w:r>
        <w:rPr>
          <w:rFonts w:ascii="Times New Roman" w:hAnsi="Times New Roman"/>
          <w:noProof/>
          <w:sz w:val="24"/>
        </w:rPr>
        <w:t xml:space="preserve">ilhões na área do euro), dos quais 10 milhões estão nesta situação há mais de um ano. </w:t>
      </w:r>
    </w:p>
    <w:p w:rsidR="009C2C6E" w:rsidRDefault="00C242A5">
      <w:pPr>
        <w:pStyle w:val="PlainText"/>
        <w:spacing w:after="24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Além disso, a crise veio ocultar parcialmente algumas das tendências a longo prazo mais fundamentais e acentuar outras. De destacar, por exemplo: as alterações nas estru</w:t>
      </w:r>
      <w:r>
        <w:rPr>
          <w:rFonts w:ascii="Times New Roman" w:hAnsi="Times New Roman"/>
          <w:noProof/>
          <w:sz w:val="24"/>
        </w:rPr>
        <w:t>turas sociais, bem como nos padrões familiares e laborais; uma vida laboral mais longa e variada; uma maior diversificação da mão de obra e a propagação de novas formas de trabalho; o paradoxo entre o aumento dos níveis de educação e a inadequação generali</w:t>
      </w:r>
      <w:r>
        <w:rPr>
          <w:rFonts w:ascii="Times New Roman" w:hAnsi="Times New Roman"/>
          <w:noProof/>
          <w:sz w:val="24"/>
        </w:rPr>
        <w:t xml:space="preserve">zada das qualificações; desigualdades crescentes; as novas necessidades e oportunidades decorrentes da evolução da esperança de vida e do envelhecimento demográfico; a evolução tecnológica e a digitalização da sociedade e da economia. </w:t>
      </w:r>
    </w:p>
    <w:p w:rsidR="009C2C6E" w:rsidRDefault="00C242A5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 alcance e a nature</w:t>
      </w:r>
      <w:r>
        <w:rPr>
          <w:rFonts w:ascii="Times New Roman" w:hAnsi="Times New Roman"/>
          <w:noProof/>
          <w:sz w:val="24"/>
        </w:rPr>
        <w:t xml:space="preserve">za dos desafios com que se defronta o mundo do trabalho e a sociedade em geral mudaram radicalmente em relação ao século XX, tendo a Europa que se adaptar a muitas novas ou futuras tendências. Os objetivos da política social e a sua capacidade para os </w:t>
      </w:r>
      <w:r>
        <w:rPr>
          <w:rFonts w:ascii="Times New Roman" w:hAnsi="Times New Roman"/>
          <w:noProof/>
          <w:sz w:val="24"/>
        </w:rPr>
        <w:lastRenderedPageBreak/>
        <w:t>cump</w:t>
      </w:r>
      <w:r>
        <w:rPr>
          <w:rFonts w:ascii="Times New Roman" w:hAnsi="Times New Roman"/>
          <w:noProof/>
          <w:sz w:val="24"/>
        </w:rPr>
        <w:t xml:space="preserve">rir estão a ser testados de forma significativa e a capacidade da Europa para alcançar um funcionamento correto e equitativo dos mercados de trabalho e dos sistemas de proteção social é essencial para que possa incentivar a produtividade, competir a nível </w:t>
      </w:r>
      <w:r>
        <w:rPr>
          <w:rFonts w:ascii="Times New Roman" w:hAnsi="Times New Roman"/>
          <w:noProof/>
          <w:sz w:val="24"/>
        </w:rPr>
        <w:t xml:space="preserve">mundial, reforçar a coesão social e melhorar o nível de vida dos seus cidadãos. </w:t>
      </w:r>
    </w:p>
    <w:p w:rsidR="009C2C6E" w:rsidRDefault="00C242A5">
      <w:pPr>
        <w:pStyle w:val="PlainText"/>
        <w:spacing w:after="24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Esta reflexão está a tornar-se cada vez mais importante, tanto a nível internacional como em cada Estado-Membro</w:t>
      </w:r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Apesar das incertezas quanto ao futuro, há cada vez mais prov</w:t>
      </w:r>
      <w:r>
        <w:rPr>
          <w:rFonts w:ascii="Times New Roman" w:hAnsi="Times New Roman"/>
          <w:noProof/>
          <w:sz w:val="24"/>
        </w:rPr>
        <w:t>as e consenso mundial sobre a necessidade de reforçar a ligação entre o desenvolvimento económico, social e ambiental, sobre o facto de que as desigualdades impedem o desenvolvimento económico e sobre a necessidade de criar um modelo de crescimento mais in</w:t>
      </w:r>
      <w:r>
        <w:rPr>
          <w:rFonts w:ascii="Times New Roman" w:hAnsi="Times New Roman"/>
          <w:noProof/>
          <w:sz w:val="24"/>
        </w:rPr>
        <w:t>clusivo, como ilustrado nos Objetivos de Desenvolvimento Sustentável das Nações Unidas, adotados em setembro de 2015, assim como em várias conclusões do</w:t>
      </w:r>
      <w:r>
        <w:rPr>
          <w:rFonts w:ascii="Times New Roman" w:hAnsi="Times New Roman"/>
          <w:noProof/>
          <w:color w:val="000000"/>
          <w:sz w:val="24"/>
        </w:rPr>
        <w:t xml:space="preserve"> G20. </w:t>
      </w:r>
      <w:r>
        <w:rPr>
          <w:rFonts w:ascii="Times New Roman" w:hAnsi="Times New Roman"/>
          <w:noProof/>
          <w:sz w:val="24"/>
        </w:rPr>
        <w:t>Esta agenda mundial baseia-se, em larga medida, na grande quantidade de estudos efetuados por orga</w:t>
      </w:r>
      <w:r>
        <w:rPr>
          <w:rFonts w:ascii="Times New Roman" w:hAnsi="Times New Roman"/>
          <w:noProof/>
          <w:sz w:val="24"/>
        </w:rPr>
        <w:t>nizações internacionais, como a Organização de Cooperação e de Desenvolvimento Económicos, o Banco Mundial, a Organização Internacional do Trabalho e o Fundo Monetário Internacional.</w:t>
      </w:r>
    </w:p>
    <w:p w:rsidR="009C2C6E" w:rsidRDefault="00C242A5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Estas publicações sublinham que o investimento no capital humano constitu</w:t>
      </w:r>
      <w:r>
        <w:rPr>
          <w:rFonts w:ascii="Times New Roman" w:hAnsi="Times New Roman"/>
          <w:noProof/>
          <w:sz w:val="24"/>
        </w:rPr>
        <w:t>i um importante mecanismo de transmissão entre o crescimento a longo prazo, a igualdade e o progresso social. Confirmam igualmente que a desigualdade dos rendimentos pode ter um impacto negativo no crescimento potencial a longo prazo, consolidando e reforç</w:t>
      </w:r>
      <w:r>
        <w:rPr>
          <w:rFonts w:ascii="Times New Roman" w:hAnsi="Times New Roman"/>
          <w:noProof/>
          <w:sz w:val="24"/>
        </w:rPr>
        <w:t>ando as desigualdades de oportunidades existentes, limitando o desenvolvimento das competências e prejudicando a mobilidade social e profissional. Nas economias avançadas, que baseiam a sua prosperidade no crescimento da produtividade e na sua capacidade d</w:t>
      </w:r>
      <w:r>
        <w:rPr>
          <w:rFonts w:ascii="Times New Roman" w:hAnsi="Times New Roman"/>
          <w:noProof/>
          <w:sz w:val="24"/>
        </w:rPr>
        <w:t xml:space="preserve">e inovar, os desempenhos social e económico representam duas faces da mesma moeda. </w:t>
      </w:r>
    </w:p>
    <w:p w:rsidR="009C2C6E" w:rsidRDefault="00C242A5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política social moderna deve assentar no investimento em capital humano, que se baseia na igualdade de oportunidades, na prevenção e na proteção contra os riscos sociais,</w:t>
      </w:r>
      <w:r>
        <w:rPr>
          <w:rFonts w:ascii="Times New Roman" w:hAnsi="Times New Roman"/>
          <w:noProof/>
          <w:sz w:val="24"/>
        </w:rPr>
        <w:t xml:space="preserve"> na existência de redes de segurança eficazes e de incentivos para aceder ao mercado de trabalho, de modo a que as pessoas possam continuar a viver uma vida digna, mudar o seu estatuto pessoal e profissional ao longo da vida e tirar o melhor partido possív</w:t>
      </w:r>
      <w:r>
        <w:rPr>
          <w:rFonts w:ascii="Times New Roman" w:hAnsi="Times New Roman"/>
          <w:noProof/>
          <w:sz w:val="24"/>
        </w:rPr>
        <w:t xml:space="preserve">el dos seus talentos.  </w:t>
      </w:r>
    </w:p>
    <w:p w:rsidR="009C2C6E" w:rsidRDefault="00C242A5">
      <w:pPr>
        <w:pStyle w:val="PlainText"/>
        <w:keepNext/>
        <w:spacing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2.3. Rumo a uma União Económica e Monetária mais profunda e mais equitativa</w:t>
      </w:r>
    </w:p>
    <w:p w:rsidR="009C2C6E" w:rsidRDefault="00C242A5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área do euro tem aprendido com a crise dos últimos anos e iniciou um processo de maior integração e consolidação, que inclui necessariamente uma dimensão </w:t>
      </w:r>
      <w:r>
        <w:rPr>
          <w:rFonts w:ascii="Times New Roman" w:hAnsi="Times New Roman"/>
          <w:noProof/>
          <w:sz w:val="24"/>
        </w:rPr>
        <w:t>social. O relatório dos cinco presidentes intitulado «Concluir a União Económica e Monetária Europeia»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>, salienta que «</w:t>
      </w:r>
      <w:r>
        <w:rPr>
          <w:rFonts w:ascii="Times New Roman" w:hAnsi="Times New Roman"/>
          <w:i/>
          <w:noProof/>
          <w:sz w:val="24"/>
        </w:rPr>
        <w:t>A Europa deve ter por ambição obter um "triplo A social"</w:t>
      </w:r>
      <w:r>
        <w:rPr>
          <w:rFonts w:ascii="Times New Roman" w:hAnsi="Times New Roman"/>
          <w:noProof/>
          <w:sz w:val="24"/>
        </w:rPr>
        <w:t>» e que «</w:t>
      </w:r>
      <w:r>
        <w:rPr>
          <w:rFonts w:ascii="Times New Roman" w:hAnsi="Times New Roman"/>
          <w:i/>
          <w:noProof/>
          <w:sz w:val="24"/>
        </w:rPr>
        <w:t xml:space="preserve">Para que a UEM seja bem-sucedida, os mercados de trabalho e os sistemas </w:t>
      </w:r>
      <w:r>
        <w:rPr>
          <w:rFonts w:ascii="Times New Roman" w:hAnsi="Times New Roman"/>
          <w:i/>
          <w:noProof/>
          <w:sz w:val="24"/>
        </w:rPr>
        <w:t>de proteção social têm de funcionar adequadamente e ser equitativos em todos os Estados-Membros da área do euro</w:t>
      </w:r>
      <w:r>
        <w:rPr>
          <w:rFonts w:ascii="Times New Roman" w:hAnsi="Times New Roman"/>
          <w:noProof/>
          <w:sz w:val="24"/>
        </w:rPr>
        <w:t>». O relatório recorda que apesar de não existir um modelo único a seguir, os desafios são muitas vezes semelhantes entre os Estados-Membros. Ape</w:t>
      </w:r>
      <w:r>
        <w:rPr>
          <w:rFonts w:ascii="Times New Roman" w:hAnsi="Times New Roman"/>
          <w:noProof/>
          <w:sz w:val="24"/>
        </w:rPr>
        <w:t>la igualmente a uma maior ênfase no emprego e no desempenho social como parte de um vasto processo de convergência ascendente para uma maior resiliência das estruturas económicas em toda a área do euro.</w:t>
      </w:r>
    </w:p>
    <w:p w:rsidR="009C2C6E" w:rsidRDefault="00C242A5">
      <w:pPr>
        <w:pStyle w:val="PlainText"/>
        <w:keepLines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Não se trata apenas de um imperativo político ou soci</w:t>
      </w:r>
      <w:r>
        <w:rPr>
          <w:rFonts w:ascii="Times New Roman" w:hAnsi="Times New Roman"/>
          <w:noProof/>
          <w:sz w:val="24"/>
        </w:rPr>
        <w:t xml:space="preserve">al, é igualmente uma necessidade económica: a experiência da última década e meia demonstrou que os persistentes desequilíbrios em um ou vários Estados-Membros podem comprometer a estabilidade de toda a área do euro, e que a incapacidade de corrigir esses </w:t>
      </w:r>
      <w:r>
        <w:rPr>
          <w:rFonts w:ascii="Times New Roman" w:hAnsi="Times New Roman"/>
          <w:noProof/>
          <w:sz w:val="24"/>
        </w:rPr>
        <w:t>desequilíbrios pode determinar divergências ainda mais onerosas. Depois da crise de 2007-2008, a área do euro tornou-se mais heterogénea, com alguns países particularmente afetados, e esta heterogeneidade leva tempo a diminuir. Em termos prospetivos, é evi</w:t>
      </w:r>
      <w:r>
        <w:rPr>
          <w:rFonts w:ascii="Times New Roman" w:hAnsi="Times New Roman"/>
          <w:noProof/>
          <w:sz w:val="24"/>
        </w:rPr>
        <w:t>dente que o êxito futuro da área do euro depende, em grande medida, da eficácia dos mercados de trabalho e dos sistemas de proteção social nacionais, bem como da capacidade da economia para absorver os choques e se adaptar a eles.</w:t>
      </w:r>
    </w:p>
    <w:p w:rsidR="009C2C6E" w:rsidRDefault="00C242A5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Para que sejam eficazes e</w:t>
      </w:r>
      <w:r>
        <w:rPr>
          <w:rFonts w:ascii="Times New Roman" w:hAnsi="Times New Roman"/>
          <w:noProof/>
          <w:sz w:val="24"/>
        </w:rPr>
        <w:t xml:space="preserve"> inclusivos, os mercados de trabalho necessitam de combinar com eficácia elementos de flexibilidade e de segurança, o que permitirá melhorar os níveis de emprego e as capacidades de adaptação. O correspondente conceito de «flexigurança» não é novo, mas, no</w:t>
      </w:r>
      <w:r>
        <w:rPr>
          <w:rFonts w:ascii="Times New Roman" w:hAnsi="Times New Roman"/>
          <w:noProof/>
          <w:sz w:val="24"/>
        </w:rPr>
        <w:t xml:space="preserve"> rescaldo da crise, e tendo em conta a evolução do mundo do trabalho, é necessário redefinir a melhor forma de o aplicar na prática. As empresas têm todo o interesse em beneficiarem de um ambiente empresarial previsível e juridicamente seguro, em serem cap</w:t>
      </w:r>
      <w:r>
        <w:rPr>
          <w:rFonts w:ascii="Times New Roman" w:hAnsi="Times New Roman"/>
          <w:noProof/>
          <w:sz w:val="24"/>
        </w:rPr>
        <w:t xml:space="preserve">azes de atrair trabalhadores qualificados e produtivos, mas também em se adaptarem à rápida evolução das realidades do mercado. Os trabalhadores têm todo o interesse em beneficiarem de uma segurança de emprego e de rendimentos, em poderem conciliar a vida </w:t>
      </w:r>
      <w:r>
        <w:rPr>
          <w:rFonts w:ascii="Times New Roman" w:hAnsi="Times New Roman"/>
          <w:noProof/>
          <w:sz w:val="24"/>
        </w:rPr>
        <w:t>profissional e privada, mas também em conseguirem enfrentar novos desafios e em se adaptarem ao longo da sua carreira, bem como em prosseguirem a acumulação de competências ao longo de toda a sua vida. Muito frequentemente, as pessoas desempregadas e inati</w:t>
      </w:r>
      <w:r>
        <w:rPr>
          <w:rFonts w:ascii="Times New Roman" w:hAnsi="Times New Roman"/>
          <w:noProof/>
          <w:sz w:val="24"/>
        </w:rPr>
        <w:t>vas procuram oportunidades no mundo do trabalho que não as confinem a empregos de baixa qualidade , com baixa remuneração, ou que os privem dos seus direitos sociais fundamentais. Para a economia e a sociedade, nomeadamente na área do euro, é evidente o in</w:t>
      </w:r>
      <w:r>
        <w:rPr>
          <w:rFonts w:ascii="Times New Roman" w:hAnsi="Times New Roman"/>
          <w:noProof/>
          <w:sz w:val="24"/>
        </w:rPr>
        <w:t xml:space="preserve">teresse de um melhor desenvolvimento e utilização das competências, de uma maior mobilidade e resiliência, da coesão social e de uma distribuição justa e eficaz dos direitos, deveres e rendimentos, também entre gerações. </w:t>
      </w:r>
    </w:p>
    <w:p w:rsidR="009C2C6E" w:rsidRDefault="00C242A5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Ao mesmo tempo, a elevada taxa de </w:t>
      </w:r>
      <w:r>
        <w:rPr>
          <w:rFonts w:ascii="Times New Roman" w:hAnsi="Times New Roman"/>
          <w:noProof/>
          <w:sz w:val="24"/>
        </w:rPr>
        <w:t>desemprego e o envelhecimento demográfico, conjugados com as pressões sobre as finanças públicas e a necessidade de minimizar as suas repercussões entre países decorrentes dos desequilíbrios macroeconómicos, puseram em evidência a questão do desempenho dos</w:t>
      </w:r>
      <w:r>
        <w:rPr>
          <w:rFonts w:ascii="Times New Roman" w:hAnsi="Times New Roman"/>
          <w:noProof/>
          <w:sz w:val="24"/>
        </w:rPr>
        <w:t xml:space="preserve"> sistemas de proteção social nacionais, de vários pontos de vista: em primeiro lugar, no que se refere à sua adequação e sustentabilidade orçamental, à luz da evolução das necessidades sociais, designadamente a necessidade de combater a pobreza; em segundo</w:t>
      </w:r>
      <w:r>
        <w:rPr>
          <w:rFonts w:ascii="Times New Roman" w:hAnsi="Times New Roman"/>
          <w:noProof/>
          <w:sz w:val="24"/>
        </w:rPr>
        <w:t xml:space="preserve">, no que se refere ao seu impacto sobre a criação de emprego, tanto na perspetiva do candidato a emprego como do empregador, incluindo a sua capacidade para tornar o trabalho compensador e reforçar as competências das pessoas para participar plenamente na </w:t>
      </w:r>
      <w:r>
        <w:rPr>
          <w:rFonts w:ascii="Times New Roman" w:hAnsi="Times New Roman"/>
          <w:noProof/>
          <w:sz w:val="24"/>
        </w:rPr>
        <w:t xml:space="preserve">sociedade; e, por último, um aspeto que é especialmente importante para a área do euro, no que se refere à sua capacidade para atenuar os choques macroeconómicos e desempenhar uma função de estabilização automática. Para a solidez das finanças públicas, é </w:t>
      </w:r>
      <w:r>
        <w:rPr>
          <w:rFonts w:ascii="Times New Roman" w:hAnsi="Times New Roman"/>
          <w:noProof/>
          <w:sz w:val="24"/>
        </w:rPr>
        <w:t>essencial uma taxa de emprego elevada, uma taxa de desemprego baixa e que os sistemas de proteção social sejam bem concebidos; a existência de grandes divergências ao nível do desempenho social e do mercado de trabalho constitui uma ameaça para o bom funci</w:t>
      </w:r>
      <w:r>
        <w:rPr>
          <w:rFonts w:ascii="Times New Roman" w:hAnsi="Times New Roman"/>
          <w:noProof/>
          <w:sz w:val="24"/>
        </w:rPr>
        <w:t>onamento da área do euro. No âmbito das medidas tomadas para melhorar a supervisão orçamental a nível da UE, a reflexão sobre a qualidade das finanças públicas, de que os sistemas de proteção social constituem uma grande parte, chamou a atenção para questõ</w:t>
      </w:r>
      <w:r>
        <w:rPr>
          <w:rFonts w:ascii="Times New Roman" w:hAnsi="Times New Roman"/>
          <w:noProof/>
          <w:sz w:val="24"/>
        </w:rPr>
        <w:t>es relacionadas com a equidade e a eficiência das despesas e das receitas públicas.</w:t>
      </w:r>
    </w:p>
    <w:p w:rsidR="009C2C6E" w:rsidRDefault="00C242A5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br w:type="page"/>
      </w:r>
    </w:p>
    <w:p w:rsidR="009C2C6E" w:rsidRDefault="00C242A5">
      <w:pPr>
        <w:keepNext/>
        <w:spacing w:before="120"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2.4. A riqueza da experiência como base </w:t>
      </w:r>
    </w:p>
    <w:p w:rsidR="009C2C6E" w:rsidRDefault="00C242A5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 Pilar Europeu dos Direitos Sociais pode basear-se na riqueza da experiência e práticas adquiridas: em muitos domínios, é na Eur</w:t>
      </w:r>
      <w:r>
        <w:rPr>
          <w:rFonts w:ascii="Times New Roman" w:hAnsi="Times New Roman"/>
          <w:noProof/>
          <w:sz w:val="24"/>
        </w:rPr>
        <w:t xml:space="preserve">opa que estão os países com o melhor desempenho a nível mundial e as soluções são bem conhecidas. No entanto, dada a amplitude dos desafios atuais, a complacência e o </w:t>
      </w:r>
      <w:r>
        <w:rPr>
          <w:rFonts w:ascii="Times New Roman" w:hAnsi="Times New Roman"/>
          <w:i/>
          <w:noProof/>
          <w:sz w:val="24"/>
        </w:rPr>
        <w:t>status quo</w:t>
      </w:r>
      <w:r>
        <w:rPr>
          <w:rFonts w:ascii="Times New Roman" w:hAnsi="Times New Roman"/>
          <w:noProof/>
          <w:sz w:val="24"/>
        </w:rPr>
        <w:t xml:space="preserve"> não são uma opção. Também há muito a aprender com as realidades em rápida evol</w:t>
      </w:r>
      <w:r>
        <w:rPr>
          <w:rFonts w:ascii="Times New Roman" w:hAnsi="Times New Roman"/>
          <w:noProof/>
          <w:sz w:val="24"/>
        </w:rPr>
        <w:t>ução em todo o mundo.</w:t>
      </w:r>
    </w:p>
    <w:p w:rsidR="009C2C6E" w:rsidRDefault="00C242A5">
      <w:pPr>
        <w:pStyle w:val="PlainText"/>
        <w:keepLines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Apesar de se reconhecer que as situações variam consideravelmente entre os Estados-Membros, o Pilar pode igualmente basear-se nos valores e princípios comuns partilhados a nível nacional, europeu e internacional. Estes valores e princ</w:t>
      </w:r>
      <w:r>
        <w:rPr>
          <w:rFonts w:ascii="Times New Roman" w:hAnsi="Times New Roman"/>
          <w:noProof/>
          <w:sz w:val="24"/>
        </w:rPr>
        <w:t>ípios ocupam um lugar de destaque nos documentos de referência, como o Tratado da União Europeia (TUE), o Tratado sobre o Funcionamento da União Europeia (TFUE), a Carta dos Direitos Fundamentais e a jurisprudência do Tribunal de Justiça da União Europeia,</w:t>
      </w:r>
      <w:r>
        <w:rPr>
          <w:rFonts w:ascii="Times New Roman" w:hAnsi="Times New Roman"/>
          <w:noProof/>
          <w:sz w:val="24"/>
        </w:rPr>
        <w:t xml:space="preserve"> bem como em instrumentos internacionais como a Carta Social Europeia adotada pelo Conselho da Europa e em recomendações da OIT. </w:t>
      </w:r>
    </w:p>
    <w:p w:rsidR="009C2C6E" w:rsidRDefault="00C242A5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Esses quadros abrangem muitas vezes uma vasta gama de domínios, em que definem princípios gerais ou normas mínimas, que devem ser completados a nível nacional, regional ou local. O principal problema na Europa não é, pois, necessariamente um reconhecimento</w:t>
      </w:r>
      <w:r>
        <w:rPr>
          <w:rFonts w:ascii="Times New Roman" w:hAnsi="Times New Roman"/>
          <w:noProof/>
          <w:sz w:val="24"/>
        </w:rPr>
        <w:t xml:space="preserve"> de direitos, mas, antes, a sua adoção e execução efetivas, dadas as rápidas mudanças no ambiente social, jurídico e económico. </w:t>
      </w:r>
    </w:p>
    <w:p w:rsidR="009C2C6E" w:rsidRDefault="00C242A5">
      <w:pPr>
        <w:pStyle w:val="PlainText"/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Ao longo dos anos, a Comissão tomou iniciativas para intensificar os esforços em prioridades prementes e para atualizar o «acer</w:t>
      </w:r>
      <w:r>
        <w:rPr>
          <w:rFonts w:ascii="Times New Roman" w:hAnsi="Times New Roman"/>
          <w:noProof/>
          <w:sz w:val="24"/>
        </w:rPr>
        <w:t>vo» da UE. Esses esforços inscrevem-se na lógica do programa «Legislar Melhor»: não se trata de menos legislação, mas de uma abordagem legislativa que tome plenamente em consideração o impacto económico, social e ambiental no terreno, a fim de garantir que</w:t>
      </w:r>
      <w:r>
        <w:rPr>
          <w:rFonts w:ascii="Times New Roman" w:hAnsi="Times New Roman"/>
          <w:noProof/>
          <w:sz w:val="24"/>
        </w:rPr>
        <w:t xml:space="preserve"> cada iniciativa atinja o seu objetivo, da melhor maneira. Durante este mandato, a Comissão introduziu os Fundos Europeus Estruturais e de Investimento para o período de 2014-2020, dos quais cerca de 20 % são mobilizados através do Fundo Social Europeu. Al</w:t>
      </w:r>
      <w:r>
        <w:rPr>
          <w:rFonts w:ascii="Times New Roman" w:hAnsi="Times New Roman"/>
          <w:noProof/>
          <w:sz w:val="24"/>
        </w:rPr>
        <w:t xml:space="preserve">ém disso, agiu em várias frentes, nomeadamente: </w:t>
      </w:r>
    </w:p>
    <w:p w:rsidR="009C2C6E" w:rsidRDefault="00C242A5">
      <w:pPr>
        <w:pStyle w:val="PlainTex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Conferindo uma maior atenção aos aspetos sociais no âmbito do Semestre Europeu de coordenação das políticas económicas, utilizando os indicadores sociais no procedimento relativo aos desequilíbrios </w:t>
      </w:r>
      <w:r>
        <w:rPr>
          <w:rFonts w:ascii="Times New Roman" w:hAnsi="Times New Roman"/>
          <w:noProof/>
          <w:sz w:val="24"/>
        </w:rPr>
        <w:t>macroeconómicos, promovendo a «análise comparativa social» e avaliando o impacto social do novo programa de apoio à estabilidade da Grécia;</w:t>
      </w:r>
    </w:p>
    <w:p w:rsidR="009C2C6E" w:rsidRDefault="00C242A5">
      <w:pPr>
        <w:pStyle w:val="PlainTex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Integrando os objetivos sociais em iniciativas emblemáticas como o Plano de Investimento para a Europa, a União da E</w:t>
      </w:r>
      <w:r>
        <w:rPr>
          <w:rFonts w:ascii="Times New Roman" w:hAnsi="Times New Roman"/>
          <w:noProof/>
          <w:sz w:val="24"/>
        </w:rPr>
        <w:t>nergia e o Mercado Único Digital;</w:t>
      </w:r>
    </w:p>
    <w:p w:rsidR="009C2C6E" w:rsidRDefault="00C242A5">
      <w:pPr>
        <w:pStyle w:val="PlainTex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Apresentando um compromisso estratégico para a igualdade de género para 2016-2019;</w:t>
      </w:r>
    </w:p>
    <w:p w:rsidR="009C2C6E" w:rsidRDefault="00C242A5">
      <w:pPr>
        <w:pStyle w:val="PlainTex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Facultando apoio financeiro antecipado aos Estados-Membros para a criação de uma Garantia para a Juventude, que prevê que todos os jovens c</w:t>
      </w:r>
      <w:r>
        <w:rPr>
          <w:rFonts w:ascii="Times New Roman" w:hAnsi="Times New Roman"/>
          <w:noProof/>
          <w:sz w:val="24"/>
        </w:rPr>
        <w:t xml:space="preserve">om menos de 25 anos recebam uma proposta concreta e de boa qualidade no prazo de quatro meses após deixarem o ensino ou ficarem desempregados; </w:t>
      </w:r>
    </w:p>
    <w:p w:rsidR="009C2C6E" w:rsidRDefault="00C242A5">
      <w:pPr>
        <w:pStyle w:val="PlainTex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Publicando orientações destinadas aos Estados-Membros sobre a reinserção dos desempregados de longa duração no m</w:t>
      </w:r>
      <w:r>
        <w:rPr>
          <w:rFonts w:ascii="Times New Roman" w:hAnsi="Times New Roman"/>
          <w:noProof/>
          <w:sz w:val="24"/>
        </w:rPr>
        <w:t xml:space="preserve">ercado de trabalho; </w:t>
      </w:r>
    </w:p>
    <w:p w:rsidR="009C2C6E" w:rsidRDefault="00C242A5">
      <w:pPr>
        <w:pStyle w:val="PlainTex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Propondo uma lei europeia da acessibilidade para facilitar o acesso das pessoas com deficiência no mercado único aos bens e serviços essenciais; </w:t>
      </w:r>
    </w:p>
    <w:p w:rsidR="009C2C6E" w:rsidRDefault="00C242A5">
      <w:pPr>
        <w:pStyle w:val="PlainText"/>
        <w:numPr>
          <w:ilvl w:val="0"/>
          <w:numId w:val="18"/>
        </w:numPr>
        <w:spacing w:after="24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Propondo uma revisão da diretiva relativa ao destacamento de trabalhadores, a fim de prom</w:t>
      </w:r>
      <w:r>
        <w:rPr>
          <w:rFonts w:ascii="Times New Roman" w:hAnsi="Times New Roman"/>
          <w:noProof/>
          <w:sz w:val="24"/>
        </w:rPr>
        <w:t>over o princípio do salário igual por trabalho igual no mesmo local.</w:t>
      </w:r>
    </w:p>
    <w:p w:rsidR="009C2C6E" w:rsidRDefault="00C242A5">
      <w:pPr>
        <w:pStyle w:val="PlainText"/>
        <w:pageBreakBefore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Em 2016, estão também a ser desenvolvidos trabalhos em muitas outras vertentes, que prosseguirão em paralelo à consulta sobre o Pilar: um novo começo para promover o equilíbrio entre a vi</w:t>
      </w:r>
      <w:r>
        <w:rPr>
          <w:rFonts w:ascii="Times New Roman" w:hAnsi="Times New Roman"/>
          <w:noProof/>
          <w:sz w:val="24"/>
        </w:rPr>
        <w:t>da profissional e familiar dos pais que trabalham; uma agenda europeia de competências; e uma avaliação exaustiva das 24 diretivas no domínio da saúde e segurança no trabalho; tal permitirá avaliar a sua pertinência, eficácia e coerência, a fim de manter u</w:t>
      </w:r>
      <w:r>
        <w:rPr>
          <w:rFonts w:ascii="Times New Roman" w:hAnsi="Times New Roman"/>
          <w:noProof/>
          <w:sz w:val="24"/>
        </w:rPr>
        <w:t>m elevado grau de proteção da saúde e segurança dos trabalhadores à luz dos novos riscos, e, ao mesmo tempo, simplificar e modernizar a legislação aplicável, para facilitar a sua adoção pelas PME. Estes exemplos são ilustrativos do papel de apoio, orientaç</w:t>
      </w:r>
      <w:r>
        <w:rPr>
          <w:rFonts w:ascii="Times New Roman" w:hAnsi="Times New Roman"/>
          <w:noProof/>
          <w:sz w:val="24"/>
        </w:rPr>
        <w:t>ão e enquadramento que a UE pode desempenhar no domínio social e de outras ações que podem ser desenvolvidas assim que o Pilar seja estabelecido.</w:t>
      </w:r>
    </w:p>
    <w:p w:rsidR="009C2C6E" w:rsidRDefault="00C242A5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Uma prioridade fundamental para a Comissão é fomentar o diálogo social a todos os níveis. Na sequência de uma </w:t>
      </w:r>
      <w:r>
        <w:rPr>
          <w:rFonts w:ascii="Times New Roman" w:hAnsi="Times New Roman"/>
          <w:noProof/>
          <w:sz w:val="24"/>
        </w:rPr>
        <w:t>conferência de alto nível da UE sobre um novo começo para o diálogo social, que teve lugar em março de 2015, os parceiros sociais intersetoriais acordaram em analisar conjuntamente e em profundidade a temática do emprego, bem como em estabelecer um program</w:t>
      </w:r>
      <w:r>
        <w:rPr>
          <w:rFonts w:ascii="Times New Roman" w:hAnsi="Times New Roman"/>
          <w:noProof/>
          <w:sz w:val="24"/>
        </w:rPr>
        <w:t>a de trabalho comum para o período de 2015 a 2017. Foram lançadas as negociações sobre um acordo-quadro autónomo relativo ao envelhecimento ativo; estão a ser preparadas conclusões conjuntas sobre a questão do equilíbrio entre a vida profissional e familia</w:t>
      </w:r>
      <w:r>
        <w:rPr>
          <w:rFonts w:ascii="Times New Roman" w:hAnsi="Times New Roman"/>
          <w:noProof/>
          <w:sz w:val="24"/>
        </w:rPr>
        <w:t>r; e um grupo de trabalho está a estudar a aplicação pelos seus membros dos seus precedentes acordos-quadro autónomo. Os parceiros sociais setoriais da UE, representados em 43 setores económicos diferentes e que representam 75 % da mão de obra, têm continu</w:t>
      </w:r>
      <w:r>
        <w:rPr>
          <w:rFonts w:ascii="Times New Roman" w:hAnsi="Times New Roman"/>
          <w:noProof/>
          <w:sz w:val="24"/>
        </w:rPr>
        <w:t xml:space="preserve">ado a cumprir os respetivos programas de trabalho conjuntos. </w:t>
      </w:r>
    </w:p>
    <w:p w:rsidR="009C2C6E" w:rsidRDefault="00C242A5">
      <w:pPr>
        <w:keepNext/>
        <w:spacing w:after="240" w:line="240" w:lineRule="auto"/>
        <w:jc w:val="both"/>
        <w:rPr>
          <w:rFonts w:ascii="Times New Roman" w:eastAsia="SimSun" w:hAnsi="Times New Roman" w:cs="Times New Roman"/>
          <w:b/>
          <w:iCs/>
          <w:noProof/>
          <w:kern w:val="3"/>
          <w:sz w:val="24"/>
          <w:szCs w:val="24"/>
        </w:rPr>
      </w:pPr>
      <w:r>
        <w:rPr>
          <w:rFonts w:ascii="Times New Roman" w:hAnsi="Times New Roman"/>
          <w:b/>
          <w:noProof/>
          <w:kern w:val="3"/>
          <w:sz w:val="24"/>
        </w:rPr>
        <w:t>3. O Pilar Europeu dos Direitos Sociais: papel, alcance e natureza jurídica</w:t>
      </w:r>
    </w:p>
    <w:p w:rsidR="009C2C6E" w:rsidRDefault="00C242A5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 objetivo do Pilar consiste em definir um certo número de princípios essenciais, a fim de garantir o bom funcionament</w:t>
      </w:r>
      <w:r>
        <w:rPr>
          <w:rFonts w:ascii="Times New Roman" w:hAnsi="Times New Roman"/>
          <w:noProof/>
          <w:sz w:val="24"/>
        </w:rPr>
        <w:t>o e a equidade dos mercados de trabalho e dos sistemas de proteção social. Conforme foi referido pelo Presidente Juncker, o Pilar será desenvolvido na área do euro, permitindo simultaneamente a participação aos demais Estados-Membros da UE que nele desejem</w:t>
      </w:r>
      <w:r>
        <w:rPr>
          <w:rFonts w:ascii="Times New Roman" w:hAnsi="Times New Roman"/>
          <w:noProof/>
          <w:sz w:val="24"/>
        </w:rPr>
        <w:t xml:space="preserve"> participar. </w:t>
      </w:r>
    </w:p>
    <w:p w:rsidR="009C2C6E" w:rsidRDefault="00C242A5">
      <w:pPr>
        <w:spacing w:after="24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Por conseguinte, o Pilar terá por base o «acervo» social existente a nível da UE, que completará, e os princípios nele contidos centrar-se-ão de modo específico nas necessidades e nos desafios com que se depara a área do euro. Uma vez criado,</w:t>
      </w:r>
      <w:r>
        <w:rPr>
          <w:rFonts w:ascii="Times New Roman" w:hAnsi="Times New Roman"/>
          <w:noProof/>
          <w:sz w:val="24"/>
        </w:rPr>
        <w:t xml:space="preserve"> o Pilar deverá constituir um quadro de referência para analisar o desempenho dos Estados-Membros participantes em matéria social e de emprego, incentivar as reformas a nível nacional e, mais concretamente, servir para orientar o processo de convergência r</w:t>
      </w:r>
      <w:r>
        <w:rPr>
          <w:rFonts w:ascii="Times New Roman" w:hAnsi="Times New Roman"/>
          <w:noProof/>
          <w:sz w:val="24"/>
        </w:rPr>
        <w:t>enovada na área do euro.</w:t>
      </w:r>
    </w:p>
    <w:p w:rsidR="009C2C6E" w:rsidRDefault="00C242A5">
      <w:pPr>
        <w:keepNext/>
        <w:spacing w:before="120"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3.1. Esboço dos princípios adequados às realidades de hoje e de amanhã </w:t>
      </w:r>
    </w:p>
    <w:p w:rsidR="009C2C6E" w:rsidRDefault="00C242A5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Em anexo à presente comunicação, um primeiro esboço do pilar é apresentado para debate. Os princípios foram selecionados tendo em conta a sua importância econó</w:t>
      </w:r>
      <w:r>
        <w:rPr>
          <w:rFonts w:ascii="Times New Roman" w:hAnsi="Times New Roman"/>
          <w:noProof/>
          <w:sz w:val="24"/>
        </w:rPr>
        <w:t xml:space="preserve">mica e social para o desempenho dos Estados-Membros participantes. </w:t>
      </w:r>
    </w:p>
    <w:p w:rsidR="009C2C6E" w:rsidRDefault="00C242A5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 esboço articula-se em torno de três vertentes principais: </w:t>
      </w:r>
    </w:p>
    <w:p w:rsidR="009C2C6E" w:rsidRDefault="00C242A5">
      <w:pPr>
        <w:pStyle w:val="ListParagraph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Igualdade de oportunidades e acesso ao mercado de trabalho, incluindo o desenvolvimento de competências e a aprendizagem ao longo da vida, bem como o apoio ativo ao emprego, a fim de aumentar as oportunidades de emprego, facilitar as transições entre estat</w:t>
      </w:r>
      <w:r>
        <w:rPr>
          <w:rFonts w:ascii="Times New Roman" w:hAnsi="Times New Roman"/>
          <w:noProof/>
          <w:sz w:val="24"/>
        </w:rPr>
        <w:t xml:space="preserve">utos diferentes e melhorar a empregabilidade das pessoas. </w:t>
      </w:r>
    </w:p>
    <w:p w:rsidR="009C2C6E" w:rsidRDefault="00C242A5">
      <w:pPr>
        <w:pStyle w:val="ListParagraph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Condições de trabalho justas que permitam estabelecer um equilíbrio adequado e fiável dos direitos e obrigações entre os trabalhadores e os empregadores, bem como entre flexibilidade e segurança, d</w:t>
      </w:r>
      <w:r>
        <w:rPr>
          <w:rFonts w:ascii="Times New Roman" w:hAnsi="Times New Roman"/>
          <w:noProof/>
          <w:sz w:val="24"/>
        </w:rPr>
        <w:t xml:space="preserve">e modo a facilitar a criação de emprego, o exercício de uma atividade e a capacidade de adaptação das empresas, e a fim de promover o diálogo social. </w:t>
      </w:r>
    </w:p>
    <w:p w:rsidR="009C2C6E" w:rsidRDefault="00C242A5">
      <w:pPr>
        <w:pStyle w:val="ListParagraph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Proteção social adequada e sustentável e acesso a serviços essenciais de elevada qualidade, incluindo os </w:t>
      </w:r>
      <w:r>
        <w:rPr>
          <w:rFonts w:ascii="Times New Roman" w:hAnsi="Times New Roman"/>
          <w:noProof/>
          <w:sz w:val="24"/>
        </w:rPr>
        <w:t xml:space="preserve">cuidados de saúde e os cuidados continuados, com o objetivo de garantir uma vida digna e proteção contra os riscos, de maneira a que cada indivíduo participe plenamente no emprego e, de um modo mais geral, na sociedade. </w:t>
      </w:r>
    </w:p>
    <w:p w:rsidR="009C2C6E" w:rsidRDefault="00C242A5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Identifica-se um certo número de do</w:t>
      </w:r>
      <w:r>
        <w:rPr>
          <w:rFonts w:ascii="Times New Roman" w:hAnsi="Times New Roman"/>
          <w:noProof/>
          <w:sz w:val="24"/>
        </w:rPr>
        <w:t>mínios a que estão ligados diferentes princípios. O ponto de partida destes princípios é constituído por determinados direitos já inscritos no direito da UE e outras fontes de direito aplicáveis, a partir dos quais se pormenorizam possíveis formas de torna</w:t>
      </w:r>
      <w:r>
        <w:rPr>
          <w:rFonts w:ascii="Times New Roman" w:hAnsi="Times New Roman"/>
          <w:noProof/>
          <w:sz w:val="24"/>
        </w:rPr>
        <w:t xml:space="preserve">r esses princípios operacionais. Estas formulações inspiram-se igualmente nas orientações existentes a nível da UE, por exemplo no contexto da coordenação da política económica, procurando ter em conta as tendências mais recentes. </w:t>
      </w:r>
    </w:p>
    <w:p w:rsidR="009C2C6E" w:rsidRDefault="00C242A5">
      <w:pPr>
        <w:spacing w:after="3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Para cada um destes prin</w:t>
      </w:r>
      <w:r>
        <w:rPr>
          <w:rFonts w:ascii="Times New Roman" w:hAnsi="Times New Roman"/>
          <w:noProof/>
          <w:sz w:val="24"/>
        </w:rPr>
        <w:t>cípios, a situação na Europa é muito variável, havendo muitas dificuldades práticas, grandes e pequenas, a resolver; estas incluem, regra geral, diferentes interesses entre os indivíduos, as empresas e a sociedade; possíveis compromissos entre soluções a c</w:t>
      </w:r>
      <w:r>
        <w:rPr>
          <w:rFonts w:ascii="Times New Roman" w:hAnsi="Times New Roman"/>
          <w:noProof/>
          <w:sz w:val="24"/>
        </w:rPr>
        <w:t>urto e a longo prazo; a existência de «zonas cinzentas», que decorrem igualmente da indefinição da noção de trabalho; e a questão de «quem paga o quê», em função de o papel ser desempenhado pelo financiamento privado ou pelo financiamento público. Além dis</w:t>
      </w:r>
      <w:r>
        <w:rPr>
          <w:rFonts w:ascii="Times New Roman" w:hAnsi="Times New Roman"/>
          <w:noProof/>
          <w:sz w:val="24"/>
        </w:rPr>
        <w:t xml:space="preserve">so, existe o desafio de criar novas normas e práticas de um modo coerente com as necessidades de uma economia dinâmica, a fim de apoiar o processo de convergência ascendente entre as regiões e os Estados-Membros. </w:t>
      </w:r>
    </w:p>
    <w:p w:rsidR="009C2C6E" w:rsidRDefault="00C242A5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lógica do Pilar e do debate que precede </w:t>
      </w:r>
      <w:r>
        <w:rPr>
          <w:rFonts w:ascii="Times New Roman" w:hAnsi="Times New Roman"/>
          <w:noProof/>
          <w:sz w:val="24"/>
        </w:rPr>
        <w:t>a sua criação não é ocultar estas divergências e tensões, mas, antes, expô-las e confrontá-las numa nova perspetiva que tome em consideração a evolução do mundo do trabalho e a diversidade de situações através da Europa. Deste modo, o Pilar deverá contribu</w:t>
      </w:r>
      <w:r>
        <w:rPr>
          <w:rFonts w:ascii="Times New Roman" w:hAnsi="Times New Roman"/>
          <w:noProof/>
          <w:sz w:val="24"/>
        </w:rPr>
        <w:t>ir para modernizar, alargar e aprofundar os direitos sociais, no trabalho e na sociedade, facilitando a sua utilização efetiva e promovendo práticas que podem ser benéficas tanto do ponto de vista do indivíduo como das empresas e da sociedade.</w:t>
      </w:r>
    </w:p>
    <w:p w:rsidR="009C2C6E" w:rsidRDefault="00C242A5">
      <w:pPr>
        <w:keepNext/>
        <w:spacing w:before="240"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3.2. Um valo</w:t>
      </w:r>
      <w:r>
        <w:rPr>
          <w:rFonts w:ascii="Times New Roman" w:hAnsi="Times New Roman"/>
          <w:b/>
          <w:noProof/>
          <w:sz w:val="24"/>
        </w:rPr>
        <w:t>r acrescentado para a área do euro e para a UE no seu conjunto</w:t>
      </w:r>
    </w:p>
    <w:p w:rsidR="009C2C6E" w:rsidRDefault="00C242A5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 Pilar não repete ou parafraseia o «acervo» da UE: define mais pormenorizadamente os princípios e compromissos que podem orientar uma maior convergência na área do euro. E, da mesma forma que o Pilar não substitui o «acervo», os princípios aqui propostos </w:t>
      </w:r>
      <w:r>
        <w:rPr>
          <w:rFonts w:ascii="Times New Roman" w:hAnsi="Times New Roman"/>
          <w:noProof/>
          <w:sz w:val="24"/>
        </w:rPr>
        <w:t xml:space="preserve">não substituem os direitos em vigor: proporcionam uma forma de avaliar e, no futuro, harmonizar melhor o desempenho das políticas sociais e de emprego nacionais. </w:t>
      </w:r>
    </w:p>
    <w:p w:rsidR="009C2C6E" w:rsidRDefault="00C242A5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Mas o processo conducente à criação do Pilar também deve constituir uma ocasião para voltar a</w:t>
      </w:r>
      <w:r>
        <w:rPr>
          <w:rFonts w:ascii="Times New Roman" w:hAnsi="Times New Roman"/>
          <w:noProof/>
          <w:sz w:val="24"/>
        </w:rPr>
        <w:t xml:space="preserve"> analisar o «acervo». O atual «acervo» foi estabelecido, passo a passo, em momentos diferentes, beneficiando alguns domínios de uma melhor cobertura do que outros. A consulta sobre o Pilar oferece a oportunidade de considerar globalmente o «acervo», de ana</w:t>
      </w:r>
      <w:r>
        <w:rPr>
          <w:rFonts w:ascii="Times New Roman" w:hAnsi="Times New Roman"/>
          <w:noProof/>
          <w:sz w:val="24"/>
        </w:rPr>
        <w:t xml:space="preserve">lisar a sua pertinência à luz das novas tendências e de identificar possíveis domínios para uma ação futura, ao nível adequado. </w:t>
      </w:r>
    </w:p>
    <w:p w:rsidR="009C2C6E" w:rsidRDefault="00C242A5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Essa avaliação deve, nomeadamente, servir para dar resposta às seguintes questões: existe um défice na aplicação do «acervo»? E</w:t>
      </w:r>
      <w:r>
        <w:rPr>
          <w:rFonts w:ascii="Times New Roman" w:hAnsi="Times New Roman"/>
          <w:noProof/>
          <w:sz w:val="24"/>
        </w:rPr>
        <w:t>xistem lacunas importantes nos direitos sociais consagrados a nível da UE? A que se devem esses défices e/ou lacunas? Esta é também a razão pela qual o processo de consulta conducente ao Pilar será aberto a todos os Estados-Membros e deverá também permitir</w:t>
      </w:r>
      <w:r>
        <w:rPr>
          <w:rFonts w:ascii="Times New Roman" w:hAnsi="Times New Roman"/>
          <w:noProof/>
          <w:sz w:val="24"/>
        </w:rPr>
        <w:t xml:space="preserve"> que aqueles que não fazem parte da área do euro possam participar no Pilar se o desejarem.</w:t>
      </w:r>
    </w:p>
    <w:p w:rsidR="009C2C6E" w:rsidRDefault="00C242A5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Os trabalhos para a criação do Pilar completarão outros esforços em curso para aprofundar a UEM</w:t>
      </w:r>
      <w:r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 xml:space="preserve"> e deverão servir como contributo para os trabalhos do Livro Branco </w:t>
      </w:r>
      <w:r>
        <w:rPr>
          <w:rFonts w:ascii="Times New Roman" w:hAnsi="Times New Roman"/>
          <w:noProof/>
          <w:sz w:val="24"/>
        </w:rPr>
        <w:t>sobre o futuro da UEM europeia, previsto para a primavera de 2017. Em especial, o relatório dos cinco presidentes intitulado «Concluir a União Económica e Monetária Europeia» destacou a necessidade de prosseguir o processo de convergência para a obtenção d</w:t>
      </w:r>
      <w:r>
        <w:rPr>
          <w:rFonts w:ascii="Times New Roman" w:hAnsi="Times New Roman"/>
          <w:noProof/>
          <w:sz w:val="24"/>
        </w:rPr>
        <w:t>e estruturas económicas mais resilientes e de um processo mais vinculativo a médio prazo. Estes objetivos podem ser alcançados através de um acordo sobre um conjunto comum de normas de alto nível, que deverão incidir, nomeadamente, nos mercados de trabalho</w:t>
      </w:r>
      <w:r>
        <w:rPr>
          <w:rFonts w:ascii="Times New Roman" w:hAnsi="Times New Roman"/>
          <w:noProof/>
          <w:sz w:val="24"/>
        </w:rPr>
        <w:t xml:space="preserve">.  </w:t>
      </w:r>
      <w:r>
        <w:rPr>
          <w:rStyle w:val="FootnoteReference"/>
          <w:rFonts w:ascii="Times New Roman" w:hAnsi="Times New Roman"/>
          <w:noProof/>
          <w:sz w:val="24"/>
        </w:rPr>
        <w:t xml:space="preserve"> </w:t>
      </w:r>
    </w:p>
    <w:p w:rsidR="009C2C6E" w:rsidRDefault="00C242A5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Em última análise, a natureza jurídica do próprio Pilar deve ter em conta o âmbito de aplicação e as limitações legais a nível da UE e da área do euro. Por exemplo, o artigo 153.º do Tratado sobre o Funcionamento da União Europeia não prevê claramente</w:t>
      </w:r>
      <w:r>
        <w:rPr>
          <w:rFonts w:ascii="Times New Roman" w:hAnsi="Times New Roman"/>
          <w:noProof/>
          <w:sz w:val="24"/>
        </w:rPr>
        <w:t xml:space="preserve"> a competência da União para legislar em matéria de «remuneração». </w:t>
      </w:r>
    </w:p>
    <w:p w:rsidR="009C2C6E" w:rsidRDefault="00C242A5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4"/>
        </w:rPr>
        <w:t>Embora possam ser considerados vários instrumentos para estabelecer o Pilar (como, por exemplo, uma Recomendação), na opinião da Comissão é fundamental envolver o Parlamento Europeu e o Co</w:t>
      </w:r>
      <w:r>
        <w:rPr>
          <w:rFonts w:ascii="Times New Roman" w:hAnsi="Times New Roman"/>
          <w:noProof/>
          <w:sz w:val="24"/>
        </w:rPr>
        <w:t xml:space="preserve">nselho, bem como outras instituições da UE, e reunir um amplo apoio para a aplicação do Pilar. </w:t>
      </w:r>
    </w:p>
    <w:p w:rsidR="009C2C6E" w:rsidRDefault="00C242A5">
      <w:pPr>
        <w:keepNext/>
        <w:rPr>
          <w:rFonts w:ascii="Times New Roman" w:eastAsia="SimSun" w:hAnsi="Times New Roman" w:cs="Times New Roman"/>
          <w:b/>
          <w:iCs/>
          <w:noProof/>
          <w:kern w:val="3"/>
          <w:sz w:val="24"/>
          <w:szCs w:val="24"/>
        </w:rPr>
      </w:pPr>
      <w:r>
        <w:rPr>
          <w:rFonts w:ascii="Times New Roman" w:hAnsi="Times New Roman"/>
          <w:b/>
          <w:noProof/>
          <w:kern w:val="3"/>
          <w:sz w:val="24"/>
        </w:rPr>
        <w:t xml:space="preserve">4. Objetivos da consulta </w:t>
      </w:r>
    </w:p>
    <w:p w:rsidR="009C2C6E" w:rsidRDefault="00C242A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 estabelecimento do Pilar constitui uma oportunidade para orientar a reflexão sobre os direitos sociais em vigor, sobre as necessidad</w:t>
      </w:r>
      <w:r>
        <w:rPr>
          <w:rFonts w:ascii="Times New Roman" w:hAnsi="Times New Roman"/>
          <w:noProof/>
          <w:sz w:val="24"/>
        </w:rPr>
        <w:t>es específicas da área do euro, sobre a evolução das realidades do mundo do trabalho, bem como sobre as reformas necessárias a todos os níveis. O processo de consulta deverá, por conseguinte, ser tão abrangente quanto possível.</w:t>
      </w:r>
    </w:p>
    <w:p w:rsidR="009C2C6E" w:rsidRDefault="00C242A5">
      <w:pPr>
        <w:keepNext/>
        <w:spacing w:after="240" w:line="240" w:lineRule="auto"/>
        <w:jc w:val="both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4.1. Resultados propostos </w:t>
      </w:r>
    </w:p>
    <w:p w:rsidR="009C2C6E" w:rsidRDefault="00C242A5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</w:t>
      </w:r>
      <w:r>
        <w:rPr>
          <w:rFonts w:ascii="Times New Roman" w:hAnsi="Times New Roman"/>
          <w:noProof/>
          <w:sz w:val="24"/>
        </w:rPr>
        <w:t xml:space="preserve"> processo de consulta tem três principais objetivos:</w:t>
      </w:r>
    </w:p>
    <w:p w:rsidR="009C2C6E" w:rsidRDefault="00C242A5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Um primeiro objetivo é avaliar o «acervo» vigente da UE. Em especial, a consulta deve contribuir para determinar em que medida os direitos em vigor são exercidos e continuam a ser aplicáveis aos desafios presentes e futuros e/ou se existem outras formas de</w:t>
      </w:r>
      <w:r>
        <w:rPr>
          <w:rFonts w:ascii="Times New Roman" w:hAnsi="Times New Roman"/>
          <w:noProof/>
          <w:sz w:val="24"/>
        </w:rPr>
        <w:t xml:space="preserve"> consagrar esses direitos que devam ser consideradas. </w:t>
      </w:r>
    </w:p>
    <w:p w:rsidR="009C2C6E" w:rsidRDefault="00C242A5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Um segundo objetivo é refletir sobre novas tendências dos padrões de trabalho e das sociedades, como resultado do impacto da evolução demográfica, das novas tecnologias e de outros fatores importantes </w:t>
      </w:r>
      <w:r>
        <w:rPr>
          <w:rFonts w:ascii="Times New Roman" w:hAnsi="Times New Roman"/>
          <w:noProof/>
          <w:sz w:val="24"/>
        </w:rPr>
        <w:t>para a vida profissional e para as condições sociais. Deve ser ativamente incentivada a identificação de boas práticas e de ensinamentos extraídos da inovação social.</w:t>
      </w:r>
    </w:p>
    <w:p w:rsidR="009C2C6E" w:rsidRDefault="00C242A5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Um terceiro objetivo é recolher opiniões e reações sobre as grandes linhas do Pilar Europ</w:t>
      </w:r>
      <w:r>
        <w:rPr>
          <w:rFonts w:ascii="Times New Roman" w:hAnsi="Times New Roman"/>
          <w:noProof/>
          <w:sz w:val="24"/>
        </w:rPr>
        <w:t xml:space="preserve">eu dos Direitos Sociais propriamente dito. A consulta deve servir para debater o seu âmbito de aplicação e conteúdo, bem como o seu papel no contexto da dimensão social da UEM, para refletir sobre as necessidades específicas da área do euro, para discutir </w:t>
      </w:r>
      <w:r>
        <w:rPr>
          <w:rFonts w:ascii="Times New Roman" w:hAnsi="Times New Roman"/>
          <w:noProof/>
          <w:sz w:val="24"/>
        </w:rPr>
        <w:t xml:space="preserve">a especificidade dos princípios aqui propostos e para explorar os correspondentes desafios a eles ligados. Além disso, a consulta deverá ajudar os Estados-Membros que não fazem parte da área do euro a determinar se pretendem participar no Pilar. </w:t>
      </w:r>
    </w:p>
    <w:p w:rsidR="009C2C6E" w:rsidRDefault="00C242A5">
      <w:pPr>
        <w:spacing w:before="240"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Este processo de consulta deverá ser concluído até 31 de dezembro de 2016, constituindo a base para a Comissão apresentar uma proposta final para o Pilar no início de 2017. </w:t>
      </w:r>
    </w:p>
    <w:p w:rsidR="009C2C6E" w:rsidRDefault="00C242A5">
      <w:pPr>
        <w:keepNext/>
        <w:spacing w:before="360"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4.2. Mobilização tendo em vista o debate</w:t>
      </w:r>
    </w:p>
    <w:p w:rsidR="009C2C6E" w:rsidRDefault="00C242A5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Nos próximos meses, a Comissão iniciará u</w:t>
      </w:r>
      <w:r>
        <w:rPr>
          <w:rFonts w:ascii="Times New Roman" w:hAnsi="Times New Roman"/>
          <w:noProof/>
          <w:sz w:val="24"/>
        </w:rPr>
        <w:t>m debate ativo com outras instituições da UE, as autoridades e os parlamentos nacionais, os sindicatos e as associações empresariais, as ONG, os prestadores de serviços sociais, os peritos do meio académico, bem como o público em geral. A nível nacional, o</w:t>
      </w:r>
      <w:r>
        <w:rPr>
          <w:rFonts w:ascii="Times New Roman" w:hAnsi="Times New Roman"/>
          <w:noProof/>
          <w:sz w:val="24"/>
        </w:rPr>
        <w:t xml:space="preserve"> debate será facilitado pela Comissão através das suas representações nos Estados-Membros. </w:t>
      </w:r>
    </w:p>
    <w:p w:rsidR="009C2C6E" w:rsidRDefault="00C242A5">
      <w:pPr>
        <w:spacing w:after="3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Os parceiros sociais a nível da UE serão convidados a desempenhar um papel ativo na conceção do Pilar. Além disso, a Comissão solicitará o parecer do Comité Económi</w:t>
      </w:r>
      <w:r>
        <w:rPr>
          <w:rFonts w:ascii="Times New Roman" w:hAnsi="Times New Roman"/>
          <w:noProof/>
          <w:sz w:val="24"/>
        </w:rPr>
        <w:t>co e Social Europeu e do Comité das Regiões.</w:t>
      </w:r>
    </w:p>
    <w:p w:rsidR="009C2C6E" w:rsidRDefault="00C242A5">
      <w:pPr>
        <w:keepNext/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4.3. Respostas estruturadas</w:t>
      </w:r>
    </w:p>
    <w:p w:rsidR="009C2C6E" w:rsidRDefault="00C242A5">
      <w:pPr>
        <w:keepNext/>
        <w:keepLines/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Paralelamente à consulta pública, serão organizados três eixos de trabalho para alimentar o debate, um para cada um dos resultados propostos referidos supra:</w:t>
      </w:r>
    </w:p>
    <w:p w:rsidR="009C2C6E" w:rsidRDefault="00C242A5">
      <w:pPr>
        <w:pStyle w:val="ListParagraph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 «acervo» social da UE: </w:t>
      </w:r>
      <w:r>
        <w:rPr>
          <w:rFonts w:ascii="Times New Roman" w:hAnsi="Times New Roman"/>
          <w:noProof/>
          <w:sz w:val="24"/>
        </w:rPr>
        <w:t>ponto da situação.</w:t>
      </w:r>
    </w:p>
    <w:p w:rsidR="009C2C6E" w:rsidRDefault="00C242A5">
      <w:pPr>
        <w:pStyle w:val="ListParagraph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 futuro do trabalho e dos sistemas de proteção social: desafios e oportunidades.</w:t>
      </w:r>
    </w:p>
    <w:p w:rsidR="009C2C6E" w:rsidRDefault="00C242A5">
      <w:pPr>
        <w:pStyle w:val="ListParagraph"/>
        <w:numPr>
          <w:ilvl w:val="0"/>
          <w:numId w:val="7"/>
        </w:numPr>
        <w:spacing w:before="120"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 papel do Pilar Europeu dos Direitos Sociais como elemento de uma UEM mais profunda e mais equitativa.</w:t>
      </w:r>
    </w:p>
    <w:p w:rsidR="009C2C6E" w:rsidRDefault="00C242A5">
      <w:pPr>
        <w:spacing w:after="24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Comissão organizará uma conferência europeia até </w:t>
      </w:r>
      <w:r>
        <w:rPr>
          <w:rFonts w:ascii="Times New Roman" w:hAnsi="Times New Roman"/>
          <w:noProof/>
          <w:sz w:val="24"/>
        </w:rPr>
        <w:t>ao final de 2016 para recolher reações.</w:t>
      </w:r>
    </w:p>
    <w:p w:rsidR="009C2C6E" w:rsidRDefault="00C242A5">
      <w:pPr>
        <w:keepNext/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4.4. Informações para alimentar o debate</w:t>
      </w:r>
    </w:p>
    <w:p w:rsidR="009C2C6E" w:rsidRDefault="00C242A5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Foi criada uma página Web específica para a consulta em: </w:t>
      </w:r>
      <w:hyperlink r:id="rId16">
        <w:r>
          <w:rPr>
            <w:rStyle w:val="Hyperlink"/>
            <w:rFonts w:ascii="Times New Roman" w:hAnsi="Times New Roman"/>
            <w:noProof/>
            <w:color w:val="auto"/>
            <w:sz w:val="24"/>
          </w:rPr>
          <w:t>http://ec.europa.eu/priorities/</w:t>
        </w:r>
        <w:r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br/>
        </w:r>
        <w:r>
          <w:rPr>
            <w:rStyle w:val="Hyperlink"/>
            <w:rFonts w:ascii="Times New Roman" w:hAnsi="Times New Roman"/>
            <w:noProof/>
            <w:color w:val="auto"/>
            <w:sz w:val="24"/>
          </w:rPr>
          <w:t>deeper-and-fairer-economic-and-monetary-union/european-pillar-social-rights</w:t>
        </w:r>
      </w:hyperlink>
      <w:r>
        <w:rPr>
          <w:rFonts w:ascii="Times New Roman" w:hAnsi="Times New Roman"/>
          <w:noProof/>
          <w:sz w:val="24"/>
        </w:rPr>
        <w:t xml:space="preserve"> </w:t>
      </w:r>
    </w:p>
    <w:p w:rsidR="009C2C6E" w:rsidRDefault="00C242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Esta página inclui:</w:t>
      </w:r>
    </w:p>
    <w:p w:rsidR="009C2C6E" w:rsidRDefault="00C242A5">
      <w:pPr>
        <w:pStyle w:val="ListParagraph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p</w:t>
      </w:r>
      <w:r>
        <w:rPr>
          <w:rFonts w:ascii="Times New Roman" w:hAnsi="Times New Roman"/>
          <w:noProof/>
          <w:sz w:val="24"/>
        </w:rPr>
        <w:t>resente comunicação e os documentos de trabalho dos serviços da Comissão.</w:t>
      </w:r>
    </w:p>
    <w:p w:rsidR="009C2C6E" w:rsidRDefault="00C242A5">
      <w:pPr>
        <w:pStyle w:val="ListParagraph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Um conjunto de fichas informativas, elaborado pelos serviços da Comissão, que apresenta de forma mais circunstanciada o raciocínio jurídico e económico subjacente aos domínios consid</w:t>
      </w:r>
      <w:r>
        <w:rPr>
          <w:rFonts w:ascii="Times New Roman" w:hAnsi="Times New Roman"/>
          <w:noProof/>
          <w:sz w:val="24"/>
        </w:rPr>
        <w:t xml:space="preserve">erados no esboço do Pilar em anexo à presente Comunicação.  </w:t>
      </w:r>
    </w:p>
    <w:p w:rsidR="009C2C6E" w:rsidRDefault="00C242A5">
      <w:pPr>
        <w:pStyle w:val="ListParagraph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As atividades previstas no âmbito de cada eixo de trabalho mencionado </w:t>
      </w:r>
      <w:r>
        <w:rPr>
          <w:rFonts w:ascii="Times New Roman" w:hAnsi="Times New Roman"/>
          <w:i/>
          <w:noProof/>
          <w:sz w:val="24"/>
        </w:rPr>
        <w:t>supra</w:t>
      </w:r>
      <w:r>
        <w:rPr>
          <w:rFonts w:ascii="Times New Roman" w:hAnsi="Times New Roman"/>
          <w:noProof/>
          <w:sz w:val="24"/>
        </w:rPr>
        <w:t>.</w:t>
      </w:r>
    </w:p>
    <w:p w:rsidR="009C2C6E" w:rsidRDefault="00C242A5">
      <w:pPr>
        <w:pStyle w:val="ListParagraph"/>
        <w:numPr>
          <w:ilvl w:val="0"/>
          <w:numId w:val="7"/>
        </w:numPr>
        <w:spacing w:before="120"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Uma lista de reuniões e eventos previstos a nível nacional e da UE nos próximos meses.</w:t>
      </w:r>
    </w:p>
    <w:p w:rsidR="009C2C6E" w:rsidRDefault="00C242A5">
      <w:pPr>
        <w:keepNext/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5. Questões para consulta:</w:t>
      </w:r>
    </w:p>
    <w:p w:rsidR="009C2C6E" w:rsidRDefault="00C242A5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Comissão convida todas as partes interessadas a responder às questões colocadas na presente Comunicação e a acrescentar quaisquer outras observações até </w:t>
      </w:r>
      <w:r>
        <w:rPr>
          <w:rFonts w:ascii="Times New Roman" w:hAnsi="Times New Roman"/>
          <w:b/>
          <w:noProof/>
          <w:sz w:val="24"/>
        </w:rPr>
        <w:t>31 de dezembro de 2016</w:t>
      </w:r>
      <w:r>
        <w:rPr>
          <w:rFonts w:ascii="Times New Roman" w:hAnsi="Times New Roman"/>
          <w:noProof/>
          <w:sz w:val="24"/>
        </w:rPr>
        <w:t xml:space="preserve">. </w:t>
      </w:r>
    </w:p>
    <w:p w:rsidR="009C2C6E" w:rsidRDefault="00C242A5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Podem fazê-lo preenchendo um questionário em linha, disponível no sítio Web </w:t>
      </w:r>
      <w:r>
        <w:rPr>
          <w:rFonts w:ascii="Times New Roman" w:hAnsi="Times New Roman"/>
          <w:noProof/>
          <w:sz w:val="24"/>
        </w:rPr>
        <w:t xml:space="preserve">acima referido, ou enviando os contributos por correio eletrónico para: </w:t>
      </w:r>
    </w:p>
    <w:p w:rsidR="009C2C6E" w:rsidRDefault="00C242A5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17">
        <w:r>
          <w:rPr>
            <w:rStyle w:val="Hyperlink"/>
            <w:rFonts w:ascii="Times New Roman" w:hAnsi="Times New Roman"/>
            <w:noProof/>
            <w:sz w:val="24"/>
          </w:rPr>
          <w:t>EMPL-EUROPEAN-PILLAR-OF-SOCIAL-RIGHTS@ec.europa.eu</w:t>
        </w:r>
      </w:hyperlink>
      <w:r>
        <w:rPr>
          <w:noProof/>
        </w:rPr>
        <w:t xml:space="preserve"> </w:t>
      </w:r>
    </w:p>
    <w:p w:rsidR="009C2C6E" w:rsidRDefault="00C242A5">
      <w:pPr>
        <w:pageBreakBefore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ou por correio para:</w:t>
      </w:r>
    </w:p>
    <w:p w:rsidR="009C2C6E" w:rsidRDefault="00C242A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COMISSÃO EUROPEIA</w:t>
      </w:r>
    </w:p>
    <w:p w:rsidR="009C2C6E" w:rsidRDefault="00C242A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Direção-Geral d</w:t>
      </w:r>
      <w:r>
        <w:rPr>
          <w:rFonts w:ascii="Times New Roman" w:hAnsi="Times New Roman"/>
          <w:noProof/>
          <w:sz w:val="24"/>
        </w:rPr>
        <w:t>o Emprego, dos Assuntos Sociais e da Inclusão</w:t>
      </w:r>
    </w:p>
    <w:p w:rsidR="009C2C6E" w:rsidRDefault="00C242A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Rue Joseph II, 27 - 00/120</w:t>
      </w:r>
    </w:p>
    <w:p w:rsidR="009C2C6E" w:rsidRDefault="00C242A5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B-1049 BRUXELAS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 xml:space="preserve"> </w:t>
      </w:r>
    </w:p>
    <w:p w:rsidR="009C2C6E" w:rsidRDefault="009C2C6E">
      <w:pPr>
        <w:keepNext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2C6E" w:rsidRDefault="00C242A5">
      <w:pPr>
        <w:keepNext/>
        <w:spacing w:after="24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As questões sobre as quais a Comissão Europeia procura auscultar as opiniões são as seguintes:</w:t>
      </w:r>
    </w:p>
    <w:p w:rsidR="009C2C6E" w:rsidRDefault="00C242A5">
      <w:pPr>
        <w:keepNext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Sobre a situação social e o «acervo» social da UE</w:t>
      </w:r>
    </w:p>
    <w:p w:rsidR="009C2C6E" w:rsidRDefault="00C242A5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Quais são, na sua </w:t>
      </w:r>
      <w:r>
        <w:rPr>
          <w:rFonts w:ascii="Times New Roman" w:hAnsi="Times New Roman"/>
          <w:noProof/>
          <w:sz w:val="24"/>
        </w:rPr>
        <w:t>opinião, as prioridades sociais mais prementes em matéria social e de emprego?</w:t>
      </w:r>
    </w:p>
    <w:p w:rsidR="009C2C6E" w:rsidRDefault="009C2C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C2C6E" w:rsidRDefault="00C242A5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que podemos atribuir as diferentes situações em matéria social e de emprego em toda a Europa?</w:t>
      </w:r>
    </w:p>
    <w:p w:rsidR="009C2C6E" w:rsidRDefault="009C2C6E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9C2C6E" w:rsidRDefault="00C242A5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 sua opinião, o «acervo» da UE está adaptado à realidade atual e considera qu</w:t>
      </w:r>
      <w:r>
        <w:rPr>
          <w:rFonts w:ascii="Times New Roman" w:hAnsi="Times New Roman"/>
          <w:noProof/>
          <w:sz w:val="24"/>
        </w:rPr>
        <w:t>e a UE dispõe de margem para adotar outras ações?</w:t>
      </w:r>
    </w:p>
    <w:p w:rsidR="009C2C6E" w:rsidRDefault="00C242A5">
      <w:pPr>
        <w:keepNext/>
        <w:spacing w:after="24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Sobre o futuro do trabalho e dos sistemas de proteção social</w:t>
      </w:r>
    </w:p>
    <w:p w:rsidR="009C2C6E" w:rsidRDefault="00C242A5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Quais são, na sua opinião, as tendências mais transformadoras?</w:t>
      </w:r>
    </w:p>
    <w:p w:rsidR="009C2C6E" w:rsidRDefault="009C2C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C2C6E" w:rsidRDefault="00C242A5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Quais seriam os principais riscos e oportunidades ligados a essas tendências?</w:t>
      </w:r>
    </w:p>
    <w:p w:rsidR="009C2C6E" w:rsidRDefault="009C2C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C2C6E" w:rsidRDefault="00C242A5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Existem práticas - existentes ou emergentes - ao nível político, institucional ou empresarial que recomendaria como referências?</w:t>
      </w:r>
    </w:p>
    <w:p w:rsidR="009C2C6E" w:rsidRDefault="00C242A5">
      <w:pPr>
        <w:keepNext/>
        <w:spacing w:after="24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Sobre o Pilar Europeu dos Direitos Sociais</w:t>
      </w:r>
    </w:p>
    <w:p w:rsidR="009C2C6E" w:rsidRDefault="00C242A5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Concorda com a abordagem apresentada na presente Comunicação para o estabelecimento </w:t>
      </w:r>
      <w:r>
        <w:rPr>
          <w:rFonts w:ascii="Times New Roman" w:hAnsi="Times New Roman"/>
          <w:noProof/>
          <w:sz w:val="24"/>
        </w:rPr>
        <w:t>de um Pilar Europeu dos Direitos Sociais?</w:t>
      </w:r>
    </w:p>
    <w:p w:rsidR="009C2C6E" w:rsidRDefault="009C2C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C2C6E" w:rsidRDefault="00C242A5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Concorda com o âmbito de aplicação do Pilar e com os domínios e princípios propostos no presente documento? Na sua opinião, existem aspetos que não são adequadamente expressos ou que não foram contemplados?</w:t>
      </w:r>
    </w:p>
    <w:p w:rsidR="009C2C6E" w:rsidRDefault="009C2C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C2C6E" w:rsidRDefault="00C242A5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Quais</w:t>
      </w:r>
      <w:r>
        <w:rPr>
          <w:rFonts w:ascii="Times New Roman" w:hAnsi="Times New Roman"/>
          <w:noProof/>
          <w:sz w:val="24"/>
        </w:rPr>
        <w:t xml:space="preserve"> são os domínios e os princípios mais importantes no contexto da convergência renovada na área do euro? </w:t>
      </w:r>
    </w:p>
    <w:p w:rsidR="009C2C6E" w:rsidRDefault="009C2C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C2C6E" w:rsidRDefault="00C242A5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Como devem ser expressos e tornados operacionais? Mais especificamente, admite o alcance e o valor acrescentado de normas mínimas ou de parâmetros de </w:t>
      </w:r>
      <w:r>
        <w:rPr>
          <w:rFonts w:ascii="Times New Roman" w:hAnsi="Times New Roman"/>
          <w:noProof/>
          <w:sz w:val="24"/>
        </w:rPr>
        <w:t>referência em certos domínios e, em caso afirmativo, quais?</w:t>
      </w:r>
    </w:p>
    <w:p w:rsidR="009C2C6E" w:rsidRDefault="00C242A5">
      <w:pPr>
        <w:keepLines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Podem igualmente ser apresentadas observações relativamente a cada domínio e princípio do Pilar proposto através do preenchimento de um questionário em linha mais específico, na página Web da cons</w:t>
      </w:r>
      <w:r>
        <w:rPr>
          <w:rFonts w:ascii="Times New Roman" w:hAnsi="Times New Roman"/>
          <w:noProof/>
          <w:sz w:val="24"/>
        </w:rPr>
        <w:t>ulta.</w:t>
      </w:r>
    </w:p>
    <w:sectPr w:rsidR="009C2C6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6E" w:rsidRDefault="00C242A5">
      <w:pPr>
        <w:spacing w:after="0" w:line="240" w:lineRule="auto"/>
      </w:pPr>
      <w:r>
        <w:separator/>
      </w:r>
    </w:p>
  </w:endnote>
  <w:endnote w:type="continuationSeparator" w:id="0">
    <w:p w:rsidR="009C2C6E" w:rsidRDefault="00C242A5">
      <w:pPr>
        <w:spacing w:after="0" w:line="240" w:lineRule="auto"/>
      </w:pPr>
      <w:r>
        <w:continuationSeparator/>
      </w:r>
    </w:p>
  </w:endnote>
  <w:endnote w:type="continuationNotice" w:id="1">
    <w:p w:rsidR="009C2C6E" w:rsidRDefault="009C2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A5" w:rsidRPr="00C242A5" w:rsidRDefault="00C242A5" w:rsidP="00C24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A5" w:rsidRPr="00C242A5" w:rsidRDefault="00C242A5" w:rsidP="00C242A5">
    <w:pPr>
      <w:pStyle w:val="FooterCoverPage"/>
      <w:rPr>
        <w:rFonts w:ascii="Arial" w:hAnsi="Arial" w:cs="Arial"/>
        <w:b/>
        <w:sz w:val="48"/>
      </w:rPr>
    </w:pPr>
    <w:r w:rsidRPr="00C242A5">
      <w:rPr>
        <w:rFonts w:ascii="Arial" w:hAnsi="Arial" w:cs="Arial"/>
        <w:b/>
        <w:sz w:val="48"/>
      </w:rPr>
      <w:t>PT</w:t>
    </w:r>
    <w:r w:rsidRPr="00C242A5">
      <w:rPr>
        <w:rFonts w:ascii="Arial" w:hAnsi="Arial" w:cs="Arial"/>
        <w:b/>
        <w:sz w:val="48"/>
      </w:rPr>
      <w:tab/>
    </w:r>
    <w:r w:rsidRPr="00C242A5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C242A5">
      <w:tab/>
    </w:r>
    <w:r w:rsidRPr="00C242A5"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A5" w:rsidRPr="00C242A5" w:rsidRDefault="00C242A5" w:rsidP="00C242A5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6E" w:rsidRDefault="009C2C6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338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C6E" w:rsidRDefault="00C242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C6E" w:rsidRDefault="009C2C6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6E" w:rsidRDefault="009C2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6E" w:rsidRDefault="00C242A5">
      <w:pPr>
        <w:spacing w:after="0" w:line="240" w:lineRule="auto"/>
      </w:pPr>
      <w:r>
        <w:separator/>
      </w:r>
    </w:p>
  </w:footnote>
  <w:footnote w:type="continuationSeparator" w:id="0">
    <w:p w:rsidR="009C2C6E" w:rsidRDefault="00C242A5">
      <w:pPr>
        <w:spacing w:after="0" w:line="240" w:lineRule="auto"/>
      </w:pPr>
      <w:r>
        <w:continuationSeparator/>
      </w:r>
    </w:p>
  </w:footnote>
  <w:footnote w:type="continuationNotice" w:id="1">
    <w:p w:rsidR="009C2C6E" w:rsidRDefault="009C2C6E">
      <w:pPr>
        <w:spacing w:after="0" w:line="240" w:lineRule="auto"/>
      </w:pPr>
    </w:p>
  </w:footnote>
  <w:footnote w:id="2">
    <w:p w:rsidR="009C2C6E" w:rsidRDefault="00C242A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Orientações políticas para a próxima Comissão Europeia, de 15 de julho de 2014, «Um novo começo para a Europa: o meu Programa para o emprego, o crescimento, a equidade e a mudança democrática».</w:t>
      </w:r>
    </w:p>
  </w:footnote>
  <w:footnote w:id="3">
    <w:p w:rsidR="009C2C6E" w:rsidRDefault="00C242A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Documentos de trabalho dos serviços da Comissão «Principais tendências económicas, sociais e de emprego atrás do Pilar Europeu dos Direitos Sociais», (SWD(2016) 51), e «O acervo social da UE» (SWD(2016) 50), de 8 de março de 2016.</w:t>
      </w:r>
    </w:p>
  </w:footnote>
  <w:footnote w:id="4">
    <w:p w:rsidR="009C2C6E" w:rsidRDefault="00C242A5">
      <w:pPr>
        <w:pStyle w:val="Default"/>
        <w:jc w:val="both"/>
        <w:rPr>
          <w:rFonts w:ascii="Times New Roman" w:hAnsi="Times New Roman" w:cs="Times New Roman"/>
          <w:highlight w:val="yellow"/>
          <w:lang w:val="en-GB"/>
        </w:rPr>
      </w:pPr>
      <w:r>
        <w:rPr>
          <w:rStyle w:val="FootnoteReference"/>
          <w:rFonts w:ascii="Times New Roman" w:hAnsi="Times New Roman"/>
          <w:color w:val="auto"/>
          <w:sz w:val="20"/>
        </w:rPr>
        <w:footnoteRef/>
      </w:r>
      <w:r>
        <w:rPr>
          <w:rStyle w:val="FootnoteReference"/>
          <w:color w:val="auto"/>
          <w:sz w:val="20"/>
        </w:rPr>
        <w:t xml:space="preserve"> </w:t>
      </w:r>
      <w:r>
        <w:rPr>
          <w:rFonts w:ascii="Times New Roman" w:hAnsi="Times New Roman"/>
          <w:sz w:val="20"/>
        </w:rPr>
        <w:t>Ver, por exemplo, OIT (2015), «The future of work centenary initiative»; OCDE (2016), «Policy forum on the future of work»; Bertelsmann Stiftung (2015), «Redesigning European welfare states – Ways forward»; Bundesministerium für Arbeit und Soziales (2015),</w:t>
      </w:r>
      <w:r>
        <w:rPr>
          <w:rFonts w:ascii="Times New Roman" w:hAnsi="Times New Roman"/>
          <w:sz w:val="20"/>
        </w:rPr>
        <w:t xml:space="preserve"> «Green Paper: Re-Imagining Work. </w:t>
      </w:r>
      <w:r>
        <w:rPr>
          <w:rFonts w:ascii="Times New Roman" w:hAnsi="Times New Roman"/>
          <w:sz w:val="20"/>
          <w:lang w:val="en-US"/>
        </w:rPr>
        <w:t xml:space="preserve">Work 4.0»; Fórum Económico Mundial (2016), «The Future of Jobs Employment, Skills and Workforce Strategy for the Fourth Industrial Revolution»; OCDE, FMI, Banco Mundial e a OIT (2015), «Income inequality and labour income </w:t>
      </w:r>
      <w:r>
        <w:rPr>
          <w:rFonts w:ascii="Times New Roman" w:hAnsi="Times New Roman"/>
          <w:sz w:val="20"/>
          <w:lang w:val="en-US"/>
        </w:rPr>
        <w:t xml:space="preserve">share in G20 countries: Trends, Impacts and Causes». </w:t>
      </w:r>
    </w:p>
  </w:footnote>
  <w:footnote w:id="5">
    <w:p w:rsidR="009C2C6E" w:rsidRDefault="00C242A5">
      <w:pPr>
        <w:pStyle w:val="FootnoteText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Concluir a União Económica e Monetária Europeia - Relatório apresentado por Jean-Claude Juncker, em cooperação com Donald Tusk, Jeroen Dijsselbloem, Mario Draghi e Martin Schulz, em junho de 2015.</w:t>
      </w:r>
      <w:r>
        <w:rPr>
          <w:rStyle w:val="Caractresdenotedebasdepage"/>
        </w:rPr>
        <w:t xml:space="preserve"> </w:t>
      </w:r>
      <w:r>
        <w:rPr>
          <w:rFonts w:ascii="Times New Roman" w:hAnsi="Times New Roman"/>
        </w:rPr>
        <w:t xml:space="preserve">No </w:t>
      </w:r>
      <w:r>
        <w:rPr>
          <w:rFonts w:ascii="Times New Roman" w:hAnsi="Times New Roman"/>
        </w:rPr>
        <w:t>seu contributo comum para o relatório, a França e a Alemanha, por exemplo, sublinharam a necessidade de reforçar a cooperação e de serem estabelecidas orientações comuns em determinados domínios, como as políticas ativas do mercado de trabalho e dos sistem</w:t>
      </w:r>
      <w:r>
        <w:rPr>
          <w:rFonts w:ascii="Times New Roman" w:hAnsi="Times New Roman"/>
        </w:rPr>
        <w:t>as de segurança social. Ver também o</w:t>
      </w:r>
      <w:r>
        <w:rPr>
          <w:rFonts w:ascii="Times New Roman" w:hAnsi="Times New Roman"/>
          <w:color w:val="000000"/>
        </w:rPr>
        <w:t xml:space="preserve"> Centro Europeu de Estratégia Política (2015), «The Social Dimension of Economic and Monetary Union».</w:t>
      </w:r>
      <w:r>
        <w:rPr>
          <w:rFonts w:ascii="Times New Roman" w:hAnsi="Times New Roman"/>
        </w:rPr>
        <w:t xml:space="preserve"> </w:t>
      </w:r>
    </w:p>
  </w:footnote>
  <w:footnote w:id="6">
    <w:p w:rsidR="009C2C6E" w:rsidRDefault="00C242A5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 (2015) 600, de 21 de outubro de 2015, sobre as medidas a adotar com vista à conclusão da União Económica e Mone</w:t>
      </w:r>
      <w:r>
        <w:rPr>
          <w:rFonts w:ascii="Times New Roman" w:hAnsi="Times New Roman"/>
        </w:rPr>
        <w:t>tária.</w:t>
      </w:r>
    </w:p>
  </w:footnote>
  <w:footnote w:id="7">
    <w:p w:rsidR="009C2C6E" w:rsidRDefault="00C242A5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De notar que todos os contributos recebidos, juntamente com a identidade dos seus autores, serão publicados na Internet, a não ser que estes se oponham à publicação dos dados pessoais pelo facto de essa publicação poder prejudicar os seus interess</w:t>
      </w:r>
      <w:r>
        <w:rPr>
          <w:rFonts w:ascii="Times New Roman" w:hAnsi="Times New Roman"/>
        </w:rPr>
        <w:t>es legítimos. Neste caso, o contributo poderá ser publicado sob anonimato. Caso contrário, esses contributos não serão publicados e a opinião expressa não será, em princípio, tida em conta.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A5" w:rsidRPr="00C242A5" w:rsidRDefault="00C242A5" w:rsidP="00C24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A5" w:rsidRPr="00C242A5" w:rsidRDefault="00C242A5" w:rsidP="00C242A5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A5" w:rsidRPr="00C242A5" w:rsidRDefault="00C242A5" w:rsidP="00C242A5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6E" w:rsidRDefault="009C2C6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6E" w:rsidRDefault="009C2C6E">
    <w:pPr>
      <w:pStyle w:val="Header"/>
      <w:jc w:val="right"/>
    </w:pPr>
  </w:p>
  <w:p w:rsidR="009C2C6E" w:rsidRDefault="009C2C6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6E" w:rsidRDefault="009C2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9C1457"/>
    <w:multiLevelType w:val="hybridMultilevel"/>
    <w:tmpl w:val="E51AA0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EA0"/>
    <w:multiLevelType w:val="hybridMultilevel"/>
    <w:tmpl w:val="B99878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D34B1"/>
    <w:multiLevelType w:val="hybridMultilevel"/>
    <w:tmpl w:val="FB78AE86"/>
    <w:lvl w:ilvl="0" w:tplc="D660CF9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A7B19"/>
    <w:multiLevelType w:val="hybridMultilevel"/>
    <w:tmpl w:val="4D762A7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04BCA"/>
    <w:multiLevelType w:val="multilevel"/>
    <w:tmpl w:val="7420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37DAD"/>
    <w:multiLevelType w:val="hybridMultilevel"/>
    <w:tmpl w:val="4232E05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E18F2"/>
    <w:multiLevelType w:val="hybridMultilevel"/>
    <w:tmpl w:val="483A6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51471"/>
    <w:multiLevelType w:val="hybridMultilevel"/>
    <w:tmpl w:val="32240B54"/>
    <w:lvl w:ilvl="0" w:tplc="0428F2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3BA1"/>
    <w:multiLevelType w:val="hybridMultilevel"/>
    <w:tmpl w:val="A8D2F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3184"/>
    <w:multiLevelType w:val="hybridMultilevel"/>
    <w:tmpl w:val="8B023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EE3"/>
    <w:multiLevelType w:val="hybridMultilevel"/>
    <w:tmpl w:val="ACEE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110A7"/>
    <w:multiLevelType w:val="hybridMultilevel"/>
    <w:tmpl w:val="268AD6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551C9"/>
    <w:multiLevelType w:val="hybridMultilevel"/>
    <w:tmpl w:val="BFD25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5C39"/>
    <w:multiLevelType w:val="hybridMultilevel"/>
    <w:tmpl w:val="63F076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F4EA9"/>
    <w:multiLevelType w:val="hybridMultilevel"/>
    <w:tmpl w:val="2A987962"/>
    <w:lvl w:ilvl="0" w:tplc="31F290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A768B"/>
    <w:multiLevelType w:val="hybridMultilevel"/>
    <w:tmpl w:val="ABA2E320"/>
    <w:lvl w:ilvl="0" w:tplc="F60AA4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1F497D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3F234B"/>
    <w:multiLevelType w:val="hybridMultilevel"/>
    <w:tmpl w:val="5D8C5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66CED"/>
    <w:multiLevelType w:val="hybridMultilevel"/>
    <w:tmpl w:val="51DA727E"/>
    <w:lvl w:ilvl="0" w:tplc="E22676A0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640298"/>
    <w:multiLevelType w:val="hybridMultilevel"/>
    <w:tmpl w:val="7928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C13A8"/>
    <w:multiLevelType w:val="hybridMultilevel"/>
    <w:tmpl w:val="484884E2"/>
    <w:lvl w:ilvl="0" w:tplc="04882D1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00DBB"/>
    <w:multiLevelType w:val="hybridMultilevel"/>
    <w:tmpl w:val="2F0E8AD8"/>
    <w:lvl w:ilvl="0" w:tplc="04882D1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D5012"/>
    <w:multiLevelType w:val="hybridMultilevel"/>
    <w:tmpl w:val="FFB21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13"/>
  </w:num>
  <w:num w:numId="5">
    <w:abstractNumId w:val="15"/>
  </w:num>
  <w:num w:numId="6">
    <w:abstractNumId w:val="9"/>
  </w:num>
  <w:num w:numId="7">
    <w:abstractNumId w:val="1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17"/>
  </w:num>
  <w:num w:numId="18">
    <w:abstractNumId w:val="2"/>
  </w:num>
  <w:num w:numId="19">
    <w:abstractNumId w:val="12"/>
  </w:num>
  <w:num w:numId="20">
    <w:abstractNumId w:val="21"/>
  </w:num>
  <w:num w:numId="21">
    <w:abstractNumId w:val="6"/>
  </w:num>
  <w:num w:numId="22">
    <w:abstractNumId w:val="0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/EU RESTRICTED"/>
    <w:docVar w:name="LW_CORRIGENDUM" w:val="&lt;UNUSED&gt;"/>
    <w:docVar w:name="LW_COVERPAGE_GUID" w:val="93D72A06BE4F489B845BB0095175C6EA"/>
    <w:docVar w:name="LW_CROSSREFERENCE" w:val="{SWD(2016) 50 final}_x000b_{SWD(2016) 51 final}"/>
    <w:docVar w:name="LW_DocType" w:val="NORMAL"/>
    <w:docVar w:name="LW_EMISSION" w:val="8.3.2016"/>
    <w:docVar w:name="LW_EMISSION_ISODATE" w:val="2016-03-08"/>
    <w:docVar w:name="LW_EMISSION_LOCATION" w:val="STR"/>
    <w:docVar w:name="LW_EMISSION_PREFIX" w:val="Estrasburgo, "/>
    <w:docVar w:name="LW_EMISSION_SUFFIX" w:val=" "/>
    <w:docVar w:name="LW_ID_DOCTYPE_NONLW" w:val="CP-014"/>
    <w:docVar w:name="LW_LANGUE" w:val="PT"/>
    <w:docVar w:name="LW_MARKING" w:val="&lt;UNUSED&gt;"/>
    <w:docVar w:name="LW_NOM.INST" w:val="COMISSÃO EUROPE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6) 127"/>
    <w:docVar w:name="LW_REF.INTERNE" w:val="&lt;UNUSED&gt;"/>
    <w:docVar w:name="LW_SOUS.TITRE.OBJ.CP" w:val="&lt;UNUSED&gt;"/>
    <w:docVar w:name="LW_SUPERTITRE" w:val="&lt;UNUSED&gt;"/>
    <w:docVar w:name="LW_TITRE.OBJ.CP" w:val="Lançamento de uma consulta sobre um Pilar Europeu dos Direitos Sociais"/>
    <w:docVar w:name="LW_TYPE.DOC.CP" w:val="COMUNICAÇÃO DA COMISSÃO AO PARLAMENTO EUROPEU, AO CONSELHO, AO COMITÉ ECONÓMICO E SOCIAL EUROPEU E AO COMITÉ DAS REGIÕES"/>
    <w:docVar w:name="LW_TYPE.DOC.CP.USERTEXT" w:val="&lt;EMPTY&gt;"/>
  </w:docVars>
  <w:rsids>
    <w:rsidRoot w:val="009C2C6E"/>
    <w:rsid w:val="009C2C6E"/>
    <w:rsid w:val="00C2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FootnoteText">
    <w:name w:val="footnote text"/>
    <w:aliases w:val="Fussnote,stile 1,Fußnote,Podrozdział,Footnote Text Char Char,Footnote Text Char1 Char Char,Footnote Text Char Char Char Char,Footnote Text Char Char1,Char Char,Sprotna opomba - besedilo Znak1,Tekst przypis,o,Char,Märk,Char1,Footnote text,f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ssnote Char,stile 1 Char,Fußnote Char,Podrozdział Char,Footnote Text Char Char Char,Footnote Text Char1 Char Char Char,Footnote Text Char Char Char Char Char,Footnote Text Char Char1 Char,Char Char Char,Tekst przypis Char,o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aliases w:val="Footnote Reference Superscript,BVI fnr, BVI fnr,Footnote symbol,Footnote reference number,Times 10 Point,Exposant 3 Point,EN Footnote Reference,note TESI,Footnote,Footnote Reference Number,E FNZ,-E Fußnotenzeichen,Footnote#,Ref,SUPERS"/>
    <w:basedOn w:val="DefaultParagraphFont"/>
    <w:link w:val="FootnotesymbolCarZchn"/>
    <w:uiPriority w:val="99"/>
    <w:unhideWhenUsed/>
    <w:qFormat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normal">
    <w:name w:val="prdnormal"/>
    <w:basedOn w:val="DefaultParagraphFont"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riefingtext">
    <w:name w:val="Briefing text"/>
    <w:basedOn w:val="Normal"/>
    <w:link w:val="BriefingtextChar"/>
    <w:pPr>
      <w:spacing w:after="24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riefingtextChar">
    <w:name w:val="Briefing text Char"/>
    <w:link w:val="Briefingtext"/>
    <w:rPr>
      <w:rFonts w:ascii="Arial" w:eastAsia="Times New Roman" w:hAnsi="Arial" w:cs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 w:val="28"/>
      <w:szCs w:val="21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character" w:customStyle="1" w:styleId="Caractresdenotedebasdepage">
    <w:name w:val="Caractères de note de bas de page"/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st1">
    <w:name w:val="st1"/>
    <w:basedOn w:val="DefaultParagraphFont"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FootnoteText">
    <w:name w:val="footnote text"/>
    <w:aliases w:val="Fussnote,stile 1,Fußnote,Podrozdział,Footnote Text Char Char,Footnote Text Char1 Char Char,Footnote Text Char Char Char Char,Footnote Text Char Char1,Char Char,Sprotna opomba - besedilo Znak1,Tekst przypis,o,Char,Märk,Char1,Footnote text,f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ssnote Char,stile 1 Char,Fußnote Char,Podrozdział Char,Footnote Text Char Char Char,Footnote Text Char1 Char Char Char,Footnote Text Char Char Char Char Char,Footnote Text Char Char1 Char,Char Char Char,Tekst przypis Char,o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aliases w:val="Footnote Reference Superscript,BVI fnr, BVI fnr,Footnote symbol,Footnote reference number,Times 10 Point,Exposant 3 Point,EN Footnote Reference,note TESI,Footnote,Footnote Reference Number,E FNZ,-E Fußnotenzeichen,Footnote#,Ref,SUPERS"/>
    <w:basedOn w:val="DefaultParagraphFont"/>
    <w:link w:val="FootnotesymbolCarZchn"/>
    <w:uiPriority w:val="99"/>
    <w:unhideWhenUsed/>
    <w:qFormat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normal">
    <w:name w:val="prdnormal"/>
    <w:basedOn w:val="DefaultParagraphFont"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riefingtext">
    <w:name w:val="Briefing text"/>
    <w:basedOn w:val="Normal"/>
    <w:link w:val="BriefingtextChar"/>
    <w:pPr>
      <w:spacing w:after="24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riefingtextChar">
    <w:name w:val="Briefing text Char"/>
    <w:link w:val="Briefingtext"/>
    <w:rPr>
      <w:rFonts w:ascii="Arial" w:eastAsia="Times New Roman" w:hAnsi="Arial" w:cs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 w:val="28"/>
      <w:szCs w:val="21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character" w:customStyle="1" w:styleId="Caractresdenotedebasdepage">
    <w:name w:val="Caractères de note de bas de page"/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st1">
    <w:name w:val="st1"/>
    <w:basedOn w:val="DefaultParagraphFont"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4649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9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23127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2626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37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60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EMPL-EUROPEAN-PILLAR-OF-SOCIAL-RIGHTS@ec.europa.e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c.europa.eu/priorities/deeper-and-fairer-economic-and-monetary-union/european-pillar-social-right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2AA0-0529-4DAD-B306-DDF7A184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5077</Words>
  <Characters>27088</Characters>
  <Application>Microsoft Office Word</Application>
  <DocSecurity>0</DocSecurity>
  <Lines>427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2016-03-04T18:07:00Z</dcterms:created>
  <dcterms:modified xsi:type="dcterms:W3CDTF">2016-03-10T15:14:00Z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Classification">
    <vt:lpwstr> </vt:lpwstr>
  </property>
  <property fmtid="{D5CDD505-2E9C-101B-9397-08002B2CF9AE}" pid="5" name="DocStatus">
    <vt:lpwstr>Green</vt:lpwstr>
  </property>
</Properties>
</file>