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EC" w:rsidRDefault="009A18A2" w:rsidP="009A18A2">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6E196639D53F43158D106D7A9116C082" style="width:450.35pt;height:348.45pt">
            <v:imagedata r:id="rId9" o:title=""/>
          </v:shape>
        </w:pict>
      </w:r>
    </w:p>
    <w:bookmarkEnd w:id="0"/>
    <w:p w:rsidR="004066EC" w:rsidRDefault="004066EC">
      <w:pPr>
        <w:rPr>
          <w:noProof/>
        </w:rPr>
        <w:sectPr w:rsidR="004066EC" w:rsidSect="009A18A2">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4066EC" w:rsidRDefault="009A18A2">
      <w:pPr>
        <w:keepNext/>
        <w:spacing w:after="24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1. Inleiding </w:t>
      </w:r>
    </w:p>
    <w:p w:rsidR="004066EC" w:rsidRDefault="009A18A2">
      <w:pPr>
        <w:pStyle w:val="PlainText"/>
        <w:spacing w:after="240"/>
        <w:jc w:val="both"/>
        <w:rPr>
          <w:rFonts w:ascii="Times New Roman" w:hAnsi="Times New Roman" w:cs="Times New Roman"/>
          <w:noProof/>
          <w:sz w:val="24"/>
          <w:szCs w:val="24"/>
        </w:rPr>
      </w:pPr>
      <w:r>
        <w:rPr>
          <w:rFonts w:ascii="Times New Roman" w:hAnsi="Times New Roman"/>
          <w:noProof/>
          <w:sz w:val="24"/>
        </w:rPr>
        <w:t xml:space="preserve">Voorzitter Juncker heeft de oprichting van een Europese pijler van sociale rechten </w:t>
      </w:r>
      <w:r>
        <w:rPr>
          <w:rFonts w:ascii="Times New Roman" w:hAnsi="Times New Roman"/>
          <w:noProof/>
          <w:sz w:val="24"/>
        </w:rPr>
        <w:t>aangekondigd in zijn "State of the Union" voor het Europees Parlement op 9 september 2015. Dit initiatief is onderdeel van de werkzaamheden van de Commissie voor een diepere en billijkere economische en monetaire unie (EMU)</w:t>
      </w:r>
      <w:r>
        <w:rPr>
          <w:rStyle w:val="FootnoteReference"/>
          <w:rFonts w:ascii="Times New Roman" w:hAnsi="Times New Roman"/>
          <w:noProof/>
          <w:sz w:val="24"/>
        </w:rPr>
        <w:footnoteReference w:id="2"/>
      </w:r>
      <w:r>
        <w:rPr>
          <w:rFonts w:ascii="Times New Roman" w:hAnsi="Times New Roman"/>
          <w:noProof/>
          <w:sz w:val="24"/>
        </w:rPr>
        <w:t xml:space="preserve"> en van het werkprogramma van de</w:t>
      </w:r>
      <w:r>
        <w:rPr>
          <w:rFonts w:ascii="Times New Roman" w:hAnsi="Times New Roman"/>
          <w:noProof/>
          <w:sz w:val="24"/>
        </w:rPr>
        <w:t xml:space="preserve"> Commissie voor 2016.</w:t>
      </w:r>
    </w:p>
    <w:p w:rsidR="004066EC" w:rsidRDefault="009A18A2">
      <w:pPr>
        <w:pStyle w:val="PlainText"/>
        <w:spacing w:after="240"/>
        <w:jc w:val="both"/>
        <w:rPr>
          <w:rFonts w:ascii="Times New Roman" w:hAnsi="Times New Roman" w:cs="Times New Roman"/>
          <w:noProof/>
          <w:sz w:val="24"/>
          <w:szCs w:val="24"/>
        </w:rPr>
      </w:pPr>
      <w:r>
        <w:rPr>
          <w:rFonts w:ascii="Times New Roman" w:hAnsi="Times New Roman"/>
          <w:noProof/>
          <w:sz w:val="24"/>
        </w:rPr>
        <w:t>In zijn toespraak stelde voorzitter Juncker het volgende: "</w:t>
      </w:r>
      <w:r>
        <w:rPr>
          <w:rFonts w:ascii="Times New Roman" w:hAnsi="Times New Roman"/>
          <w:i/>
          <w:noProof/>
          <w:sz w:val="24"/>
        </w:rPr>
        <w:t>We moeten harder werken aan een eerlijke en echte pan-Europese arbeidsmarkt. [...] Ik wil daartoe bijdragen met een Europese pijler van sociale rechten, die rekening houdt met</w:t>
      </w:r>
      <w:r>
        <w:rPr>
          <w:rFonts w:ascii="Times New Roman" w:hAnsi="Times New Roman"/>
          <w:i/>
          <w:noProof/>
          <w:sz w:val="24"/>
        </w:rPr>
        <w:t xml:space="preserve"> de veranderende realiteit van de Europese samenlevingen en de arbeidsmarkt, en die kan dienen als kompas voor de hernieuwde convergentie in de eurozone. Die Europese pijler van sociale rechten moet een aanvulling vormen op wat we al samen hebben bereikt o</w:t>
      </w:r>
      <w:r>
        <w:rPr>
          <w:rFonts w:ascii="Times New Roman" w:hAnsi="Times New Roman"/>
          <w:i/>
          <w:noProof/>
          <w:sz w:val="24"/>
        </w:rPr>
        <w:t xml:space="preserve">p het vlak van de bescherming van werknemers in de EU. Ik verwacht van de sociale partners dat zij in dat proces een centrale rol opnemen. Ik denk dat wij er goed aan doen om dit initiatief eerst in de eurozone te nemen en daarna andere lidstaten te laten </w:t>
      </w:r>
      <w:r>
        <w:rPr>
          <w:rFonts w:ascii="Times New Roman" w:hAnsi="Times New Roman"/>
          <w:i/>
          <w:noProof/>
          <w:sz w:val="24"/>
        </w:rPr>
        <w:t>instappen als zij dat willen."</w:t>
      </w:r>
      <w:r>
        <w:rPr>
          <w:rFonts w:ascii="Times New Roman" w:hAnsi="Times New Roman"/>
          <w:noProof/>
          <w:sz w:val="24"/>
        </w:rPr>
        <w:t xml:space="preserve"> </w:t>
      </w:r>
    </w:p>
    <w:p w:rsidR="004066EC" w:rsidRDefault="009A18A2">
      <w:pPr>
        <w:pStyle w:val="PlainText"/>
        <w:spacing w:after="240"/>
        <w:jc w:val="both"/>
        <w:rPr>
          <w:rFonts w:ascii="Times New Roman" w:hAnsi="Times New Roman" w:cs="Times New Roman"/>
          <w:noProof/>
          <w:sz w:val="24"/>
          <w:szCs w:val="24"/>
        </w:rPr>
      </w:pPr>
      <w:r>
        <w:rPr>
          <w:rFonts w:ascii="Times New Roman" w:hAnsi="Times New Roman"/>
          <w:noProof/>
          <w:sz w:val="24"/>
        </w:rPr>
        <w:t>Deze mededeling stippelt de weg uit voor de Europese pijler van sociale rechten. Hierin wordt de achterliggende redenering voor het initiatief geschetst, worden de rol, de omvang en de aard ervan uiteengezet, en wordt een br</w:t>
      </w:r>
      <w:r>
        <w:rPr>
          <w:rFonts w:ascii="Times New Roman" w:hAnsi="Times New Roman"/>
          <w:noProof/>
          <w:sz w:val="24"/>
        </w:rPr>
        <w:t>ede raadpleging opgezet met de bedoeling feedback te verzamelen. In bijlage bij deze mededeling is een eerste voorlopige schets van de pijler gevoegd om het debat te voeden. Deze mededeling gaat eveneens vergezeld van twee werkdocumenten van de diensten va</w:t>
      </w:r>
      <w:r>
        <w:rPr>
          <w:rFonts w:ascii="Times New Roman" w:hAnsi="Times New Roman"/>
          <w:noProof/>
          <w:sz w:val="24"/>
        </w:rPr>
        <w:t>n de Commissie: het eerste omvat een beschrijving van de voornaamste tendensen op het vlak van economie, werk en maatschappij waarin de pijler zijn oorsprong vindt en waarop deze mede een antwoord zou moeten bieden, en in het tweede wordt het meest relevan</w:t>
      </w:r>
      <w:r>
        <w:rPr>
          <w:rFonts w:ascii="Times New Roman" w:hAnsi="Times New Roman"/>
          <w:noProof/>
          <w:sz w:val="24"/>
        </w:rPr>
        <w:t>te wettelijk acquis op het niveau van de EU in herinnering gebracht</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w:t>
      </w:r>
    </w:p>
    <w:p w:rsidR="004066EC" w:rsidRDefault="009A18A2">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2. Waarom een Europese pijler van sociale rechten?</w:t>
      </w:r>
    </w:p>
    <w:p w:rsidR="004066EC" w:rsidRDefault="009A18A2">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2.1. Een sociale markteconomie met een groot concurrentievermogen</w:t>
      </w:r>
    </w:p>
    <w:p w:rsidR="004066EC" w:rsidRDefault="009A18A2">
      <w:pPr>
        <w:autoSpaceDE w:val="0"/>
        <w:autoSpaceDN w:val="0"/>
        <w:adjustRightInd w:val="0"/>
        <w:spacing w:after="240" w:line="240" w:lineRule="auto"/>
        <w:jc w:val="both"/>
        <w:rPr>
          <w:rFonts w:ascii="Times New Roman" w:hAnsi="Times New Roman" w:cs="Times New Roman"/>
          <w:noProof/>
          <w:sz w:val="24"/>
          <w:szCs w:val="24"/>
        </w:rPr>
      </w:pPr>
      <w:r>
        <w:rPr>
          <w:rFonts w:ascii="Times New Roman" w:hAnsi="Times New Roman"/>
          <w:noProof/>
          <w:sz w:val="24"/>
        </w:rPr>
        <w:t>Maatregelen op Europees niveau zijn een weerspiegeling van de fundam</w:t>
      </w:r>
      <w:r>
        <w:rPr>
          <w:rFonts w:ascii="Times New Roman" w:hAnsi="Times New Roman"/>
          <w:noProof/>
          <w:sz w:val="24"/>
        </w:rPr>
        <w:t>entele beginselen van de Unie en zij zijn gestoeld op de overtuiging dat economische ontwikkeling grotere sociale vooruitgang en samenhang met zich mee moet brengen; tegelijkertijd moet in passende vangnetten overeenkomstig de Europese waarden worden voorz</w:t>
      </w:r>
      <w:r>
        <w:rPr>
          <w:rFonts w:ascii="Times New Roman" w:hAnsi="Times New Roman"/>
          <w:noProof/>
          <w:sz w:val="24"/>
        </w:rPr>
        <w:t>ien en het sociale beleid ook worden gevoerd als een productieve factor die toelaat ongelijkheid terug te dringen, zoveel mogelijk werkgelegenheid te creëren en het Europese menselijke kapitaal optimaal te ontplooien. Deze overtuiging wordt gestaafd aan de</w:t>
      </w:r>
      <w:r>
        <w:rPr>
          <w:rFonts w:ascii="Times New Roman" w:hAnsi="Times New Roman"/>
          <w:noProof/>
          <w:sz w:val="24"/>
        </w:rPr>
        <w:t xml:space="preserve"> hand van feitenmateriaal over werkgelegenheid en sociale prestaties. De lidstaten die de beste prestaties leveren op economisch vlak hebben een ambitieuzer en doeltreffender sociaal beleid uitgewerkt dat niet enkel het resultaat is van economische ontwikk</w:t>
      </w:r>
      <w:r>
        <w:rPr>
          <w:rFonts w:ascii="Times New Roman" w:hAnsi="Times New Roman"/>
          <w:noProof/>
          <w:sz w:val="24"/>
        </w:rPr>
        <w:t>eling maar een centraal onderdeel vormt van hun groeimodel. Hierbij is de opzet van de socialezekerheidsstelsels en arbeidsmarktinstellingen, die goed functioneren en banen helpen creëren, van wezenlijk belang.  </w:t>
      </w:r>
    </w:p>
    <w:p w:rsidR="004066EC" w:rsidRDefault="009A18A2">
      <w:pPr>
        <w:autoSpaceDE w:val="0"/>
        <w:autoSpaceDN w:val="0"/>
        <w:adjustRightInd w:val="0"/>
        <w:spacing w:after="240" w:line="240" w:lineRule="auto"/>
        <w:jc w:val="both"/>
        <w:rPr>
          <w:rFonts w:ascii="Times New Roman" w:hAnsi="Times New Roman" w:cs="Times New Roman"/>
          <w:noProof/>
          <w:sz w:val="24"/>
          <w:szCs w:val="24"/>
        </w:rPr>
      </w:pPr>
      <w:r>
        <w:rPr>
          <w:rFonts w:ascii="Times New Roman" w:hAnsi="Times New Roman"/>
          <w:noProof/>
          <w:sz w:val="24"/>
        </w:rPr>
        <w:lastRenderedPageBreak/>
        <w:t>Deze aanpak vormt ook de kern van de algemene economische agenda van deze Commissie, zoals blijkt uit de jaarlijkse groeianalyse 2016. Waar de Commissie erop gericht is structurele hervormingen, investeringen en een verantwoord begrotingsbeleid te stimuler</w:t>
      </w:r>
      <w:r>
        <w:rPr>
          <w:rFonts w:ascii="Times New Roman" w:hAnsi="Times New Roman"/>
          <w:noProof/>
          <w:sz w:val="24"/>
        </w:rPr>
        <w:t xml:space="preserve">en, ligt de klemtoon duidelijk op sociale overwegingen en sociale billijkheid. </w:t>
      </w:r>
    </w:p>
    <w:p w:rsidR="004066EC" w:rsidRDefault="009A18A2">
      <w:pPr>
        <w:keepLines/>
        <w:autoSpaceDE w:val="0"/>
        <w:autoSpaceDN w:val="0"/>
        <w:adjustRightInd w:val="0"/>
        <w:spacing w:after="240" w:line="240" w:lineRule="auto"/>
        <w:jc w:val="both"/>
        <w:rPr>
          <w:rFonts w:ascii="Times New Roman" w:hAnsi="Times New Roman" w:cs="Times New Roman"/>
          <w:noProof/>
          <w:sz w:val="24"/>
          <w:szCs w:val="24"/>
        </w:rPr>
      </w:pPr>
      <w:r>
        <w:rPr>
          <w:rFonts w:ascii="Times New Roman" w:hAnsi="Times New Roman"/>
          <w:noProof/>
          <w:sz w:val="24"/>
        </w:rPr>
        <w:t>Overeenkomstig het subsidiariteitsbeginsel zijn in de eerste plaats de lidstaten bevoegd voor hun sociaal en werkgelegenheidsbeleid. Dat omvat de arbeidsregelgeving en de organ</w:t>
      </w:r>
      <w:r>
        <w:rPr>
          <w:rFonts w:ascii="Times New Roman" w:hAnsi="Times New Roman"/>
          <w:noProof/>
          <w:sz w:val="24"/>
        </w:rPr>
        <w:t>isatie van de socialezekerheidsstelsels. Die bevoegdheid is vastgelegd in de EU</w:t>
      </w:r>
      <w:r>
        <w:rPr>
          <w:noProof/>
        </w:rPr>
        <w:noBreakHyphen/>
      </w:r>
      <w:r>
        <w:rPr>
          <w:rFonts w:ascii="Times New Roman" w:hAnsi="Times New Roman"/>
          <w:noProof/>
          <w:sz w:val="24"/>
        </w:rPr>
        <w:t>verdragen, waarin sinds de oprichting van de Europese Economische Gemeenschap ook voor de EU in een rol is voorzien, als aanvulling op het optreden van de lidstaten. Deze algem</w:t>
      </w:r>
      <w:r>
        <w:rPr>
          <w:rFonts w:ascii="Times New Roman" w:hAnsi="Times New Roman"/>
          <w:noProof/>
          <w:sz w:val="24"/>
        </w:rPr>
        <w:t>ene doelstelling wordt weerspiegeld in artikel 3 van het Verdrag betreffende de Europese Unie dat met name bepaalt dat de Unie "</w:t>
      </w:r>
      <w:r>
        <w:rPr>
          <w:rFonts w:ascii="Times New Roman" w:hAnsi="Times New Roman"/>
          <w:i/>
          <w:noProof/>
          <w:sz w:val="24"/>
        </w:rPr>
        <w:t>zich inzet voor de duurzame ontwikkeling van Europa, op basis van een evenwichtige economische groei en van prijsstabiliteit, ee</w:t>
      </w:r>
      <w:r>
        <w:rPr>
          <w:rFonts w:ascii="Times New Roman" w:hAnsi="Times New Roman"/>
          <w:i/>
          <w:noProof/>
          <w:sz w:val="24"/>
        </w:rPr>
        <w:t>n sociale markteconomie met een groot concurrentievermogen die gericht is op volledige werkgelegenheid en sociale vooruitgang, en van een hoog niveau van bescherming en verbetering van de kwaliteit van het milieu.</w:t>
      </w:r>
      <w:r>
        <w:rPr>
          <w:rFonts w:ascii="Times New Roman" w:hAnsi="Times New Roman"/>
          <w:noProof/>
          <w:sz w:val="24"/>
        </w:rPr>
        <w:t>"</w:t>
      </w:r>
    </w:p>
    <w:p w:rsidR="004066EC" w:rsidRDefault="009A18A2">
      <w:pPr>
        <w:pStyle w:val="PlainText"/>
        <w:spacing w:after="360"/>
        <w:jc w:val="both"/>
        <w:rPr>
          <w:rFonts w:ascii="Times New Roman" w:hAnsi="Times New Roman" w:cs="Times New Roman"/>
          <w:noProof/>
          <w:sz w:val="24"/>
          <w:szCs w:val="24"/>
        </w:rPr>
      </w:pPr>
      <w:r>
        <w:rPr>
          <w:rFonts w:ascii="Times New Roman" w:hAnsi="Times New Roman"/>
          <w:noProof/>
          <w:sz w:val="24"/>
        </w:rPr>
        <w:t>Daarom zijn de oprichting en de verdiepin</w:t>
      </w:r>
      <w:r>
        <w:rPr>
          <w:rFonts w:ascii="Times New Roman" w:hAnsi="Times New Roman"/>
          <w:noProof/>
          <w:sz w:val="24"/>
        </w:rPr>
        <w:t>g van de Europese eengemaakte markt hand in hand gegaan met de ontwikkeling van een wettelijk acquis op sociaal vlak op het niveau van de EU, met de bedoeling voor een gelijk speelveld te zorgen, het risico van sociale dumping of nivellering naar beneden t</w:t>
      </w:r>
      <w:r>
        <w:rPr>
          <w:rFonts w:ascii="Times New Roman" w:hAnsi="Times New Roman"/>
          <w:noProof/>
          <w:sz w:val="24"/>
        </w:rPr>
        <w:t>e beperken en economische en sociale integratie te bevorderen. Daarom ook zijn sociale en werkgelegenheidsoverwegingen sinds de jaren negentig bepalend voor de coördinatie van het economisch beleid op Europees niveau, nu het Europees semester. De achterlig</w:t>
      </w:r>
      <w:r>
        <w:rPr>
          <w:rFonts w:ascii="Times New Roman" w:hAnsi="Times New Roman"/>
          <w:noProof/>
          <w:sz w:val="24"/>
        </w:rPr>
        <w:t xml:space="preserve">gende redenering voor de Europese pijler van sociale rechten volgt deze logica en speelt in op twee behoeften: de crisis overwinnen en verder kijken, enerzijds, en naar een diepere en billijkere EMU evolueren, anderzijds. </w:t>
      </w:r>
    </w:p>
    <w:p w:rsidR="004066EC" w:rsidRDefault="009A18A2">
      <w:pPr>
        <w:pStyle w:val="PlainText"/>
        <w:keepNext/>
        <w:spacing w:before="120" w:after="240"/>
        <w:jc w:val="both"/>
        <w:rPr>
          <w:rFonts w:ascii="Times New Roman" w:hAnsi="Times New Roman" w:cs="Times New Roman"/>
          <w:b/>
          <w:noProof/>
          <w:sz w:val="24"/>
          <w:szCs w:val="24"/>
        </w:rPr>
      </w:pPr>
      <w:r>
        <w:rPr>
          <w:rFonts w:ascii="Times New Roman" w:hAnsi="Times New Roman"/>
          <w:b/>
          <w:noProof/>
          <w:sz w:val="24"/>
        </w:rPr>
        <w:t xml:space="preserve">2.2. De crisis overwinnen en verder kijken </w:t>
      </w:r>
    </w:p>
    <w:p w:rsidR="004066EC" w:rsidRDefault="009A18A2">
      <w:pPr>
        <w:pStyle w:val="PlainText"/>
        <w:spacing w:after="240"/>
        <w:jc w:val="both"/>
        <w:rPr>
          <w:rFonts w:ascii="Times New Roman" w:hAnsi="Times New Roman" w:cs="Times New Roman"/>
          <w:noProof/>
          <w:sz w:val="24"/>
          <w:szCs w:val="24"/>
        </w:rPr>
      </w:pPr>
      <w:r>
        <w:rPr>
          <w:rFonts w:ascii="Times New Roman" w:hAnsi="Times New Roman"/>
          <w:noProof/>
          <w:sz w:val="24"/>
        </w:rPr>
        <w:t>Europa herstelt van haar zwaarste crisis sinds decennia: alle lidstaten en de EU als geheel kampen met de politieke, economische en sociale gevolgen van de crisis en proberen tegelijkertijd te anticiperen op toek</w:t>
      </w:r>
      <w:r>
        <w:rPr>
          <w:rFonts w:ascii="Times New Roman" w:hAnsi="Times New Roman"/>
          <w:noProof/>
          <w:sz w:val="24"/>
        </w:rPr>
        <w:t>omstige ontwikkelingen. De crisis heeft ernstige en zichtbare gevolgen gehad voor de Europese maatschappij en economie. De socialezekerheidsstelsels hebben deze gevolgen gedeeltelijk opgevangen maar de werkloosheid is toegenomen, een aanzienlijk deel van d</w:t>
      </w:r>
      <w:r>
        <w:rPr>
          <w:rFonts w:ascii="Times New Roman" w:hAnsi="Times New Roman"/>
          <w:noProof/>
          <w:sz w:val="24"/>
        </w:rPr>
        <w:t>e bevolking dreigt in armoede terecht te komen, de overheidsfinanciën zijn onder druk komen te staan en de verschillen tussen de prestaties op nationaal niveau worden aanzienlijk groter. De werkloosheid in het bijzonder heeft van zowel personen als de maat</w:t>
      </w:r>
      <w:r>
        <w:rPr>
          <w:rFonts w:ascii="Times New Roman" w:hAnsi="Times New Roman"/>
          <w:noProof/>
          <w:sz w:val="24"/>
        </w:rPr>
        <w:t xml:space="preserve">schappij gedurende vele jaren een zware tol geëist: nog steeds zijn ongeveer 22 miljoen mensen inactief en werkzoekend (waarvan bijna 17 miljoen in de eurozone); voor 10 miljoen onder hen was dit het geval gedurende meer dan een jaar. </w:t>
      </w:r>
    </w:p>
    <w:p w:rsidR="004066EC" w:rsidRDefault="009A18A2">
      <w:pPr>
        <w:pStyle w:val="PlainText"/>
        <w:spacing w:after="240"/>
        <w:jc w:val="both"/>
        <w:rPr>
          <w:rFonts w:ascii="Times New Roman" w:hAnsi="Times New Roman"/>
          <w:noProof/>
          <w:sz w:val="24"/>
        </w:rPr>
      </w:pPr>
      <w:r>
        <w:rPr>
          <w:rFonts w:ascii="Times New Roman" w:hAnsi="Times New Roman"/>
          <w:noProof/>
          <w:sz w:val="24"/>
        </w:rPr>
        <w:t xml:space="preserve">Door de crisis zijn </w:t>
      </w:r>
      <w:r>
        <w:rPr>
          <w:rFonts w:ascii="Times New Roman" w:hAnsi="Times New Roman"/>
          <w:noProof/>
          <w:sz w:val="24"/>
        </w:rPr>
        <w:t>bovendien een aantal fundamentele langetermijntendensen op de achtergrond geraakt en andere net beter zichtbaar geworden. Het gaat daarbij onder andere over veranderende maatschappelijke structuren en familiale en werkpatronen, langere en gevarieerdere ber</w:t>
      </w:r>
      <w:r>
        <w:rPr>
          <w:rFonts w:ascii="Times New Roman" w:hAnsi="Times New Roman"/>
          <w:noProof/>
          <w:sz w:val="24"/>
        </w:rPr>
        <w:t>oepslevens, grotere diversiteit bij werknemers en de verspreiding van nieuwe vormen van werk, de paradox tussen steeds hogere opleidingsniveaus en de wijdverbreide discrepantie tussen gevraagde en aangeboden vaardigheden, toegenomen ongelijkheden, nieuwe b</w:t>
      </w:r>
      <w:r>
        <w:rPr>
          <w:rFonts w:ascii="Times New Roman" w:hAnsi="Times New Roman"/>
          <w:noProof/>
          <w:sz w:val="24"/>
        </w:rPr>
        <w:t xml:space="preserve">ehoeften en kansen als gevolg van de toenemende levensverwachting en vergrijzing, alsook technologische veranderingen en de digitalisering van de maatschappij en de economie. </w:t>
      </w:r>
    </w:p>
    <w:p w:rsidR="004066EC" w:rsidRDefault="009A18A2">
      <w:pPr>
        <w:pStyle w:val="PlainText"/>
        <w:spacing w:after="240"/>
        <w:jc w:val="both"/>
        <w:rPr>
          <w:rFonts w:ascii="Times New Roman" w:hAnsi="Times New Roman" w:cs="Times New Roman"/>
          <w:noProof/>
          <w:sz w:val="24"/>
          <w:szCs w:val="24"/>
        </w:rPr>
      </w:pPr>
      <w:r>
        <w:rPr>
          <w:rFonts w:ascii="Times New Roman" w:hAnsi="Times New Roman"/>
          <w:noProof/>
          <w:sz w:val="24"/>
        </w:rPr>
        <w:lastRenderedPageBreak/>
        <w:t>De omvang en de aard van de uitdagingen waarmee de arbeidsmarkt en de samenlevin</w:t>
      </w:r>
      <w:r>
        <w:rPr>
          <w:rFonts w:ascii="Times New Roman" w:hAnsi="Times New Roman"/>
          <w:noProof/>
          <w:sz w:val="24"/>
        </w:rPr>
        <w:t>g in het algemeen worden geconfronteerd, zijn ingrijpend veranderd in vergelijking met de 20</w:t>
      </w:r>
      <w:r>
        <w:rPr>
          <w:rFonts w:ascii="Times New Roman" w:hAnsi="Times New Roman"/>
          <w:noProof/>
          <w:sz w:val="24"/>
          <w:vertAlign w:val="subscript"/>
        </w:rPr>
        <w:t>e</w:t>
      </w:r>
      <w:r>
        <w:rPr>
          <w:rFonts w:ascii="Times New Roman" w:hAnsi="Times New Roman"/>
          <w:noProof/>
          <w:sz w:val="24"/>
        </w:rPr>
        <w:t> eeuw, en er dienen zich vele nieuwe of opkomende trends aan waaraan Europa zich zal moeten aanpassen. De doelstellingen van het sociaal beleid en het vermogen erv</w:t>
      </w:r>
      <w:r>
        <w:rPr>
          <w:rFonts w:ascii="Times New Roman" w:hAnsi="Times New Roman"/>
          <w:noProof/>
          <w:sz w:val="24"/>
        </w:rPr>
        <w:t>an om deze doelstellingen te halen, worden ernstig op de proef gesteld; de capaciteit van Europa om te komen tot goed werkende en billijke arbeidsmarkten en socialezekerheidsstelsels is cruciaal voor haar vermogen om de productiviteit te verhogen, op werel</w:t>
      </w:r>
      <w:r>
        <w:rPr>
          <w:rFonts w:ascii="Times New Roman" w:hAnsi="Times New Roman"/>
          <w:noProof/>
          <w:sz w:val="24"/>
        </w:rPr>
        <w:t xml:space="preserve">dniveau te concurreren, de sociale samenhang te versterken en de levensstandaard van de EU-burgers verder te doen stijgen. </w:t>
      </w:r>
    </w:p>
    <w:p w:rsidR="004066EC" w:rsidRDefault="009A18A2">
      <w:pPr>
        <w:pStyle w:val="PlainText"/>
        <w:spacing w:after="240"/>
        <w:jc w:val="both"/>
        <w:rPr>
          <w:rFonts w:ascii="Times New Roman" w:hAnsi="Times New Roman" w:cs="Times New Roman"/>
          <w:noProof/>
          <w:color w:val="000000"/>
          <w:sz w:val="24"/>
          <w:szCs w:val="24"/>
        </w:rPr>
      </w:pPr>
      <w:r>
        <w:rPr>
          <w:rFonts w:ascii="Times New Roman" w:hAnsi="Times New Roman"/>
          <w:noProof/>
          <w:sz w:val="24"/>
        </w:rPr>
        <w:t>Een dergelijke redenering wint zowel internationaal als binnen de lidstaten aan belang</w:t>
      </w:r>
      <w:r>
        <w:rPr>
          <w:rStyle w:val="FootnoteReference"/>
          <w:rFonts w:ascii="Times New Roman" w:hAnsi="Times New Roman"/>
          <w:noProof/>
          <w:sz w:val="24"/>
        </w:rPr>
        <w:footnoteReference w:id="4"/>
      </w:r>
      <w:r>
        <w:rPr>
          <w:rFonts w:ascii="Times New Roman" w:hAnsi="Times New Roman"/>
          <w:noProof/>
          <w:sz w:val="24"/>
        </w:rPr>
        <w:t>. Ondanks de onzekerheid over de toekomst zij</w:t>
      </w:r>
      <w:r>
        <w:rPr>
          <w:rFonts w:ascii="Times New Roman" w:hAnsi="Times New Roman"/>
          <w:noProof/>
          <w:sz w:val="24"/>
        </w:rPr>
        <w:t>n er meer en meer aanwijzingen en bestaat er ook algemene consensus over de noodzaak om de band tussen economische, sociale en milieu-ontwikkeling te versterken, over het feit dat ongelijkheden de economische ontwikkeling afremmen en over de noodzaak een i</w:t>
      </w:r>
      <w:r>
        <w:rPr>
          <w:rFonts w:ascii="Times New Roman" w:hAnsi="Times New Roman"/>
          <w:noProof/>
          <w:sz w:val="24"/>
        </w:rPr>
        <w:t>nclusiever groeimodel te ontwikkelen, zoals blijkt uit de door de Verenigde Naties in september 2015 vastgestelde doelstellingen inzake duurzame ontwikkeling en verschillende conclusies van de G20.</w:t>
      </w:r>
      <w:r>
        <w:rPr>
          <w:rFonts w:ascii="Times New Roman" w:hAnsi="Times New Roman"/>
          <w:noProof/>
          <w:color w:val="000000"/>
          <w:sz w:val="24"/>
        </w:rPr>
        <w:t xml:space="preserve"> </w:t>
      </w:r>
      <w:r>
        <w:rPr>
          <w:rFonts w:ascii="Times New Roman" w:hAnsi="Times New Roman"/>
          <w:noProof/>
          <w:sz w:val="24"/>
        </w:rPr>
        <w:t>Deze mondiale agenda is in belangrijke mate gebaseerd op u</w:t>
      </w:r>
      <w:r>
        <w:rPr>
          <w:rFonts w:ascii="Times New Roman" w:hAnsi="Times New Roman"/>
          <w:noProof/>
          <w:sz w:val="24"/>
        </w:rPr>
        <w:t>itgebreid onderzoek door internationale organisaties zoals de Organisatie voor Economische Samenwerking en Ontwikkeling, de Wereldbank, de Internationale Arbeidsorganisatie en het Internationaal Monetair Fonds.</w:t>
      </w:r>
    </w:p>
    <w:p w:rsidR="004066EC" w:rsidRDefault="009A18A2">
      <w:pPr>
        <w:pStyle w:val="PlainText"/>
        <w:spacing w:after="240"/>
        <w:jc w:val="both"/>
        <w:rPr>
          <w:rFonts w:ascii="Times New Roman" w:hAnsi="Times New Roman" w:cs="Times New Roman"/>
          <w:noProof/>
          <w:sz w:val="24"/>
          <w:szCs w:val="24"/>
        </w:rPr>
      </w:pPr>
      <w:r>
        <w:rPr>
          <w:rFonts w:ascii="Times New Roman" w:hAnsi="Times New Roman"/>
          <w:noProof/>
          <w:sz w:val="24"/>
        </w:rPr>
        <w:t>In deze publicaties wordt erop gewezen dat ee</w:t>
      </w:r>
      <w:r>
        <w:rPr>
          <w:rFonts w:ascii="Times New Roman" w:hAnsi="Times New Roman"/>
          <w:noProof/>
          <w:sz w:val="24"/>
        </w:rPr>
        <w:t xml:space="preserve">n belangrijk overdrachtsmechanisme tussen groei op lange termijn, gelijkheid en sociale vooruitgang de investering is in menselijk kapitaal. Verder wordt erin bevestigd dat inkomensongelijkheid de potentiële groei op lange termijn negatief kan beïnvloeden </w:t>
      </w:r>
      <w:r>
        <w:rPr>
          <w:rFonts w:ascii="Times New Roman" w:hAnsi="Times New Roman"/>
          <w:noProof/>
          <w:sz w:val="24"/>
        </w:rPr>
        <w:t xml:space="preserve">aangezien zij de bestaande kansenongelijkheid in stand houdt en versterkt, de ontwikkeling van vaardigheden afremt en sociale en beroepsmobiliteit belemmert. In geavanceerde economieën, waar welvaart is gebaseerd op de toename van de productiviteit en het </w:t>
      </w:r>
      <w:r>
        <w:rPr>
          <w:rFonts w:ascii="Times New Roman" w:hAnsi="Times New Roman"/>
          <w:noProof/>
          <w:sz w:val="24"/>
        </w:rPr>
        <w:t xml:space="preserve">eigen vermogen om te innoveren, zijn de sociale en economische prestaties twee zijden van dezelfde medaille. </w:t>
      </w:r>
    </w:p>
    <w:p w:rsidR="004066EC" w:rsidRDefault="009A18A2">
      <w:pPr>
        <w:pStyle w:val="PlainText"/>
        <w:spacing w:after="240"/>
        <w:jc w:val="both"/>
        <w:rPr>
          <w:rFonts w:ascii="Times New Roman" w:hAnsi="Times New Roman" w:cs="Times New Roman"/>
          <w:noProof/>
          <w:sz w:val="24"/>
          <w:szCs w:val="24"/>
        </w:rPr>
      </w:pPr>
      <w:r>
        <w:rPr>
          <w:rFonts w:ascii="Times New Roman" w:hAnsi="Times New Roman"/>
          <w:noProof/>
          <w:sz w:val="24"/>
        </w:rPr>
        <w:t>Een modern sociaal beleid zou moeten steunen op investeringen in menselijk kapitaal die gebaseerd zijn op gelijke kansen, de preventie van en besc</w:t>
      </w:r>
      <w:r>
        <w:rPr>
          <w:rFonts w:ascii="Times New Roman" w:hAnsi="Times New Roman"/>
          <w:noProof/>
          <w:sz w:val="24"/>
        </w:rPr>
        <w:t xml:space="preserve">herming tegen sociale risico's, de aanwezigheid van doeltreffende vangnetten en stimuleringsmaatregelen om toe te treden tot de arbeidsmarkt, zodat mensen een waardig leven kunnen leiden, hun persoonlijke en beroepssituatie in de loop van hun leven kunnen </w:t>
      </w:r>
      <w:r>
        <w:rPr>
          <w:rFonts w:ascii="Times New Roman" w:hAnsi="Times New Roman"/>
          <w:noProof/>
          <w:sz w:val="24"/>
        </w:rPr>
        <w:t xml:space="preserve">wijzigen en hun talenten ten volle kunnen ontplooien.  </w:t>
      </w:r>
    </w:p>
    <w:p w:rsidR="004066EC" w:rsidRDefault="009A18A2">
      <w:pPr>
        <w:pStyle w:val="PlainText"/>
        <w:keepNext/>
        <w:spacing w:after="240"/>
        <w:jc w:val="both"/>
        <w:rPr>
          <w:rFonts w:ascii="Times New Roman" w:hAnsi="Times New Roman" w:cs="Times New Roman"/>
          <w:b/>
          <w:noProof/>
          <w:sz w:val="24"/>
          <w:szCs w:val="24"/>
        </w:rPr>
      </w:pPr>
      <w:r>
        <w:rPr>
          <w:rFonts w:ascii="Times New Roman" w:hAnsi="Times New Roman"/>
          <w:b/>
          <w:noProof/>
          <w:sz w:val="24"/>
        </w:rPr>
        <w:t>2.3. Evolueren naar een diepere en billijkere economische en monetaire unie</w:t>
      </w:r>
    </w:p>
    <w:p w:rsidR="004066EC" w:rsidRDefault="009A18A2">
      <w:pPr>
        <w:pStyle w:val="PlainText"/>
        <w:spacing w:after="240"/>
        <w:jc w:val="both"/>
        <w:rPr>
          <w:rFonts w:ascii="Times New Roman" w:hAnsi="Times New Roman" w:cs="Times New Roman"/>
          <w:noProof/>
          <w:sz w:val="24"/>
          <w:szCs w:val="24"/>
        </w:rPr>
      </w:pPr>
      <w:r>
        <w:rPr>
          <w:rFonts w:ascii="Times New Roman" w:hAnsi="Times New Roman"/>
          <w:noProof/>
          <w:sz w:val="24"/>
        </w:rPr>
        <w:t>De eurozone trekt lessen uit de crisis van de voorbije jaren en heeft een proces van verdere integratie en consolidatie aang</w:t>
      </w:r>
      <w:r>
        <w:rPr>
          <w:rFonts w:ascii="Times New Roman" w:hAnsi="Times New Roman"/>
          <w:noProof/>
          <w:sz w:val="24"/>
        </w:rPr>
        <w:t>evat. Dit houdt noodzakelijkerwijs ook een sociale dimensie in. In het verslag van de vijf voorzitters over de voltooiing van Europa's EMU</w:t>
      </w:r>
      <w:r>
        <w:rPr>
          <w:rStyle w:val="FootnoteReference"/>
          <w:rFonts w:ascii="Times New Roman" w:hAnsi="Times New Roman"/>
          <w:noProof/>
          <w:sz w:val="24"/>
        </w:rPr>
        <w:footnoteReference w:id="5"/>
      </w:r>
      <w:r>
        <w:rPr>
          <w:rFonts w:ascii="Times New Roman" w:hAnsi="Times New Roman"/>
          <w:noProof/>
          <w:sz w:val="24"/>
        </w:rPr>
        <w:t xml:space="preserve"> wordt benadrukt dat "</w:t>
      </w:r>
      <w:r>
        <w:rPr>
          <w:rFonts w:ascii="Times New Roman" w:hAnsi="Times New Roman"/>
          <w:i/>
          <w:noProof/>
          <w:sz w:val="24"/>
        </w:rPr>
        <w:t>het de ambitie van Europa moet zijn om het op sociaal gebied tot een 'triple A'-status te breng</w:t>
      </w:r>
      <w:r>
        <w:rPr>
          <w:rFonts w:ascii="Times New Roman" w:hAnsi="Times New Roman"/>
          <w:i/>
          <w:noProof/>
          <w:sz w:val="24"/>
        </w:rPr>
        <w:t>en</w:t>
      </w:r>
      <w:r>
        <w:rPr>
          <w:rFonts w:ascii="Times New Roman" w:hAnsi="Times New Roman"/>
          <w:noProof/>
          <w:sz w:val="24"/>
        </w:rPr>
        <w:t>" en dat "</w:t>
      </w:r>
      <w:r>
        <w:rPr>
          <w:rFonts w:ascii="Times New Roman" w:hAnsi="Times New Roman"/>
          <w:i/>
          <w:noProof/>
          <w:sz w:val="24"/>
        </w:rPr>
        <w:t>de EMU pas succesvol kan zijn wanneer de arbeidsmarkten en socialezekerheidsstelsels in alle lidstaten van de eurozone goed en rechtvaardig functioneren</w:t>
      </w:r>
      <w:r>
        <w:rPr>
          <w:rFonts w:ascii="Times New Roman" w:hAnsi="Times New Roman"/>
          <w:noProof/>
          <w:sz w:val="24"/>
        </w:rPr>
        <w:t>". Hoewel er in het verslag aan wordt herinnerd dat er geen 'one-size-fits-all'-aanpak is, w</w:t>
      </w:r>
      <w:r>
        <w:rPr>
          <w:rFonts w:ascii="Times New Roman" w:hAnsi="Times New Roman"/>
          <w:noProof/>
          <w:sz w:val="24"/>
        </w:rPr>
        <w:t xml:space="preserve">ordt er ook opgemerkt dat de lidstaten vaak voor dezelfde uitdagingen staan. Daarnaast wordt opgeroepen tot meer aandacht voor werkgelegenheid en sociale prestaties als deel van een breder proces van opwaartse convergentie naar veerkrachtigere economische </w:t>
      </w:r>
      <w:r>
        <w:rPr>
          <w:rFonts w:ascii="Times New Roman" w:hAnsi="Times New Roman"/>
          <w:noProof/>
          <w:sz w:val="24"/>
        </w:rPr>
        <w:t>structuren in de eurozone.</w:t>
      </w:r>
    </w:p>
    <w:p w:rsidR="004066EC" w:rsidRDefault="009A18A2">
      <w:pPr>
        <w:pStyle w:val="PlainText"/>
        <w:keepLines/>
        <w:spacing w:after="240"/>
        <w:jc w:val="both"/>
        <w:rPr>
          <w:rFonts w:ascii="Times New Roman" w:hAnsi="Times New Roman" w:cs="Times New Roman"/>
          <w:noProof/>
          <w:sz w:val="24"/>
          <w:szCs w:val="24"/>
        </w:rPr>
      </w:pPr>
      <w:r>
        <w:rPr>
          <w:rFonts w:ascii="Times New Roman" w:hAnsi="Times New Roman"/>
          <w:noProof/>
          <w:sz w:val="24"/>
        </w:rPr>
        <w:t>Dit is niet enkel een politieke of sociale maar ook een economische noodzaak: uit de ervaring van de laatste 15 jaar is gebleken dat aanhoudende onevenwichtigheden in één of meerdere lidstaten de stabiliteit van de eurozone als g</w:t>
      </w:r>
      <w:r>
        <w:rPr>
          <w:rFonts w:ascii="Times New Roman" w:hAnsi="Times New Roman"/>
          <w:noProof/>
          <w:sz w:val="24"/>
        </w:rPr>
        <w:t>eheel kunnen bedreigen en dat het onvermogen om deze te corrigeren tot nog meer verschillen met nog hogere kosten kan leiden. De crisis van 2007-2008 heeft de homogeniteit van de eurozone aangetast aangezien bepaalde landen bijzonder zwaar waren getroffen,</w:t>
      </w:r>
      <w:r>
        <w:rPr>
          <w:rFonts w:ascii="Times New Roman" w:hAnsi="Times New Roman"/>
          <w:noProof/>
          <w:sz w:val="24"/>
        </w:rPr>
        <w:t xml:space="preserve"> en er is tijd nodig om deze heterogeniteit te verminderen. Wanneer wij verder kijken is het duidelijk dat het toekomstige succes van de eurozone in niet geringe mate afhangt van de effectiviteit van de nationale arbeidsmarkten en socialezekerheidsstelsels</w:t>
      </w:r>
      <w:r>
        <w:rPr>
          <w:rFonts w:ascii="Times New Roman" w:hAnsi="Times New Roman"/>
          <w:noProof/>
          <w:sz w:val="24"/>
        </w:rPr>
        <w:t>, alsook van het vermogen van de economie om schokken op te vangen en zich eraan aan te passen.</w:t>
      </w:r>
    </w:p>
    <w:p w:rsidR="004066EC" w:rsidRDefault="009A18A2">
      <w:pPr>
        <w:pStyle w:val="PlainText"/>
        <w:spacing w:after="240"/>
        <w:jc w:val="both"/>
        <w:rPr>
          <w:rFonts w:ascii="Times New Roman" w:hAnsi="Times New Roman" w:cs="Times New Roman"/>
          <w:noProof/>
          <w:sz w:val="24"/>
          <w:szCs w:val="24"/>
        </w:rPr>
      </w:pPr>
      <w:r>
        <w:rPr>
          <w:rFonts w:ascii="Times New Roman" w:hAnsi="Times New Roman"/>
          <w:noProof/>
          <w:sz w:val="24"/>
        </w:rPr>
        <w:t>Goed presterende en inclusieve arbeidsmarkten moeten effectieve flexibiliteits- en veiligheidsmechanismen inbouwen, die kunnen leiden tot meer werkgelegenheid e</w:t>
      </w:r>
      <w:r>
        <w:rPr>
          <w:rFonts w:ascii="Times New Roman" w:hAnsi="Times New Roman"/>
          <w:noProof/>
          <w:sz w:val="24"/>
        </w:rPr>
        <w:t>n een beter aanpassingsvermogen. Het concept van "flexizekerheid", dat daarmee verband houdt, is niet nieuw maar in de nasleep van de crisis en tegen de achtergrond van veranderende arbeidsmarkten is het tijd om opnieuw te bekijken op welke manier dit best</w:t>
      </w:r>
      <w:r>
        <w:rPr>
          <w:rFonts w:ascii="Times New Roman" w:hAnsi="Times New Roman"/>
          <w:noProof/>
          <w:sz w:val="24"/>
        </w:rPr>
        <w:t xml:space="preserve"> in de praktijk kan worden omgezet. Bedrijven zijn gebaat bij een voorspelbaar en rechtszeker bedrijfsklimaat dat hen de mogelijkheid biedt opgeleide en productieve werknemers aan te trekken en zich aan te passen aan de snel veranderende marktsituaties. We</w:t>
      </w:r>
      <w:r>
        <w:rPr>
          <w:rFonts w:ascii="Times New Roman" w:hAnsi="Times New Roman"/>
          <w:noProof/>
          <w:sz w:val="24"/>
        </w:rPr>
        <w:t xml:space="preserve">rknemers hebben er belang bij werk- en inkomenszekerheid te verwerven en werk en privéleven te kunnen combineren, maar ook om tijdens hun hele loopbaan nieuwe uitdagingen aan te gaan en zich aan te passen, en steeds nieuwe vaardigheden aan te leren vanuit </w:t>
      </w:r>
      <w:r>
        <w:rPr>
          <w:rFonts w:ascii="Times New Roman" w:hAnsi="Times New Roman"/>
          <w:noProof/>
          <w:sz w:val="24"/>
        </w:rPr>
        <w:t xml:space="preserve">het oogpunt van een leven lang leren. Werkzoekenden en niet-actieve personen zijn vaak op zoek naar manieren om de arbeidsmarkt te betreden maar willen niet terechtkomen in slecht betaalde banen van lage kwaliteit of waarbij hun wezenlijke sociale rechten </w:t>
      </w:r>
      <w:r>
        <w:rPr>
          <w:rFonts w:ascii="Times New Roman" w:hAnsi="Times New Roman"/>
          <w:noProof/>
          <w:sz w:val="24"/>
        </w:rPr>
        <w:t>niet worden gerespecteerd. De economie en de maatschappij, in het bijzonder in de eurozone, hebben belang bij een betere ontwikkeling en benutting van vaardigheden, meer flexibiliteit en veerkracht, sociale samenhang en een billijke en effectieve verdeling</w:t>
      </w:r>
      <w:r>
        <w:rPr>
          <w:rFonts w:ascii="Times New Roman" w:hAnsi="Times New Roman"/>
          <w:noProof/>
          <w:sz w:val="24"/>
        </w:rPr>
        <w:t xml:space="preserve"> van rechten, plichten en inkomens, ook tussen de generaties. </w:t>
      </w:r>
    </w:p>
    <w:p w:rsidR="004066EC" w:rsidRDefault="009A18A2">
      <w:pPr>
        <w:pStyle w:val="PlainText"/>
        <w:spacing w:after="240"/>
        <w:jc w:val="both"/>
        <w:rPr>
          <w:rFonts w:ascii="Times New Roman" w:hAnsi="Times New Roman" w:cs="Times New Roman"/>
          <w:noProof/>
          <w:sz w:val="24"/>
          <w:szCs w:val="24"/>
        </w:rPr>
      </w:pPr>
      <w:r>
        <w:rPr>
          <w:rFonts w:ascii="Times New Roman" w:hAnsi="Times New Roman"/>
          <w:noProof/>
          <w:sz w:val="24"/>
        </w:rPr>
        <w:t>Terzelfder tijd hebben hoge werkloosheidscijfers en de vergrijzing, in combinatie met overheidsfinanciën die onder druk staan en de noodzaak om uit macro-economische onevenwichtigheden voortvlo</w:t>
      </w:r>
      <w:r>
        <w:rPr>
          <w:rFonts w:ascii="Times New Roman" w:hAnsi="Times New Roman"/>
          <w:noProof/>
          <w:sz w:val="24"/>
        </w:rPr>
        <w:t>eiende overloopeffecten tussen landen tot een minimum te beperken, het probleem van de werking van de nationale socialezekerheidsstelsels op de voorgrond gebracht, en dit vanuit verschillende oogpunten: ten eerste met betrekking tot de geschiktheid en budg</w:t>
      </w:r>
      <w:r>
        <w:rPr>
          <w:rFonts w:ascii="Times New Roman" w:hAnsi="Times New Roman"/>
          <w:noProof/>
          <w:sz w:val="24"/>
        </w:rPr>
        <w:t>ettaire houdbaarheid van deze stelsels in het licht van de evoluerende sociale behoeften, met inbegrip van de noodzaak armoede te bestrijden; ten tweede, met betrekking tot de manier waarop zij het scheppen van banen beïnvloeden, vanuit het standpunt van z</w:t>
      </w:r>
      <w:r>
        <w:rPr>
          <w:rFonts w:ascii="Times New Roman" w:hAnsi="Times New Roman"/>
          <w:noProof/>
          <w:sz w:val="24"/>
        </w:rPr>
        <w:t>owel werkgevers als werkzoekenden; daaronder wordt ook het vermogen van deze stelsels verstaan om werk lonend te maken en de vaardigheden van personen en hun bekwaamheid om ten volle aan het maatschappelijk leven deel te nemen, te versterken; en ten derde,</w:t>
      </w:r>
      <w:r>
        <w:rPr>
          <w:rFonts w:ascii="Times New Roman" w:hAnsi="Times New Roman"/>
          <w:noProof/>
          <w:sz w:val="24"/>
        </w:rPr>
        <w:t xml:space="preserve"> wat het vermogen van de stelsels betreft om macro-economische schokken op te vangen en automatisch te stabiliseren, wat met name voor de eurozone erg belangrijk is. Een hoge arbeidsparticipatie, lage werkloosheid en goed opgezette socialezekerheidsstelsel</w:t>
      </w:r>
      <w:r>
        <w:rPr>
          <w:rFonts w:ascii="Times New Roman" w:hAnsi="Times New Roman"/>
          <w:noProof/>
          <w:sz w:val="24"/>
        </w:rPr>
        <w:t>s zijn essentieel voor gezonde overheidsfinanciën, en te uitgesproken verschillen tussen de prestaties van de arbeidsmarkten en sociale prestaties vormen een bedreiging voor de werking van de eurozone. Als onderdeel van de stappen die zijn gezet om het beg</w:t>
      </w:r>
      <w:r>
        <w:rPr>
          <w:rFonts w:ascii="Times New Roman" w:hAnsi="Times New Roman"/>
          <w:noProof/>
          <w:sz w:val="24"/>
        </w:rPr>
        <w:t>rotingstoezicht op EU-niveau te verbeteren, heeft de reflectie over de kwaliteit van de overheidsfinanciën, waarvan de socialezekerheidsstelsels een belangrijk onderdeel zijn, geleid tot meer aandacht voor vraagstukken in verband met de billijkheid en effi</w:t>
      </w:r>
      <w:r>
        <w:rPr>
          <w:rFonts w:ascii="Times New Roman" w:hAnsi="Times New Roman"/>
          <w:noProof/>
          <w:sz w:val="24"/>
        </w:rPr>
        <w:t>ciëntie van openbare inkomsten en uitgaven.</w:t>
      </w:r>
    </w:p>
    <w:p w:rsidR="004066EC" w:rsidRDefault="009A18A2">
      <w:pPr>
        <w:keepNext/>
        <w:spacing w:before="120" w:after="240" w:line="240" w:lineRule="auto"/>
        <w:jc w:val="both"/>
        <w:rPr>
          <w:rFonts w:ascii="Times New Roman" w:hAnsi="Times New Roman" w:cs="Times New Roman"/>
          <w:b/>
          <w:noProof/>
          <w:sz w:val="24"/>
          <w:szCs w:val="24"/>
        </w:rPr>
      </w:pPr>
      <w:r>
        <w:rPr>
          <w:rFonts w:ascii="Times New Roman" w:hAnsi="Times New Roman"/>
          <w:b/>
          <w:noProof/>
          <w:sz w:val="24"/>
        </w:rPr>
        <w:t xml:space="preserve">2.4. Voortbouwen op een schat aan ervaring </w:t>
      </w:r>
    </w:p>
    <w:p w:rsidR="004066EC" w:rsidRDefault="009A18A2">
      <w:pPr>
        <w:pStyle w:val="PlainText"/>
        <w:spacing w:after="240"/>
        <w:jc w:val="both"/>
        <w:rPr>
          <w:rFonts w:ascii="Times New Roman" w:hAnsi="Times New Roman" w:cs="Times New Roman"/>
          <w:noProof/>
          <w:sz w:val="24"/>
          <w:szCs w:val="24"/>
        </w:rPr>
      </w:pPr>
      <w:r>
        <w:rPr>
          <w:rFonts w:ascii="Times New Roman" w:hAnsi="Times New Roman"/>
          <w:noProof/>
          <w:sz w:val="24"/>
        </w:rPr>
        <w:t>De Europese pijler van sociale rechten kan voortbouwen op een schat aan ervaring en praktijken: op vele gebieden levert Europa de beste prestaties en de oplossingen zij</w:t>
      </w:r>
      <w:r>
        <w:rPr>
          <w:rFonts w:ascii="Times New Roman" w:hAnsi="Times New Roman"/>
          <w:noProof/>
          <w:sz w:val="24"/>
        </w:rPr>
        <w:t>n welbekend. Gezien de omvang van de huidige uitdagingen zijn zelfgenoegzaamheid en status quo echter geen optie. En ook uit de snel veranderende realiteit in de wereld valt veel te leren.</w:t>
      </w:r>
    </w:p>
    <w:p w:rsidR="004066EC" w:rsidRDefault="009A18A2">
      <w:pPr>
        <w:pStyle w:val="PlainText"/>
        <w:keepLines/>
        <w:spacing w:after="240"/>
        <w:jc w:val="both"/>
        <w:rPr>
          <w:rFonts w:ascii="Times New Roman" w:hAnsi="Times New Roman" w:cs="Times New Roman"/>
          <w:noProof/>
          <w:sz w:val="24"/>
          <w:szCs w:val="24"/>
        </w:rPr>
      </w:pPr>
      <w:r>
        <w:rPr>
          <w:rFonts w:ascii="Times New Roman" w:hAnsi="Times New Roman"/>
          <w:noProof/>
          <w:sz w:val="24"/>
        </w:rPr>
        <w:t>Hoewel de situaties in de lidstaten sterk uiteenlopen, kan de pijle</w:t>
      </w:r>
      <w:r>
        <w:rPr>
          <w:rFonts w:ascii="Times New Roman" w:hAnsi="Times New Roman"/>
          <w:noProof/>
          <w:sz w:val="24"/>
        </w:rPr>
        <w:t>r voorts voortbouwen op de gedeelde gemeenschappelijke waarden en beginselen op nationaal, Europees en internationaal niveau. Deze waarden en beginselen zijn prominent aanwezig in referentiedocumenten zoals het Verdrag betreffende de Europese Unie (VEU), h</w:t>
      </w:r>
      <w:r>
        <w:rPr>
          <w:rFonts w:ascii="Times New Roman" w:hAnsi="Times New Roman"/>
          <w:noProof/>
          <w:sz w:val="24"/>
        </w:rPr>
        <w:t>et Verdrag betreffende de werking van de Europese Unie (VWEU), het Handvest van de grondrechten en de jurisprudentie van het Hof van Justitie van de Europese Unie, alsook in internationale instrumenten zoals het Sociale Handvest van de Raad van Europa en a</w:t>
      </w:r>
      <w:r>
        <w:rPr>
          <w:rFonts w:ascii="Times New Roman" w:hAnsi="Times New Roman"/>
          <w:noProof/>
          <w:sz w:val="24"/>
        </w:rPr>
        <w:t xml:space="preserve">anbevelingen van de Internationale Arbeidsorganisatie. </w:t>
      </w:r>
    </w:p>
    <w:p w:rsidR="004066EC" w:rsidRDefault="009A18A2">
      <w:pPr>
        <w:pStyle w:val="PlainText"/>
        <w:spacing w:after="240"/>
        <w:jc w:val="both"/>
        <w:rPr>
          <w:rFonts w:ascii="Times New Roman" w:hAnsi="Times New Roman" w:cs="Times New Roman"/>
          <w:noProof/>
          <w:sz w:val="24"/>
          <w:szCs w:val="24"/>
        </w:rPr>
      </w:pPr>
      <w:r>
        <w:rPr>
          <w:rFonts w:ascii="Times New Roman" w:hAnsi="Times New Roman"/>
          <w:noProof/>
          <w:sz w:val="24"/>
        </w:rPr>
        <w:t>Dergelijke kaders bestrijken vaak een brede waaier van domeinen, waarvoor zij de algemene beginselen en minimumnormen bepalen, die dan worden aangevuld op nationaal, regionaal of lokaal niveau. Het vo</w:t>
      </w:r>
      <w:r>
        <w:rPr>
          <w:rFonts w:ascii="Times New Roman" w:hAnsi="Times New Roman"/>
          <w:noProof/>
          <w:sz w:val="24"/>
        </w:rPr>
        <w:t xml:space="preserve">ornaamste probleem in Europa houdt dus niet noodzakelijkerwijs verband met de erkenning van rechten, maar eerder met de daadwerkelijke toepassing ervan, gelet op de snelle veranderingen in de sociale, wettelijke en economische omgeving. </w:t>
      </w:r>
    </w:p>
    <w:p w:rsidR="004066EC" w:rsidRDefault="009A18A2">
      <w:pPr>
        <w:pStyle w:val="PlainText"/>
        <w:spacing w:after="120"/>
        <w:jc w:val="both"/>
        <w:rPr>
          <w:rFonts w:ascii="Times New Roman" w:hAnsi="Times New Roman" w:cs="Times New Roman"/>
          <w:noProof/>
          <w:sz w:val="24"/>
          <w:szCs w:val="24"/>
        </w:rPr>
      </w:pPr>
      <w:r>
        <w:rPr>
          <w:rFonts w:ascii="Times New Roman" w:hAnsi="Times New Roman"/>
          <w:noProof/>
          <w:sz w:val="24"/>
        </w:rPr>
        <w:t>Door de jaren heen heeft de Commissie initiatieven genomen om de inspanningen op het vlak van dwingende prioritaire thema's op te voeren en het EU-acquis bij te werken. Die inspanningen volgen de logica van betere regelgeving: het gaat niet om minder regel</w:t>
      </w:r>
      <w:r>
        <w:rPr>
          <w:rFonts w:ascii="Times New Roman" w:hAnsi="Times New Roman"/>
          <w:noProof/>
          <w:sz w:val="24"/>
        </w:rPr>
        <w:t>geving, maar om een aanpak waarbij bij de regelgeving volledig rekening wordt gehouden met de economische, sociale en milieueffecten in de praktijk, zodat elk initiatief op de best mogelijke manier zijn doel bereikt. Tijdens deze ambtstermijn heeft de Comm</w:t>
      </w:r>
      <w:r>
        <w:rPr>
          <w:rFonts w:ascii="Times New Roman" w:hAnsi="Times New Roman"/>
          <w:noProof/>
          <w:sz w:val="24"/>
        </w:rPr>
        <w:t xml:space="preserve">issie de Europese structuur- en investeringsfondsen voor 2014-2020 vastgelegd, waarvan bijna 20 % beschikbaar wordt gesteld via het Europees Sociaal Fonds. Zij is ook op diverse fronten actief geweest, om maar een paar voorbeelden te noemen: </w:t>
      </w:r>
    </w:p>
    <w:p w:rsidR="004066EC" w:rsidRDefault="009A18A2">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meer aandacht</w:t>
      </w:r>
      <w:r>
        <w:rPr>
          <w:rFonts w:ascii="Times New Roman" w:hAnsi="Times New Roman"/>
          <w:noProof/>
          <w:sz w:val="24"/>
        </w:rPr>
        <w:t xml:space="preserve"> voor sociale overwegingen in het Europees semester voor coördinatie van het economisch beleid, het gebruik van sociale indicatoren in de zogenaamde procedure voor macro-economische onevenwichtigheden, de bevordering van "sociale benchmarking" en een beoor</w:t>
      </w:r>
      <w:r>
        <w:rPr>
          <w:rFonts w:ascii="Times New Roman" w:hAnsi="Times New Roman"/>
          <w:noProof/>
          <w:sz w:val="24"/>
        </w:rPr>
        <w:t>deling van de gevolgen op sociaal vlak van het nieuwe stabiliteitssteunprogramma voor Griekenland;</w:t>
      </w:r>
    </w:p>
    <w:p w:rsidR="004066EC" w:rsidRDefault="009A18A2">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de integratie van sociale doelstellingen in de vlaggenschipinitiatieven zoals het investeringsplan voor Europa, de energie-unie en de digitale eengemaakte ma</w:t>
      </w:r>
      <w:r>
        <w:rPr>
          <w:rFonts w:ascii="Times New Roman" w:hAnsi="Times New Roman"/>
          <w:noProof/>
          <w:sz w:val="24"/>
        </w:rPr>
        <w:t>rkt;</w:t>
      </w:r>
    </w:p>
    <w:p w:rsidR="004066EC" w:rsidRDefault="009A18A2">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de voorstelling van een strategisch engagement voor gendergelijkheid voor de periode 2016-2019;</w:t>
      </w:r>
    </w:p>
    <w:p w:rsidR="004066EC" w:rsidRDefault="009A18A2">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het vervroegd vrijmaken van de financiële steun aan de lidstaten voor de vaststelling van een jongerengarantie, die ervoor moet zorgen dat alle jongeren to</w:t>
      </w:r>
      <w:r>
        <w:rPr>
          <w:rFonts w:ascii="Times New Roman" w:hAnsi="Times New Roman"/>
          <w:noProof/>
          <w:sz w:val="24"/>
        </w:rPr>
        <w:t xml:space="preserve">t de leeftijd van 25 jaar binnen vier maanden nadat zij het formele onderwijs hebben verlaten of werkloos zijn geworden een deugdelijk en concreet aanbod krijgen; </w:t>
      </w:r>
    </w:p>
    <w:p w:rsidR="004066EC" w:rsidRDefault="009A18A2">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de vaststelling van richtsnoeren voor de lidstaten in verband met de herintegratie van langd</w:t>
      </w:r>
      <w:r>
        <w:rPr>
          <w:rFonts w:ascii="Times New Roman" w:hAnsi="Times New Roman"/>
          <w:noProof/>
          <w:sz w:val="24"/>
        </w:rPr>
        <w:t xml:space="preserve">urig werklozen op de arbeidsmarkt; </w:t>
      </w:r>
    </w:p>
    <w:p w:rsidR="004066EC" w:rsidRDefault="009A18A2">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 xml:space="preserve">het voorstel voor een Europese toegankelijkheidswet teneinde de toegang tot essentiële goederen en diensten voor mensen met een handicap in de eengemaakte markt te vergemakkelijken; </w:t>
      </w:r>
    </w:p>
    <w:p w:rsidR="004066EC" w:rsidRDefault="009A18A2">
      <w:pPr>
        <w:pStyle w:val="PlainText"/>
        <w:numPr>
          <w:ilvl w:val="0"/>
          <w:numId w:val="18"/>
        </w:numPr>
        <w:spacing w:after="240"/>
        <w:ind w:left="714" w:hanging="357"/>
        <w:jc w:val="both"/>
        <w:rPr>
          <w:rFonts w:ascii="Times New Roman" w:hAnsi="Times New Roman" w:cs="Times New Roman"/>
          <w:noProof/>
          <w:sz w:val="24"/>
          <w:szCs w:val="24"/>
        </w:rPr>
      </w:pPr>
      <w:r>
        <w:rPr>
          <w:rFonts w:ascii="Times New Roman" w:hAnsi="Times New Roman"/>
          <w:noProof/>
          <w:sz w:val="24"/>
        </w:rPr>
        <w:t xml:space="preserve">het voorstel voor een herziening van </w:t>
      </w:r>
      <w:r>
        <w:rPr>
          <w:rFonts w:ascii="Times New Roman" w:hAnsi="Times New Roman"/>
          <w:noProof/>
          <w:sz w:val="24"/>
        </w:rPr>
        <w:t>de detacheringsrichtlijn ter bevordering van het beginsel "gelijke beloning voor gelijke of gelijkwaardige arbeid" op dezelfde locatie.</w:t>
      </w:r>
    </w:p>
    <w:p w:rsidR="004066EC" w:rsidRDefault="009A18A2">
      <w:pPr>
        <w:pStyle w:val="PlainText"/>
        <w:spacing w:after="240"/>
        <w:jc w:val="both"/>
        <w:rPr>
          <w:rFonts w:ascii="Times New Roman" w:hAnsi="Times New Roman" w:cs="Times New Roman"/>
          <w:noProof/>
          <w:sz w:val="24"/>
          <w:szCs w:val="24"/>
        </w:rPr>
      </w:pPr>
      <w:r>
        <w:rPr>
          <w:rFonts w:ascii="Times New Roman" w:hAnsi="Times New Roman"/>
          <w:noProof/>
          <w:sz w:val="24"/>
        </w:rPr>
        <w:t>In 2016 wordt ook werk gemaakt van verschillende aanvullende aspecten, dat gelijktijdig met de raadpleging over de pijle</w:t>
      </w:r>
      <w:r>
        <w:rPr>
          <w:rFonts w:ascii="Times New Roman" w:hAnsi="Times New Roman"/>
          <w:noProof/>
          <w:sz w:val="24"/>
        </w:rPr>
        <w:t xml:space="preserve">r zal worden voortgezet: een nieuwe impuls voor de bevordering van het evenwicht tussen werk en privéleven voor werkende ouders; een Europese agenda voor vaardigheden; en een grondige evaluatie van de 24 richtlijnen betreffende gezondheid en veiligheid op </w:t>
      </w:r>
      <w:r>
        <w:rPr>
          <w:rFonts w:ascii="Times New Roman" w:hAnsi="Times New Roman"/>
          <w:noProof/>
          <w:sz w:val="24"/>
        </w:rPr>
        <w:t>het werk. Deze evaluatie zou moeten helpen de relevantie, doeltreffendheid en coherentie van de richtlijnen te beoordelen om een hoog niveau van bescherming van de gezondheid en veiligheid van werknemers te behouden in het licht van nieuwe risico’s, en teg</w:t>
      </w:r>
      <w:r>
        <w:rPr>
          <w:rFonts w:ascii="Times New Roman" w:hAnsi="Times New Roman"/>
          <w:noProof/>
          <w:sz w:val="24"/>
        </w:rPr>
        <w:t xml:space="preserve">elijkertijd de geldende wetgeving te vereenvoudigen en te moderniseren zodat ook het mkb deze makkelijker kan toepassen. Deze voorbeelden illustreren de ondersteunende, begeleidende en omkaderende rol die de EU kan spelen op het vlak van sociale zaken, en </w:t>
      </w:r>
      <w:r>
        <w:rPr>
          <w:rFonts w:ascii="Times New Roman" w:hAnsi="Times New Roman"/>
          <w:noProof/>
          <w:sz w:val="24"/>
        </w:rPr>
        <w:t>illustreren ook de verdere maatregelen die uit de totstandkoming van de pijler kunnen voortvloeien.</w:t>
      </w:r>
    </w:p>
    <w:p w:rsidR="004066EC" w:rsidRDefault="009A18A2">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Een topprioriteit voor deze Commissie is voorts de bevordering van de sociale dialoog op alle niveaus. Naar aanleiding van een conferentie op hoog niveau in</w:t>
      </w:r>
      <w:r>
        <w:rPr>
          <w:rFonts w:ascii="Times New Roman" w:hAnsi="Times New Roman"/>
          <w:noProof/>
          <w:sz w:val="24"/>
        </w:rPr>
        <w:t xml:space="preserve"> maart 2015 over een nieuwe start voor de Europese sociale dialoog, zijn de bedrijfstakoverkoepelende sociale partners in de EU het eens geworden over een diepgaande gezamenlijke analyse van de werkgelegenheid en een gezamenlijk werkprogramma voor de perio</w:t>
      </w:r>
      <w:r>
        <w:rPr>
          <w:rFonts w:ascii="Times New Roman" w:hAnsi="Times New Roman"/>
          <w:noProof/>
          <w:sz w:val="24"/>
        </w:rPr>
        <w:t>de 2015-2017. Er is gestart met onderhandelingen over een autonome kaderovereenkomst over actief ouder worden; er worden gezamenlijke conclusies opgesteld over het vraagstuk van het evenwicht tussen werk en privéleven; en een werkgroep buigt zich over de u</w:t>
      </w:r>
      <w:r>
        <w:rPr>
          <w:rFonts w:ascii="Times New Roman" w:hAnsi="Times New Roman"/>
          <w:noProof/>
          <w:sz w:val="24"/>
        </w:rPr>
        <w:t>itvoering door de leden van hun vorige autonome kaderovereenkomsten. De sectorale sociale partners in de EU, die in 43 verschillende sectoren aanwezig zijn en 75 % van de beroepsbevolking vertegenwoordigen, hebben ook verder werk gemaakt van hun respectiev</w:t>
      </w:r>
      <w:r>
        <w:rPr>
          <w:rFonts w:ascii="Times New Roman" w:hAnsi="Times New Roman"/>
          <w:noProof/>
          <w:sz w:val="24"/>
        </w:rPr>
        <w:t xml:space="preserve">e gemeenschappelijke werkprogramma’s. </w:t>
      </w:r>
    </w:p>
    <w:p w:rsidR="004066EC" w:rsidRDefault="009A18A2">
      <w:pPr>
        <w:keepNext/>
        <w:spacing w:after="240" w:line="240" w:lineRule="auto"/>
        <w:jc w:val="both"/>
        <w:rPr>
          <w:rFonts w:ascii="Times New Roman" w:eastAsia="SimSun" w:hAnsi="Times New Roman" w:cs="Times New Roman"/>
          <w:b/>
          <w:iCs/>
          <w:noProof/>
          <w:kern w:val="3"/>
          <w:sz w:val="24"/>
          <w:szCs w:val="24"/>
        </w:rPr>
      </w:pPr>
      <w:r>
        <w:rPr>
          <w:rFonts w:ascii="Times New Roman" w:hAnsi="Times New Roman"/>
          <w:b/>
          <w:noProof/>
          <w:kern w:val="3"/>
          <w:sz w:val="24"/>
        </w:rPr>
        <w:t>3. De Europese pijler van sociale rechten: rol, bereik en juridische aard</w:t>
      </w:r>
    </w:p>
    <w:p w:rsidR="004066EC" w:rsidRDefault="009A18A2">
      <w:pPr>
        <w:spacing w:after="240" w:line="240" w:lineRule="auto"/>
        <w:jc w:val="both"/>
        <w:rPr>
          <w:rFonts w:ascii="Times New Roman" w:hAnsi="Times New Roman" w:cs="Times New Roman"/>
          <w:noProof/>
          <w:sz w:val="24"/>
          <w:szCs w:val="24"/>
        </w:rPr>
      </w:pPr>
      <w:r>
        <w:rPr>
          <w:rFonts w:ascii="Times New Roman" w:hAnsi="Times New Roman"/>
          <w:noProof/>
          <w:sz w:val="24"/>
        </w:rPr>
        <w:t>De pijler is erop gericht een aantal grondbeginselen te formuleren ter ondersteuning van goed werkende en billijke arbeidsmarkten en socialezek</w:t>
      </w:r>
      <w:r>
        <w:rPr>
          <w:rFonts w:ascii="Times New Roman" w:hAnsi="Times New Roman"/>
          <w:noProof/>
          <w:sz w:val="24"/>
        </w:rPr>
        <w:t xml:space="preserve">erheidsstelsels. Zoals voorzitter Juncker heeft aangegeven, zal aan de pijler in de eurozone vorm worden gegeven en kunnen andere lidstaten daarna instappen als zij dat willen. </w:t>
      </w:r>
    </w:p>
    <w:p w:rsidR="004066EC" w:rsidRDefault="009A18A2">
      <w:pPr>
        <w:spacing w:after="240" w:line="240" w:lineRule="auto"/>
        <w:jc w:val="both"/>
        <w:rPr>
          <w:rFonts w:ascii="Times New Roman" w:hAnsi="Times New Roman" w:cs="Times New Roman"/>
          <w:noProof/>
          <w:color w:val="FF0000"/>
          <w:sz w:val="24"/>
          <w:szCs w:val="24"/>
        </w:rPr>
      </w:pPr>
      <w:r>
        <w:rPr>
          <w:rFonts w:ascii="Times New Roman" w:hAnsi="Times New Roman"/>
          <w:noProof/>
          <w:sz w:val="24"/>
        </w:rPr>
        <w:t>De pijler zal dus voortbouwen en een aanvulling vormen op het bestaande Europe</w:t>
      </w:r>
      <w:r>
        <w:rPr>
          <w:rFonts w:ascii="Times New Roman" w:hAnsi="Times New Roman"/>
          <w:noProof/>
          <w:sz w:val="24"/>
        </w:rPr>
        <w:t>es sociaal acquis, en de in de pijler vervatte beginselen zullen er specifiek op gericht zijn in te spelen op de behoeften van en de uitdagingen voor de eurozone. Eens de pijler tot stand is gekomen, zou deze het referentiekader moeten worden om de sociale</w:t>
      </w:r>
      <w:r>
        <w:rPr>
          <w:rFonts w:ascii="Times New Roman" w:hAnsi="Times New Roman"/>
          <w:noProof/>
          <w:sz w:val="24"/>
        </w:rPr>
        <w:t xml:space="preserve"> prestaties van de deelnemende lidstaten en hun prestaties op het vlak van werkgelegenheid te monitoren, hervormingen op nationaal niveau te stimuleren en, meer in het bijzonder, als kompas te dienen voor hernieuwde convergentie in de eurozone.</w:t>
      </w:r>
    </w:p>
    <w:p w:rsidR="004066EC" w:rsidRDefault="009A18A2">
      <w:pPr>
        <w:keepNext/>
        <w:spacing w:before="120" w:after="240" w:line="240" w:lineRule="auto"/>
        <w:jc w:val="both"/>
        <w:rPr>
          <w:rFonts w:ascii="Times New Roman" w:hAnsi="Times New Roman" w:cs="Times New Roman"/>
          <w:b/>
          <w:noProof/>
          <w:sz w:val="24"/>
          <w:szCs w:val="24"/>
        </w:rPr>
      </w:pPr>
      <w:r>
        <w:rPr>
          <w:rFonts w:ascii="Times New Roman" w:hAnsi="Times New Roman"/>
          <w:b/>
          <w:noProof/>
          <w:sz w:val="24"/>
        </w:rPr>
        <w:t>3.1. Omschr</w:t>
      </w:r>
      <w:r>
        <w:rPr>
          <w:rFonts w:ascii="Times New Roman" w:hAnsi="Times New Roman"/>
          <w:b/>
          <w:noProof/>
          <w:sz w:val="24"/>
        </w:rPr>
        <w:t xml:space="preserve">ijving van beginselen op maat van de realiteit van vandaag en morgen </w:t>
      </w:r>
    </w:p>
    <w:p w:rsidR="004066EC" w:rsidRDefault="009A18A2">
      <w:pPr>
        <w:spacing w:after="240" w:line="240" w:lineRule="auto"/>
        <w:jc w:val="both"/>
        <w:rPr>
          <w:rFonts w:ascii="Times New Roman" w:hAnsi="Times New Roman" w:cs="Times New Roman"/>
          <w:noProof/>
          <w:sz w:val="24"/>
          <w:szCs w:val="24"/>
        </w:rPr>
      </w:pPr>
      <w:r>
        <w:rPr>
          <w:rFonts w:ascii="Times New Roman" w:hAnsi="Times New Roman"/>
          <w:noProof/>
          <w:sz w:val="24"/>
        </w:rPr>
        <w:t>In de bijlage bij deze mededeling wordt een eerste voorlopige schets van de pijler ter discussie voorgelegd. Bij de keuze van de beginselen was zowel hun economisch als hun sociaal belan</w:t>
      </w:r>
      <w:r>
        <w:rPr>
          <w:rFonts w:ascii="Times New Roman" w:hAnsi="Times New Roman"/>
          <w:noProof/>
          <w:sz w:val="24"/>
        </w:rPr>
        <w:t xml:space="preserve">g voor de prestaties van de deelnemende landen bepalend. </w:t>
      </w:r>
    </w:p>
    <w:p w:rsidR="004066EC" w:rsidRDefault="009A18A2">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De pijler is opgebouwd rond drie hoofdthema's: </w:t>
      </w:r>
    </w:p>
    <w:p w:rsidR="004066EC" w:rsidRDefault="009A18A2">
      <w:pPr>
        <w:pStyle w:val="ListParagraph"/>
        <w:numPr>
          <w:ilvl w:val="0"/>
          <w:numId w:val="7"/>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gelijke kansen en toegang tot de arbeidsmarkt, met inbegrip van de ontwikkeling van vaardigheden, een leven lang leren en actieve ondersteuning van we</w:t>
      </w:r>
      <w:r>
        <w:rPr>
          <w:rFonts w:ascii="Times New Roman" w:hAnsi="Times New Roman"/>
          <w:noProof/>
          <w:sz w:val="24"/>
        </w:rPr>
        <w:t xml:space="preserve">rkgelegenheid, teneinde de kansen op arbeid te vergroten, de overstap tussen verschillende statussen te vergemakkelijken en de inzetbaarheid van personen te verbeteren; </w:t>
      </w:r>
    </w:p>
    <w:p w:rsidR="004066EC" w:rsidRDefault="009A18A2">
      <w:pPr>
        <w:pStyle w:val="ListParagraph"/>
        <w:numPr>
          <w:ilvl w:val="0"/>
          <w:numId w:val="7"/>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billijke arbeidsvoorwaarden teneinde een adequaat en betrouwbaar evenwicht tot stand t</w:t>
      </w:r>
      <w:r>
        <w:rPr>
          <w:rFonts w:ascii="Times New Roman" w:hAnsi="Times New Roman"/>
          <w:noProof/>
          <w:sz w:val="24"/>
        </w:rPr>
        <w:t>e brengen tussen rechten en plichten van zowel werknemers als werkgevers en tussen flexibiliteit en zekerheid, teneinde het scheppen van banen, de deelname aan het arbeidsproces en het aanpassingsvermogen van bedrijven te ondersteunen, en ter bevordering v</w:t>
      </w:r>
      <w:r>
        <w:rPr>
          <w:rFonts w:ascii="Times New Roman" w:hAnsi="Times New Roman"/>
          <w:noProof/>
          <w:sz w:val="24"/>
        </w:rPr>
        <w:t xml:space="preserve">an de sociale dialoog; </w:t>
      </w:r>
    </w:p>
    <w:p w:rsidR="004066EC" w:rsidRDefault="009A18A2">
      <w:pPr>
        <w:pStyle w:val="ListParagraph"/>
        <w:numPr>
          <w:ilvl w:val="0"/>
          <w:numId w:val="7"/>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adequate en houdbare sociale bescherming en toegang tot essentiële diensten van hoge kwaliteit, zoals kinderopvang, gezondheidszorg en langdurige zorg, teneinde te waarborgen dat personen een waardig leven leiden, beschermd zijn tegen risico’s en ten volle</w:t>
      </w:r>
      <w:r>
        <w:rPr>
          <w:rFonts w:ascii="Times New Roman" w:hAnsi="Times New Roman"/>
          <w:noProof/>
          <w:sz w:val="24"/>
        </w:rPr>
        <w:t xml:space="preserve"> kunnen deelnemen aan het beroepsleven en, meer in het algemeen, aan de maatschappij. </w:t>
      </w:r>
    </w:p>
    <w:p w:rsidR="004066EC" w:rsidRDefault="009A18A2">
      <w:pPr>
        <w:pStyle w:val="PlainText"/>
        <w:spacing w:after="240"/>
        <w:jc w:val="both"/>
        <w:rPr>
          <w:rFonts w:ascii="Times New Roman" w:hAnsi="Times New Roman" w:cs="Times New Roman"/>
          <w:noProof/>
          <w:sz w:val="24"/>
          <w:szCs w:val="24"/>
        </w:rPr>
      </w:pPr>
      <w:r>
        <w:rPr>
          <w:rFonts w:ascii="Times New Roman" w:hAnsi="Times New Roman"/>
          <w:noProof/>
          <w:sz w:val="24"/>
        </w:rPr>
        <w:t>Er zijn een aantal beleidsterreinen in kaart gebracht waarvoor verschillende beginselen gelden. Deze beginselen zijn gebaseerd op een aantal rechten die al in Europese e</w:t>
      </w:r>
      <w:r>
        <w:rPr>
          <w:rFonts w:ascii="Times New Roman" w:hAnsi="Times New Roman"/>
          <w:noProof/>
          <w:sz w:val="24"/>
        </w:rPr>
        <w:t xml:space="preserve">n andere relevante rechtsbronnen zijn opgenomen, en bevatten een meer gedetailleerde omschrijving van mogelijke manieren om ze in de praktijk om te zetten. Voorts zijn deze formuleringen geïnspireerd op bestaande richtsnoeren op EU-niveau, bijvoorbeeld in </w:t>
      </w:r>
      <w:r>
        <w:rPr>
          <w:rFonts w:ascii="Times New Roman" w:hAnsi="Times New Roman"/>
          <w:noProof/>
          <w:sz w:val="24"/>
        </w:rPr>
        <w:t xml:space="preserve">het kader van de coördinatie van het economisch beleid, maar er wordt ook getracht rekening te houden met de nieuwste trends. </w:t>
      </w:r>
    </w:p>
    <w:p w:rsidR="004066EC" w:rsidRDefault="009A18A2">
      <w:pPr>
        <w:spacing w:after="360" w:line="240" w:lineRule="auto"/>
        <w:jc w:val="both"/>
        <w:rPr>
          <w:rFonts w:ascii="Times New Roman" w:hAnsi="Times New Roman" w:cs="Times New Roman"/>
          <w:noProof/>
          <w:sz w:val="24"/>
          <w:szCs w:val="24"/>
        </w:rPr>
      </w:pPr>
      <w:r>
        <w:rPr>
          <w:rFonts w:ascii="Times New Roman" w:hAnsi="Times New Roman"/>
          <w:noProof/>
          <w:sz w:val="24"/>
        </w:rPr>
        <w:t>Op het gebied van elk van deze beginselen bestaan er grote verschillen tussen de situaties in Europa en er moeten vele grote en k</w:t>
      </w:r>
      <w:r>
        <w:rPr>
          <w:rFonts w:ascii="Times New Roman" w:hAnsi="Times New Roman"/>
          <w:noProof/>
          <w:sz w:val="24"/>
        </w:rPr>
        <w:t>leine praktische problemen worden verholpen. Daartoe behoren met name de verschillen tussen de belangen van individuen, bedrijven en de maatschappij; mogelijke compromissen tussen korte- en langetermijnoplossingen; het bestaan van grijze zones, mede als ge</w:t>
      </w:r>
      <w:r>
        <w:rPr>
          <w:rFonts w:ascii="Times New Roman" w:hAnsi="Times New Roman"/>
          <w:noProof/>
          <w:sz w:val="24"/>
        </w:rPr>
        <w:t>volg van de vervaging van het begrip werk; en het probleem van wie waarvoor betaalt, afhankelijk van de verwachting of particuliere of publieke financiering een rol zal spelen. Een andere uitdaging bestaat erin nieuwe normen en praktijken op zodanige wijze</w:t>
      </w:r>
      <w:r>
        <w:rPr>
          <w:rFonts w:ascii="Times New Roman" w:hAnsi="Times New Roman"/>
          <w:noProof/>
          <w:sz w:val="24"/>
        </w:rPr>
        <w:t xml:space="preserve"> te ontwikkelen dat zij inspelen op de behoeften van een dynamische economie ter ondersteuning van het proces van opwaartse convergentie tussen de regio’s en de lidstaten. </w:t>
      </w:r>
    </w:p>
    <w:p w:rsidR="004066EC" w:rsidRDefault="009A18A2">
      <w:pPr>
        <w:spacing w:after="240" w:line="240" w:lineRule="auto"/>
        <w:jc w:val="both"/>
        <w:rPr>
          <w:rFonts w:ascii="Times New Roman" w:hAnsi="Times New Roman" w:cs="Times New Roman"/>
          <w:noProof/>
          <w:sz w:val="24"/>
          <w:szCs w:val="24"/>
        </w:rPr>
      </w:pPr>
      <w:r>
        <w:rPr>
          <w:rFonts w:ascii="Times New Roman" w:hAnsi="Times New Roman"/>
          <w:noProof/>
          <w:sz w:val="24"/>
        </w:rPr>
        <w:t>De logica achter deze pijler en achter het debat dat eraan vooraf gaat, is niet dez</w:t>
      </w:r>
      <w:r>
        <w:rPr>
          <w:rFonts w:ascii="Times New Roman" w:hAnsi="Times New Roman"/>
          <w:noProof/>
          <w:sz w:val="24"/>
        </w:rPr>
        <w:t>e verschillen en spanningen te verdoezelen, maar ze daarentegen bloot te leggen en in een nieuw licht te plaatsen, daarbij rekening houdend met de veranderende realiteit van de arbeidsmarkt en de uiteenlopende situaties in Europa. Op die manier moet de pij</w:t>
      </w:r>
      <w:r>
        <w:rPr>
          <w:rFonts w:ascii="Times New Roman" w:hAnsi="Times New Roman"/>
          <w:noProof/>
          <w:sz w:val="24"/>
        </w:rPr>
        <w:t>ler bijdragen tot de modernisering, uitbreiding en verdieping van de sociale rechten, op de werkplek en in de maatschappij, door de werkelijke toepassing ervan te vergemakkelijken en praktijken te bevorderen die gunstig kunnen zijn vanuit het oogpunt van z</w:t>
      </w:r>
      <w:r>
        <w:rPr>
          <w:rFonts w:ascii="Times New Roman" w:hAnsi="Times New Roman"/>
          <w:noProof/>
          <w:sz w:val="24"/>
        </w:rPr>
        <w:t>owel individuen als bedrijven en de maatschappij.</w:t>
      </w:r>
    </w:p>
    <w:p w:rsidR="004066EC" w:rsidRDefault="009A18A2">
      <w:pPr>
        <w:keepNext/>
        <w:spacing w:before="240" w:after="240" w:line="240" w:lineRule="auto"/>
        <w:jc w:val="both"/>
        <w:rPr>
          <w:rFonts w:ascii="Times New Roman" w:hAnsi="Times New Roman" w:cs="Times New Roman"/>
          <w:b/>
          <w:noProof/>
          <w:sz w:val="24"/>
          <w:szCs w:val="24"/>
        </w:rPr>
      </w:pPr>
      <w:r>
        <w:rPr>
          <w:rFonts w:ascii="Times New Roman" w:hAnsi="Times New Roman"/>
          <w:b/>
          <w:noProof/>
          <w:sz w:val="24"/>
        </w:rPr>
        <w:t>3.2. Meer toegevoegde waarde voor de eurozone en de EU als geheel</w:t>
      </w:r>
    </w:p>
    <w:p w:rsidR="004066EC" w:rsidRDefault="009A18A2">
      <w:pPr>
        <w:spacing w:after="240" w:line="240" w:lineRule="auto"/>
        <w:jc w:val="both"/>
        <w:rPr>
          <w:rFonts w:ascii="Times New Roman" w:hAnsi="Times New Roman" w:cs="Times New Roman"/>
          <w:noProof/>
          <w:sz w:val="24"/>
          <w:szCs w:val="24"/>
        </w:rPr>
      </w:pPr>
      <w:r>
        <w:rPr>
          <w:rFonts w:ascii="Times New Roman" w:hAnsi="Times New Roman"/>
          <w:noProof/>
          <w:sz w:val="24"/>
        </w:rPr>
        <w:t>De pijler is geen herhaling of parafrasering van het EU-acquis: hij biedt een meer gedetailleerde omschrijving van de beginselen en verbintenissen die tot meer convergentie binnen de eurozone kunnen leiden. En zoals de pijler het acquis niet vervangt, verv</w:t>
      </w:r>
      <w:r>
        <w:rPr>
          <w:rFonts w:ascii="Times New Roman" w:hAnsi="Times New Roman"/>
          <w:noProof/>
          <w:sz w:val="24"/>
        </w:rPr>
        <w:t xml:space="preserve">angen ook de hier voorgestelde beginselen de bestaande rechten niet: zij kunnen een oplossing bieden om de prestaties van het sociaal en werkgelegenheidsbeleid in de lidstaten te beoordelen en in de toekomst beter op elkaar af te stemmen. </w:t>
      </w:r>
    </w:p>
    <w:p w:rsidR="004066EC" w:rsidRDefault="009A18A2">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Maar het proces </w:t>
      </w:r>
      <w:r>
        <w:rPr>
          <w:rFonts w:ascii="Times New Roman" w:hAnsi="Times New Roman"/>
          <w:noProof/>
          <w:sz w:val="24"/>
        </w:rPr>
        <w:t xml:space="preserve">dat tot de totstandkoming van de pijler leidt, zou ook een gelegenheid moeten zijn om opnieuw na te denken over het acquis. Het huidige acquis is stap voor stap tot stand gekomen, op verschillende tijdstippen, waarbij sommige domeinen beter zijn bestreken </w:t>
      </w:r>
      <w:r>
        <w:rPr>
          <w:rFonts w:ascii="Times New Roman" w:hAnsi="Times New Roman"/>
          <w:noProof/>
          <w:sz w:val="24"/>
        </w:rPr>
        <w:t>dan andere. De raadpleging over de pijler biedt een gelegenheid om het acquis op een holistische manier te benaderen, de relevantie ervan te herzien in het licht van nieuwe trends en mogelijke gebieden te identificeren voor toekomstige actie op het geschik</w:t>
      </w:r>
      <w:r>
        <w:rPr>
          <w:rFonts w:ascii="Times New Roman" w:hAnsi="Times New Roman"/>
          <w:noProof/>
          <w:sz w:val="24"/>
        </w:rPr>
        <w:t xml:space="preserve">te niveau. </w:t>
      </w:r>
    </w:p>
    <w:p w:rsidR="004066EC" w:rsidRDefault="009A18A2">
      <w:pPr>
        <w:spacing w:after="240" w:line="240" w:lineRule="auto"/>
        <w:jc w:val="both"/>
        <w:rPr>
          <w:rFonts w:ascii="Times New Roman" w:hAnsi="Times New Roman" w:cs="Times New Roman"/>
          <w:noProof/>
          <w:sz w:val="24"/>
          <w:szCs w:val="24"/>
        </w:rPr>
      </w:pPr>
      <w:r>
        <w:rPr>
          <w:rFonts w:ascii="Times New Roman" w:hAnsi="Times New Roman"/>
          <w:noProof/>
          <w:sz w:val="24"/>
        </w:rPr>
        <w:t>Een dergelijke balans moet met name een antwoord bieden op de volgende vragen: heeft de uitvoering van het acquis achterstand opgelopen? Zijn er fundamentele lacunes in de sociale rechten die op EU-niveau zijn vastgesteld? Hoe kunnen een dergel</w:t>
      </w:r>
      <w:r>
        <w:rPr>
          <w:rFonts w:ascii="Times New Roman" w:hAnsi="Times New Roman"/>
          <w:noProof/>
          <w:sz w:val="24"/>
        </w:rPr>
        <w:t>ijke achterstand en/of dergelijke lacunes worden verklaard? Dit is ook de reden waarom het raadplegingsproces in de aanloop naar de totstandkoming van de pijler zal openstaan voor alle lidstaten, en het zou de lidstaten buiten de eurozone moeten helpen bij</w:t>
      </w:r>
      <w:r>
        <w:rPr>
          <w:rFonts w:ascii="Times New Roman" w:hAnsi="Times New Roman"/>
          <w:noProof/>
          <w:sz w:val="24"/>
        </w:rPr>
        <w:t xml:space="preserve"> de keuze om al dan niet aan de pijler deel te nemen.</w:t>
      </w:r>
    </w:p>
    <w:p w:rsidR="004066EC" w:rsidRDefault="009A18A2">
      <w:pPr>
        <w:spacing w:after="240" w:line="240" w:lineRule="auto"/>
        <w:jc w:val="both"/>
        <w:rPr>
          <w:rFonts w:ascii="Times New Roman" w:hAnsi="Times New Roman" w:cs="Times New Roman"/>
          <w:noProof/>
          <w:sz w:val="24"/>
          <w:szCs w:val="24"/>
        </w:rPr>
      </w:pPr>
      <w:r>
        <w:rPr>
          <w:rFonts w:ascii="Times New Roman" w:hAnsi="Times New Roman"/>
          <w:noProof/>
          <w:sz w:val="24"/>
        </w:rPr>
        <w:t>De werkzaamheden voor de oprichting van de pijler zullen een aanvulling vormen op andere inspanningen die momenteel geleverd worden ter verdieping van de EMU</w:t>
      </w:r>
      <w:r>
        <w:rPr>
          <w:rStyle w:val="FootnoteReference"/>
          <w:rFonts w:ascii="Times New Roman" w:hAnsi="Times New Roman"/>
          <w:noProof/>
          <w:sz w:val="24"/>
        </w:rPr>
        <w:footnoteReference w:id="6"/>
      </w:r>
      <w:r>
        <w:rPr>
          <w:rFonts w:ascii="Times New Roman" w:hAnsi="Times New Roman"/>
          <w:noProof/>
          <w:sz w:val="24"/>
        </w:rPr>
        <w:t xml:space="preserve"> en zouden moeten bijdragen aan de werkzaamh</w:t>
      </w:r>
      <w:r>
        <w:rPr>
          <w:rFonts w:ascii="Times New Roman" w:hAnsi="Times New Roman"/>
          <w:noProof/>
          <w:sz w:val="24"/>
        </w:rPr>
        <w:t>eden voor het witboek over de toekomst van Europa’s EMU, dat gepland is voor het voorjaar van 2017. In het verslag van de vijf voorzitters over de voltooiing van Europa’s EMU werd met name de noodzaak benadrukt om door te gaan met het convergentieproces na</w:t>
      </w:r>
      <w:r>
        <w:rPr>
          <w:rFonts w:ascii="Times New Roman" w:hAnsi="Times New Roman"/>
          <w:noProof/>
          <w:sz w:val="24"/>
        </w:rPr>
        <w:t>ar veerkrachtigere economische structuren en dergelijke processen op de middellange termijn een bindender karakter te geven. Om dit te bereiken zou overeenstemming moeten worden bereikt over een reeks gemeenschappelijke normen van hoog niveau, waarbij de k</w:t>
      </w:r>
      <w:r>
        <w:rPr>
          <w:rFonts w:ascii="Times New Roman" w:hAnsi="Times New Roman"/>
          <w:noProof/>
          <w:sz w:val="24"/>
        </w:rPr>
        <w:t xml:space="preserve">lemtoon onder andere moet liggen op de arbeidsmarkten.  </w:t>
      </w:r>
      <w:r>
        <w:rPr>
          <w:rStyle w:val="FootnoteReference"/>
          <w:rFonts w:ascii="Times New Roman" w:hAnsi="Times New Roman"/>
          <w:noProof/>
          <w:sz w:val="24"/>
        </w:rPr>
        <w:t xml:space="preserve"> </w:t>
      </w:r>
    </w:p>
    <w:p w:rsidR="004066EC" w:rsidRDefault="009A18A2">
      <w:pPr>
        <w:spacing w:after="240" w:line="240" w:lineRule="auto"/>
        <w:jc w:val="both"/>
        <w:rPr>
          <w:rFonts w:ascii="Times New Roman" w:hAnsi="Times New Roman" w:cs="Times New Roman"/>
          <w:noProof/>
          <w:sz w:val="24"/>
          <w:szCs w:val="24"/>
        </w:rPr>
      </w:pPr>
      <w:r>
        <w:rPr>
          <w:rFonts w:ascii="Times New Roman" w:hAnsi="Times New Roman"/>
          <w:noProof/>
          <w:sz w:val="24"/>
        </w:rPr>
        <w:t>Ten slotte zal in de juridische aard van de pijler zelf rekening moeten worden gehouden met het bereik en de juridische beperkingen die bestaan op EU-niveau en op het niveau van de eurozone. Zo verl</w:t>
      </w:r>
      <w:r>
        <w:rPr>
          <w:rFonts w:ascii="Times New Roman" w:hAnsi="Times New Roman"/>
          <w:noProof/>
          <w:sz w:val="24"/>
        </w:rPr>
        <w:t xml:space="preserve">eent bijvoorbeeld artikel 153 van het Verdrag betreffende de werking van de Europese Unie duidelijk geen bevoegdheid aan de EU om wetgeving vast te stellen inzake "loon". </w:t>
      </w:r>
    </w:p>
    <w:p w:rsidR="004066EC" w:rsidRDefault="009A18A2">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Hoewel er verschillende instrumenten, zoals een aanbeveling, kunnen worden overwogen</w:t>
      </w:r>
      <w:r>
        <w:rPr>
          <w:rFonts w:ascii="Times New Roman" w:hAnsi="Times New Roman"/>
          <w:noProof/>
          <w:sz w:val="24"/>
        </w:rPr>
        <w:t xml:space="preserve"> om de pijler op te richten, is het voor de Commissie van wezenlijk belang om het Europees Parlement en de Raad, evenals de andere instellingen van de EU, bij dit proces te betrekken en een breed draagvlak te verkrijgen voor de uitvoering ervan. </w:t>
      </w:r>
    </w:p>
    <w:p w:rsidR="004066EC" w:rsidRDefault="009A18A2">
      <w:pPr>
        <w:keepNext/>
        <w:rPr>
          <w:rFonts w:ascii="Times New Roman" w:eastAsia="SimSun" w:hAnsi="Times New Roman" w:cs="Times New Roman"/>
          <w:b/>
          <w:iCs/>
          <w:noProof/>
          <w:kern w:val="3"/>
          <w:sz w:val="24"/>
          <w:szCs w:val="24"/>
        </w:rPr>
      </w:pPr>
      <w:r>
        <w:rPr>
          <w:rFonts w:ascii="Times New Roman" w:hAnsi="Times New Roman"/>
          <w:b/>
          <w:noProof/>
          <w:kern w:val="3"/>
          <w:sz w:val="24"/>
        </w:rPr>
        <w:t>4. Doel v</w:t>
      </w:r>
      <w:r>
        <w:rPr>
          <w:rFonts w:ascii="Times New Roman" w:hAnsi="Times New Roman"/>
          <w:b/>
          <w:noProof/>
          <w:kern w:val="3"/>
          <w:sz w:val="24"/>
        </w:rPr>
        <w:t xml:space="preserve">an de raadpleging </w:t>
      </w:r>
    </w:p>
    <w:p w:rsidR="004066EC" w:rsidRDefault="009A18A2">
      <w:pPr>
        <w:widowControl w:val="0"/>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De oprichting van de pijler is een gelegenheid om de reflectie over de bestaande sociale rechten, de specifieke behoeften van de eurozone, de veranderende realiteit van de arbeidsmarkten en de hervormingen die op alle niveaus nodig zijn,</w:t>
      </w:r>
      <w:r>
        <w:rPr>
          <w:rFonts w:ascii="Times New Roman" w:hAnsi="Times New Roman"/>
          <w:noProof/>
          <w:sz w:val="24"/>
        </w:rPr>
        <w:t xml:space="preserve"> te sturen. Het raadplegingsproces moet daarom zo uitgebreid mogelijk zijn.</w:t>
      </w:r>
    </w:p>
    <w:p w:rsidR="004066EC" w:rsidRDefault="009A18A2">
      <w:pPr>
        <w:keepNext/>
        <w:spacing w:after="240" w:line="240" w:lineRule="auto"/>
        <w:jc w:val="both"/>
        <w:rPr>
          <w:rFonts w:ascii="Times New Roman" w:hAnsi="Times New Roman"/>
          <w:b/>
          <w:noProof/>
          <w:sz w:val="24"/>
        </w:rPr>
      </w:pPr>
      <w:r>
        <w:rPr>
          <w:rFonts w:ascii="Times New Roman" w:hAnsi="Times New Roman"/>
          <w:b/>
          <w:noProof/>
          <w:sz w:val="24"/>
        </w:rPr>
        <w:t xml:space="preserve">4.1. Mogelijke resultaten </w:t>
      </w:r>
    </w:p>
    <w:p w:rsidR="004066EC" w:rsidRDefault="009A18A2">
      <w:pPr>
        <w:spacing w:after="120" w:line="240" w:lineRule="auto"/>
        <w:jc w:val="both"/>
        <w:rPr>
          <w:rFonts w:ascii="Times New Roman" w:hAnsi="Times New Roman" w:cs="Times New Roman"/>
          <w:noProof/>
          <w:sz w:val="24"/>
          <w:szCs w:val="24"/>
        </w:rPr>
      </w:pPr>
      <w:r>
        <w:rPr>
          <w:rFonts w:ascii="Times New Roman" w:hAnsi="Times New Roman"/>
          <w:noProof/>
          <w:sz w:val="24"/>
        </w:rPr>
        <w:t>Het raadplegingsproces heeft drie hoofddoelstellingen:</w:t>
      </w:r>
    </w:p>
    <w:p w:rsidR="004066EC" w:rsidRDefault="009A18A2">
      <w:pPr>
        <w:pStyle w:val="ListParagraph"/>
        <w:numPr>
          <w:ilvl w:val="0"/>
          <w:numId w:val="7"/>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een eerste doelstelling is om het huidige EU-acquis te beoordelen. De raadpleging moet met name de</w:t>
      </w:r>
      <w:r>
        <w:rPr>
          <w:rFonts w:ascii="Times New Roman" w:hAnsi="Times New Roman"/>
          <w:noProof/>
          <w:sz w:val="24"/>
        </w:rPr>
        <w:t xml:space="preserve"> mate helpen bepalen waarin bestaande rechten worden toegepast en relevant blijven in het licht van de uitdagingen van vandaag en morgen en/of helpen bepalen of nieuwe manieren moeten worden overwogen om deze rechten toe te passen; </w:t>
      </w:r>
    </w:p>
    <w:p w:rsidR="004066EC" w:rsidRDefault="009A18A2">
      <w:pPr>
        <w:pStyle w:val="ListParagraph"/>
        <w:numPr>
          <w:ilvl w:val="0"/>
          <w:numId w:val="7"/>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een tweede doelstelling</w:t>
      </w:r>
      <w:r>
        <w:rPr>
          <w:rFonts w:ascii="Times New Roman" w:hAnsi="Times New Roman"/>
          <w:noProof/>
          <w:sz w:val="24"/>
        </w:rPr>
        <w:t xml:space="preserve"> is om na te denken over nieuwe werkpatronen en maatschappelijke trends als gevolg van demografische tendensen, nieuwe technologieën en andere factoren die van belang zijn voor het beroepsleven en de sociale omstandigheden. Het inventariseren van beste pra</w:t>
      </w:r>
      <w:r>
        <w:rPr>
          <w:rFonts w:ascii="Times New Roman" w:hAnsi="Times New Roman"/>
          <w:noProof/>
          <w:sz w:val="24"/>
        </w:rPr>
        <w:t>ktijken en de lering uit sociale innovatie moeten actief worden aangemoedigd;</w:t>
      </w:r>
    </w:p>
    <w:p w:rsidR="004066EC" w:rsidRDefault="009A18A2">
      <w:pPr>
        <w:pStyle w:val="ListParagraph"/>
        <w:numPr>
          <w:ilvl w:val="0"/>
          <w:numId w:val="7"/>
        </w:numPr>
        <w:spacing w:after="120" w:line="240" w:lineRule="auto"/>
        <w:contextualSpacing w:val="0"/>
        <w:jc w:val="both"/>
        <w:rPr>
          <w:noProof/>
        </w:rPr>
      </w:pPr>
      <w:r>
        <w:rPr>
          <w:rFonts w:ascii="Times New Roman" w:hAnsi="Times New Roman"/>
          <w:noProof/>
          <w:sz w:val="24"/>
        </w:rPr>
        <w:t>de derde doelstelling is het verzamelen van inzichten en feedback over de hoofdlijnen van de Europese pijler van sociale rechten zelf. De raadpleging moet dienen om het bereik, de inhoud en de rol ervan als onderdeel van de sociale dimensie van de EMU te b</w:t>
      </w:r>
      <w:r>
        <w:rPr>
          <w:rFonts w:ascii="Times New Roman" w:hAnsi="Times New Roman"/>
          <w:noProof/>
          <w:sz w:val="24"/>
        </w:rPr>
        <w:t>espreken, na te denken over de specifieke behoeften van de eurozone, in debat te gaan over de specificiteit van de hier voorgelegde beginselen en de uitdagingen te onderzoeken die ermee verband houden. Verder moet de raadpleging de lidstaten buiten de euro</w:t>
      </w:r>
      <w:r>
        <w:rPr>
          <w:rFonts w:ascii="Times New Roman" w:hAnsi="Times New Roman"/>
          <w:noProof/>
          <w:sz w:val="24"/>
        </w:rPr>
        <w:t xml:space="preserve">zone helpen bij de keuze om al dan niet deel te nemen aan de pijler. </w:t>
      </w:r>
    </w:p>
    <w:p w:rsidR="004066EC" w:rsidRDefault="009A18A2">
      <w:pPr>
        <w:spacing w:before="240" w:after="240" w:line="240" w:lineRule="auto"/>
        <w:jc w:val="both"/>
        <w:rPr>
          <w:rFonts w:ascii="Times New Roman" w:hAnsi="Times New Roman" w:cs="Times New Roman"/>
          <w:b/>
          <w:noProof/>
          <w:sz w:val="24"/>
          <w:szCs w:val="24"/>
        </w:rPr>
      </w:pPr>
      <w:r>
        <w:rPr>
          <w:rFonts w:ascii="Times New Roman" w:hAnsi="Times New Roman"/>
          <w:noProof/>
          <w:sz w:val="24"/>
        </w:rPr>
        <w:t xml:space="preserve">De raadplegingsprocedure zou vóór 31 december 2016 moeten worden afgesloten en de basis vormen voor een definitief voorstel voor de pijler door de Commissie begin 2017. </w:t>
      </w:r>
    </w:p>
    <w:p w:rsidR="004066EC" w:rsidRDefault="009A18A2">
      <w:pPr>
        <w:keepNext/>
        <w:spacing w:before="360" w:after="240" w:line="240" w:lineRule="auto"/>
        <w:jc w:val="both"/>
        <w:rPr>
          <w:rFonts w:ascii="Times New Roman" w:hAnsi="Times New Roman" w:cs="Times New Roman"/>
          <w:b/>
          <w:noProof/>
          <w:sz w:val="24"/>
          <w:szCs w:val="24"/>
        </w:rPr>
      </w:pPr>
      <w:r>
        <w:rPr>
          <w:rFonts w:ascii="Times New Roman" w:hAnsi="Times New Roman"/>
          <w:b/>
          <w:noProof/>
          <w:sz w:val="24"/>
        </w:rPr>
        <w:t>4.2. Stimulering</w:t>
      </w:r>
      <w:r>
        <w:rPr>
          <w:rFonts w:ascii="Times New Roman" w:hAnsi="Times New Roman"/>
          <w:b/>
          <w:noProof/>
          <w:sz w:val="24"/>
        </w:rPr>
        <w:t xml:space="preserve"> van het debat</w:t>
      </w:r>
    </w:p>
    <w:p w:rsidR="004066EC" w:rsidRDefault="009A18A2">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In de komende maanden zal de Commissie actief samenwerken met andere EU-instellingen, nationale overheden en parlementen, vakbonden en bedrijfsverenigingen, ngo’s, sociale dienstverleners, deskundigen uit de academische wereld en het publiek</w:t>
      </w:r>
      <w:r>
        <w:rPr>
          <w:rFonts w:ascii="Times New Roman" w:hAnsi="Times New Roman"/>
          <w:noProof/>
          <w:sz w:val="24"/>
        </w:rPr>
        <w:t>. Op nationaal niveau zal de Commissie het overleg stimuleren via haar vertegenwoordigingen in de lidstaten en de Europese sociale partners zullen worden uitgenodigd een actieve rol te spelen bij de vormgeving van de pijler. De Commissie zal ook het Europe</w:t>
      </w:r>
      <w:r>
        <w:rPr>
          <w:rFonts w:ascii="Times New Roman" w:hAnsi="Times New Roman"/>
          <w:noProof/>
          <w:sz w:val="24"/>
        </w:rPr>
        <w:t>es Economisch en Sociaal Comité en het Comité van de Regio’s verzoeken advies uit te brengen.</w:t>
      </w:r>
    </w:p>
    <w:p w:rsidR="004066EC" w:rsidRDefault="009A18A2">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4.3. Gestructureerde feedback</w:t>
      </w:r>
    </w:p>
    <w:p w:rsidR="004066EC" w:rsidRDefault="009A18A2">
      <w:pPr>
        <w:keepNext/>
        <w:keepLines/>
        <w:spacing w:after="120" w:line="240" w:lineRule="auto"/>
        <w:jc w:val="both"/>
        <w:rPr>
          <w:rFonts w:ascii="Times New Roman" w:hAnsi="Times New Roman" w:cs="Times New Roman"/>
          <w:b/>
          <w:noProof/>
          <w:sz w:val="24"/>
          <w:szCs w:val="24"/>
        </w:rPr>
      </w:pPr>
      <w:r>
        <w:rPr>
          <w:rFonts w:ascii="Times New Roman" w:hAnsi="Times New Roman"/>
          <w:noProof/>
          <w:sz w:val="24"/>
        </w:rPr>
        <w:t xml:space="preserve">Naast de openbare raadpleging zullen ook drie werkstromen worden georganiseerd om het debat te voeden, met name één voor elk van de </w:t>
      </w:r>
      <w:r>
        <w:rPr>
          <w:rFonts w:ascii="Times New Roman" w:hAnsi="Times New Roman"/>
          <w:noProof/>
          <w:sz w:val="24"/>
        </w:rPr>
        <w:t>hierboven vermelde mogelijke resultaten.</w:t>
      </w:r>
    </w:p>
    <w:p w:rsidR="004066EC" w:rsidRDefault="009A18A2">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Het Europees sociaal acquis: een balans.</w:t>
      </w:r>
    </w:p>
    <w:p w:rsidR="004066EC" w:rsidRDefault="009A18A2">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De toekomst van werk en van de socialezekerheidsstelsels: uitdagingen en kansen.</w:t>
      </w:r>
    </w:p>
    <w:p w:rsidR="004066EC" w:rsidRDefault="009A18A2">
      <w:pPr>
        <w:pStyle w:val="ListParagraph"/>
        <w:numPr>
          <w:ilvl w:val="0"/>
          <w:numId w:val="7"/>
        </w:numPr>
        <w:spacing w:before="120" w:after="24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De rol van de Europese pijler van sociale rechten als onderdeel van een diepere en billijkere</w:t>
      </w:r>
      <w:r>
        <w:rPr>
          <w:rFonts w:ascii="Times New Roman" w:hAnsi="Times New Roman"/>
          <w:noProof/>
          <w:sz w:val="24"/>
        </w:rPr>
        <w:t xml:space="preserve"> EMU.</w:t>
      </w:r>
    </w:p>
    <w:p w:rsidR="004066EC" w:rsidRDefault="009A18A2">
      <w:pPr>
        <w:spacing w:after="240" w:line="240" w:lineRule="auto"/>
        <w:jc w:val="both"/>
        <w:rPr>
          <w:rFonts w:ascii="Times New Roman" w:hAnsi="Times New Roman" w:cs="Times New Roman"/>
          <w:i/>
          <w:noProof/>
          <w:sz w:val="24"/>
          <w:szCs w:val="24"/>
        </w:rPr>
      </w:pPr>
      <w:r>
        <w:rPr>
          <w:rFonts w:ascii="Times New Roman" w:hAnsi="Times New Roman"/>
          <w:noProof/>
          <w:sz w:val="24"/>
        </w:rPr>
        <w:t>De Commissie zal tegen eind 2016 een Europese conferentie organiseren om feedback te verzamelen.</w:t>
      </w:r>
    </w:p>
    <w:p w:rsidR="004066EC" w:rsidRDefault="009A18A2">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4.4. Informatiebasis voor het debat</w:t>
      </w:r>
    </w:p>
    <w:p w:rsidR="004066EC" w:rsidRDefault="009A18A2">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 raadpleging is beschikbaar op een specifieke webpagina: </w:t>
      </w:r>
      <w:hyperlink r:id="rId16">
        <w:r>
          <w:rPr>
            <w:rStyle w:val="Hyperlink"/>
            <w:rFonts w:ascii="Times New Roman" w:hAnsi="Times New Roman"/>
            <w:noProof/>
            <w:color w:val="auto"/>
            <w:sz w:val="24"/>
          </w:rPr>
          <w:t>http://ec.europa.eu/priorities/deeper-and-fairer-economic-and-monetary-union/european-pillar-social-rights</w:t>
        </w:r>
      </w:hyperlink>
      <w:r>
        <w:rPr>
          <w:rFonts w:ascii="Times New Roman" w:hAnsi="Times New Roman"/>
          <w:noProof/>
          <w:sz w:val="24"/>
        </w:rPr>
        <w:t xml:space="preserve"> </w:t>
      </w:r>
    </w:p>
    <w:p w:rsidR="004066EC" w:rsidRDefault="009A18A2">
      <w:pPr>
        <w:spacing w:after="0" w:line="240" w:lineRule="auto"/>
        <w:jc w:val="both"/>
        <w:rPr>
          <w:rFonts w:ascii="Times New Roman" w:hAnsi="Times New Roman" w:cs="Times New Roman"/>
          <w:noProof/>
          <w:sz w:val="24"/>
          <w:szCs w:val="24"/>
        </w:rPr>
      </w:pPr>
      <w:r>
        <w:rPr>
          <w:rFonts w:ascii="Times New Roman" w:hAnsi="Times New Roman"/>
          <w:noProof/>
          <w:sz w:val="24"/>
        </w:rPr>
        <w:t>Hierop is de volgende informatie terug te vinden:</w:t>
      </w:r>
    </w:p>
    <w:p w:rsidR="004066EC" w:rsidRDefault="009A18A2">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deze mededeling en de </w:t>
      </w:r>
      <w:r>
        <w:rPr>
          <w:rFonts w:ascii="Times New Roman" w:hAnsi="Times New Roman"/>
          <w:noProof/>
          <w:sz w:val="24"/>
        </w:rPr>
        <w:t>ondersteunende werkdocumenten van de diensten van de Commissie;</w:t>
      </w:r>
    </w:p>
    <w:p w:rsidR="004066EC" w:rsidRDefault="009A18A2">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een reeks factsheets, opgesteld door de diensten van de Commissie, met een gedetailleerde uiteenzetting van de economische en juridische redenering achter de domeinen die in de schets van de p</w:t>
      </w:r>
      <w:r>
        <w:rPr>
          <w:rFonts w:ascii="Times New Roman" w:hAnsi="Times New Roman"/>
          <w:noProof/>
          <w:sz w:val="24"/>
        </w:rPr>
        <w:t xml:space="preserve">ijler zijn opgenomen, in bijlage bij deze mededeling;  </w:t>
      </w:r>
    </w:p>
    <w:p w:rsidR="004066EC" w:rsidRDefault="009A18A2">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de activiteiten waarin in het kader van de hierboven vermelde werkstromen wordt voorzien;</w:t>
      </w:r>
    </w:p>
    <w:p w:rsidR="004066EC" w:rsidRDefault="009A18A2">
      <w:pPr>
        <w:pStyle w:val="ListParagraph"/>
        <w:numPr>
          <w:ilvl w:val="0"/>
          <w:numId w:val="7"/>
        </w:numPr>
        <w:spacing w:before="120" w:after="24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een lijst van bijeenkomsten en evenementen die op Europees en nationaal niveau in de komende maanden zijn gepl</w:t>
      </w:r>
      <w:r>
        <w:rPr>
          <w:rFonts w:ascii="Times New Roman" w:hAnsi="Times New Roman"/>
          <w:noProof/>
          <w:sz w:val="24"/>
        </w:rPr>
        <w:t>and.</w:t>
      </w:r>
    </w:p>
    <w:p w:rsidR="004066EC" w:rsidRDefault="009A18A2">
      <w:pPr>
        <w:keepNext/>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5. Vragen van de raadpleging</w:t>
      </w:r>
    </w:p>
    <w:p w:rsidR="004066EC" w:rsidRDefault="009A18A2">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 Commissie verzoekt alle belanghebbende partijen om uiterlijk op </w:t>
      </w:r>
      <w:r>
        <w:rPr>
          <w:rFonts w:ascii="Times New Roman" w:hAnsi="Times New Roman"/>
          <w:b/>
          <w:noProof/>
          <w:sz w:val="24"/>
        </w:rPr>
        <w:t>31 december 2016</w:t>
      </w:r>
      <w:r>
        <w:rPr>
          <w:rFonts w:ascii="Times New Roman" w:hAnsi="Times New Roman"/>
          <w:noProof/>
          <w:sz w:val="24"/>
        </w:rPr>
        <w:t xml:space="preserve"> de in deze mededeling gestelde vragen te beantwoorden en eventuele andere opmerkingen in te dienen. </w:t>
      </w:r>
    </w:p>
    <w:p w:rsidR="004066EC" w:rsidRDefault="009A18A2">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Dit kan door een online vragenlijst in te vullen die beschikbaar is op de hierboven vermelde webpagina, of door de bijdrage per e-mail te sturen naar: </w:t>
      </w:r>
    </w:p>
    <w:p w:rsidR="004066EC" w:rsidRDefault="009A18A2">
      <w:pPr>
        <w:spacing w:after="240" w:line="240" w:lineRule="auto"/>
        <w:jc w:val="both"/>
        <w:rPr>
          <w:noProof/>
        </w:rPr>
      </w:pPr>
      <w:hyperlink r:id="rId17">
        <w:r>
          <w:rPr>
            <w:rStyle w:val="Hyperlink"/>
            <w:rFonts w:ascii="Times New Roman" w:hAnsi="Times New Roman"/>
            <w:noProof/>
            <w:sz w:val="24"/>
          </w:rPr>
          <w:t>EMPL-EUROPEAN-PILLAR-OF-SOC</w:t>
        </w:r>
        <w:r>
          <w:rPr>
            <w:rStyle w:val="Hyperlink"/>
            <w:rFonts w:ascii="Times New Roman" w:hAnsi="Times New Roman"/>
            <w:noProof/>
            <w:sz w:val="24"/>
          </w:rPr>
          <w:t>IAL-RIGHTS@ec.europa.eu</w:t>
        </w:r>
      </w:hyperlink>
      <w:r>
        <w:rPr>
          <w:noProof/>
        </w:rPr>
        <w:t xml:space="preserve"> </w:t>
      </w:r>
    </w:p>
    <w:p w:rsidR="004066EC" w:rsidRDefault="009A18A2">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of per post naar:</w:t>
      </w:r>
    </w:p>
    <w:p w:rsidR="004066EC" w:rsidRDefault="009A18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EUROPESE COMMISSIE</w:t>
      </w:r>
    </w:p>
    <w:p w:rsidR="004066EC" w:rsidRDefault="009A18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Directoraat-generaal Werkgelegenheid, Sociale Zaken en Inclusie</w:t>
      </w:r>
    </w:p>
    <w:p w:rsidR="004066EC" w:rsidRDefault="009A18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Joseph II-straat 27 – 00/120</w:t>
      </w:r>
    </w:p>
    <w:p w:rsidR="004066EC" w:rsidRDefault="009A18A2">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1049 BRUSSEL</w:t>
      </w:r>
      <w:r>
        <w:rPr>
          <w:rStyle w:val="FootnoteReference"/>
          <w:rFonts w:ascii="Times New Roman" w:hAnsi="Times New Roman"/>
          <w:noProof/>
          <w:sz w:val="24"/>
        </w:rPr>
        <w:footnoteReference w:id="7"/>
      </w:r>
      <w:r>
        <w:rPr>
          <w:rFonts w:ascii="Times New Roman" w:hAnsi="Times New Roman"/>
          <w:noProof/>
          <w:sz w:val="24"/>
        </w:rPr>
        <w:t xml:space="preserve"> </w:t>
      </w:r>
    </w:p>
    <w:p w:rsidR="004066EC" w:rsidRDefault="009A18A2">
      <w:pPr>
        <w:keepNext/>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De vragen waarop de Europese Commissie een antwoord wenst, zijn de volgende:</w:t>
      </w:r>
    </w:p>
    <w:p w:rsidR="004066EC" w:rsidRDefault="009A18A2">
      <w:pPr>
        <w:keepNext/>
        <w:spacing w:after="240" w:line="240" w:lineRule="auto"/>
        <w:jc w:val="both"/>
        <w:rPr>
          <w:rFonts w:ascii="Times New Roman" w:hAnsi="Times New Roman" w:cs="Times New Roman"/>
          <w:noProof/>
          <w:sz w:val="24"/>
          <w:szCs w:val="24"/>
        </w:rPr>
      </w:pPr>
      <w:r>
        <w:rPr>
          <w:rFonts w:ascii="Times New Roman" w:hAnsi="Times New Roman"/>
          <w:i/>
          <w:noProof/>
          <w:sz w:val="24"/>
        </w:rPr>
        <w:t>Over de s</w:t>
      </w:r>
      <w:r>
        <w:rPr>
          <w:rFonts w:ascii="Times New Roman" w:hAnsi="Times New Roman"/>
          <w:i/>
          <w:noProof/>
          <w:sz w:val="24"/>
        </w:rPr>
        <w:t>ociale situatie en het Europees sociaal acquis</w:t>
      </w:r>
    </w:p>
    <w:p w:rsidR="004066EC" w:rsidRDefault="009A18A2">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Wat zijn voor u de dwingendste prioriteiten op sociaal en werkgelegenheidsvlak?</w:t>
      </w:r>
    </w:p>
    <w:p w:rsidR="004066EC" w:rsidRDefault="004066EC">
      <w:pPr>
        <w:pStyle w:val="ListParagraph"/>
        <w:spacing w:after="240" w:line="240" w:lineRule="auto"/>
        <w:jc w:val="both"/>
        <w:rPr>
          <w:rFonts w:ascii="Times New Roman" w:hAnsi="Times New Roman" w:cs="Times New Roman"/>
          <w:noProof/>
          <w:sz w:val="24"/>
          <w:szCs w:val="24"/>
        </w:rPr>
      </w:pPr>
    </w:p>
    <w:p w:rsidR="004066EC" w:rsidRDefault="009A18A2">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Hoe kunnen we met de verschillende sociale en werkgelegenheidssituaties in Europa rekening houden?</w:t>
      </w:r>
    </w:p>
    <w:p w:rsidR="004066EC" w:rsidRDefault="004066EC">
      <w:pPr>
        <w:pStyle w:val="ListParagraph"/>
        <w:rPr>
          <w:rFonts w:ascii="Times New Roman" w:hAnsi="Times New Roman" w:cs="Times New Roman"/>
          <w:noProof/>
          <w:sz w:val="24"/>
          <w:szCs w:val="24"/>
        </w:rPr>
      </w:pPr>
    </w:p>
    <w:p w:rsidR="004066EC" w:rsidRDefault="009A18A2">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Is het EU-acquis actueel en </w:t>
      </w:r>
      <w:r>
        <w:rPr>
          <w:rFonts w:ascii="Times New Roman" w:hAnsi="Times New Roman"/>
          <w:noProof/>
          <w:sz w:val="24"/>
        </w:rPr>
        <w:t>ziet u ruimte voor verdere EU-actie?</w:t>
      </w:r>
    </w:p>
    <w:p w:rsidR="004066EC" w:rsidRDefault="009A18A2">
      <w:pPr>
        <w:keepNext/>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rPr>
        <w:t>Over de toekomst van werk en van de socialezekerheidsstelsels</w:t>
      </w:r>
    </w:p>
    <w:p w:rsidR="004066EC" w:rsidRDefault="009A18A2">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Wat zijn volgens u de meest vernieuwende tendensen?</w:t>
      </w:r>
    </w:p>
    <w:p w:rsidR="004066EC" w:rsidRDefault="004066EC">
      <w:pPr>
        <w:pStyle w:val="ListParagraph"/>
        <w:spacing w:after="240" w:line="240" w:lineRule="auto"/>
        <w:jc w:val="both"/>
        <w:rPr>
          <w:rFonts w:ascii="Times New Roman" w:hAnsi="Times New Roman" w:cs="Times New Roman"/>
          <w:noProof/>
          <w:sz w:val="24"/>
          <w:szCs w:val="24"/>
        </w:rPr>
      </w:pPr>
    </w:p>
    <w:p w:rsidR="004066EC" w:rsidRDefault="009A18A2">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Wat zijn volgens u de belangrijkste risico’s en kansen die verband houden met deze tendensen?</w:t>
      </w:r>
    </w:p>
    <w:p w:rsidR="004066EC" w:rsidRDefault="004066EC">
      <w:pPr>
        <w:pStyle w:val="ListParagraph"/>
        <w:spacing w:after="240" w:line="240" w:lineRule="auto"/>
        <w:jc w:val="both"/>
        <w:rPr>
          <w:rFonts w:ascii="Times New Roman" w:hAnsi="Times New Roman" w:cs="Times New Roman"/>
          <w:noProof/>
          <w:sz w:val="24"/>
          <w:szCs w:val="24"/>
        </w:rPr>
      </w:pPr>
    </w:p>
    <w:p w:rsidR="004066EC" w:rsidRDefault="009A18A2">
      <w:pPr>
        <w:pStyle w:val="ListParagraph"/>
        <w:numPr>
          <w:ilvl w:val="0"/>
          <w:numId w:val="23"/>
        </w:numPr>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Zijn er b</w:t>
      </w:r>
      <w:r>
        <w:rPr>
          <w:rFonts w:ascii="Times New Roman" w:hAnsi="Times New Roman"/>
          <w:noProof/>
          <w:sz w:val="24"/>
        </w:rPr>
        <w:t>estaande of opkomende beleidsmaatregelen, instellingen of bedrijfspraktijken die u als referentie zou aanbevelen?</w:t>
      </w:r>
    </w:p>
    <w:p w:rsidR="004066EC" w:rsidRDefault="009A18A2">
      <w:pPr>
        <w:keepNext/>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rPr>
        <w:t>Over de Europese pijler van sociale rechten</w:t>
      </w:r>
    </w:p>
    <w:p w:rsidR="004066EC" w:rsidRDefault="009A18A2">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Bent u het eens met de hier beschreven aanpak voor de oprichting van een Europese pijler van socia</w:t>
      </w:r>
      <w:r>
        <w:rPr>
          <w:rFonts w:ascii="Times New Roman" w:hAnsi="Times New Roman"/>
          <w:noProof/>
          <w:sz w:val="24"/>
        </w:rPr>
        <w:t>le rechten?</w:t>
      </w:r>
    </w:p>
    <w:p w:rsidR="004066EC" w:rsidRDefault="004066EC">
      <w:pPr>
        <w:pStyle w:val="ListParagraph"/>
        <w:spacing w:after="240" w:line="240" w:lineRule="auto"/>
        <w:jc w:val="both"/>
        <w:rPr>
          <w:rFonts w:ascii="Times New Roman" w:hAnsi="Times New Roman" w:cs="Times New Roman"/>
          <w:noProof/>
          <w:sz w:val="24"/>
          <w:szCs w:val="24"/>
        </w:rPr>
      </w:pPr>
    </w:p>
    <w:p w:rsidR="004066EC" w:rsidRDefault="009A18A2">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Bent u het eens met het bereik, de domeinen en de beginselen van de pijler, zoals ze hier zijn voorgesteld? Zijn er aspecten die in dit stadium niet duidelijk zijn of onvoldoende aan bod komen?</w:t>
      </w:r>
    </w:p>
    <w:p w:rsidR="004066EC" w:rsidRDefault="004066EC">
      <w:pPr>
        <w:pStyle w:val="ListParagraph"/>
        <w:spacing w:after="240" w:line="240" w:lineRule="auto"/>
        <w:jc w:val="both"/>
        <w:rPr>
          <w:rFonts w:ascii="Times New Roman" w:hAnsi="Times New Roman" w:cs="Times New Roman"/>
          <w:noProof/>
          <w:sz w:val="24"/>
          <w:szCs w:val="24"/>
        </w:rPr>
      </w:pPr>
    </w:p>
    <w:p w:rsidR="004066EC" w:rsidRDefault="009A18A2">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Welke domeinen en beginselen zouden volgens u het meeste belang hebben als onderdeel van een hernieuwde convergentie in de eurozone? </w:t>
      </w:r>
    </w:p>
    <w:p w:rsidR="004066EC" w:rsidRDefault="004066EC">
      <w:pPr>
        <w:pStyle w:val="ListParagraph"/>
        <w:spacing w:after="240" w:line="240" w:lineRule="auto"/>
        <w:jc w:val="both"/>
        <w:rPr>
          <w:rFonts w:ascii="Times New Roman" w:hAnsi="Times New Roman" w:cs="Times New Roman"/>
          <w:noProof/>
          <w:sz w:val="24"/>
          <w:szCs w:val="24"/>
        </w:rPr>
      </w:pPr>
    </w:p>
    <w:p w:rsidR="004066EC" w:rsidRDefault="009A18A2">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Hoe zouden deze moeten worden geformuleerd en in de praktijk worden omgezet? Gelooft u met name in de werkingssfeer en de</w:t>
      </w:r>
      <w:r>
        <w:rPr>
          <w:rFonts w:ascii="Times New Roman" w:hAnsi="Times New Roman"/>
          <w:noProof/>
          <w:sz w:val="24"/>
        </w:rPr>
        <w:t xml:space="preserve"> meerwaarde van minimumnormen of referentie-indicatoren op bepaalde gebieden, en zo ja, op welke gebieden?</w:t>
      </w:r>
    </w:p>
    <w:p w:rsidR="004066EC" w:rsidRDefault="009A18A2">
      <w:pPr>
        <w:keepLines/>
        <w:jc w:val="both"/>
        <w:rPr>
          <w:rFonts w:ascii="Times New Roman" w:eastAsia="Times New Roman" w:hAnsi="Times New Roman" w:cs="Times New Roman"/>
          <w:noProof/>
          <w:sz w:val="24"/>
          <w:szCs w:val="24"/>
        </w:rPr>
      </w:pPr>
      <w:r>
        <w:rPr>
          <w:rFonts w:ascii="Times New Roman" w:hAnsi="Times New Roman"/>
          <w:noProof/>
          <w:sz w:val="24"/>
        </w:rPr>
        <w:t>U kunt ook over elk domein en beginsel van de voorgestelde pijler opmerkingen formuleren via een meer specifieke online vragenlijst die beschikbaar i</w:t>
      </w:r>
      <w:r>
        <w:rPr>
          <w:rFonts w:ascii="Times New Roman" w:hAnsi="Times New Roman"/>
          <w:noProof/>
          <w:sz w:val="24"/>
        </w:rPr>
        <w:t>s op de webpagina van de raadpleging.</w:t>
      </w:r>
    </w:p>
    <w:sectPr w:rsidR="004066EC">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6EC" w:rsidRDefault="009A18A2">
      <w:pPr>
        <w:spacing w:after="0" w:line="240" w:lineRule="auto"/>
      </w:pPr>
      <w:r>
        <w:separator/>
      </w:r>
    </w:p>
  </w:endnote>
  <w:endnote w:type="continuationSeparator" w:id="0">
    <w:p w:rsidR="004066EC" w:rsidRDefault="009A18A2">
      <w:pPr>
        <w:spacing w:after="0" w:line="240" w:lineRule="auto"/>
      </w:pPr>
      <w:r>
        <w:continuationSeparator/>
      </w:r>
    </w:p>
  </w:endnote>
  <w:endnote w:type="continuationNotice" w:id="1">
    <w:p w:rsidR="004066EC" w:rsidRDefault="004066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A2" w:rsidRPr="009A18A2" w:rsidRDefault="009A18A2" w:rsidP="009A18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A2" w:rsidRPr="009A18A2" w:rsidRDefault="009A18A2" w:rsidP="009A18A2">
    <w:pPr>
      <w:pStyle w:val="FooterCoverPage"/>
      <w:rPr>
        <w:rFonts w:ascii="Arial" w:hAnsi="Arial" w:cs="Arial"/>
        <w:b/>
        <w:sz w:val="48"/>
      </w:rPr>
    </w:pPr>
    <w:r w:rsidRPr="009A18A2">
      <w:rPr>
        <w:rFonts w:ascii="Arial" w:hAnsi="Arial" w:cs="Arial"/>
        <w:b/>
        <w:sz w:val="48"/>
      </w:rPr>
      <w:t>NL</w:t>
    </w:r>
    <w:r w:rsidRPr="009A18A2">
      <w:rPr>
        <w:rFonts w:ascii="Arial" w:hAnsi="Arial" w:cs="Arial"/>
        <w:b/>
        <w:sz w:val="48"/>
      </w:rPr>
      <w:tab/>
    </w:r>
    <w:r w:rsidRPr="009A18A2">
      <w:rPr>
        <w:rFonts w:ascii="Arial" w:hAnsi="Arial" w:cs="Arial"/>
        <w:b/>
        <w:sz w:val="48"/>
      </w:rPr>
      <w:tab/>
    </w:r>
    <w:fldSimple w:instr=" DOCVARIABLE &quot;LW_Confidence&quot; \* MERGEFORMAT ">
      <w:r>
        <w:t xml:space="preserve"> </w:t>
      </w:r>
    </w:fldSimple>
    <w:r w:rsidRPr="009A18A2">
      <w:tab/>
    </w:r>
    <w:r w:rsidRPr="009A18A2">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A2" w:rsidRPr="009A18A2" w:rsidRDefault="009A18A2" w:rsidP="009A18A2">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EC" w:rsidRDefault="004066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38135"/>
      <w:docPartObj>
        <w:docPartGallery w:val="Page Numbers (Bottom of Page)"/>
        <w:docPartUnique/>
      </w:docPartObj>
    </w:sdtPr>
    <w:sdtEndPr>
      <w:rPr>
        <w:noProof/>
      </w:rPr>
    </w:sdtEndPr>
    <w:sdtContent>
      <w:p w:rsidR="004066EC" w:rsidRDefault="009A18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066EC" w:rsidRDefault="004066E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EC" w:rsidRDefault="00406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6EC" w:rsidRDefault="009A18A2">
      <w:pPr>
        <w:spacing w:after="0" w:line="240" w:lineRule="auto"/>
      </w:pPr>
      <w:r>
        <w:separator/>
      </w:r>
    </w:p>
  </w:footnote>
  <w:footnote w:type="continuationSeparator" w:id="0">
    <w:p w:rsidR="004066EC" w:rsidRDefault="009A18A2">
      <w:pPr>
        <w:spacing w:after="0" w:line="240" w:lineRule="auto"/>
      </w:pPr>
      <w:r>
        <w:continuationSeparator/>
      </w:r>
    </w:p>
  </w:footnote>
  <w:footnote w:type="continuationNotice" w:id="1">
    <w:p w:rsidR="004066EC" w:rsidRDefault="004066EC">
      <w:pPr>
        <w:spacing w:after="0" w:line="240" w:lineRule="auto"/>
      </w:pPr>
    </w:p>
  </w:footnote>
  <w:footnote w:id="2">
    <w:p w:rsidR="004066EC" w:rsidRDefault="009A18A2">
      <w:pPr>
        <w:pStyle w:val="Default"/>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Politieke beleidslijnen voor de volgende Europese Commissie, 15 juli 2014, "Een nieuwe start voor Europa: mijn agenda voor banen, groei, billijkheid en democratische verandering".</w:t>
      </w:r>
    </w:p>
  </w:footnote>
  <w:footnote w:id="3">
    <w:p w:rsidR="004066EC" w:rsidRDefault="009A18A2">
      <w:pPr>
        <w:pStyle w:val="Default"/>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rPr>
        <w:t xml:space="preserve"> </w:t>
      </w:r>
      <w:r>
        <w:rPr>
          <w:rFonts w:ascii="Times New Roman" w:hAnsi="Times New Roman"/>
          <w:sz w:val="20"/>
        </w:rPr>
        <w:t>Werkdocumenten voor de diensten van de Commissie "Key economic, employmen</w:t>
      </w:r>
      <w:r>
        <w:rPr>
          <w:rFonts w:ascii="Times New Roman" w:hAnsi="Times New Roman"/>
          <w:sz w:val="20"/>
        </w:rPr>
        <w:t>t and social trends behind the European Pillar of Social Rights", (SWD(2016) 51), en "The EU social acquis" (SWD(2016) 50) van 8 maart 2016.</w:t>
      </w:r>
    </w:p>
  </w:footnote>
  <w:footnote w:id="4">
    <w:p w:rsidR="004066EC" w:rsidRDefault="009A18A2">
      <w:pPr>
        <w:pStyle w:val="Default"/>
        <w:jc w:val="both"/>
        <w:rPr>
          <w:rFonts w:ascii="Times New Roman" w:hAnsi="Times New Roman" w:cs="Times New Roman"/>
          <w:highlight w:val="yellow"/>
          <w:lang w:val="en-GB"/>
        </w:rPr>
      </w:pPr>
      <w:r>
        <w:rPr>
          <w:rStyle w:val="FootnoteReference"/>
          <w:rFonts w:ascii="Times New Roman" w:hAnsi="Times New Roman"/>
          <w:color w:val="auto"/>
          <w:sz w:val="20"/>
        </w:rPr>
        <w:footnoteRef/>
      </w:r>
      <w:r>
        <w:rPr>
          <w:rStyle w:val="FootnoteReference"/>
          <w:color w:val="auto"/>
          <w:sz w:val="20"/>
        </w:rPr>
        <w:t xml:space="preserve"> </w:t>
      </w:r>
      <w:r>
        <w:rPr>
          <w:rFonts w:ascii="Times New Roman" w:hAnsi="Times New Roman"/>
          <w:sz w:val="20"/>
        </w:rPr>
        <w:t xml:space="preserve">Zie bijvoorbeeld ILO (2015), "The future of work centenary initiative"; OESO (2016), "Policy forum on the future </w:t>
      </w:r>
      <w:r>
        <w:rPr>
          <w:rFonts w:ascii="Times New Roman" w:hAnsi="Times New Roman"/>
          <w:sz w:val="20"/>
        </w:rPr>
        <w:t xml:space="preserve">of work"; Bertelsmann Stiftung (2015), "Redesigning European welfare states – Ways forward"; Bundesministerium für Arbeit und Soziales (2015), "Green Paper: Re-Imagining Work. </w:t>
      </w:r>
      <w:r>
        <w:rPr>
          <w:rFonts w:ascii="Times New Roman" w:hAnsi="Times New Roman"/>
          <w:sz w:val="20"/>
          <w:lang w:val="en-GB"/>
        </w:rPr>
        <w:t>Work 4.0"; Economisch Wereldforum (2016), "The Future of Jobs: Employment, Skill</w:t>
      </w:r>
      <w:r>
        <w:rPr>
          <w:rFonts w:ascii="Times New Roman" w:hAnsi="Times New Roman"/>
          <w:sz w:val="20"/>
          <w:lang w:val="en-GB"/>
        </w:rPr>
        <w:t xml:space="preserve">s and Workforce Strategy for the Fourth Industrial Revolution"; OESO, IMF, Wereldbank en IAO (2015), "Income inequality and labour income share in G20 countries: Trends, Impacts and Causes". </w:t>
      </w:r>
    </w:p>
  </w:footnote>
  <w:footnote w:id="5">
    <w:p w:rsidR="004066EC" w:rsidRDefault="009A18A2">
      <w:pPr>
        <w:pStyle w:val="FootnoteText"/>
        <w:jc w:val="both"/>
      </w:pPr>
      <w:r>
        <w:rPr>
          <w:rStyle w:val="FootnoteReference"/>
          <w:rFonts w:ascii="Times New Roman" w:hAnsi="Times New Roman"/>
        </w:rPr>
        <w:footnoteRef/>
      </w:r>
      <w:r>
        <w:rPr>
          <w:rFonts w:ascii="Times New Roman" w:hAnsi="Times New Roman"/>
          <w:lang w:val="en-GB"/>
        </w:rPr>
        <w:t xml:space="preserve"> "De voltooiing van de Europese economische en monetaire unie", verslag van Jean-Claude Juncker in samenwerking met Donald Tusk, Jeroen Dijsselbloem, Mario Draghi en Martin Schulz, juni 2015.</w:t>
      </w:r>
      <w:r>
        <w:rPr>
          <w:rStyle w:val="Caractresdenotedebasdepage"/>
          <w:lang w:val="en-GB"/>
        </w:rPr>
        <w:t xml:space="preserve"> </w:t>
      </w:r>
      <w:r>
        <w:rPr>
          <w:rFonts w:ascii="Times New Roman" w:hAnsi="Times New Roman"/>
        </w:rPr>
        <w:t>In hun gezamenlijke bijdrage aan het verslag hebben Frankrijk en</w:t>
      </w:r>
      <w:r>
        <w:rPr>
          <w:rFonts w:ascii="Times New Roman" w:hAnsi="Times New Roman"/>
        </w:rPr>
        <w:t xml:space="preserve"> Duitsland bijvoorbeeld bijzonder de nadruk gelegd op de noodzaak om de samenwerking en gemeenschappelijke beleidslijnen op bepaalde gebieden te versterken, zoals een actief arbeidsmarktbeleid en actieve socialezekerheidsstelsels. Zie ook </w:t>
      </w:r>
      <w:r>
        <w:rPr>
          <w:rFonts w:ascii="Times New Roman" w:hAnsi="Times New Roman"/>
          <w:color w:val="000000"/>
        </w:rPr>
        <w:t xml:space="preserve">Europees Centrum </w:t>
      </w:r>
      <w:r>
        <w:rPr>
          <w:rFonts w:ascii="Times New Roman" w:hAnsi="Times New Roman"/>
          <w:color w:val="000000"/>
        </w:rPr>
        <w:t>voor politieke strategie (2015), "The Social Dimension of Economic and Monetary Union".</w:t>
      </w:r>
      <w:r>
        <w:rPr>
          <w:rFonts w:ascii="Times New Roman" w:hAnsi="Times New Roman"/>
        </w:rPr>
        <w:t xml:space="preserve"> </w:t>
      </w:r>
    </w:p>
  </w:footnote>
  <w:footnote w:id="6">
    <w:p w:rsidR="004066EC" w:rsidRDefault="009A18A2">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COM(2015) 600 van 21 oktober 2015 over stappen naar de voltooiing van de Economische en Monetaire Unie.</w:t>
      </w:r>
    </w:p>
  </w:footnote>
  <w:footnote w:id="7">
    <w:p w:rsidR="004066EC" w:rsidRDefault="009A18A2">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Alle ontvangen bijdragen zullen samen met de identiteit van</w:t>
      </w:r>
      <w:r>
        <w:rPr>
          <w:rFonts w:ascii="Times New Roman" w:hAnsi="Times New Roman"/>
        </w:rPr>
        <w:t xml:space="preserve"> de respondent op internet worden gepubliceerd, tenzij de respondent bezwaar maakt tegen de bekendmaking van de persoonsgegevens omdat dit zijn of haar legitieme belangen zou schaden. In dat geval kan de bijdrage anoniem worden gepubliceerd. Anders wordt d</w:t>
      </w:r>
      <w:r>
        <w:rPr>
          <w:rFonts w:ascii="Times New Roman" w:hAnsi="Times New Roman"/>
        </w:rPr>
        <w:t>e bijdrage niet gepubliceerd en wordt met de inhoud ervan in principe geen rekening gehouden.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A2" w:rsidRPr="009A18A2" w:rsidRDefault="009A18A2" w:rsidP="009A18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A2" w:rsidRPr="009A18A2" w:rsidRDefault="009A18A2" w:rsidP="009A18A2">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A2" w:rsidRPr="009A18A2" w:rsidRDefault="009A18A2" w:rsidP="009A18A2">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EC" w:rsidRDefault="004066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EC" w:rsidRDefault="004066EC">
    <w:pPr>
      <w:pStyle w:val="Header"/>
      <w:jc w:val="right"/>
    </w:pPr>
  </w:p>
  <w:p w:rsidR="004066EC" w:rsidRDefault="004066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EC" w:rsidRDefault="00406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9C1457"/>
    <w:multiLevelType w:val="hybridMultilevel"/>
    <w:tmpl w:val="E51AA03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F5EA0"/>
    <w:multiLevelType w:val="hybridMultilevel"/>
    <w:tmpl w:val="B9987802"/>
    <w:lvl w:ilvl="0" w:tplc="0809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7D34B1"/>
    <w:multiLevelType w:val="hybridMultilevel"/>
    <w:tmpl w:val="FB78AE86"/>
    <w:lvl w:ilvl="0" w:tplc="D660CF96">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2AA7B19"/>
    <w:multiLevelType w:val="hybridMultilevel"/>
    <w:tmpl w:val="4D762A72"/>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nsid w:val="22D04BCA"/>
    <w:multiLevelType w:val="multilevel"/>
    <w:tmpl w:val="7420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37DAD"/>
    <w:multiLevelType w:val="hybridMultilevel"/>
    <w:tmpl w:val="4232E05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7E18F2"/>
    <w:multiLevelType w:val="hybridMultilevel"/>
    <w:tmpl w:val="483A6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D151471"/>
    <w:multiLevelType w:val="hybridMultilevel"/>
    <w:tmpl w:val="32240B54"/>
    <w:lvl w:ilvl="0" w:tplc="0428F2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D3BA1"/>
    <w:multiLevelType w:val="hybridMultilevel"/>
    <w:tmpl w:val="A8D2F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853184"/>
    <w:multiLevelType w:val="hybridMultilevel"/>
    <w:tmpl w:val="8B023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753EE3"/>
    <w:multiLevelType w:val="hybridMultilevel"/>
    <w:tmpl w:val="ACEE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4110A7"/>
    <w:multiLevelType w:val="hybridMultilevel"/>
    <w:tmpl w:val="268AD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0551C9"/>
    <w:multiLevelType w:val="hybridMultilevel"/>
    <w:tmpl w:val="BFD2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EF5C39"/>
    <w:multiLevelType w:val="hybridMultilevel"/>
    <w:tmpl w:val="63F07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3F4EA9"/>
    <w:multiLevelType w:val="hybridMultilevel"/>
    <w:tmpl w:val="2A987962"/>
    <w:lvl w:ilvl="0" w:tplc="31F290D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AA768B"/>
    <w:multiLevelType w:val="hybridMultilevel"/>
    <w:tmpl w:val="ABA2E320"/>
    <w:lvl w:ilvl="0" w:tplc="F60AA468">
      <w:start w:val="1"/>
      <w:numFmt w:val="bullet"/>
      <w:lvlText w:val="-"/>
      <w:lvlJc w:val="left"/>
      <w:pPr>
        <w:ind w:left="1080" w:hanging="360"/>
      </w:pPr>
      <w:rPr>
        <w:rFonts w:ascii="Times New Roman" w:eastAsiaTheme="minorHAnsi" w:hAnsi="Times New Roman" w:cs="Times New Roman" w:hint="default"/>
        <w:color w:val="1F497D"/>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673F234B"/>
    <w:multiLevelType w:val="hybridMultilevel"/>
    <w:tmpl w:val="5D8C5B60"/>
    <w:lvl w:ilvl="0" w:tplc="08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B166CED"/>
    <w:multiLevelType w:val="hybridMultilevel"/>
    <w:tmpl w:val="51DA727E"/>
    <w:lvl w:ilvl="0" w:tplc="E22676A0">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9">
    <w:nsid w:val="74640298"/>
    <w:multiLevelType w:val="hybridMultilevel"/>
    <w:tmpl w:val="7928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C13A8"/>
    <w:multiLevelType w:val="hybridMultilevel"/>
    <w:tmpl w:val="484884E2"/>
    <w:lvl w:ilvl="0" w:tplc="04882D10">
      <w:start w:val="1"/>
      <w:numFmt w:val="decimal"/>
      <w:lvlText w:val="%1."/>
      <w:lvlJc w:val="left"/>
      <w:pPr>
        <w:ind w:left="720" w:hanging="360"/>
      </w:pPr>
      <w:rPr>
        <w:rFonts w:hint="default"/>
        <w:color w:val="1F497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74900DBB"/>
    <w:multiLevelType w:val="hybridMultilevel"/>
    <w:tmpl w:val="2F0E8AD8"/>
    <w:lvl w:ilvl="0" w:tplc="04882D10">
      <w:start w:val="1"/>
      <w:numFmt w:val="decimal"/>
      <w:lvlText w:val="%1."/>
      <w:lvlJc w:val="left"/>
      <w:pPr>
        <w:ind w:left="720" w:hanging="360"/>
      </w:pPr>
      <w:rPr>
        <w:rFonts w:hint="default"/>
        <w:color w:val="1F497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E3D5012"/>
    <w:multiLevelType w:val="hybridMultilevel"/>
    <w:tmpl w:val="FFB2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5"/>
  </w:num>
  <w:num w:numId="4">
    <w:abstractNumId w:val="13"/>
  </w:num>
  <w:num w:numId="5">
    <w:abstractNumId w:val="15"/>
  </w:num>
  <w:num w:numId="6">
    <w:abstractNumId w:val="9"/>
  </w:num>
  <w:num w:numId="7">
    <w:abstractNumId w:val="1"/>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17"/>
  </w:num>
  <w:num w:numId="18">
    <w:abstractNumId w:val="2"/>
  </w:num>
  <w:num w:numId="19">
    <w:abstractNumId w:val="12"/>
  </w:num>
  <w:num w:numId="20">
    <w:abstractNumId w:val="21"/>
  </w:num>
  <w:num w:numId="21">
    <w:abstractNumId w:val="6"/>
  </w:num>
  <w:num w:numId="22">
    <w:abstractNumId w:val="0"/>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6E196639D53F43158D106D7A9116C082"/>
    <w:docVar w:name="LW_CROSSREFERENCE" w:val="{SWD(2016) 50 final}_x000b_{SWD(2016) 51 final}"/>
    <w:docVar w:name="LW_DocType" w:val="NORMAL"/>
    <w:docVar w:name="LW_EMISSION" w:val="8.3.2016"/>
    <w:docVar w:name="LW_EMISSION_ISODATE" w:val="2016-03-08"/>
    <w:docVar w:name="LW_EMISSION_LOCATION" w:val="STR"/>
    <w:docVar w:name="LW_EMISSION_PREFIX" w:val="Straatsburg, "/>
    <w:docVar w:name="LW_EMISSION_SUFFIX" w:val=" "/>
    <w:docVar w:name="LW_ID_DOCTYPE_NONLW" w:val="CP-014"/>
    <w:docVar w:name="LW_LANGUE" w:val="NL"/>
    <w:docVar w:name="LW_MARKING" w:val="&lt;UNUSED&g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6) 127"/>
    <w:docVar w:name="LW_REF.INTERNE" w:val="&lt;UNUSED&gt;"/>
    <w:docVar w:name="LW_SOUS.TITRE.OBJ.CP" w:val="&lt;UNUSED&gt;"/>
    <w:docVar w:name="LW_SUPERTITRE" w:val="&lt;UNUSED&gt;"/>
    <w:docVar w:name="LW_TITRE.OBJ.CP" w:val="Lancering van een raadpleging over een Europese pijler van sociale rechten"/>
    <w:docVar w:name="LW_TYPE.DOC.CP" w:val="MEDEDELING VAN DE COMMISSIE AAN HET EUROPEES PARLEMENT, DE RAAD, HET EUROPEES ECONOMISCH EN SOCIAAL COMITÉ EN HET COMITÉ VAN DE REGIO'S"/>
    <w:docVar w:name="LW_TYPE.DOC.CP.USERTEXT" w:val="&lt;EMPTY&gt;"/>
  </w:docVars>
  <w:rsids>
    <w:rsidRoot w:val="004066EC"/>
    <w:rsid w:val="004066EC"/>
    <w:rsid w:val="009A18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SUPERS"/>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dnormal">
    <w:name w:val="prdnormal"/>
    <w:basedOn w:val="DefaultParagraphFont"/>
  </w:style>
  <w:style w:type="paragraph" w:customStyle="1" w:styleId="Standard">
    <w:name w:val="Standard"/>
    <w:pPr>
      <w:suppressAutoHyphens/>
      <w:autoSpaceDN w:val="0"/>
      <w:textAlignment w:val="baseline"/>
    </w:pPr>
    <w:rPr>
      <w:rFonts w:ascii="Calibri" w:eastAsia="SimSun" w:hAnsi="Calibri" w:cs="F"/>
      <w:kern w:val="3"/>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Caractresdenotedebasdepage">
    <w:name w:val="Caractères de note de bas de page"/>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st1">
    <w:name w:val="st1"/>
    <w:basedOn w:val="DefaultParagraphFont"/>
  </w:style>
  <w:style w:type="paragraph" w:customStyle="1" w:styleId="Body">
    <w:name w:val="Body"/>
    <w:pPr>
      <w:pBdr>
        <w:top w:val="nil"/>
        <w:left w:val="nil"/>
        <w:bottom w:val="nil"/>
        <w:right w:val="nil"/>
        <w:between w:val="nil"/>
        <w:bar w:val="nil"/>
      </w:pBdr>
      <w:spacing w:after="120" w:line="240" w:lineRule="auto"/>
      <w:jc w:val="both"/>
    </w:pPr>
    <w:rPr>
      <w:rFonts w:ascii="Verdana" w:eastAsia="Times New Roman" w:hAnsi="Verdana" w:cs="Times New Roman"/>
      <w:color w:val="000000"/>
      <w:sz w:val="20"/>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SUPERS"/>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dnormal">
    <w:name w:val="prdnormal"/>
    <w:basedOn w:val="DefaultParagraphFont"/>
  </w:style>
  <w:style w:type="paragraph" w:customStyle="1" w:styleId="Standard">
    <w:name w:val="Standard"/>
    <w:pPr>
      <w:suppressAutoHyphens/>
      <w:autoSpaceDN w:val="0"/>
      <w:textAlignment w:val="baseline"/>
    </w:pPr>
    <w:rPr>
      <w:rFonts w:ascii="Calibri" w:eastAsia="SimSun" w:hAnsi="Calibri" w:cs="F"/>
      <w:kern w:val="3"/>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Caractresdenotedebasdepage">
    <w:name w:val="Caractères de note de bas de page"/>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st1">
    <w:name w:val="st1"/>
    <w:basedOn w:val="DefaultParagraphFont"/>
  </w:style>
  <w:style w:type="paragraph" w:customStyle="1" w:styleId="Body">
    <w:name w:val="Body"/>
    <w:pPr>
      <w:pBdr>
        <w:top w:val="nil"/>
        <w:left w:val="nil"/>
        <w:bottom w:val="nil"/>
        <w:right w:val="nil"/>
        <w:between w:val="nil"/>
        <w:bar w:val="nil"/>
      </w:pBdr>
      <w:spacing w:after="120" w:line="240" w:lineRule="auto"/>
      <w:jc w:val="both"/>
    </w:pPr>
    <w:rPr>
      <w:rFonts w:ascii="Verdana" w:eastAsia="Times New Roman" w:hAnsi="Verdana" w:cs="Times New Roman"/>
      <w:color w:val="000000"/>
      <w:sz w:val="20"/>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3181">
      <w:bodyDiv w:val="1"/>
      <w:marLeft w:val="0"/>
      <w:marRight w:val="0"/>
      <w:marTop w:val="0"/>
      <w:marBottom w:val="0"/>
      <w:divBdr>
        <w:top w:val="none" w:sz="0" w:space="0" w:color="auto"/>
        <w:left w:val="none" w:sz="0" w:space="0" w:color="auto"/>
        <w:bottom w:val="none" w:sz="0" w:space="0" w:color="auto"/>
        <w:right w:val="none" w:sz="0" w:space="0" w:color="auto"/>
      </w:divBdr>
      <w:divsChild>
        <w:div w:id="1350519874">
          <w:marLeft w:val="0"/>
          <w:marRight w:val="0"/>
          <w:marTop w:val="0"/>
          <w:marBottom w:val="0"/>
          <w:divBdr>
            <w:top w:val="none" w:sz="0" w:space="0" w:color="auto"/>
            <w:left w:val="none" w:sz="0" w:space="0" w:color="auto"/>
            <w:bottom w:val="none" w:sz="0" w:space="0" w:color="auto"/>
            <w:right w:val="none" w:sz="0" w:space="0" w:color="auto"/>
          </w:divBdr>
          <w:divsChild>
            <w:div w:id="72439869">
              <w:marLeft w:val="0"/>
              <w:marRight w:val="0"/>
              <w:marTop w:val="0"/>
              <w:marBottom w:val="0"/>
              <w:divBdr>
                <w:top w:val="none" w:sz="0" w:space="0" w:color="auto"/>
                <w:left w:val="none" w:sz="0" w:space="0" w:color="auto"/>
                <w:bottom w:val="none" w:sz="0" w:space="0" w:color="auto"/>
                <w:right w:val="none" w:sz="0" w:space="0" w:color="auto"/>
              </w:divBdr>
              <w:divsChild>
                <w:div w:id="478503129">
                  <w:marLeft w:val="0"/>
                  <w:marRight w:val="0"/>
                  <w:marTop w:val="0"/>
                  <w:marBottom w:val="0"/>
                  <w:divBdr>
                    <w:top w:val="none" w:sz="0" w:space="0" w:color="auto"/>
                    <w:left w:val="none" w:sz="0" w:space="0" w:color="auto"/>
                    <w:bottom w:val="none" w:sz="0" w:space="0" w:color="auto"/>
                    <w:right w:val="none" w:sz="0" w:space="0" w:color="auto"/>
                  </w:divBdr>
                  <w:divsChild>
                    <w:div w:id="2118212395">
                      <w:marLeft w:val="0"/>
                      <w:marRight w:val="0"/>
                      <w:marTop w:val="0"/>
                      <w:marBottom w:val="0"/>
                      <w:divBdr>
                        <w:top w:val="none" w:sz="0" w:space="0" w:color="auto"/>
                        <w:left w:val="none" w:sz="0" w:space="0" w:color="auto"/>
                        <w:bottom w:val="none" w:sz="0" w:space="0" w:color="auto"/>
                        <w:right w:val="none" w:sz="0" w:space="0" w:color="auto"/>
                      </w:divBdr>
                      <w:divsChild>
                        <w:div w:id="1682928748">
                          <w:marLeft w:val="0"/>
                          <w:marRight w:val="0"/>
                          <w:marTop w:val="0"/>
                          <w:marBottom w:val="0"/>
                          <w:divBdr>
                            <w:top w:val="none" w:sz="0" w:space="0" w:color="auto"/>
                            <w:left w:val="none" w:sz="0" w:space="0" w:color="auto"/>
                            <w:bottom w:val="none" w:sz="0" w:space="0" w:color="auto"/>
                            <w:right w:val="none" w:sz="0" w:space="0" w:color="auto"/>
                          </w:divBdr>
                          <w:divsChild>
                            <w:div w:id="2110197764">
                              <w:marLeft w:val="0"/>
                              <w:marRight w:val="0"/>
                              <w:marTop w:val="0"/>
                              <w:marBottom w:val="0"/>
                              <w:divBdr>
                                <w:top w:val="none" w:sz="0" w:space="0" w:color="auto"/>
                                <w:left w:val="none" w:sz="0" w:space="0" w:color="auto"/>
                                <w:bottom w:val="none" w:sz="0" w:space="0" w:color="auto"/>
                                <w:right w:val="none" w:sz="0" w:space="0" w:color="auto"/>
                              </w:divBdr>
                              <w:divsChild>
                                <w:div w:id="602617236">
                                  <w:marLeft w:val="0"/>
                                  <w:marRight w:val="0"/>
                                  <w:marTop w:val="0"/>
                                  <w:marBottom w:val="0"/>
                                  <w:divBdr>
                                    <w:top w:val="none" w:sz="0" w:space="0" w:color="auto"/>
                                    <w:left w:val="none" w:sz="0" w:space="0" w:color="auto"/>
                                    <w:bottom w:val="none" w:sz="0" w:space="0" w:color="auto"/>
                                    <w:right w:val="none" w:sz="0" w:space="0" w:color="auto"/>
                                  </w:divBdr>
                                  <w:divsChild>
                                    <w:div w:id="1151361358">
                                      <w:marLeft w:val="0"/>
                                      <w:marRight w:val="0"/>
                                      <w:marTop w:val="0"/>
                                      <w:marBottom w:val="0"/>
                                      <w:divBdr>
                                        <w:top w:val="none" w:sz="0" w:space="0" w:color="auto"/>
                                        <w:left w:val="none" w:sz="0" w:space="0" w:color="auto"/>
                                        <w:bottom w:val="none" w:sz="0" w:space="0" w:color="auto"/>
                                        <w:right w:val="none" w:sz="0" w:space="0" w:color="auto"/>
                                      </w:divBdr>
                                      <w:divsChild>
                                        <w:div w:id="13381464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645162">
      <w:bodyDiv w:val="1"/>
      <w:marLeft w:val="0"/>
      <w:marRight w:val="0"/>
      <w:marTop w:val="0"/>
      <w:marBottom w:val="0"/>
      <w:divBdr>
        <w:top w:val="none" w:sz="0" w:space="0" w:color="auto"/>
        <w:left w:val="none" w:sz="0" w:space="0" w:color="auto"/>
        <w:bottom w:val="none" w:sz="0" w:space="0" w:color="auto"/>
        <w:right w:val="none" w:sz="0" w:space="0" w:color="auto"/>
      </w:divBdr>
    </w:div>
    <w:div w:id="413934384">
      <w:bodyDiv w:val="1"/>
      <w:marLeft w:val="0"/>
      <w:marRight w:val="0"/>
      <w:marTop w:val="0"/>
      <w:marBottom w:val="0"/>
      <w:divBdr>
        <w:top w:val="none" w:sz="0" w:space="0" w:color="auto"/>
        <w:left w:val="none" w:sz="0" w:space="0" w:color="auto"/>
        <w:bottom w:val="none" w:sz="0" w:space="0" w:color="auto"/>
        <w:right w:val="none" w:sz="0" w:space="0" w:color="auto"/>
      </w:divBdr>
    </w:div>
    <w:div w:id="477497327">
      <w:bodyDiv w:val="1"/>
      <w:marLeft w:val="0"/>
      <w:marRight w:val="0"/>
      <w:marTop w:val="0"/>
      <w:marBottom w:val="0"/>
      <w:divBdr>
        <w:top w:val="none" w:sz="0" w:space="0" w:color="auto"/>
        <w:left w:val="none" w:sz="0" w:space="0" w:color="auto"/>
        <w:bottom w:val="none" w:sz="0" w:space="0" w:color="auto"/>
        <w:right w:val="none" w:sz="0" w:space="0" w:color="auto"/>
      </w:divBdr>
    </w:div>
    <w:div w:id="531528633">
      <w:bodyDiv w:val="1"/>
      <w:marLeft w:val="0"/>
      <w:marRight w:val="0"/>
      <w:marTop w:val="0"/>
      <w:marBottom w:val="0"/>
      <w:divBdr>
        <w:top w:val="none" w:sz="0" w:space="0" w:color="auto"/>
        <w:left w:val="none" w:sz="0" w:space="0" w:color="auto"/>
        <w:bottom w:val="none" w:sz="0" w:space="0" w:color="auto"/>
        <w:right w:val="none" w:sz="0" w:space="0" w:color="auto"/>
      </w:divBdr>
    </w:div>
    <w:div w:id="777527738">
      <w:bodyDiv w:val="1"/>
      <w:marLeft w:val="0"/>
      <w:marRight w:val="0"/>
      <w:marTop w:val="0"/>
      <w:marBottom w:val="0"/>
      <w:divBdr>
        <w:top w:val="none" w:sz="0" w:space="0" w:color="auto"/>
        <w:left w:val="none" w:sz="0" w:space="0" w:color="auto"/>
        <w:bottom w:val="none" w:sz="0" w:space="0" w:color="auto"/>
        <w:right w:val="none" w:sz="0" w:space="0" w:color="auto"/>
      </w:divBdr>
      <w:divsChild>
        <w:div w:id="110168282">
          <w:marLeft w:val="0"/>
          <w:marRight w:val="0"/>
          <w:marTop w:val="0"/>
          <w:marBottom w:val="0"/>
          <w:divBdr>
            <w:top w:val="none" w:sz="0" w:space="0" w:color="auto"/>
            <w:left w:val="none" w:sz="0" w:space="0" w:color="auto"/>
            <w:bottom w:val="none" w:sz="0" w:space="0" w:color="auto"/>
            <w:right w:val="none" w:sz="0" w:space="0" w:color="auto"/>
          </w:divBdr>
          <w:divsChild>
            <w:div w:id="397829100">
              <w:marLeft w:val="0"/>
              <w:marRight w:val="0"/>
              <w:marTop w:val="0"/>
              <w:marBottom w:val="150"/>
              <w:divBdr>
                <w:top w:val="none" w:sz="0" w:space="0" w:color="auto"/>
                <w:left w:val="none" w:sz="0" w:space="0" w:color="auto"/>
                <w:bottom w:val="none" w:sz="0" w:space="0" w:color="auto"/>
                <w:right w:val="none" w:sz="0" w:space="0" w:color="auto"/>
              </w:divBdr>
              <w:divsChild>
                <w:div w:id="972908215">
                  <w:marLeft w:val="0"/>
                  <w:marRight w:val="0"/>
                  <w:marTop w:val="0"/>
                  <w:marBottom w:val="0"/>
                  <w:divBdr>
                    <w:top w:val="none" w:sz="0" w:space="0" w:color="auto"/>
                    <w:left w:val="none" w:sz="0" w:space="0" w:color="auto"/>
                    <w:bottom w:val="none" w:sz="0" w:space="0" w:color="auto"/>
                    <w:right w:val="none" w:sz="0" w:space="0" w:color="auto"/>
                  </w:divBdr>
                  <w:divsChild>
                    <w:div w:id="1495881165">
                      <w:marLeft w:val="0"/>
                      <w:marRight w:val="0"/>
                      <w:marTop w:val="0"/>
                      <w:marBottom w:val="0"/>
                      <w:divBdr>
                        <w:top w:val="none" w:sz="0" w:space="0" w:color="auto"/>
                        <w:left w:val="none" w:sz="0" w:space="0" w:color="auto"/>
                        <w:bottom w:val="none" w:sz="0" w:space="0" w:color="auto"/>
                        <w:right w:val="none" w:sz="0" w:space="0" w:color="auto"/>
                      </w:divBdr>
                      <w:divsChild>
                        <w:div w:id="1531798804">
                          <w:marLeft w:val="0"/>
                          <w:marRight w:val="0"/>
                          <w:marTop w:val="0"/>
                          <w:marBottom w:val="0"/>
                          <w:divBdr>
                            <w:top w:val="none" w:sz="0" w:space="0" w:color="auto"/>
                            <w:left w:val="none" w:sz="0" w:space="0" w:color="auto"/>
                            <w:bottom w:val="none" w:sz="0" w:space="0" w:color="auto"/>
                            <w:right w:val="none" w:sz="0" w:space="0" w:color="auto"/>
                          </w:divBdr>
                          <w:divsChild>
                            <w:div w:id="985932524">
                              <w:marLeft w:val="0"/>
                              <w:marRight w:val="0"/>
                              <w:marTop w:val="0"/>
                              <w:marBottom w:val="0"/>
                              <w:divBdr>
                                <w:top w:val="none" w:sz="0" w:space="0" w:color="auto"/>
                                <w:left w:val="none" w:sz="0" w:space="0" w:color="auto"/>
                                <w:bottom w:val="none" w:sz="0" w:space="0" w:color="auto"/>
                                <w:right w:val="none" w:sz="0" w:space="0" w:color="auto"/>
                              </w:divBdr>
                              <w:divsChild>
                                <w:div w:id="510723127">
                                  <w:marLeft w:val="0"/>
                                  <w:marRight w:val="-3600"/>
                                  <w:marTop w:val="150"/>
                                  <w:marBottom w:val="0"/>
                                  <w:divBdr>
                                    <w:top w:val="none" w:sz="0" w:space="0" w:color="auto"/>
                                    <w:left w:val="none" w:sz="0" w:space="0" w:color="auto"/>
                                    <w:bottom w:val="none" w:sz="0" w:space="0" w:color="auto"/>
                                    <w:right w:val="none" w:sz="0" w:space="0" w:color="auto"/>
                                  </w:divBdr>
                                  <w:divsChild>
                                    <w:div w:id="1167982626">
                                      <w:marLeft w:val="0"/>
                                      <w:marRight w:val="3600"/>
                                      <w:marTop w:val="0"/>
                                      <w:marBottom w:val="0"/>
                                      <w:divBdr>
                                        <w:top w:val="none" w:sz="0" w:space="0" w:color="auto"/>
                                        <w:left w:val="none" w:sz="0" w:space="0" w:color="auto"/>
                                        <w:bottom w:val="none" w:sz="0" w:space="0" w:color="auto"/>
                                        <w:right w:val="none" w:sz="0" w:space="0" w:color="auto"/>
                                      </w:divBdr>
                                      <w:divsChild>
                                        <w:div w:id="853762020">
                                          <w:marLeft w:val="0"/>
                                          <w:marRight w:val="0"/>
                                          <w:marTop w:val="0"/>
                                          <w:marBottom w:val="0"/>
                                          <w:divBdr>
                                            <w:top w:val="none" w:sz="0" w:space="0" w:color="auto"/>
                                            <w:left w:val="none" w:sz="0" w:space="0" w:color="auto"/>
                                            <w:bottom w:val="none" w:sz="0" w:space="0" w:color="auto"/>
                                            <w:right w:val="none" w:sz="0" w:space="0" w:color="auto"/>
                                          </w:divBdr>
                                          <w:divsChild>
                                            <w:div w:id="817965500">
                                              <w:marLeft w:val="0"/>
                                              <w:marRight w:val="0"/>
                                              <w:marTop w:val="0"/>
                                              <w:marBottom w:val="0"/>
                                              <w:divBdr>
                                                <w:top w:val="none" w:sz="0" w:space="0" w:color="auto"/>
                                                <w:left w:val="none" w:sz="0" w:space="0" w:color="auto"/>
                                                <w:bottom w:val="none" w:sz="0" w:space="0" w:color="auto"/>
                                                <w:right w:val="none" w:sz="0" w:space="0" w:color="auto"/>
                                              </w:divBdr>
                                              <w:divsChild>
                                                <w:div w:id="421297535">
                                                  <w:marLeft w:val="0"/>
                                                  <w:marRight w:val="0"/>
                                                  <w:marTop w:val="0"/>
                                                  <w:marBottom w:val="0"/>
                                                  <w:divBdr>
                                                    <w:top w:val="none" w:sz="0" w:space="0" w:color="auto"/>
                                                    <w:left w:val="none" w:sz="0" w:space="0" w:color="auto"/>
                                                    <w:bottom w:val="none" w:sz="0" w:space="0" w:color="auto"/>
                                                    <w:right w:val="none" w:sz="0" w:space="0" w:color="auto"/>
                                                  </w:divBdr>
                                                  <w:divsChild>
                                                    <w:div w:id="1367372695">
                                                      <w:marLeft w:val="0"/>
                                                      <w:marRight w:val="0"/>
                                                      <w:marTop w:val="0"/>
                                                      <w:marBottom w:val="0"/>
                                                      <w:divBdr>
                                                        <w:top w:val="none" w:sz="0" w:space="0" w:color="auto"/>
                                                        <w:left w:val="none" w:sz="0" w:space="0" w:color="auto"/>
                                                        <w:bottom w:val="none" w:sz="0" w:space="0" w:color="auto"/>
                                                        <w:right w:val="none" w:sz="0" w:space="0" w:color="auto"/>
                                                      </w:divBdr>
                                                      <w:divsChild>
                                                        <w:div w:id="4366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553756">
      <w:bodyDiv w:val="1"/>
      <w:marLeft w:val="0"/>
      <w:marRight w:val="0"/>
      <w:marTop w:val="0"/>
      <w:marBottom w:val="0"/>
      <w:divBdr>
        <w:top w:val="none" w:sz="0" w:space="0" w:color="auto"/>
        <w:left w:val="none" w:sz="0" w:space="0" w:color="auto"/>
        <w:bottom w:val="none" w:sz="0" w:space="0" w:color="auto"/>
        <w:right w:val="none" w:sz="0" w:space="0" w:color="auto"/>
      </w:divBdr>
    </w:div>
    <w:div w:id="939803106">
      <w:bodyDiv w:val="1"/>
      <w:marLeft w:val="0"/>
      <w:marRight w:val="0"/>
      <w:marTop w:val="0"/>
      <w:marBottom w:val="0"/>
      <w:divBdr>
        <w:top w:val="none" w:sz="0" w:space="0" w:color="auto"/>
        <w:left w:val="none" w:sz="0" w:space="0" w:color="auto"/>
        <w:bottom w:val="none" w:sz="0" w:space="0" w:color="auto"/>
        <w:right w:val="none" w:sz="0" w:space="0" w:color="auto"/>
      </w:divBdr>
    </w:div>
    <w:div w:id="1014768200">
      <w:bodyDiv w:val="1"/>
      <w:marLeft w:val="0"/>
      <w:marRight w:val="0"/>
      <w:marTop w:val="0"/>
      <w:marBottom w:val="0"/>
      <w:divBdr>
        <w:top w:val="none" w:sz="0" w:space="0" w:color="auto"/>
        <w:left w:val="none" w:sz="0" w:space="0" w:color="auto"/>
        <w:bottom w:val="none" w:sz="0" w:space="0" w:color="auto"/>
        <w:right w:val="none" w:sz="0" w:space="0" w:color="auto"/>
      </w:divBdr>
      <w:divsChild>
        <w:div w:id="845025112">
          <w:marLeft w:val="0"/>
          <w:marRight w:val="0"/>
          <w:marTop w:val="0"/>
          <w:marBottom w:val="0"/>
          <w:divBdr>
            <w:top w:val="none" w:sz="0" w:space="0" w:color="auto"/>
            <w:left w:val="none" w:sz="0" w:space="0" w:color="auto"/>
            <w:bottom w:val="none" w:sz="0" w:space="0" w:color="auto"/>
            <w:right w:val="none" w:sz="0" w:space="0" w:color="auto"/>
          </w:divBdr>
          <w:divsChild>
            <w:div w:id="1993025647">
              <w:marLeft w:val="0"/>
              <w:marRight w:val="0"/>
              <w:marTop w:val="0"/>
              <w:marBottom w:val="0"/>
              <w:divBdr>
                <w:top w:val="none" w:sz="0" w:space="0" w:color="auto"/>
                <w:left w:val="none" w:sz="0" w:space="0" w:color="auto"/>
                <w:bottom w:val="none" w:sz="0" w:space="0" w:color="auto"/>
                <w:right w:val="none" w:sz="0" w:space="0" w:color="auto"/>
              </w:divBdr>
              <w:divsChild>
                <w:div w:id="9900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24466">
      <w:bodyDiv w:val="1"/>
      <w:marLeft w:val="0"/>
      <w:marRight w:val="0"/>
      <w:marTop w:val="0"/>
      <w:marBottom w:val="0"/>
      <w:divBdr>
        <w:top w:val="none" w:sz="0" w:space="0" w:color="auto"/>
        <w:left w:val="none" w:sz="0" w:space="0" w:color="auto"/>
        <w:bottom w:val="none" w:sz="0" w:space="0" w:color="auto"/>
        <w:right w:val="none" w:sz="0" w:space="0" w:color="auto"/>
      </w:divBdr>
    </w:div>
    <w:div w:id="1500390516">
      <w:bodyDiv w:val="1"/>
      <w:marLeft w:val="0"/>
      <w:marRight w:val="0"/>
      <w:marTop w:val="0"/>
      <w:marBottom w:val="0"/>
      <w:divBdr>
        <w:top w:val="none" w:sz="0" w:space="0" w:color="auto"/>
        <w:left w:val="none" w:sz="0" w:space="0" w:color="auto"/>
        <w:bottom w:val="none" w:sz="0" w:space="0" w:color="auto"/>
        <w:right w:val="none" w:sz="0" w:space="0" w:color="auto"/>
      </w:divBdr>
    </w:div>
    <w:div w:id="1626109914">
      <w:bodyDiv w:val="1"/>
      <w:marLeft w:val="0"/>
      <w:marRight w:val="0"/>
      <w:marTop w:val="0"/>
      <w:marBottom w:val="0"/>
      <w:divBdr>
        <w:top w:val="none" w:sz="0" w:space="0" w:color="auto"/>
        <w:left w:val="none" w:sz="0" w:space="0" w:color="auto"/>
        <w:bottom w:val="none" w:sz="0" w:space="0" w:color="auto"/>
        <w:right w:val="none" w:sz="0" w:space="0" w:color="auto"/>
      </w:divBdr>
      <w:divsChild>
        <w:div w:id="773980172">
          <w:marLeft w:val="0"/>
          <w:marRight w:val="0"/>
          <w:marTop w:val="0"/>
          <w:marBottom w:val="0"/>
          <w:divBdr>
            <w:top w:val="none" w:sz="0" w:space="0" w:color="auto"/>
            <w:left w:val="none" w:sz="0" w:space="0" w:color="auto"/>
            <w:bottom w:val="none" w:sz="0" w:space="0" w:color="auto"/>
            <w:right w:val="none" w:sz="0" w:space="0" w:color="auto"/>
          </w:divBdr>
          <w:divsChild>
            <w:div w:id="822505317">
              <w:marLeft w:val="0"/>
              <w:marRight w:val="0"/>
              <w:marTop w:val="0"/>
              <w:marBottom w:val="0"/>
              <w:divBdr>
                <w:top w:val="none" w:sz="0" w:space="0" w:color="auto"/>
                <w:left w:val="none" w:sz="0" w:space="0" w:color="auto"/>
                <w:bottom w:val="none" w:sz="0" w:space="0" w:color="auto"/>
                <w:right w:val="none" w:sz="0" w:space="0" w:color="auto"/>
              </w:divBdr>
              <w:divsChild>
                <w:div w:id="5406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78345">
      <w:bodyDiv w:val="1"/>
      <w:marLeft w:val="0"/>
      <w:marRight w:val="0"/>
      <w:marTop w:val="0"/>
      <w:marBottom w:val="0"/>
      <w:divBdr>
        <w:top w:val="none" w:sz="0" w:space="0" w:color="auto"/>
        <w:left w:val="none" w:sz="0" w:space="0" w:color="auto"/>
        <w:bottom w:val="none" w:sz="0" w:space="0" w:color="auto"/>
        <w:right w:val="none" w:sz="0" w:space="0" w:color="auto"/>
      </w:divBdr>
    </w:div>
    <w:div w:id="1995596024">
      <w:bodyDiv w:val="1"/>
      <w:marLeft w:val="0"/>
      <w:marRight w:val="0"/>
      <w:marTop w:val="0"/>
      <w:marBottom w:val="0"/>
      <w:divBdr>
        <w:top w:val="none" w:sz="0" w:space="0" w:color="auto"/>
        <w:left w:val="none" w:sz="0" w:space="0" w:color="auto"/>
        <w:bottom w:val="none" w:sz="0" w:space="0" w:color="auto"/>
        <w:right w:val="none" w:sz="0" w:space="0" w:color="auto"/>
      </w:divBdr>
    </w:div>
    <w:div w:id="20333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MPL-EUROPEAN-PILLAR-OF-SOCIAL-RIGHTS@ec.europa.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priorities/deeper-and-fairer-economic-and-monetary-union/european-pillar-social-righ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96DB-2023-46EA-8BC2-875B9E11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5006</Words>
  <Characters>28955</Characters>
  <Application>Microsoft Office Word</Application>
  <DocSecurity>0</DocSecurity>
  <Lines>452</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2016-03-04T18:07:00Z</dcterms:created>
  <dcterms:modified xsi:type="dcterms:W3CDTF">2016-03-10T15:14:00Z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