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0F" w:rsidRDefault="00A44E6E">
      <w:pPr>
        <w:pStyle w:val="Pagedecouverture"/>
        <w:rPr>
          <w:noProof/>
          <w:lang w:eastAsia="en-GB"/>
        </w:rPr>
      </w:pPr>
      <w:bookmarkStart w:id="0" w:name="LW_BM_COVERPAGE"/>
      <w:bookmarkStart w:id="1" w:name="_GoBack"/>
      <w:bookmarkEnd w:id="1"/>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6CB3BA265B493BBE053B2F84F17083" style="width:450.25pt;height:321.3pt">
            <v:imagedata r:id="rId9" o:title=""/>
          </v:shape>
        </w:pict>
      </w:r>
    </w:p>
    <w:bookmarkEnd w:id="0"/>
    <w:p w:rsidR="00953C0F" w:rsidRDefault="00953C0F">
      <w:pPr>
        <w:rPr>
          <w:noProof/>
          <w:lang w:eastAsia="en-GB"/>
        </w:rPr>
        <w:sectPr w:rsidR="00953C0F">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lastRenderedPageBreak/>
        <w:t xml:space="preserve">La migración ha sido y seguirá siendo en las próximas décadas una de las cuestiones decisivas para </w:t>
      </w:r>
      <w:r>
        <w:rPr>
          <w:rFonts w:ascii="Times New Roman" w:hAnsi="Times New Roman"/>
          <w:noProof/>
          <w:sz w:val="24"/>
          <w:lang w:val="es-ES"/>
        </w:rPr>
        <w:t>Europa. Las tendencias subyacentes en materia de desarrollo económico, cambio climático, globalización de los transportes y las comunicaciones, guerra e inestabilidad en las regiones vecinas apuntan a que la gente seguirá intentando entrar en Europa en bus</w:t>
      </w:r>
      <w:r>
        <w:rPr>
          <w:rFonts w:ascii="Times New Roman" w:hAnsi="Times New Roman"/>
          <w:noProof/>
          <w:sz w:val="24"/>
          <w:lang w:val="es-ES"/>
        </w:rPr>
        <w:t>ca de refugio, una vida mejor o el reencuentro con sus familiares cercanos. Los países europeos no cejarán en su empeño por cumplir su compromiso moral y jurídico con quienes necesitan protección frente a la guerra y la persecución. Además, al hilo de su e</w:t>
      </w:r>
      <w:r>
        <w:rPr>
          <w:rFonts w:ascii="Times New Roman" w:hAnsi="Times New Roman"/>
          <w:noProof/>
          <w:sz w:val="24"/>
          <w:lang w:val="es-ES"/>
        </w:rPr>
        <w:t>volución demográfica, tendrán que aprovechar las oportunidades y las ventajas de atraer cualificaciones y talentos extranjeros.</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Como parte de su respuesta continua a la actual crisis de migración y refugiados, la Comisión presentó el 10 de febrero un info</w:t>
      </w:r>
      <w:r>
        <w:rPr>
          <w:rFonts w:ascii="Times New Roman" w:hAnsi="Times New Roman"/>
          <w:noProof/>
          <w:sz w:val="24"/>
          <w:lang w:val="es-ES"/>
        </w:rPr>
        <w:t>rme</w:t>
      </w:r>
      <w:r>
        <w:rPr>
          <w:rFonts w:ascii="Times New Roman" w:hAnsi="Times New Roman"/>
          <w:noProof/>
          <w:sz w:val="24"/>
          <w:vertAlign w:val="superscript"/>
        </w:rPr>
        <w:footnoteReference w:id="1"/>
      </w:r>
      <w:r>
        <w:rPr>
          <w:rFonts w:ascii="Times New Roman" w:hAnsi="Times New Roman"/>
          <w:noProof/>
          <w:sz w:val="24"/>
          <w:lang w:val="es-ES"/>
        </w:rPr>
        <w:t xml:space="preserve"> sobre las acciones prioritarias adoptadas de conformidad con la Agenda Europea de Migración</w:t>
      </w:r>
      <w:r>
        <w:rPr>
          <w:rFonts w:ascii="Times New Roman" w:hAnsi="Times New Roman"/>
          <w:noProof/>
          <w:sz w:val="24"/>
          <w:vertAlign w:val="superscript"/>
        </w:rPr>
        <w:footnoteReference w:id="2"/>
      </w:r>
      <w:r>
        <w:rPr>
          <w:rFonts w:ascii="Times New Roman" w:hAnsi="Times New Roman"/>
          <w:noProof/>
          <w:sz w:val="24"/>
          <w:lang w:val="es-ES"/>
        </w:rPr>
        <w:t xml:space="preserve"> a fin de abordar el reto inmediato de restablecer el orden en la ruta del Mediterráneo Oriental/los Balcanes Occidentales. A raíz de las reuniones del Consejo</w:t>
      </w:r>
      <w:r>
        <w:rPr>
          <w:rFonts w:ascii="Times New Roman" w:hAnsi="Times New Roman"/>
          <w:noProof/>
          <w:sz w:val="24"/>
          <w:lang w:val="es-ES"/>
        </w:rPr>
        <w:t xml:space="preserve"> Europeo de los días 18 y 19 de febrero y 17 y 18 de marzo, y de la reunión de jefes de Estado o de Gobierno de 7 de marzo</w:t>
      </w:r>
      <w:r>
        <w:rPr>
          <w:rFonts w:ascii="Times New Roman" w:hAnsi="Times New Roman"/>
          <w:noProof/>
          <w:sz w:val="24"/>
          <w:vertAlign w:val="superscript"/>
        </w:rPr>
        <w:footnoteReference w:id="3"/>
      </w:r>
      <w:r>
        <w:rPr>
          <w:rFonts w:ascii="Times New Roman" w:hAnsi="Times New Roman"/>
          <w:noProof/>
          <w:sz w:val="24"/>
          <w:lang w:val="es-ES"/>
        </w:rPr>
        <w:t>, la Comisión continuará prestando apoyo a los Estados miembros con miras a la puesta en práctica de todos los elementos acordados pa</w:t>
      </w:r>
      <w:r>
        <w:rPr>
          <w:rFonts w:ascii="Times New Roman" w:hAnsi="Times New Roman"/>
          <w:noProof/>
          <w:sz w:val="24"/>
          <w:lang w:val="es-ES"/>
        </w:rPr>
        <w:t>ra atajar los flujos incontrolados de migración irregular, proteger nuestras fronteras exteriores y salvaguardar la integridad del espacio Schengen, en particular las decisiones en materia de reubicación, los puntos críticos y medidas para garantizar los r</w:t>
      </w:r>
      <w:r>
        <w:rPr>
          <w:rFonts w:ascii="Times New Roman" w:hAnsi="Times New Roman"/>
          <w:noProof/>
          <w:sz w:val="24"/>
          <w:lang w:val="es-ES"/>
        </w:rPr>
        <w:t xml:space="preserve">etornos y readmisiones, garantizando al mismo tiempo el acceso efectivo a los procedimientos de asilo para las personas que necesitan protección internacional.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Aplicar la normativa actual y mejorar el funcionamiento de los instrumentos y mecanismos exist</w:t>
      </w:r>
      <w:r>
        <w:rPr>
          <w:rFonts w:ascii="Times New Roman" w:hAnsi="Times New Roman"/>
          <w:noProof/>
          <w:sz w:val="24"/>
          <w:lang w:val="es-ES"/>
        </w:rPr>
        <w:t>entes es esencial para recuperar el control de la situación actual. No obstante, al mismo tiempo, tal y como se señala en las conclusiones del Consejo Europeo de 18 y 19 de febrero y de 17 y 18 de marzo</w:t>
      </w:r>
      <w:r>
        <w:rPr>
          <w:rStyle w:val="FootnoteReference"/>
          <w:rFonts w:ascii="Times New Roman" w:hAnsi="Times New Roman"/>
          <w:noProof/>
          <w:sz w:val="24"/>
        </w:rPr>
        <w:footnoteReference w:id="4"/>
      </w:r>
      <w:r>
        <w:rPr>
          <w:rFonts w:ascii="Times New Roman" w:hAnsi="Times New Roman"/>
          <w:noProof/>
          <w:sz w:val="24"/>
          <w:lang w:val="es-ES"/>
        </w:rPr>
        <w:t>, es el momento de avanzar en la reforma del marco ac</w:t>
      </w:r>
      <w:r>
        <w:rPr>
          <w:rFonts w:ascii="Times New Roman" w:hAnsi="Times New Roman"/>
          <w:noProof/>
          <w:sz w:val="24"/>
          <w:lang w:val="es-ES"/>
        </w:rPr>
        <w:t>tual de la UE a fin de garantizar una política de asilo humana y eficiente. Se observan carencias estructurales y deficiencias importantes en el diseño y la aplicación de la política europea de asilo y migración, que la crisis ha puesto de manifiesto. Ha l</w:t>
      </w:r>
      <w:r>
        <w:rPr>
          <w:rFonts w:ascii="Times New Roman" w:hAnsi="Times New Roman"/>
          <w:noProof/>
          <w:sz w:val="24"/>
          <w:lang w:val="es-ES"/>
        </w:rPr>
        <w:t xml:space="preserve">legado el momento de que la UE cree los instrumentos necesarios para gestionar mejor los flujos migratorios a medio y largo plazo, con arreglo al enfoque establecido en la Agenda Europea de Migración.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El objetivo global es pasar de un sistema que por su </w:t>
      </w:r>
      <w:r>
        <w:rPr>
          <w:rFonts w:ascii="Times New Roman" w:hAnsi="Times New Roman"/>
          <w:noProof/>
          <w:sz w:val="24"/>
          <w:lang w:val="es-ES"/>
        </w:rPr>
        <w:t>diseño o por una aplicación deficiente asigna una responsabilidad desproporcionada a determinados Estados miembros y alienta los flujos migratorios irregulares e incontrolados a otro más justo que ofrezca itinerarios seguros y ordenados hacia la UE a los n</w:t>
      </w:r>
      <w:r>
        <w:rPr>
          <w:rFonts w:ascii="Times New Roman" w:hAnsi="Times New Roman"/>
          <w:noProof/>
          <w:sz w:val="24"/>
          <w:lang w:val="es-ES"/>
        </w:rPr>
        <w:t>acionales de países terceros necesitados de protección o que puedan contribuir al desarrollo económico de la UE. La UE necesita un sistema sólido y eficaz para una gestión de la migración sostenible de cara al futuro que sea justo tanto para las sociedades</w:t>
      </w:r>
      <w:r>
        <w:rPr>
          <w:rFonts w:ascii="Times New Roman" w:hAnsi="Times New Roman"/>
          <w:noProof/>
          <w:sz w:val="24"/>
          <w:lang w:val="es-ES"/>
        </w:rPr>
        <w:t xml:space="preserve"> de acogida y los ciudadanos de la UE como para los nacionales de terceros países y los países de origen y de tránsito. Para que funcione, este sistema debe ser integral y estar basado en los principios de responsabilidad y solidaridad.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En los últimos me</w:t>
      </w:r>
      <w:r>
        <w:rPr>
          <w:rFonts w:ascii="Times New Roman" w:hAnsi="Times New Roman"/>
          <w:noProof/>
          <w:sz w:val="24"/>
          <w:lang w:val="es-ES"/>
        </w:rPr>
        <w:t xml:space="preserve">ses se han dado pasos significativos para atajar de manera decidida la migración irregular y gestionar las fronteras exteriores de la UE de manera más eficiente. Es </w:t>
      </w:r>
      <w:r>
        <w:rPr>
          <w:rFonts w:ascii="Times New Roman" w:hAnsi="Times New Roman"/>
          <w:noProof/>
          <w:sz w:val="24"/>
          <w:lang w:val="es-ES"/>
        </w:rPr>
        <w:lastRenderedPageBreak/>
        <w:t>esencial que la propuesta de Reglamento sobre la Guardia Europea de Fronteras y Costas</w:t>
      </w:r>
      <w:r>
        <w:rPr>
          <w:rFonts w:ascii="Times New Roman" w:hAnsi="Times New Roman"/>
          <w:noProof/>
          <w:sz w:val="24"/>
          <w:vertAlign w:val="superscript"/>
        </w:rPr>
        <w:footnoteReference w:id="5"/>
      </w:r>
      <w:r>
        <w:rPr>
          <w:rFonts w:ascii="Times New Roman" w:hAnsi="Times New Roman"/>
          <w:noProof/>
          <w:sz w:val="24"/>
          <w:lang w:val="es-ES"/>
        </w:rPr>
        <w:t xml:space="preserve"> sea</w:t>
      </w:r>
      <w:r>
        <w:rPr>
          <w:rFonts w:ascii="Times New Roman" w:hAnsi="Times New Roman"/>
          <w:noProof/>
          <w:sz w:val="24"/>
          <w:lang w:val="es-ES"/>
        </w:rPr>
        <w:t xml:space="preserve"> adoptada de aquí a junio, de modo que pueda entrar en funcionamiento durante el verano. Avanza igualmente la aplicación de los Planes de Acción contra el tráfico ilícito de migrantes</w:t>
      </w:r>
      <w:r>
        <w:rPr>
          <w:rFonts w:ascii="Times New Roman" w:hAnsi="Times New Roman"/>
          <w:noProof/>
          <w:sz w:val="24"/>
          <w:vertAlign w:val="superscript"/>
        </w:rPr>
        <w:footnoteReference w:id="6"/>
      </w:r>
      <w:r>
        <w:rPr>
          <w:rFonts w:ascii="Times New Roman" w:hAnsi="Times New Roman"/>
          <w:noProof/>
          <w:sz w:val="24"/>
          <w:lang w:val="es-ES"/>
        </w:rPr>
        <w:t xml:space="preserve"> y en materia de retorno</w:t>
      </w:r>
      <w:r>
        <w:rPr>
          <w:rFonts w:ascii="Times New Roman" w:hAnsi="Times New Roman"/>
          <w:noProof/>
          <w:sz w:val="24"/>
          <w:vertAlign w:val="superscript"/>
        </w:rPr>
        <w:footnoteReference w:id="7"/>
      </w:r>
      <w:r>
        <w:rPr>
          <w:rFonts w:ascii="Times New Roman" w:hAnsi="Times New Roman"/>
          <w:noProof/>
          <w:sz w:val="24"/>
          <w:lang w:val="es-ES"/>
        </w:rPr>
        <w:t>, habiendo intensificado su trabajo en este ámb</w:t>
      </w:r>
      <w:r>
        <w:rPr>
          <w:rFonts w:ascii="Times New Roman" w:hAnsi="Times New Roman"/>
          <w:noProof/>
          <w:sz w:val="24"/>
          <w:lang w:val="es-ES"/>
        </w:rPr>
        <w:t>ito todas las agencias y todos los Estados miembros pertinentes.</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Pero la reducción de los flujos irregulares hacia y dentro de Europa y la protección de nuestras fronteras exteriores solo pueden realizarse efectivamente si abordamos el fenómeno migratorio</w:t>
      </w:r>
      <w:r>
        <w:rPr>
          <w:rFonts w:ascii="Times New Roman" w:hAnsi="Times New Roman"/>
          <w:noProof/>
          <w:sz w:val="24"/>
          <w:lang w:val="es-ES"/>
        </w:rPr>
        <w:t xml:space="preserve"> en una perspectiva amplia e integral: esto significa que necesitamos al mismo tiempo reforzar vías seguras y legales hacia Europa, mejorar el uso y la aplicación de los instrumentos vigentes en materia de migración legal, reforzar el Sistema Europeo Común</w:t>
      </w:r>
      <w:r>
        <w:rPr>
          <w:rFonts w:ascii="Times New Roman" w:hAnsi="Times New Roman"/>
          <w:noProof/>
          <w:sz w:val="24"/>
          <w:lang w:val="es-ES"/>
        </w:rPr>
        <w:t xml:space="preserve"> de Asilo y proseguir la lucha contra las causas últimas de la migración. Si queremos mejorar nuestro modo de gestionar la migración, hemos de hacer todo lo que esté en nuestras manos para atraer las cualificaciones y los talentos que necesitaremos en el f</w:t>
      </w:r>
      <w:r>
        <w:rPr>
          <w:rFonts w:ascii="Times New Roman" w:hAnsi="Times New Roman"/>
          <w:noProof/>
          <w:sz w:val="24"/>
          <w:lang w:val="es-ES"/>
        </w:rPr>
        <w:t>uturo y para aprovechar los beneficios de la migración, garantizando la integración efectiva y la participación en la sociedad de acogida de todos, ya sean refugiados o migrantes legales.</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Junto con las demás medidas derivadas de la Agenda Europea de Migra</w:t>
      </w:r>
      <w:r>
        <w:rPr>
          <w:rFonts w:ascii="Times New Roman" w:hAnsi="Times New Roman"/>
          <w:noProof/>
          <w:sz w:val="24"/>
          <w:lang w:val="es-ES"/>
        </w:rPr>
        <w:t>ción, la presente Comunicación expone las medidas que deben tomarse en pos de una política europea de asilo más humana, justa y eficiente, así como de una mejor gestión de la política de migración legal.</w:t>
      </w:r>
    </w:p>
    <w:p w:rsidR="00953C0F" w:rsidRDefault="00953C0F">
      <w:pPr>
        <w:spacing w:after="0"/>
        <w:jc w:val="both"/>
        <w:rPr>
          <w:rFonts w:ascii="Times New Roman" w:eastAsia="Times New Roman" w:hAnsi="Times New Roman" w:cs="Times New Roman"/>
          <w:b/>
          <w:noProof/>
          <w:sz w:val="28"/>
          <w:szCs w:val="28"/>
          <w:lang w:val="es-ES"/>
        </w:rPr>
      </w:pPr>
    </w:p>
    <w:p w:rsidR="00953C0F" w:rsidRDefault="00A44E6E">
      <w:pPr>
        <w:spacing w:after="0"/>
        <w:ind w:left="720" w:hanging="720"/>
        <w:jc w:val="both"/>
        <w:rPr>
          <w:rFonts w:ascii="Times New Roman" w:eastAsia="Times New Roman" w:hAnsi="Times New Roman" w:cs="Times New Roman"/>
          <w:b/>
          <w:smallCaps/>
          <w:noProof/>
          <w:sz w:val="28"/>
          <w:szCs w:val="28"/>
          <w:u w:val="single"/>
          <w:lang w:val="es-ES"/>
        </w:rPr>
      </w:pPr>
      <w:r>
        <w:rPr>
          <w:rFonts w:ascii="Times New Roman" w:hAnsi="Times New Roman"/>
          <w:b/>
          <w:noProof/>
          <w:sz w:val="28"/>
          <w:lang w:val="es-ES"/>
        </w:rPr>
        <w:t xml:space="preserve">I. </w:t>
      </w:r>
      <w:r>
        <w:rPr>
          <w:noProof/>
          <w:lang w:val="es-ES"/>
        </w:rPr>
        <w:tab/>
      </w:r>
      <w:r>
        <w:rPr>
          <w:rFonts w:ascii="Times New Roman" w:hAnsi="Times New Roman"/>
          <w:b/>
          <w:smallCaps/>
          <w:noProof/>
          <w:sz w:val="28"/>
          <w:lang w:val="es-ES"/>
        </w:rPr>
        <w:t xml:space="preserve">Hacia una política común de asilo sólida y </w:t>
      </w:r>
      <w:r>
        <w:rPr>
          <w:rFonts w:ascii="Times New Roman" w:hAnsi="Times New Roman"/>
          <w:b/>
          <w:smallCaps/>
          <w:noProof/>
          <w:sz w:val="28"/>
          <w:lang w:val="es-ES"/>
        </w:rPr>
        <w:t>sostenible</w:t>
      </w:r>
    </w:p>
    <w:p w:rsidR="00953C0F" w:rsidRDefault="00953C0F">
      <w:pPr>
        <w:spacing w:after="0"/>
        <w:jc w:val="both"/>
        <w:rPr>
          <w:rFonts w:ascii="Times New Roman" w:eastAsia="Times New Roman" w:hAnsi="Times New Roman" w:cs="Times New Roman"/>
          <w:b/>
          <w:noProof/>
          <w:sz w:val="24"/>
          <w:szCs w:val="24"/>
          <w:lang w:val="es-ES"/>
        </w:rPr>
      </w:pPr>
    </w:p>
    <w:p w:rsidR="00953C0F" w:rsidRDefault="00A44E6E">
      <w:pPr>
        <w:spacing w:after="0"/>
        <w:jc w:val="both"/>
        <w:rPr>
          <w:rFonts w:ascii="Times New Roman" w:eastAsia="Times New Roman" w:hAnsi="Times New Roman" w:cs="Times New Roman"/>
          <w:b/>
          <w:noProof/>
          <w:sz w:val="24"/>
          <w:szCs w:val="24"/>
          <w:lang w:val="es-ES"/>
        </w:rPr>
      </w:pPr>
      <w:r>
        <w:rPr>
          <w:rFonts w:ascii="Times New Roman" w:hAnsi="Times New Roman"/>
          <w:b/>
          <w:noProof/>
          <w:sz w:val="24"/>
          <w:lang w:val="es-ES"/>
        </w:rPr>
        <w:t>I.1</w:t>
      </w:r>
      <w:r>
        <w:rPr>
          <w:noProof/>
          <w:lang w:val="es-ES"/>
        </w:rPr>
        <w:tab/>
      </w:r>
      <w:r>
        <w:rPr>
          <w:rFonts w:ascii="Times New Roman" w:hAnsi="Times New Roman"/>
          <w:b/>
          <w:noProof/>
          <w:sz w:val="24"/>
          <w:lang w:val="es-ES"/>
        </w:rPr>
        <w:t>Flaquezas inherentes del Sistema Europeo Común de Asilo en tiempos de crisis migratoria</w:t>
      </w:r>
    </w:p>
    <w:p w:rsidR="00953C0F" w:rsidRDefault="00953C0F">
      <w:pPr>
        <w:spacing w:after="0"/>
        <w:jc w:val="both"/>
        <w:rPr>
          <w:rFonts w:ascii="Times New Roman" w:eastAsia="Times New Roman" w:hAnsi="Times New Roman" w:cs="Times New Roman"/>
          <w:b/>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llegada incontrolada y a gran escala de migrantes y solicitantes de asilo en 2015 no solo ha puesto presión en los sistemas de asilo de muchos Estad</w:t>
      </w:r>
      <w:r>
        <w:rPr>
          <w:rFonts w:ascii="Times New Roman" w:hAnsi="Times New Roman"/>
          <w:noProof/>
          <w:sz w:val="24"/>
          <w:lang w:val="es-ES"/>
        </w:rPr>
        <w:t>os miembros, sino también en el Sistema Europeo Común de Asilo en su conjunto. El Sistema Europeo Común de Asilo se compone de un marco jurídico que abarca todos los aspectos del proceso de asilo y un organismo de apoyo —la Oficina Europea de Apoyo al Asil</w:t>
      </w:r>
      <w:r>
        <w:rPr>
          <w:rFonts w:ascii="Times New Roman" w:hAnsi="Times New Roman"/>
          <w:noProof/>
          <w:sz w:val="24"/>
          <w:lang w:val="es-ES"/>
        </w:rPr>
        <w:t xml:space="preserve">o (EASO)—, que tiene por misión respaldar la aplicación del marco jurídico y facilitar la cooperación práctica entre los Estados miembros. La crisis ha puesto de manifiesto deficiencias en la concepción y aplicación del sistema, y de las «disposiciones de </w:t>
      </w:r>
      <w:r>
        <w:rPr>
          <w:rFonts w:ascii="Times New Roman" w:hAnsi="Times New Roman"/>
          <w:noProof/>
          <w:sz w:val="24"/>
          <w:lang w:val="es-ES"/>
        </w:rPr>
        <w:t>Dublín» en particular.</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El Reglamento de Dublín</w:t>
      </w:r>
      <w:r>
        <w:rPr>
          <w:rFonts w:ascii="Times New Roman" w:hAnsi="Times New Roman"/>
          <w:noProof/>
          <w:sz w:val="24"/>
          <w:vertAlign w:val="superscript"/>
        </w:rPr>
        <w:footnoteReference w:id="8"/>
      </w:r>
      <w:r>
        <w:rPr>
          <w:rFonts w:ascii="Times New Roman" w:hAnsi="Times New Roman"/>
          <w:noProof/>
          <w:sz w:val="24"/>
          <w:lang w:val="es-ES"/>
        </w:rPr>
        <w:t xml:space="preserve"> establece los criterios y mecanismos para determinar qué Estado miembro es responsable del examen de una solicitud de protección internacional. Quienes </w:t>
      </w:r>
      <w:r>
        <w:rPr>
          <w:rFonts w:ascii="Times New Roman" w:hAnsi="Times New Roman"/>
          <w:noProof/>
          <w:sz w:val="24"/>
          <w:lang w:val="es-ES"/>
        </w:rPr>
        <w:lastRenderedPageBreak/>
        <w:t>solicitan protección o ya la han obtenido no tienen der</w:t>
      </w:r>
      <w:r>
        <w:rPr>
          <w:rFonts w:ascii="Times New Roman" w:hAnsi="Times New Roman"/>
          <w:noProof/>
          <w:sz w:val="24"/>
          <w:lang w:val="es-ES"/>
        </w:rPr>
        <w:t xml:space="preserve">echo a elegir el Estado miembro en el que desean asentarse. Si el Estado miembro en el que presentan su solicitud los solicitantes de asilo no es el responsable para tramitarla, deben ser trasladados al Estado miembro responsable.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El sistema de Dublín no</w:t>
      </w:r>
      <w:r>
        <w:rPr>
          <w:rFonts w:ascii="Times New Roman" w:hAnsi="Times New Roman"/>
          <w:noProof/>
          <w:sz w:val="24"/>
          <w:lang w:val="es-ES"/>
        </w:rPr>
        <w:t xml:space="preserve"> fue concebido para garantizar un reparto de responsabilidad sostenible en relación con los solicitantes de asilo en toda la UE, una deficiencia que ha quedado de manifiesto en la actual crisis. En la práctica, el principal criterio para determinar quién e</w:t>
      </w:r>
      <w:r>
        <w:rPr>
          <w:rFonts w:ascii="Times New Roman" w:hAnsi="Times New Roman"/>
          <w:noProof/>
          <w:sz w:val="24"/>
          <w:lang w:val="es-ES"/>
        </w:rPr>
        <w:t>s responsable del examen de las solicitudes de asilo en la UE es la entrada irregular a través del territorio de un Estado miembro. La lógica de este criterio se basaba en la premisa de que debía establecerse una vinculación entre la asignación de responsa</w:t>
      </w:r>
      <w:r>
        <w:rPr>
          <w:rFonts w:ascii="Times New Roman" w:hAnsi="Times New Roman"/>
          <w:noProof/>
          <w:sz w:val="24"/>
          <w:lang w:val="es-ES"/>
        </w:rPr>
        <w:t>bilidades en el ámbito del asilo y el respeto por parte de los Estados miembros de sus obligaciones en materia de protección de la frontera exterior. Sin embargo, la capacidad para controlar efectivamente las entradas irregulares en la frontera exterior de</w:t>
      </w:r>
      <w:r>
        <w:rPr>
          <w:rFonts w:ascii="Times New Roman" w:hAnsi="Times New Roman"/>
          <w:noProof/>
          <w:sz w:val="24"/>
          <w:lang w:val="es-ES"/>
        </w:rPr>
        <w:t>pende, en cierta medida, de la cooperación con terceros países. Además, la experiencia de los últimos años ha demostrado que, especialmente en situaciones de afluencia masiva a lo largo de rutas migratorias específicas, el actual sistema hace recaer la res</w:t>
      </w:r>
      <w:r>
        <w:rPr>
          <w:rFonts w:ascii="Times New Roman" w:hAnsi="Times New Roman"/>
          <w:noProof/>
          <w:sz w:val="24"/>
          <w:lang w:val="es-ES"/>
        </w:rPr>
        <w:t>ponsabilidad, por ley, para la gran mayoría de los solicitantes de asilo, en un número limitado de Estados miembros concretos, una situación que podría tensar las capacidades de cualquier Estado miembro. Esto explica asimismo en parte por qué en los último</w:t>
      </w:r>
      <w:r>
        <w:rPr>
          <w:rFonts w:ascii="Times New Roman" w:hAnsi="Times New Roman"/>
          <w:noProof/>
          <w:sz w:val="24"/>
          <w:lang w:val="es-ES"/>
        </w:rPr>
        <w:t>s años ha ido en aumento el incumplimiento de las normas de la UE. Los migrantes también se niegan a menudo a presentar solicitudes de asilo o a cumplir las obligaciones de identificación en el Estado miembro de la primera llegada, y posteriormente se desp</w:t>
      </w:r>
      <w:r>
        <w:rPr>
          <w:rFonts w:ascii="Times New Roman" w:hAnsi="Times New Roman"/>
          <w:noProof/>
          <w:sz w:val="24"/>
          <w:lang w:val="es-ES"/>
        </w:rPr>
        <w:t>lazan al Estado miembro en el que desean instalarse y solicitan asilo allí. Estos movimientos secundarios se han saldado con la presentación de un gran número de solicitudes de asilo en Estados miembros que no son los del primer punto de entrada, una situa</w:t>
      </w:r>
      <w:r>
        <w:rPr>
          <w:rFonts w:ascii="Times New Roman" w:hAnsi="Times New Roman"/>
          <w:noProof/>
          <w:sz w:val="24"/>
          <w:lang w:val="es-ES"/>
        </w:rPr>
        <w:t xml:space="preserve">ción que, a su vez, ha llevado a varios Estados miembros a restablecer los controles en las fronteras interiores para gestionar la afluencia. </w:t>
      </w: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 </w:t>
      </w: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Pero ya antes de la crisis actual se habían registrado graves deficiencias en la aplicación del Reglamento de D</w:t>
      </w:r>
      <w:r>
        <w:rPr>
          <w:rFonts w:ascii="Times New Roman" w:hAnsi="Times New Roman"/>
          <w:noProof/>
          <w:sz w:val="24"/>
          <w:lang w:val="es-ES"/>
        </w:rPr>
        <w:t>ublín, de modo que, incluso con una aplicación más eficiente y estricta de la normativa por parte de todos los Estados miembros y con medidas adicionales para evitar los movimientos secundarios, es altamente probable que el sistema actual siga siendo insos</w:t>
      </w:r>
      <w:r>
        <w:rPr>
          <w:rFonts w:ascii="Times New Roman" w:hAnsi="Times New Roman"/>
          <w:noProof/>
          <w:sz w:val="24"/>
          <w:lang w:val="es-ES"/>
        </w:rPr>
        <w:t>tenible ante una presión migratoria continuada</w:t>
      </w:r>
      <w:r>
        <w:rPr>
          <w:rFonts w:ascii="Times New Roman" w:hAnsi="Times New Roman"/>
          <w:noProof/>
          <w:sz w:val="24"/>
          <w:vertAlign w:val="superscript"/>
        </w:rPr>
        <w:footnoteReference w:id="9"/>
      </w:r>
      <w:r>
        <w:rPr>
          <w:rFonts w:ascii="Times New Roman" w:hAnsi="Times New Roman"/>
          <w:noProof/>
          <w:sz w:val="24"/>
          <w:lang w:val="es-ES"/>
        </w:rPr>
        <w:t>. Entre los problemas planteados cabe destacar las dificultades a la hora de obtener y acordar pruebas que determinen la responsabilidad de un Estado miembro para examinar la solicitud de asilo, con el consigu</w:t>
      </w:r>
      <w:r>
        <w:rPr>
          <w:rFonts w:ascii="Times New Roman" w:hAnsi="Times New Roman"/>
          <w:noProof/>
          <w:sz w:val="24"/>
          <w:lang w:val="es-ES"/>
        </w:rPr>
        <w:t>iente aumento del número de denegaciones de solicitudes para aceptar el traslado de los solicitantes. Aun cuando los Estados miembros aceptan las solicitudes de traslado, solo en torno a una cuarta parte de estos casos acaban en traslados efectivos, pues u</w:t>
      </w:r>
      <w:r>
        <w:rPr>
          <w:rFonts w:ascii="Times New Roman" w:hAnsi="Times New Roman"/>
          <w:noProof/>
          <w:sz w:val="24"/>
          <w:lang w:val="es-ES"/>
        </w:rPr>
        <w:t>na vez realizados, son frecuentes los casos de movimientos secundarios de vuelta al Estado miembro desde el que se procedió al traslado. La eficacia del sistema se ve además menoscabada por las normas actuales que establecen una transferencia de responsabi</w:t>
      </w:r>
      <w:r>
        <w:rPr>
          <w:rFonts w:ascii="Times New Roman" w:hAnsi="Times New Roman"/>
          <w:noProof/>
          <w:sz w:val="24"/>
          <w:lang w:val="es-ES"/>
        </w:rPr>
        <w:t xml:space="preserve">lidad entre los Estados miembros transcurrido un determinado tiempo. Así, si un solicitante permanece fugado durante un periodo suficientemente largo en un Estado miembro sin ser trasladado efectivamente, este Estado miembro acabará siendo responsable.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O</w:t>
      </w:r>
      <w:r>
        <w:rPr>
          <w:rFonts w:ascii="Times New Roman" w:hAnsi="Times New Roman"/>
          <w:noProof/>
          <w:sz w:val="24"/>
          <w:lang w:val="es-ES"/>
        </w:rPr>
        <w:t>tro escollo al funcionamiento eficaz del sistema de Dublín estriba en la dificultad de trasladar a los solicitantes a Estados miembros con deficiencias sistémicas en aspectos críticos de sus procedimientos de asilo o sus condiciones de acogida. La suspensi</w:t>
      </w:r>
      <w:r>
        <w:rPr>
          <w:rFonts w:ascii="Times New Roman" w:hAnsi="Times New Roman"/>
          <w:noProof/>
          <w:sz w:val="24"/>
          <w:lang w:val="es-ES"/>
        </w:rPr>
        <w:t>ón efectiva de los traslados del sistema de Dublín a Grecia desde 2011 ha puesto de manifiesto una debilidad particularmente grave del sistema, sobre todo si tenemos en cuenta el gran número de migrantes que llegan a Grecia en los últimos meses</w:t>
      </w:r>
      <w:r>
        <w:rPr>
          <w:rStyle w:val="FootnoteReference"/>
          <w:rFonts w:ascii="Times New Roman" w:hAnsi="Times New Roman"/>
          <w:noProof/>
          <w:sz w:val="24"/>
        </w:rPr>
        <w:footnoteReference w:id="10"/>
      </w:r>
      <w:r>
        <w:rPr>
          <w:rFonts w:ascii="Times New Roman" w:hAnsi="Times New Roman"/>
          <w:noProof/>
          <w:sz w:val="24"/>
          <w:lang w:val="es-ES"/>
        </w:rPr>
        <w:t>.</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El Siste</w:t>
      </w:r>
      <w:r>
        <w:rPr>
          <w:rFonts w:ascii="Times New Roman" w:hAnsi="Times New Roman"/>
          <w:noProof/>
          <w:sz w:val="24"/>
          <w:lang w:val="es-ES"/>
        </w:rPr>
        <w:t>ma Europeo Común de Asilo se caracteriza también por la diferencia de trato respecto de los solicitantes de asilo, en particular en cuanto a la duración de los procedimientos de asilo y las condiciones de acogida en los Estados miembros, una situación que,</w:t>
      </w:r>
      <w:r>
        <w:rPr>
          <w:rFonts w:ascii="Times New Roman" w:hAnsi="Times New Roman"/>
          <w:noProof/>
          <w:sz w:val="24"/>
          <w:lang w:val="es-ES"/>
        </w:rPr>
        <w:t xml:space="preserve"> a su vez, constituye un incentivo a los movimientos secundarios. Estas divergencias obedecen en parte a las disposiciones, a menudo de carácter discrecional, que figuran en la Directiva sobre los procedimientos de asilo</w:t>
      </w:r>
      <w:r>
        <w:rPr>
          <w:rFonts w:ascii="Times New Roman" w:hAnsi="Times New Roman"/>
          <w:noProof/>
          <w:sz w:val="24"/>
          <w:vertAlign w:val="superscript"/>
        </w:rPr>
        <w:footnoteReference w:id="11"/>
      </w:r>
      <w:r>
        <w:rPr>
          <w:rFonts w:ascii="Times New Roman" w:hAnsi="Times New Roman"/>
          <w:noProof/>
          <w:sz w:val="24"/>
          <w:lang w:val="es-ES"/>
        </w:rPr>
        <w:t xml:space="preserve"> y la Directiva sobre las condicion</w:t>
      </w:r>
      <w:r>
        <w:rPr>
          <w:rFonts w:ascii="Times New Roman" w:hAnsi="Times New Roman"/>
          <w:noProof/>
          <w:sz w:val="24"/>
          <w:lang w:val="es-ES"/>
        </w:rPr>
        <w:t>es de acogida</w:t>
      </w:r>
      <w:r>
        <w:rPr>
          <w:rFonts w:ascii="Times New Roman" w:hAnsi="Times New Roman"/>
          <w:noProof/>
          <w:sz w:val="24"/>
          <w:vertAlign w:val="superscript"/>
        </w:rPr>
        <w:footnoteReference w:id="12"/>
      </w:r>
      <w:r>
        <w:rPr>
          <w:rFonts w:ascii="Times New Roman" w:hAnsi="Times New Roman"/>
          <w:noProof/>
          <w:sz w:val="24"/>
          <w:lang w:val="es-ES"/>
        </w:rPr>
        <w:t>. Por otra parte, mientras que la Directiva sobre los requisitos para el reconocimiento</w:t>
      </w:r>
      <w:r>
        <w:rPr>
          <w:rFonts w:ascii="Times New Roman" w:hAnsi="Times New Roman"/>
          <w:noProof/>
          <w:sz w:val="24"/>
          <w:vertAlign w:val="superscript"/>
        </w:rPr>
        <w:footnoteReference w:id="13"/>
      </w:r>
      <w:r>
        <w:rPr>
          <w:rFonts w:ascii="Times New Roman" w:hAnsi="Times New Roman"/>
          <w:noProof/>
          <w:sz w:val="24"/>
          <w:lang w:val="es-ES"/>
        </w:rPr>
        <w:t xml:space="preserve"> establece las normas para el reconocimiento y la protección que se ofrece a nivel de la UE, en la práctica, los índices de reconocimiento varían, a veces</w:t>
      </w:r>
      <w:r>
        <w:rPr>
          <w:rFonts w:ascii="Times New Roman" w:hAnsi="Times New Roman"/>
          <w:noProof/>
          <w:sz w:val="24"/>
          <w:lang w:val="es-ES"/>
        </w:rPr>
        <w:t xml:space="preserve"> sustancialmente, entre los distintos Estados miembros</w:t>
      </w:r>
      <w:r>
        <w:rPr>
          <w:rFonts w:ascii="Times New Roman" w:hAnsi="Times New Roman"/>
          <w:noProof/>
          <w:sz w:val="24"/>
          <w:vertAlign w:val="superscript"/>
        </w:rPr>
        <w:footnoteReference w:id="14"/>
      </w:r>
      <w:r>
        <w:rPr>
          <w:rFonts w:ascii="Times New Roman" w:hAnsi="Times New Roman"/>
          <w:noProof/>
          <w:sz w:val="24"/>
          <w:lang w:val="es-ES"/>
        </w:rPr>
        <w:t xml:space="preserve">. Se observa asimismo una falta de convergencia en lo que respecta a las decisiones por las que se concede el estatuto de refugiado (que se otorga a personas que huyen de la persecución) o el estatuto </w:t>
      </w:r>
      <w:r>
        <w:rPr>
          <w:rFonts w:ascii="Times New Roman" w:hAnsi="Times New Roman"/>
          <w:noProof/>
          <w:sz w:val="24"/>
          <w:lang w:val="es-ES"/>
        </w:rPr>
        <w:t>de protección subsidiaria (que se otorga a personas que huyen del riesgo de daños graves, incluidos los casos de conflictos armados) a los solicitantes que proceden de un país de origen determinado. Esta divergencia ha alentado asimismo los movimientos sec</w:t>
      </w:r>
      <w:r>
        <w:rPr>
          <w:rFonts w:ascii="Times New Roman" w:hAnsi="Times New Roman"/>
          <w:noProof/>
          <w:sz w:val="24"/>
          <w:lang w:val="es-ES"/>
        </w:rPr>
        <w:t xml:space="preserve">undarios, al igual que las variaciones en la duración de los permisos de residencia, así como en el acceso a la asistencia social y la reagrupación familiar.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UE dispone de uno de los sistemas de asilo más protectores y generosos del mundo, y la conces</w:t>
      </w:r>
      <w:r>
        <w:rPr>
          <w:rFonts w:ascii="Times New Roman" w:hAnsi="Times New Roman"/>
          <w:noProof/>
          <w:sz w:val="24"/>
          <w:lang w:val="es-ES"/>
        </w:rPr>
        <w:t>ión del estatuto de protección internacional en los Estados miembros de la UE, en la práctica, casi siempre ha dado lugar a la residencia permanente en la UE, mientras que su objetivo original y principal era conceder protección únicamente mientras persist</w:t>
      </w:r>
      <w:r>
        <w:rPr>
          <w:rFonts w:ascii="Times New Roman" w:hAnsi="Times New Roman"/>
          <w:noProof/>
          <w:sz w:val="24"/>
          <w:lang w:val="es-ES"/>
        </w:rPr>
        <w:t>iera el riesgo de persecución o daños graves. Una vez que las circunstancias en el país de origen o la situación de un solicitante cambien, la protección deja de ser necesaria. Sin embargo, aunque la Directiva sobre los requisitos para el reconocimiento co</w:t>
      </w:r>
      <w:r>
        <w:rPr>
          <w:rFonts w:ascii="Times New Roman" w:hAnsi="Times New Roman"/>
          <w:noProof/>
          <w:sz w:val="24"/>
          <w:lang w:val="es-ES"/>
        </w:rPr>
        <w:t>ntiene disposiciones sobre el cese del estatuto, estas no se están utilizando sistemáticamente en la práctica.</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Basándose en las prioridades inmediatas señaladas en la Agenda Europea de Migración, la Comisión ha adoptado medidas financieras, jurídicas</w:t>
      </w:r>
      <w:r>
        <w:rPr>
          <w:rFonts w:ascii="Times New Roman" w:hAnsi="Times New Roman"/>
          <w:noProof/>
          <w:sz w:val="24"/>
          <w:vertAlign w:val="superscript"/>
        </w:rPr>
        <w:footnoteReference w:id="15"/>
      </w:r>
      <w:r>
        <w:rPr>
          <w:rFonts w:ascii="Times New Roman" w:hAnsi="Times New Roman"/>
          <w:noProof/>
          <w:sz w:val="24"/>
          <w:lang w:val="es-ES"/>
        </w:rPr>
        <w:t xml:space="preserve"> y operativas con vistas a una mejor aplicación de las normas del Sistema Europeo Común de Asilo, tal como se indica en la Comunicación de 10 de febrero de 2016. En concreto, la Comisión ha propuesto los dos regímenes de reubicación temporal de crisis acor</w:t>
      </w:r>
      <w:r>
        <w:rPr>
          <w:rFonts w:ascii="Times New Roman" w:hAnsi="Times New Roman"/>
          <w:noProof/>
          <w:sz w:val="24"/>
          <w:lang w:val="es-ES"/>
        </w:rPr>
        <w:t xml:space="preserve">dados en septiembre, que prevén la transferencia de responsabilidad para determinados solicitantes de asilo procedentes de Italia y Grecia hacia otros Estados miembros.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Es imprescindible que estas medidas se apliquen plenamente y con rapidez para hacer f</w:t>
      </w:r>
      <w:r>
        <w:rPr>
          <w:rFonts w:ascii="Times New Roman" w:hAnsi="Times New Roman"/>
          <w:noProof/>
          <w:sz w:val="24"/>
          <w:lang w:val="es-ES"/>
        </w:rPr>
        <w:t>rente a los desafíos inmediatos. La Unión debe lograr, mediante la actuación concertada entre todos los Estados miembros y con el pleno apoyo de la Comisión y de los órganos de la Unión, la correcta aplicación del marco jurídico vigente a fin de consolidar</w:t>
      </w:r>
      <w:r>
        <w:rPr>
          <w:rFonts w:ascii="Times New Roman" w:hAnsi="Times New Roman"/>
          <w:noProof/>
          <w:sz w:val="24"/>
          <w:lang w:val="es-ES"/>
        </w:rPr>
        <w:t xml:space="preserve"> la estabilidad y el orden en el funcionamiento del Sistema Europeo Común de Asilo. Al mismo tiempo, la UE debe aprender de la presente crisis y empezar a subsanar sus debilidades inherentes de cara al largo plazo. Hacen falta, por tanto, actuaciones que g</w:t>
      </w:r>
      <w:r>
        <w:rPr>
          <w:rFonts w:ascii="Times New Roman" w:hAnsi="Times New Roman"/>
          <w:noProof/>
          <w:sz w:val="24"/>
          <w:lang w:val="es-ES"/>
        </w:rPr>
        <w:t>aranticen un sistema humano, justo y eficiente para el futuro.</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b/>
          <w:noProof/>
          <w:sz w:val="24"/>
          <w:lang w:val="es-ES"/>
        </w:rPr>
        <w:t>I.2 Abordar las deficiencias estructurales: cinco prioridades</w:t>
      </w:r>
    </w:p>
    <w:p w:rsidR="00953C0F" w:rsidRDefault="00953C0F">
      <w:pPr>
        <w:spacing w:after="0" w:line="240" w:lineRule="auto"/>
        <w:jc w:val="both"/>
        <w:rPr>
          <w:rFonts w:ascii="Times New Roman" w:eastAsia="Times New Roman" w:hAnsi="Times New Roman" w:cs="Times New Roman"/>
          <w:bCs/>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En este contexto, la Comisión considera que existen cinco ámbitos prioritarios en los que deberían introducirse mejoras </w:t>
      </w:r>
      <w:r>
        <w:rPr>
          <w:rFonts w:ascii="Times New Roman" w:hAnsi="Times New Roman"/>
          <w:noProof/>
          <w:sz w:val="24"/>
          <w:lang w:val="es-ES"/>
        </w:rPr>
        <w:t>estructurales en el Sistema Europeo Común de Asilo.</w:t>
      </w:r>
    </w:p>
    <w:p w:rsidR="00953C0F" w:rsidRDefault="00953C0F">
      <w:pPr>
        <w:spacing w:after="0" w:line="240" w:lineRule="auto"/>
        <w:jc w:val="both"/>
        <w:rPr>
          <w:rFonts w:ascii="Times New Roman" w:eastAsia="Times New Roman" w:hAnsi="Times New Roman" w:cs="Times New Roman"/>
          <w:bCs/>
          <w:noProof/>
          <w:sz w:val="24"/>
          <w:szCs w:val="24"/>
          <w:lang w:val="es-ES"/>
        </w:rPr>
      </w:pP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s-ES"/>
        </w:rPr>
      </w:pPr>
      <w:r>
        <w:rPr>
          <w:rFonts w:ascii="Times New Roman" w:hAnsi="Times New Roman"/>
          <w:i/>
          <w:noProof/>
          <w:sz w:val="24"/>
          <w:lang w:val="es-ES"/>
        </w:rPr>
        <w:t>Prioridades</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a) </w:t>
      </w:r>
      <w:r>
        <w:rPr>
          <w:rFonts w:ascii="Times New Roman" w:hAnsi="Times New Roman"/>
          <w:noProof/>
          <w:sz w:val="24"/>
          <w:u w:val="single"/>
          <w:lang w:val="es-ES"/>
        </w:rPr>
        <w:t>Crear un sistema sostenible y justo para determinar el Estado miembro responsable de la tramitación de los solicitantes de asilo</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Objetivo: </w:t>
      </w:r>
      <w:r>
        <w:rPr>
          <w:rFonts w:ascii="Times New Roman" w:hAnsi="Times New Roman"/>
          <w:noProof/>
          <w:sz w:val="24"/>
          <w:lang w:val="es-ES"/>
        </w:rPr>
        <w:t>Adaptar el Sistema Europeo Común de Asilo para af</w:t>
      </w:r>
      <w:r>
        <w:rPr>
          <w:rFonts w:ascii="Times New Roman" w:hAnsi="Times New Roman"/>
          <w:noProof/>
          <w:sz w:val="24"/>
          <w:lang w:val="es-ES"/>
        </w:rPr>
        <w:t>rontar mejor la llegada de un número elevado de solicitantes de asilo y refugiados a través de puntos de entrada específicos y garantizar un alto grado de solidaridad y un reparto equitativo de la responsabilidad entre los Estados miembros mediante una asi</w:t>
      </w:r>
      <w:r>
        <w:rPr>
          <w:rFonts w:ascii="Times New Roman" w:hAnsi="Times New Roman"/>
          <w:noProof/>
          <w:sz w:val="24"/>
          <w:lang w:val="es-ES"/>
        </w:rPr>
        <w:t xml:space="preserve">gnación justa de los solicitantes de asilo. </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Acciones: </w:t>
      </w:r>
      <w:r>
        <w:rPr>
          <w:rFonts w:ascii="Times New Roman" w:hAnsi="Times New Roman"/>
          <w:noProof/>
          <w:sz w:val="24"/>
          <w:lang w:val="es-ES"/>
        </w:rPr>
        <w:t xml:space="preserve">La Comisión propondrá modificar el Reglamento de Dublín racionalizándolo y completándolo con un mecanismo de equidad corrector o pasando a un nuevo sistema basado en una clave de distribución. </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s-ES"/>
        </w:rPr>
      </w:pPr>
      <w:r>
        <w:rPr>
          <w:rFonts w:ascii="Times New Roman" w:hAnsi="Times New Roman"/>
          <w:noProof/>
          <w:sz w:val="24"/>
          <w:lang w:val="es-ES"/>
        </w:rPr>
        <w:t xml:space="preserve">b) </w:t>
      </w:r>
      <w:r>
        <w:rPr>
          <w:rFonts w:ascii="Times New Roman" w:hAnsi="Times New Roman"/>
          <w:noProof/>
          <w:sz w:val="24"/>
          <w:u w:val="single"/>
          <w:lang w:val="es-ES"/>
        </w:rPr>
        <w:t>Refo</w:t>
      </w:r>
      <w:r>
        <w:rPr>
          <w:rFonts w:ascii="Times New Roman" w:hAnsi="Times New Roman"/>
          <w:noProof/>
          <w:sz w:val="24"/>
          <w:u w:val="single"/>
          <w:lang w:val="es-ES"/>
        </w:rPr>
        <w:t>rzar el sistema Eurodac</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Objetivo: </w:t>
      </w:r>
      <w:r>
        <w:rPr>
          <w:rFonts w:ascii="Times New Roman" w:hAnsi="Times New Roman"/>
          <w:noProof/>
          <w:sz w:val="24"/>
          <w:lang w:val="es-ES"/>
        </w:rPr>
        <w:t xml:space="preserve">Apoyar la aplicación del Reglamento de Dublín y facilitar la lucha contra la migración irregular. </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s-ES"/>
        </w:rPr>
      </w:pPr>
      <w:r>
        <w:rPr>
          <w:rFonts w:ascii="Times New Roman" w:hAnsi="Times New Roman"/>
          <w:i/>
          <w:noProof/>
          <w:sz w:val="24"/>
          <w:lang w:val="es-ES"/>
        </w:rPr>
        <w:t xml:space="preserve">Acciones: </w:t>
      </w:r>
      <w:r>
        <w:rPr>
          <w:rFonts w:ascii="Times New Roman" w:hAnsi="Times New Roman"/>
          <w:noProof/>
          <w:sz w:val="24"/>
          <w:lang w:val="es-ES"/>
        </w:rPr>
        <w:t>La Comisión propondrá adaptar el sistema Eurodac de modo que refleje los cambios en el mecanismo de Dublín y ampl</w:t>
      </w:r>
      <w:r>
        <w:rPr>
          <w:rFonts w:ascii="Times New Roman" w:hAnsi="Times New Roman"/>
          <w:noProof/>
          <w:sz w:val="24"/>
          <w:lang w:val="es-ES"/>
        </w:rPr>
        <w:t>iar sus efectos más allá del asilo.</w:t>
      </w:r>
      <w:r>
        <w:rPr>
          <w:rFonts w:ascii="Times New Roman" w:hAnsi="Times New Roman"/>
          <w:i/>
          <w:noProof/>
          <w:sz w:val="24"/>
          <w:lang w:val="es-ES"/>
        </w:rPr>
        <w:t xml:space="preserve"> </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s-ES"/>
        </w:rPr>
      </w:pPr>
      <w:r>
        <w:rPr>
          <w:rFonts w:ascii="Times New Roman" w:hAnsi="Times New Roman"/>
          <w:noProof/>
          <w:sz w:val="24"/>
          <w:lang w:val="es-ES"/>
        </w:rPr>
        <w:t xml:space="preserve">c) </w:t>
      </w:r>
      <w:r>
        <w:rPr>
          <w:rFonts w:ascii="Times New Roman" w:hAnsi="Times New Roman"/>
          <w:noProof/>
          <w:sz w:val="24"/>
          <w:u w:val="single"/>
          <w:lang w:val="es-ES"/>
        </w:rPr>
        <w:t>Lograr una mayor convergencia en el sistema de asilo de la UE</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Objetivo: </w:t>
      </w:r>
      <w:r>
        <w:rPr>
          <w:rFonts w:ascii="Times New Roman" w:hAnsi="Times New Roman"/>
          <w:noProof/>
          <w:sz w:val="24"/>
          <w:lang w:val="es-ES"/>
        </w:rPr>
        <w:t>Reforzar y armonizar en mayor medida las normas del Sistema Europeo Común de Asilo para garantizar una mayor igualdad de trato en toda la UE y r</w:t>
      </w:r>
      <w:r>
        <w:rPr>
          <w:rFonts w:ascii="Times New Roman" w:hAnsi="Times New Roman"/>
          <w:noProof/>
          <w:sz w:val="24"/>
          <w:lang w:val="es-ES"/>
        </w:rPr>
        <w:t xml:space="preserve">educir los factores de atracción injustificados para venir a la UE. </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Acciones: </w:t>
      </w:r>
      <w:r>
        <w:rPr>
          <w:rFonts w:ascii="Times New Roman" w:hAnsi="Times New Roman"/>
          <w:noProof/>
          <w:sz w:val="24"/>
          <w:lang w:val="es-ES"/>
        </w:rPr>
        <w:t>La Comisión propondrá un nuevo Reglamento por el que se establece un único procedimiento común de asilo en la UE y se sustituye la Directiva sobre procedimientos de asilo, un nu</w:t>
      </w:r>
      <w:r>
        <w:rPr>
          <w:rFonts w:ascii="Times New Roman" w:hAnsi="Times New Roman"/>
          <w:noProof/>
          <w:sz w:val="24"/>
          <w:lang w:val="es-ES"/>
        </w:rPr>
        <w:t xml:space="preserve">evo Reglamento por el que se sustituye la Directiva relativa a los requisitos para el reconocimiento y modificaciones específicas de la Directiva sobre condiciones de acogida. </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s-ES"/>
        </w:rPr>
      </w:pPr>
      <w:r>
        <w:rPr>
          <w:rFonts w:ascii="Times New Roman" w:hAnsi="Times New Roman"/>
          <w:noProof/>
          <w:sz w:val="24"/>
          <w:lang w:val="es-ES"/>
        </w:rPr>
        <w:t xml:space="preserve">d) </w:t>
      </w:r>
      <w:r>
        <w:rPr>
          <w:rFonts w:ascii="Times New Roman" w:hAnsi="Times New Roman"/>
          <w:noProof/>
          <w:sz w:val="24"/>
          <w:u w:val="single"/>
          <w:lang w:val="es-ES"/>
        </w:rPr>
        <w:t>Impedir los movimientos secundarios dentro de la UE</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Objetivo: </w:t>
      </w:r>
      <w:r>
        <w:rPr>
          <w:rFonts w:ascii="Times New Roman" w:hAnsi="Times New Roman"/>
          <w:noProof/>
          <w:sz w:val="24"/>
          <w:lang w:val="es-ES"/>
        </w:rPr>
        <w:t>Garantizar que</w:t>
      </w:r>
      <w:r>
        <w:rPr>
          <w:rFonts w:ascii="Times New Roman" w:hAnsi="Times New Roman"/>
          <w:noProof/>
          <w:sz w:val="24"/>
          <w:lang w:val="es-ES"/>
        </w:rPr>
        <w:t xml:space="preserve"> el funcionamiento del mecanismo de Dublín no se vea entorpecido por los abusos y las solicitudes múltiples por parte de los solicitantes de asilo y los beneficiarios de protección internacional. </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Acciones: </w:t>
      </w:r>
      <w:r>
        <w:rPr>
          <w:rFonts w:ascii="Times New Roman" w:hAnsi="Times New Roman"/>
          <w:noProof/>
          <w:sz w:val="24"/>
          <w:lang w:val="es-ES"/>
        </w:rPr>
        <w:t>La Comisión incluirá reforzar las medidas procedi</w:t>
      </w:r>
      <w:r>
        <w:rPr>
          <w:rFonts w:ascii="Times New Roman" w:hAnsi="Times New Roman"/>
          <w:noProof/>
          <w:sz w:val="24"/>
          <w:lang w:val="es-ES"/>
        </w:rPr>
        <w:t>mentales en sus propuestas en virtud de los nuevos Reglamentos sobre los procedimientos de asilo y los requisitos para el reconocimiento y de la Directiva sobre las condiciones de acogida, a fin de desalentar y sancionar los desplazamientos irregulares a o</w:t>
      </w:r>
      <w:r>
        <w:rPr>
          <w:rFonts w:ascii="Times New Roman" w:hAnsi="Times New Roman"/>
          <w:noProof/>
          <w:sz w:val="24"/>
          <w:lang w:val="es-ES"/>
        </w:rPr>
        <w:t xml:space="preserve">tros Estados miembros. </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es-ES"/>
        </w:rPr>
      </w:pPr>
      <w:r>
        <w:rPr>
          <w:rFonts w:ascii="Times New Roman" w:hAnsi="Times New Roman"/>
          <w:noProof/>
          <w:sz w:val="24"/>
          <w:lang w:val="es-ES"/>
        </w:rPr>
        <w:t xml:space="preserve">e) </w:t>
      </w:r>
      <w:r>
        <w:rPr>
          <w:rFonts w:ascii="Times New Roman" w:hAnsi="Times New Roman"/>
          <w:noProof/>
          <w:sz w:val="24"/>
          <w:u w:val="single"/>
          <w:lang w:val="es-ES"/>
        </w:rPr>
        <w:t>Un nuevo mandato para la agencia de asilo de la UE</w:t>
      </w:r>
    </w:p>
    <w:p w:rsidR="00953C0F" w:rsidRDefault="00A44E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Objetivo: </w:t>
      </w:r>
      <w:r>
        <w:rPr>
          <w:rFonts w:ascii="Times New Roman" w:hAnsi="Times New Roman"/>
          <w:noProof/>
          <w:sz w:val="24"/>
          <w:lang w:val="es-ES"/>
        </w:rPr>
        <w:t>Facilitar el funcionamiento del Sistema Europeo Común de Asilo y del mecanismo de distribución de Dublín revisado, desarrollando acciones específicas en ámbitos clave, y garantizar una mayor armonización de la evaluación de las necesidades de protección en</w:t>
      </w:r>
      <w:r>
        <w:rPr>
          <w:rFonts w:ascii="Times New Roman" w:hAnsi="Times New Roman"/>
          <w:noProof/>
          <w:sz w:val="24"/>
          <w:lang w:val="es-ES"/>
        </w:rPr>
        <w:t xml:space="preserve"> todos los Estados miembros. </w:t>
      </w:r>
    </w:p>
    <w:p w:rsidR="00953C0F" w:rsidRDefault="00A44E6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sz w:val="24"/>
          <w:szCs w:val="24"/>
          <w:lang w:val="es-ES"/>
        </w:rPr>
      </w:pPr>
      <w:r>
        <w:rPr>
          <w:rFonts w:ascii="Times New Roman" w:hAnsi="Times New Roman"/>
          <w:i/>
          <w:noProof/>
          <w:sz w:val="24"/>
          <w:lang w:val="es-ES"/>
        </w:rPr>
        <w:t xml:space="preserve">Acciones: </w:t>
      </w:r>
      <w:r>
        <w:rPr>
          <w:rFonts w:ascii="Times New Roman" w:hAnsi="Times New Roman"/>
          <w:noProof/>
          <w:sz w:val="24"/>
          <w:lang w:val="es-ES"/>
        </w:rPr>
        <w:t>La Comisión propondrá modificar el mandato de la EASO para que pueda desempeñar un nuevo papel en favor de la ejecución de las políticas, así como un papel operativo reforzado, y aportar recursos financieros y medios</w:t>
      </w:r>
      <w:r>
        <w:rPr>
          <w:rFonts w:ascii="Times New Roman" w:hAnsi="Times New Roman"/>
          <w:noProof/>
          <w:sz w:val="24"/>
          <w:lang w:val="es-ES"/>
        </w:rPr>
        <w:t xml:space="preserve"> jurídicos suficientes para tal fin.</w:t>
      </w:r>
    </w:p>
    <w:p w:rsidR="00953C0F" w:rsidRDefault="00953C0F">
      <w:pPr>
        <w:spacing w:after="0" w:line="240" w:lineRule="auto"/>
        <w:jc w:val="both"/>
        <w:rPr>
          <w:rFonts w:ascii="Times New Roman" w:eastAsia="Times New Roman" w:hAnsi="Times New Roman" w:cs="Times New Roman"/>
          <w:bCs/>
          <w:noProof/>
          <w:sz w:val="24"/>
          <w:szCs w:val="24"/>
          <w:lang w:val="es-ES"/>
        </w:rPr>
      </w:pPr>
    </w:p>
    <w:p w:rsidR="00953C0F" w:rsidRDefault="00A44E6E">
      <w:pPr>
        <w:spacing w:after="0" w:line="240" w:lineRule="auto"/>
        <w:ind w:left="720" w:hanging="720"/>
        <w:jc w:val="both"/>
        <w:rPr>
          <w:rFonts w:ascii="Times New Roman" w:eastAsia="Times New Roman" w:hAnsi="Times New Roman" w:cs="Times New Roman"/>
          <w:noProof/>
          <w:sz w:val="24"/>
          <w:szCs w:val="24"/>
          <w:lang w:val="es-ES"/>
        </w:rPr>
      </w:pPr>
      <w:r>
        <w:rPr>
          <w:rFonts w:ascii="Times New Roman" w:hAnsi="Times New Roman"/>
          <w:b/>
          <w:i/>
          <w:noProof/>
          <w:sz w:val="24"/>
          <w:lang w:val="es-ES"/>
        </w:rPr>
        <w:t>a)</w:t>
      </w:r>
      <w:r>
        <w:rPr>
          <w:rFonts w:ascii="Times New Roman" w:hAnsi="Times New Roman"/>
          <w:noProof/>
          <w:sz w:val="24"/>
          <w:lang w:val="es-ES"/>
        </w:rPr>
        <w:tab/>
      </w:r>
      <w:r>
        <w:rPr>
          <w:rFonts w:ascii="Times New Roman" w:hAnsi="Times New Roman"/>
          <w:b/>
          <w:i/>
          <w:noProof/>
          <w:sz w:val="24"/>
          <w:u w:val="single"/>
          <w:lang w:val="es-ES"/>
        </w:rPr>
        <w:t>Un sistema sostenible y justo para determinar el Estado miembro responsable del examen de las solicitudes de asilo</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El Reglamento de Dublín establece los criterios y mecanismos para determinar cuál es el Estado miem</w:t>
      </w:r>
      <w:r>
        <w:rPr>
          <w:rFonts w:ascii="Times New Roman" w:hAnsi="Times New Roman"/>
          <w:noProof/>
          <w:sz w:val="24"/>
          <w:lang w:val="es-ES"/>
        </w:rPr>
        <w:t xml:space="preserve">bro responsable de examinar una solicitud de protección internacional. Con ello se pretende asegurar un rápido acceso de los solicitantes de asilo a un procedimiento de asilo y el examen del fondo de las solicitudes por un único Estado miembro, claramente </w:t>
      </w:r>
      <w:r>
        <w:rPr>
          <w:rFonts w:ascii="Times New Roman" w:hAnsi="Times New Roman"/>
          <w:noProof/>
          <w:sz w:val="24"/>
          <w:lang w:val="es-ES"/>
        </w:rPr>
        <w:t>determinado. Estos objetivos siguen siendo válidos. La alternativa —permitir que los solicitantes de asilo elijan el Estado miembro que va a tramitar su solicitud— podría actuar como factor de atracción aunque hubiera una igualdad de condiciones absoluta e</w:t>
      </w:r>
      <w:r>
        <w:rPr>
          <w:rFonts w:ascii="Times New Roman" w:hAnsi="Times New Roman"/>
          <w:noProof/>
          <w:sz w:val="24"/>
          <w:lang w:val="es-ES"/>
        </w:rPr>
        <w:t xml:space="preserve">ntre los Estados miembros en cuanto a las condiciones de acogida de los solicitantes de asilo y la tramitación de sus solicitudes. Tampoco garantizaría la solidaridad y el reparto equitativo de responsabilidades. El Tratado contempla la necesidad de tales </w:t>
      </w:r>
      <w:r>
        <w:rPr>
          <w:rFonts w:ascii="Times New Roman" w:hAnsi="Times New Roman"/>
          <w:noProof/>
          <w:sz w:val="24"/>
          <w:lang w:val="es-ES"/>
        </w:rPr>
        <w:t>criterios y mecanismos.</w:t>
      </w:r>
      <w:r>
        <w:rPr>
          <w:noProof/>
          <w:lang w:val="es-ES"/>
        </w:rPr>
        <w:t xml:space="preserve">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Comisión tiene la intención de presentar, con carácter prioritario, una propuesta para reformar el sistema de Dublín. En esta fase deben considerarse dos grandes opciones para la reforma de la determinación de la responsabilida</w:t>
      </w:r>
      <w:r>
        <w:rPr>
          <w:rFonts w:ascii="Times New Roman" w:hAnsi="Times New Roman"/>
          <w:noProof/>
          <w:sz w:val="24"/>
          <w:lang w:val="es-ES"/>
        </w:rPr>
        <w:t>d en virtud del sistema de Dublín. En ambas opciones, los Estados miembros del primer punto de entrada deben identificar y registrar a todos los migrantes y tomar sus huellas dactilares, y proceder al retorno de quienes no necesiten protección. Por otra pa</w:t>
      </w:r>
      <w:r>
        <w:rPr>
          <w:rFonts w:ascii="Times New Roman" w:hAnsi="Times New Roman"/>
          <w:noProof/>
          <w:sz w:val="24"/>
          <w:lang w:val="es-ES"/>
        </w:rPr>
        <w:t xml:space="preserve">rte, como una nueva expresión de solidaridad, ha de considerarse la financiación de la UE en relación con las dos opciones. Como ambas estarían destinadas a abordar situaciones de afluencia masiva, también se podría considerar la posibilidad de derogar la </w:t>
      </w:r>
      <w:r>
        <w:rPr>
          <w:rFonts w:ascii="Times New Roman" w:hAnsi="Times New Roman"/>
          <w:noProof/>
          <w:sz w:val="24"/>
          <w:lang w:val="es-ES"/>
        </w:rPr>
        <w:t>Directiva sobre protección temporal</w:t>
      </w:r>
      <w:r>
        <w:rPr>
          <w:rFonts w:ascii="Times New Roman" w:hAnsi="Times New Roman"/>
          <w:noProof/>
          <w:sz w:val="24"/>
          <w:vertAlign w:val="superscript"/>
        </w:rPr>
        <w:footnoteReference w:id="16"/>
      </w:r>
      <w:r>
        <w:rPr>
          <w:rFonts w:ascii="Times New Roman" w:hAnsi="Times New Roman"/>
          <w:noProof/>
          <w:sz w:val="24"/>
          <w:lang w:val="es-ES"/>
        </w:rPr>
        <w:t>.</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numPr>
          <w:ilvl w:val="0"/>
          <w:numId w:val="2"/>
        </w:numPr>
        <w:spacing w:after="0" w:line="240" w:lineRule="auto"/>
        <w:contextualSpacing/>
        <w:jc w:val="both"/>
        <w:rPr>
          <w:rFonts w:ascii="Times New Roman" w:eastAsia="Times New Roman" w:hAnsi="Times New Roman" w:cs="Times New Roman"/>
          <w:i/>
          <w:noProof/>
          <w:sz w:val="24"/>
          <w:szCs w:val="24"/>
          <w:lang w:val="es-ES"/>
        </w:rPr>
      </w:pPr>
      <w:r>
        <w:rPr>
          <w:rFonts w:ascii="Times New Roman" w:hAnsi="Times New Roman"/>
          <w:i/>
          <w:noProof/>
          <w:sz w:val="24"/>
          <w:lang w:val="es-ES"/>
        </w:rPr>
        <w:t>Opción 1: Completar el sistema actual con un mecanismo de equidad corrector</w:t>
      </w:r>
    </w:p>
    <w:p w:rsidR="00953C0F" w:rsidRDefault="00953C0F">
      <w:pPr>
        <w:spacing w:after="0" w:line="240" w:lineRule="auto"/>
        <w:ind w:left="720"/>
        <w:contextualSpacing/>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Con arreglo a esta opción, se mantendrían en esencia los criterios actuales para la asignación de responsabilidades, pero se completaría el </w:t>
      </w:r>
      <w:r>
        <w:rPr>
          <w:rFonts w:ascii="Times New Roman" w:hAnsi="Times New Roman"/>
          <w:noProof/>
          <w:sz w:val="24"/>
          <w:lang w:val="es-ES"/>
        </w:rPr>
        <w:t>sistema con un mecanismo de equidad corrector, basado en una clave de distribución, que permitiría, en determinadas circunstancias, llevar a cabo ajustes en la asignación. Esta opción mantendría la vinculación entre la asignación de responsabilidades en el</w:t>
      </w:r>
      <w:r>
        <w:rPr>
          <w:rFonts w:ascii="Times New Roman" w:hAnsi="Times New Roman"/>
          <w:noProof/>
          <w:sz w:val="24"/>
          <w:lang w:val="es-ES"/>
        </w:rPr>
        <w:t xml:space="preserve"> ámbito del asilo y el respeto por los Estados miembros de sus obligaciones en materia de protección de la frontera exterior, pero permitiría afrontar de modo más efectivo las situaciones de afluencia masiva a través de Estados miembros concretos y garanti</w:t>
      </w:r>
      <w:r>
        <w:rPr>
          <w:rFonts w:ascii="Times New Roman" w:hAnsi="Times New Roman"/>
          <w:noProof/>
          <w:sz w:val="24"/>
          <w:lang w:val="es-ES"/>
        </w:rPr>
        <w:t xml:space="preserve">zar una mayor equidad entre los Estados miembros. El mecanismo corrector podría combinarse con modificaciones del Reglamento de Dublín con el fin de aumentar la eficiencia de los procedimientos, en particular mediante la supresión de las cláusulas de cese </w:t>
      </w:r>
      <w:r>
        <w:rPr>
          <w:rFonts w:ascii="Times New Roman" w:hAnsi="Times New Roman"/>
          <w:noProof/>
          <w:sz w:val="24"/>
          <w:lang w:val="es-ES"/>
        </w:rPr>
        <w:t>de responsabilidad.</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El mecanismo corrector complementario podría derivarse del plan de reubicación de crisis propuesto por la Comisión en septiembre del año pasado</w:t>
      </w:r>
      <w:r>
        <w:rPr>
          <w:rFonts w:ascii="Times New Roman" w:hAnsi="Times New Roman"/>
          <w:noProof/>
          <w:sz w:val="24"/>
          <w:vertAlign w:val="superscript"/>
        </w:rPr>
        <w:footnoteReference w:id="17"/>
      </w:r>
      <w:r>
        <w:rPr>
          <w:rFonts w:ascii="Times New Roman" w:hAnsi="Times New Roman"/>
          <w:noProof/>
          <w:sz w:val="24"/>
          <w:lang w:val="es-ES"/>
        </w:rPr>
        <w:t>, y se activaría en situaciones que pusieran en peligro la aplicación del Reglamento de Dub</w:t>
      </w:r>
      <w:r>
        <w:rPr>
          <w:rFonts w:ascii="Times New Roman" w:hAnsi="Times New Roman"/>
          <w:noProof/>
          <w:sz w:val="24"/>
          <w:lang w:val="es-ES"/>
        </w:rPr>
        <w:t>lín como consecuencia de una presión intensa caracterizada por una afluencia grande y desproporcionada de nacionales de terceros países que someta a una demanda significativa al sistema de asilo de un Estado miembro. Se podría considerar la conveniencia de</w:t>
      </w:r>
      <w:r>
        <w:rPr>
          <w:rFonts w:ascii="Times New Roman" w:hAnsi="Times New Roman"/>
          <w:noProof/>
          <w:sz w:val="24"/>
          <w:lang w:val="es-ES"/>
        </w:rPr>
        <w:t xml:space="preserve"> vincular también el recurso al mecanismo complementario a la previa activación de apoyo operativo de la futura Guardia Europea de Fronteras y Costas en las fronteras exteriores</w:t>
      </w:r>
      <w:r>
        <w:rPr>
          <w:rFonts w:ascii="Times New Roman" w:hAnsi="Times New Roman"/>
          <w:noProof/>
          <w:sz w:val="24"/>
          <w:vertAlign w:val="superscript"/>
        </w:rPr>
        <w:footnoteReference w:id="18"/>
      </w:r>
      <w:r>
        <w:rPr>
          <w:rFonts w:ascii="Times New Roman" w:hAnsi="Times New Roman"/>
          <w:noProof/>
          <w:sz w:val="24"/>
          <w:lang w:val="es-ES"/>
        </w:rPr>
        <w:t xml:space="preserve">.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Con vistas a apoyar efectivamente a un Estado miembro que se vea enfrentad</w:t>
      </w:r>
      <w:r>
        <w:rPr>
          <w:rFonts w:ascii="Times New Roman" w:hAnsi="Times New Roman"/>
          <w:noProof/>
          <w:sz w:val="24"/>
          <w:lang w:val="es-ES"/>
        </w:rPr>
        <w:t>o a una afluencia significativa de migrantes, podría considerarse adaptar el mecanismo complementario propuesto por la Comisión el año pasado. En concreto, a fin de mitigar cualquier agravio comparativo importante en la asignación entre Estados miembros, l</w:t>
      </w:r>
      <w:r>
        <w:rPr>
          <w:rFonts w:ascii="Times New Roman" w:hAnsi="Times New Roman"/>
          <w:noProof/>
          <w:sz w:val="24"/>
          <w:lang w:val="es-ES"/>
        </w:rPr>
        <w:t>a reubicación podría tener lugar tan pronto como se alcance un determinado umbral en el número de solicitantes de asilo en un Estado miembro determinado. Este umbral podría fijarse, por ejemplo, de forma que la reubicación solo se produzca en el momento en</w:t>
      </w:r>
      <w:r>
        <w:rPr>
          <w:rFonts w:ascii="Times New Roman" w:hAnsi="Times New Roman"/>
          <w:noProof/>
          <w:sz w:val="24"/>
          <w:lang w:val="es-ES"/>
        </w:rPr>
        <w:t xml:space="preserve"> que el número de solicitantes de asilo asignado a un determinado Estado miembro supere con creces el que resultaría de una distribución de los solicitantes de asilo en toda la UE con arreglo a determinados criterios objetivos. Otro ajuste podría consistir</w:t>
      </w:r>
      <w:r>
        <w:rPr>
          <w:rFonts w:ascii="Times New Roman" w:hAnsi="Times New Roman"/>
          <w:noProof/>
          <w:sz w:val="24"/>
          <w:lang w:val="es-ES"/>
        </w:rPr>
        <w:t xml:space="preserve"> en permitir la reubicación de cualquier solicitante para el que exista una probabilidad razonable de que se le conceda protección internacional</w:t>
      </w:r>
      <w:r>
        <w:rPr>
          <w:rStyle w:val="FootnoteReference"/>
          <w:rFonts w:ascii="Times New Roman" w:hAnsi="Times New Roman"/>
          <w:noProof/>
          <w:sz w:val="24"/>
        </w:rPr>
        <w:footnoteReference w:id="19"/>
      </w:r>
      <w:r>
        <w:rPr>
          <w:rFonts w:ascii="Times New Roman" w:hAnsi="Times New Roman"/>
          <w:noProof/>
          <w:sz w:val="24"/>
          <w:lang w:val="es-ES"/>
        </w:rPr>
        <w:t>, y no solo la de aquellos de nacionalidades con una tasa de reconocimiento de al menos el 75 %.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numPr>
          <w:ilvl w:val="0"/>
          <w:numId w:val="2"/>
        </w:numPr>
        <w:spacing w:after="0" w:line="240" w:lineRule="auto"/>
        <w:contextualSpacing/>
        <w:jc w:val="both"/>
        <w:rPr>
          <w:rFonts w:ascii="Times New Roman" w:eastAsia="Times New Roman" w:hAnsi="Times New Roman" w:cs="Times New Roman"/>
          <w:i/>
          <w:noProof/>
          <w:sz w:val="24"/>
          <w:szCs w:val="24"/>
          <w:lang w:val="es-ES"/>
        </w:rPr>
      </w:pPr>
      <w:r>
        <w:rPr>
          <w:rFonts w:ascii="Times New Roman" w:hAnsi="Times New Roman"/>
          <w:i/>
          <w:noProof/>
          <w:sz w:val="24"/>
          <w:lang w:val="es-ES"/>
        </w:rPr>
        <w:t xml:space="preserve">Opción 2: Un </w:t>
      </w:r>
      <w:r>
        <w:rPr>
          <w:rFonts w:ascii="Times New Roman" w:hAnsi="Times New Roman"/>
          <w:i/>
          <w:noProof/>
          <w:sz w:val="24"/>
          <w:lang w:val="es-ES"/>
        </w:rPr>
        <w:t>nuevo sistema de asignación de las solicitudes de asilo en la UE sobre la base de una clave de distribución</w:t>
      </w:r>
    </w:p>
    <w:p w:rsidR="00953C0F" w:rsidRDefault="00953C0F">
      <w:pPr>
        <w:spacing w:after="0" w:line="240" w:lineRule="auto"/>
        <w:ind w:left="720"/>
        <w:contextualSpacing/>
        <w:jc w:val="both"/>
        <w:rPr>
          <w:rFonts w:ascii="Times New Roman" w:eastAsia="Times New Roman" w:hAnsi="Times New Roman" w:cs="Times New Roman"/>
          <w:b/>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Con arreglo a un nuevo sistema de reparto de las solicitudes de asilo en la UE, la determinación de la responsabilidad ya no estaría vinculada en </w:t>
      </w:r>
      <w:r>
        <w:rPr>
          <w:rFonts w:ascii="Times New Roman" w:hAnsi="Times New Roman"/>
          <w:noProof/>
          <w:sz w:val="24"/>
          <w:lang w:val="es-ES"/>
        </w:rPr>
        <w:t>gran parte al Estado miembro de primera solicitud o entrada irregular. Por el contrario, la responsabilidad podría asignarse principalmente sobre la base de una clave de distribución que refleje el tamaño relativo, la riqueza y la capacidad de absorción de</w:t>
      </w:r>
      <w:r>
        <w:rPr>
          <w:rFonts w:ascii="Times New Roman" w:hAnsi="Times New Roman"/>
          <w:noProof/>
          <w:sz w:val="24"/>
          <w:lang w:val="es-ES"/>
        </w:rPr>
        <w:t xml:space="preserve"> los Estados miembros</w:t>
      </w:r>
      <w:r>
        <w:rPr>
          <w:rStyle w:val="FootnoteReference"/>
          <w:rFonts w:ascii="Times New Roman" w:hAnsi="Times New Roman"/>
          <w:noProof/>
          <w:sz w:val="24"/>
        </w:rPr>
        <w:footnoteReference w:id="20"/>
      </w:r>
      <w:r>
        <w:rPr>
          <w:rFonts w:ascii="Times New Roman" w:hAnsi="Times New Roman"/>
          <w:noProof/>
          <w:sz w:val="24"/>
          <w:lang w:val="es-ES"/>
        </w:rPr>
        <w:t>. Esto ya supondría un cambio fundamental con respecto al sistema actual. Sin embargo, ciertos criterios —en particular los vínculos familiares o la dependencia, el interés superior del menor y la posesión de un visado o permiso de re</w:t>
      </w:r>
      <w:r>
        <w:rPr>
          <w:rFonts w:ascii="Times New Roman" w:hAnsi="Times New Roman"/>
          <w:noProof/>
          <w:sz w:val="24"/>
          <w:lang w:val="es-ES"/>
        </w:rPr>
        <w:t>sidencia— prevalecerían, como ocurre actualmente, sobre la aplicación de la clave de distribución y podrían dar lugar a una deducción correspondiente de la asignación de dicho Estado miembro con arreglo a la clave. Por otra parte, una vez que se haya estab</w:t>
      </w:r>
      <w:r>
        <w:rPr>
          <w:rFonts w:ascii="Times New Roman" w:hAnsi="Times New Roman"/>
          <w:noProof/>
          <w:sz w:val="24"/>
          <w:lang w:val="es-ES"/>
        </w:rPr>
        <w:t xml:space="preserve">lecido definitivamente la responsabilidad de un Estado miembro dado, este seguiría siendo el único responsable de examinar la pretensión de un solicitante determinado, desincentivando así los movimientos secundarios y permitiendo procedimientos abreviados </w:t>
      </w:r>
      <w:r>
        <w:rPr>
          <w:rFonts w:ascii="Times New Roman" w:hAnsi="Times New Roman"/>
          <w:noProof/>
          <w:sz w:val="24"/>
          <w:lang w:val="es-ES"/>
        </w:rPr>
        <w:t>y más eficientes.</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En contraste con la opción 1, la mayoría de los solicitantes serían asignados directamente, sobre la base de la clave de distribución, a otro Estado miembro en el momento en que presenten una solicitud en cualquier lugar de la UE. No obs</w:t>
      </w:r>
      <w:r>
        <w:rPr>
          <w:rFonts w:ascii="Times New Roman" w:hAnsi="Times New Roman"/>
          <w:noProof/>
          <w:sz w:val="24"/>
          <w:lang w:val="es-ES"/>
        </w:rPr>
        <w:t xml:space="preserve">tante, los Estados miembros en los que se presenta la primera solicitud serían responsables de examinar las solicitudes de asilo de, por ejemplo, los solicitantes procedentes de países de origen que la UE ha designado como seguros, con objeto de facilitar </w:t>
      </w:r>
      <w:r>
        <w:rPr>
          <w:rFonts w:ascii="Times New Roman" w:hAnsi="Times New Roman"/>
          <w:noProof/>
          <w:sz w:val="24"/>
          <w:lang w:val="es-ES"/>
        </w:rPr>
        <w:t>su pronto retorno y mantener una vinculación con las obligaciones de los Estados miembros en relación con la protección de la frontera exterior. Caben diferentes variantes de esta opción, según se atribuya un mayor o menor grado de responsabilidad al Estad</w:t>
      </w:r>
      <w:r>
        <w:rPr>
          <w:rFonts w:ascii="Times New Roman" w:hAnsi="Times New Roman"/>
          <w:noProof/>
          <w:sz w:val="24"/>
          <w:lang w:val="es-ES"/>
        </w:rPr>
        <w:t>o miembro en que se presente la solicitud para verificar si son aplicables los criterios decisivos, por ejemplo si el solicitante tiene vínculos familiares en otro Estado miembro. Una alternativa podría ser que esta verificación la lleve a cabo el Estado m</w:t>
      </w:r>
      <w:r>
        <w:rPr>
          <w:rFonts w:ascii="Times New Roman" w:hAnsi="Times New Roman"/>
          <w:noProof/>
          <w:sz w:val="24"/>
          <w:lang w:val="es-ES"/>
        </w:rPr>
        <w:t xml:space="preserve">iembro en que se presente la solicitud; otra, que tal verificación solo se lleve a cabo en el Estado miembro al que se ha hecho la asignación sobre la base de la clave de distribución.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numPr>
          <w:ilvl w:val="0"/>
          <w:numId w:val="2"/>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i/>
          <w:noProof/>
          <w:sz w:val="24"/>
        </w:rPr>
        <w:t>Perspectiva a largo plazo</w:t>
      </w:r>
    </w:p>
    <w:p w:rsidR="00953C0F" w:rsidRDefault="00953C0F">
      <w:pPr>
        <w:spacing w:after="0" w:line="240" w:lineRule="auto"/>
        <w:jc w:val="both"/>
        <w:rPr>
          <w:rFonts w:ascii="Times New Roman" w:eastAsia="Times New Roman" w:hAnsi="Times New Roman" w:cs="Times New Roman"/>
          <w:noProof/>
          <w:sz w:val="24"/>
          <w:szCs w:val="24"/>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Como ya se ha señalado en la Agenda Europe</w:t>
      </w:r>
      <w:r>
        <w:rPr>
          <w:rFonts w:ascii="Times New Roman" w:hAnsi="Times New Roman"/>
          <w:noProof/>
          <w:sz w:val="24"/>
          <w:lang w:val="es-ES"/>
        </w:rPr>
        <w:t>a de Migración, a largo plazo, cabría pensar en la posibilidad de transferir la responsabilidad de la tramitación de las solicitudes de asilo del nivel nacional al nivel de la UE, por ejemplo transformando la EASO en una agencia decisoria de primera instan</w:t>
      </w:r>
      <w:r>
        <w:rPr>
          <w:rFonts w:ascii="Times New Roman" w:hAnsi="Times New Roman"/>
          <w:noProof/>
          <w:sz w:val="24"/>
          <w:lang w:val="es-ES"/>
        </w:rPr>
        <w:t>cia a nivel de la UE, con delegaciones nacionales en cada uno de los Estados miembros, y creando una estructura de apelación a escala de la UE. Según este planteamiento, los Estados miembros seguirían siendo responsables de la acogida de los solicitantes d</w:t>
      </w:r>
      <w:r>
        <w:rPr>
          <w:rFonts w:ascii="Times New Roman" w:hAnsi="Times New Roman"/>
          <w:noProof/>
          <w:sz w:val="24"/>
          <w:lang w:val="es-ES"/>
        </w:rPr>
        <w:t xml:space="preserve">e asilo, y de los refugiados una vez hayan sido reconocidos como tales, que les serían asignados sobre la base de una clave de distribución, como se sugiere más arriba.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Ello permitiría establecer un proceso de toma de decisiones único y centralizado, en </w:t>
      </w:r>
      <w:r>
        <w:rPr>
          <w:rFonts w:ascii="Times New Roman" w:hAnsi="Times New Roman"/>
          <w:noProof/>
          <w:sz w:val="24"/>
          <w:lang w:val="es-ES"/>
        </w:rPr>
        <w:t>primera instancia y en apelación, y garantizaría la total armonización de los procedimientos, así como una evaluación coherente de las necesidades de protección en la UE. La distribución de los solicitantes de asilo entre los Estados miembros basada en una</w:t>
      </w:r>
      <w:r>
        <w:rPr>
          <w:rFonts w:ascii="Times New Roman" w:hAnsi="Times New Roman"/>
          <w:noProof/>
          <w:sz w:val="24"/>
          <w:lang w:val="es-ES"/>
        </w:rPr>
        <w:t xml:space="preserve"> clave de distribución garantizaría paralelamente un reparto equitativo de la responsabilidad de su asistencia. Además de exigir una importante transformación institucional, se tendrían que asignar importantes recursos a estos nuevos organismos de asilo de</w:t>
      </w:r>
      <w:r>
        <w:rPr>
          <w:rFonts w:ascii="Times New Roman" w:hAnsi="Times New Roman"/>
          <w:noProof/>
          <w:sz w:val="24"/>
          <w:lang w:val="es-ES"/>
        </w:rPr>
        <w:t xml:space="preserve"> la UE para la tramitación del abultado número de solicitudes que actualmente son responsabilidad de las autoridades de los Estados miembros</w:t>
      </w:r>
      <w:r>
        <w:rPr>
          <w:rFonts w:ascii="Times New Roman" w:hAnsi="Times New Roman"/>
          <w:noProof/>
          <w:sz w:val="24"/>
          <w:vertAlign w:val="superscript"/>
        </w:rPr>
        <w:footnoteReference w:id="21"/>
      </w:r>
      <w:r>
        <w:rPr>
          <w:rFonts w:ascii="Times New Roman" w:hAnsi="Times New Roman"/>
          <w:noProof/>
          <w:sz w:val="24"/>
          <w:lang w:val="es-ES"/>
        </w:rPr>
        <w:t xml:space="preserve">. Sería difícil una solución de tal calado a corto o medio plazo.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i/>
          <w:noProof/>
          <w:sz w:val="24"/>
          <w:szCs w:val="24"/>
          <w:lang w:val="es-ES"/>
        </w:rPr>
      </w:pPr>
      <w:r>
        <w:rPr>
          <w:rFonts w:ascii="Times New Roman" w:hAnsi="Times New Roman"/>
          <w:b/>
          <w:i/>
          <w:noProof/>
          <w:sz w:val="24"/>
          <w:lang w:val="es-ES"/>
        </w:rPr>
        <w:t>b)</w:t>
      </w:r>
      <w:r>
        <w:rPr>
          <w:rFonts w:ascii="Times New Roman" w:hAnsi="Times New Roman"/>
          <w:b/>
          <w:i/>
          <w:noProof/>
          <w:sz w:val="24"/>
          <w:lang w:val="es-ES"/>
        </w:rPr>
        <w:tab/>
      </w:r>
      <w:r>
        <w:rPr>
          <w:rFonts w:ascii="Times New Roman" w:hAnsi="Times New Roman"/>
          <w:b/>
          <w:i/>
          <w:noProof/>
          <w:sz w:val="24"/>
          <w:u w:val="single"/>
          <w:lang w:val="es-ES"/>
        </w:rPr>
        <w:t>Reforzar el sistema Eurodac</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El sistema Euro</w:t>
      </w:r>
      <w:r>
        <w:rPr>
          <w:rFonts w:ascii="Times New Roman" w:hAnsi="Times New Roman"/>
          <w:noProof/>
          <w:sz w:val="24"/>
          <w:lang w:val="es-ES"/>
        </w:rPr>
        <w:t>dac y las impresiones dactilares conservadas en esa base de datos son utilizados por los Estados miembros como prueba de que el solicitante de protección internacional o inmigrante irregular estaba presente en un Estado miembro antes de trasladarse a otro,</w:t>
      </w:r>
      <w:r>
        <w:rPr>
          <w:rFonts w:ascii="Times New Roman" w:hAnsi="Times New Roman"/>
          <w:noProof/>
          <w:sz w:val="24"/>
          <w:lang w:val="es-ES"/>
        </w:rPr>
        <w:t xml:space="preserve"> a fin de facilitar la aplicación del Reglamento de Dublín. La Comisión va a proponer adaptar el sistema Eurodac, de modo que se tengan en cuenta los cambios en el mecanismo de Dublín, para garantizar que existen los datos dactiloscópicos que necesita para</w:t>
      </w:r>
      <w:r>
        <w:rPr>
          <w:rFonts w:ascii="Times New Roman" w:hAnsi="Times New Roman"/>
          <w:noProof/>
          <w:sz w:val="24"/>
          <w:lang w:val="es-ES"/>
        </w:rPr>
        <w:t xml:space="preserve"> funcionar.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Además, no se descarta ampliar el mandato de Eurodac de modo que no se circunscriba únicamente al asilo, habida cuenta de las dificultades que experimentan los Estados miembros para garantizar un seguimiento correcto de las entradas irregular</w:t>
      </w:r>
      <w:r>
        <w:rPr>
          <w:rFonts w:ascii="Times New Roman" w:hAnsi="Times New Roman"/>
          <w:noProof/>
          <w:sz w:val="24"/>
          <w:lang w:val="es-ES"/>
        </w:rPr>
        <w:t>es en las fronteras exteriores y los movimientos subsiguientes. Eurodac puede utilizarse para reforzar sustancialmente la capacidad de los Estados miembros para seguir la pista de los migrantes irregulares en la UE, conservando datos relativos a las impres</w:t>
      </w:r>
      <w:r>
        <w:rPr>
          <w:rFonts w:ascii="Times New Roman" w:hAnsi="Times New Roman"/>
          <w:noProof/>
          <w:sz w:val="24"/>
          <w:lang w:val="es-ES"/>
        </w:rPr>
        <w:t xml:space="preserve">iones dactilares de todas las categorías y permitiendo efectuar comparaciones con todos los datos almacenados.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hAnsi="Times New Roman" w:cs="Times New Roman"/>
          <w:noProof/>
          <w:sz w:val="24"/>
          <w:szCs w:val="24"/>
          <w:lang w:val="es-ES"/>
        </w:rPr>
      </w:pPr>
      <w:r>
        <w:rPr>
          <w:rFonts w:ascii="Times New Roman" w:hAnsi="Times New Roman"/>
          <w:noProof/>
          <w:sz w:val="24"/>
          <w:lang w:val="es-ES"/>
        </w:rPr>
        <w:t xml:space="preserve">La Comisión va a proponer ampliar el ámbito de aplicación de Eurodac como medio para contribuir a la lucha contra la migración irregular, </w:t>
      </w:r>
      <w:r>
        <w:rPr>
          <w:rFonts w:ascii="Times New Roman" w:hAnsi="Times New Roman"/>
          <w:noProof/>
          <w:sz w:val="24"/>
          <w:lang w:val="es-ES"/>
        </w:rPr>
        <w:t>permitiendo que el sistema se use para facilitar el retorno de los migrantes irregulares. De esta forma, el sistema Eurodac se utilizará para agilizar la identificación y redocumentación de los migrantes y permitirá una mejor evaluación de la perspectiva d</w:t>
      </w:r>
      <w:r>
        <w:rPr>
          <w:rFonts w:ascii="Times New Roman" w:hAnsi="Times New Roman"/>
          <w:noProof/>
          <w:sz w:val="24"/>
          <w:lang w:val="es-ES"/>
        </w:rPr>
        <w:t>e fuga, con el consiguiente aumento de la eficacia y la rapidez de los procedimientos de retorno y readmisión.</w:t>
      </w:r>
    </w:p>
    <w:p w:rsidR="00953C0F" w:rsidRDefault="00953C0F">
      <w:pPr>
        <w:spacing w:after="0" w:line="240" w:lineRule="auto"/>
        <w:jc w:val="both"/>
        <w:rPr>
          <w:noProof/>
          <w:lang w:val="es-ES"/>
        </w:rPr>
      </w:pPr>
    </w:p>
    <w:p w:rsidR="00953C0F" w:rsidRDefault="00A44E6E">
      <w:pPr>
        <w:jc w:val="both"/>
        <w:rPr>
          <w:rFonts w:ascii="Times New Roman" w:eastAsia="Times New Roman" w:hAnsi="Times New Roman" w:cs="Times New Roman"/>
          <w:noProof/>
          <w:sz w:val="24"/>
          <w:szCs w:val="24"/>
          <w:lang w:val="es-ES"/>
        </w:rPr>
      </w:pPr>
      <w:r>
        <w:rPr>
          <w:rFonts w:ascii="Times New Roman" w:hAnsi="Times New Roman"/>
          <w:noProof/>
          <w:sz w:val="24"/>
          <w:lang w:val="es-ES"/>
        </w:rPr>
        <w:t>Como expone en su Comunicación «</w:t>
      </w:r>
      <w:r>
        <w:rPr>
          <w:rFonts w:ascii="Times New Roman" w:hAnsi="Times New Roman" w:cs="Times New Roman"/>
          <w:noProof/>
          <w:sz w:val="24"/>
          <w:szCs w:val="24"/>
          <w:lang w:val="es-ES_tradnl"/>
        </w:rPr>
        <w:t>Sistemas de información más sólidos e inteligentes para la gestión de las fronteras y la seguridad»</w:t>
      </w:r>
      <w:r>
        <w:rPr>
          <w:rStyle w:val="FootnoteReference"/>
          <w:rFonts w:ascii="Times New Roman" w:hAnsi="Times New Roman"/>
          <w:noProof/>
          <w:sz w:val="24"/>
        </w:rPr>
        <w:footnoteReference w:id="22"/>
      </w:r>
      <w:r>
        <w:rPr>
          <w:rFonts w:ascii="Times New Roman" w:hAnsi="Times New Roman"/>
          <w:noProof/>
          <w:sz w:val="24"/>
          <w:lang w:val="es-ES"/>
        </w:rPr>
        <w:t>, la Comisió</w:t>
      </w:r>
      <w:r>
        <w:rPr>
          <w:rFonts w:ascii="Times New Roman" w:hAnsi="Times New Roman"/>
          <w:noProof/>
          <w:sz w:val="24"/>
          <w:lang w:val="es-ES"/>
        </w:rPr>
        <w:t>n, en el contexto de la evaluación global del sistema actual, tratará asimismo de detectar las deficiencias que deben subsanarse a largo plazo mediante el desarrollo de determinadas funcionalidades técnicas del sistema, incluido el posible uso de otros ide</w:t>
      </w:r>
      <w:r>
        <w:rPr>
          <w:rFonts w:ascii="Times New Roman" w:hAnsi="Times New Roman"/>
          <w:noProof/>
          <w:sz w:val="24"/>
          <w:lang w:val="es-ES"/>
        </w:rPr>
        <w:t>ntificadores biométricos, en línea con las normas sobre protección de datos.</w:t>
      </w:r>
    </w:p>
    <w:p w:rsidR="00953C0F" w:rsidRDefault="00A44E6E">
      <w:pPr>
        <w:spacing w:after="0" w:line="240" w:lineRule="auto"/>
        <w:ind w:left="720" w:hanging="720"/>
        <w:rPr>
          <w:rFonts w:ascii="Times New Roman" w:eastAsia="Times New Roman" w:hAnsi="Times New Roman" w:cs="Times New Roman"/>
          <w:noProof/>
          <w:sz w:val="24"/>
          <w:szCs w:val="24"/>
          <w:lang w:val="es-ES"/>
        </w:rPr>
      </w:pPr>
      <w:r>
        <w:rPr>
          <w:rFonts w:ascii="Times New Roman" w:hAnsi="Times New Roman"/>
          <w:b/>
          <w:i/>
          <w:noProof/>
          <w:sz w:val="24"/>
          <w:lang w:val="es-ES"/>
        </w:rPr>
        <w:t>c)</w:t>
      </w:r>
      <w:r>
        <w:rPr>
          <w:noProof/>
          <w:lang w:val="es-ES"/>
        </w:rPr>
        <w:tab/>
      </w:r>
      <w:r>
        <w:rPr>
          <w:rFonts w:ascii="Times New Roman" w:hAnsi="Times New Roman"/>
          <w:b/>
          <w:i/>
          <w:noProof/>
          <w:sz w:val="24"/>
          <w:u w:val="single"/>
          <w:lang w:val="es-ES"/>
        </w:rPr>
        <w:t>Mayor convergencia y un auténtico sistema de asilo común en la UE</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De manera más general, la Comisión tiene la intención de proponer una armonización total de los procedimiento</w:t>
      </w:r>
      <w:r>
        <w:rPr>
          <w:rFonts w:ascii="Times New Roman" w:hAnsi="Times New Roman"/>
          <w:noProof/>
          <w:sz w:val="24"/>
          <w:lang w:val="es-ES"/>
        </w:rPr>
        <w:t xml:space="preserve">s en toda la UE, transformando la actual Directiva sobre procedimientos de asilo en un </w:t>
      </w:r>
      <w:r>
        <w:rPr>
          <w:rFonts w:ascii="Times New Roman" w:hAnsi="Times New Roman"/>
          <w:b/>
          <w:noProof/>
          <w:sz w:val="24"/>
          <w:lang w:val="es-ES"/>
        </w:rPr>
        <w:t>nuevo Reglamento por el que se establece un procedimiento común de asilo único en la UE</w:t>
      </w:r>
      <w:r>
        <w:rPr>
          <w:rFonts w:ascii="Times New Roman" w:hAnsi="Times New Roman"/>
          <w:noProof/>
          <w:sz w:val="24"/>
          <w:lang w:val="es-ES"/>
        </w:rPr>
        <w:t>, que vendría a sustituir a la actual diversidad de regímenes de los Estados miemb</w:t>
      </w:r>
      <w:r>
        <w:rPr>
          <w:rFonts w:ascii="Times New Roman" w:hAnsi="Times New Roman"/>
          <w:noProof/>
          <w:sz w:val="24"/>
          <w:lang w:val="es-ES"/>
        </w:rPr>
        <w:t>ros, lo que reduciría los incentivos para desplazarse a la UE y dentro de esta. Previa consulta con los Estados miembros y las partes interesadas, la Comisión tiene intención de proponer el establecimiento de nuevas normas —en lugar de las normas de caráct</w:t>
      </w:r>
      <w:r>
        <w:rPr>
          <w:rFonts w:ascii="Times New Roman" w:hAnsi="Times New Roman"/>
          <w:noProof/>
          <w:sz w:val="24"/>
          <w:lang w:val="es-ES"/>
        </w:rPr>
        <w:t>er discrecional actuales— sobre aspectos clave del procedimiento de asilo, como las normas sobre admisibilidad, el uso de procedimientos acelerados y fronterizos, la tramitación de las solicitudes subsiguientes y el derecho a permanecer en el territorio. U</w:t>
      </w:r>
      <w:r>
        <w:rPr>
          <w:rFonts w:ascii="Times New Roman" w:hAnsi="Times New Roman"/>
          <w:noProof/>
          <w:sz w:val="24"/>
          <w:lang w:val="es-ES"/>
        </w:rPr>
        <w:t>na característica esencial de este procedimiento común será la armonización de la duración máxima del procedimiento, tanto en primera instancia como en la fase de apelación.</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Un aspecto esencial de un planteamiento común estriba en la utilización de los me</w:t>
      </w:r>
      <w:r>
        <w:rPr>
          <w:rFonts w:ascii="Times New Roman" w:hAnsi="Times New Roman"/>
          <w:noProof/>
          <w:sz w:val="24"/>
          <w:lang w:val="es-ES"/>
        </w:rPr>
        <w:t>canismos de «país seguro». En septiembre de 2015, la Comisión propuso la adopción de un Reglamento por el que se establece una lista común de la UE de «países de origen seguros»</w:t>
      </w:r>
      <w:r>
        <w:rPr>
          <w:rFonts w:ascii="Times New Roman" w:hAnsi="Times New Roman"/>
          <w:noProof/>
          <w:sz w:val="24"/>
          <w:vertAlign w:val="superscript"/>
        </w:rPr>
        <w:footnoteReference w:id="23"/>
      </w:r>
      <w:r>
        <w:rPr>
          <w:rFonts w:ascii="Times New Roman" w:hAnsi="Times New Roman"/>
          <w:noProof/>
          <w:sz w:val="24"/>
          <w:lang w:val="es-ES"/>
        </w:rPr>
        <w:t xml:space="preserve"> con el fin de facilitar la rápida tramitación de las solicitudes de las perso</w:t>
      </w:r>
      <w:r>
        <w:rPr>
          <w:rFonts w:ascii="Times New Roman" w:hAnsi="Times New Roman"/>
          <w:noProof/>
          <w:sz w:val="24"/>
          <w:lang w:val="es-ES"/>
        </w:rPr>
        <w:t>nas procedentes de estos países. Es importante que el Parlamento Europeo y el Consejo adopten el Reglamento sin demora. Se trata de avanzar hacia una lista completamente armonizada de países de origen seguros a nivel de la UE, sobre la base de las propuest</w:t>
      </w:r>
      <w:r>
        <w:rPr>
          <w:rFonts w:ascii="Times New Roman" w:hAnsi="Times New Roman"/>
          <w:noProof/>
          <w:sz w:val="24"/>
          <w:lang w:val="es-ES"/>
        </w:rPr>
        <w:t>as de la Comisión, dándose prioridad a la inclusión de los terceros países de los que proceden un número significativo de solicitantes. Además, es intención de la Comisión proponer que se armonicen las consecuencias procedimentales que se derivan de la uti</w:t>
      </w:r>
      <w:r>
        <w:rPr>
          <w:rFonts w:ascii="Times New Roman" w:hAnsi="Times New Roman"/>
          <w:noProof/>
          <w:sz w:val="24"/>
          <w:lang w:val="es-ES"/>
        </w:rPr>
        <w:t xml:space="preserve">lización del mecanismo de país de origen seguro y eliminar la discrecionalidad actual a la hora de utilizarlo o no.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Por lo que se refiere al mecanismo de «tercer país seguro», que permite que determinadas solicitudes sean declaradas inadmisibles cuando </w:t>
      </w:r>
      <w:r>
        <w:rPr>
          <w:rFonts w:ascii="Times New Roman" w:hAnsi="Times New Roman"/>
          <w:noProof/>
          <w:sz w:val="24"/>
          <w:lang w:val="es-ES"/>
        </w:rPr>
        <w:t>pudiera invocarse protección en un tercer país, la Comisión, en su Comunicación de 10 de febrero de 2016, animó a todos los Estados miembros a prever y exigir su utilización en su legislación nacional. Asimismo, tiene la intención de proponer un enfoque de</w:t>
      </w:r>
      <w:r>
        <w:rPr>
          <w:rFonts w:ascii="Times New Roman" w:hAnsi="Times New Roman"/>
          <w:noProof/>
          <w:sz w:val="24"/>
          <w:lang w:val="es-ES"/>
        </w:rPr>
        <w:t xml:space="preserve"> la UE más armonizado para su utilización, en el pleno respeto de las obligaciones internacionales consagradas en la Carta de los Derechos Fundamentales de la UE y en el Convenio Europeo de Derechos Humanos (CEDH) y la Convención de Ginebra, de manera que </w:t>
      </w:r>
      <w:r>
        <w:rPr>
          <w:rFonts w:ascii="Times New Roman" w:hAnsi="Times New Roman"/>
          <w:noProof/>
          <w:sz w:val="24"/>
          <w:lang w:val="es-ES"/>
        </w:rPr>
        <w:t>se aplique del mismo modo en todos los Estados miembros, y de crear un mecanismo para la adopción de una lista de la UE de terceros países seguros.</w:t>
      </w:r>
    </w:p>
    <w:p w:rsidR="00953C0F" w:rsidRDefault="00953C0F">
      <w:pPr>
        <w:spacing w:after="0" w:line="240" w:lineRule="auto"/>
        <w:contextualSpacing/>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Además, debe garantizarse que se concede a los solicitantes el tipo de protección a que tienen derecho (est</w:t>
      </w:r>
      <w:r>
        <w:rPr>
          <w:rFonts w:ascii="Times New Roman" w:hAnsi="Times New Roman"/>
          <w:noProof/>
          <w:sz w:val="24"/>
          <w:lang w:val="es-ES"/>
        </w:rPr>
        <w:t>atuto de refugiado o protección subsidiaria), pero solo mientras la necesiten, y que dispongan de un conjunto más armonizado de derechos, manteniendo al mismo tiempo la coherencia con la Convención de Ginebra y el CEDH. Por lo tanto, la Comisión tiene la i</w:t>
      </w:r>
      <w:r>
        <w:rPr>
          <w:rFonts w:ascii="Times New Roman" w:hAnsi="Times New Roman"/>
          <w:noProof/>
          <w:sz w:val="24"/>
          <w:lang w:val="es-ES"/>
        </w:rPr>
        <w:t xml:space="preserve">ntención, tras consultar a los Estados miembros, de proponer </w:t>
      </w:r>
      <w:r>
        <w:rPr>
          <w:rFonts w:ascii="Times New Roman" w:hAnsi="Times New Roman"/>
          <w:b/>
          <w:noProof/>
          <w:sz w:val="24"/>
          <w:lang w:val="es-ES"/>
        </w:rPr>
        <w:t>la sustitución de la actual Directiva sobre los criterios para el reconocimiento por un Reglamento que establezca normas uniformes sobre los procedimientos y los derechos que se deben ofrecer a l</w:t>
      </w:r>
      <w:r>
        <w:rPr>
          <w:rFonts w:ascii="Times New Roman" w:hAnsi="Times New Roman"/>
          <w:b/>
          <w:noProof/>
          <w:sz w:val="24"/>
          <w:lang w:val="es-ES"/>
        </w:rPr>
        <w:t>os beneficiarios de protección internacional</w:t>
      </w:r>
      <w:r>
        <w:rPr>
          <w:rFonts w:ascii="Times New Roman" w:hAnsi="Times New Roman"/>
          <w:noProof/>
          <w:sz w:val="24"/>
          <w:lang w:val="es-ES"/>
        </w:rPr>
        <w:t>. Algunos de los derechos que se han de reconocer podrían corresponder al régimen aplicable en cada Estado miembro en relación con los nacionales de otro país tercero o con los nacionales de ese Estado miembro. N</w:t>
      </w:r>
      <w:r>
        <w:rPr>
          <w:rFonts w:ascii="Times New Roman" w:hAnsi="Times New Roman"/>
          <w:noProof/>
          <w:sz w:val="24"/>
          <w:lang w:val="es-ES"/>
        </w:rPr>
        <w:t>o obstante, respetando plenamente los derechos fundamentales y las normas internacionales, la Comisión examinará minuciosamente la necesidad de adaptar el nivel de derechos a fin de reducir los factores de atracción y los movimientos secundarios injustific</w:t>
      </w:r>
      <w:r>
        <w:rPr>
          <w:rFonts w:ascii="Times New Roman" w:hAnsi="Times New Roman"/>
          <w:noProof/>
          <w:sz w:val="24"/>
          <w:lang w:val="es-ES"/>
        </w:rPr>
        <w:t>ados. Es igualmente intención de la Comisión aclarar la diferencia entre el estatuto de refugiado y el de protección subsidiaria y diferenciar de manera más nítida los derechos asociados a ellos.</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Además, en dicho Reglamento se incluirán medidas destinadas</w:t>
      </w:r>
      <w:r>
        <w:rPr>
          <w:rFonts w:ascii="Times New Roman" w:hAnsi="Times New Roman"/>
          <w:noProof/>
          <w:sz w:val="24"/>
          <w:lang w:val="es-ES"/>
        </w:rPr>
        <w:t xml:space="preserve"> a garantizar que se lleva a cabo un control periódico y sistemático, al menos durante los primeros años tras la concesión de un estatuto de protección, y que, antes de que se conceda a una persona el estatuto de residente de larga duración, la renovación </w:t>
      </w:r>
      <w:r>
        <w:rPr>
          <w:rFonts w:ascii="Times New Roman" w:hAnsi="Times New Roman"/>
          <w:noProof/>
          <w:sz w:val="24"/>
          <w:lang w:val="es-ES"/>
        </w:rPr>
        <w:t>del permiso de residencia esté vinculada a la comprobación de que existe todavía una necesidad de protección, basada en un análisis de la situación actual en el país de origen de la persona en cuestión y de sus circunstancias personales. Hoy en día, son po</w:t>
      </w:r>
      <w:r>
        <w:rPr>
          <w:rFonts w:ascii="Times New Roman" w:hAnsi="Times New Roman"/>
          <w:noProof/>
          <w:sz w:val="24"/>
          <w:lang w:val="es-ES"/>
        </w:rPr>
        <w:t>cos los Estados miembros que disponen de un sistema de revisión periódica del estatuto. Teniendo en cuenta la naturaleza intrínsecamente más temporal del estatuto de protección subsidiaria, cabría prever un mayor número de revisiones de cese para los benef</w:t>
      </w:r>
      <w:r>
        <w:rPr>
          <w:rFonts w:ascii="Times New Roman" w:hAnsi="Times New Roman"/>
          <w:noProof/>
          <w:sz w:val="24"/>
          <w:lang w:val="es-ES"/>
        </w:rPr>
        <w:t xml:space="preserve">iciarios de este tipo de protección.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Se va a proponer asimismo una mayor armonización de las normas sobre documentos de identidad para los beneficiarios de protección internacional. Por otra parte, podrían adoptarse nuevas iniciativas a más largo plazo p</w:t>
      </w:r>
      <w:r>
        <w:rPr>
          <w:rFonts w:ascii="Times New Roman" w:hAnsi="Times New Roman"/>
          <w:noProof/>
          <w:sz w:val="24"/>
          <w:lang w:val="es-ES"/>
        </w:rPr>
        <w:t xml:space="preserve">ara desarrollar el reconocimiento mutuo de la protección concedida en los diferentes Estados miembros, lo que podría sentar las bases para un marco de transferencia de la protección.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hAnsi="Times New Roman"/>
          <w:noProof/>
          <w:sz w:val="24"/>
          <w:lang w:val="es-ES"/>
        </w:rPr>
      </w:pPr>
      <w:r>
        <w:rPr>
          <w:rFonts w:ascii="Times New Roman" w:hAnsi="Times New Roman"/>
          <w:noProof/>
          <w:sz w:val="24"/>
          <w:lang w:val="es-ES"/>
        </w:rPr>
        <w:t xml:space="preserve">También se va a proponer la </w:t>
      </w:r>
      <w:r>
        <w:rPr>
          <w:rFonts w:ascii="Times New Roman" w:hAnsi="Times New Roman"/>
          <w:b/>
          <w:noProof/>
          <w:sz w:val="24"/>
          <w:lang w:val="es-ES"/>
        </w:rPr>
        <w:t>modificación de la Directiva sobre las cond</w:t>
      </w:r>
      <w:r>
        <w:rPr>
          <w:rFonts w:ascii="Times New Roman" w:hAnsi="Times New Roman"/>
          <w:b/>
          <w:noProof/>
          <w:sz w:val="24"/>
          <w:lang w:val="es-ES"/>
        </w:rPr>
        <w:t>iciones de acogida</w:t>
      </w:r>
      <w:r>
        <w:rPr>
          <w:rFonts w:ascii="Times New Roman" w:hAnsi="Times New Roman"/>
          <w:b/>
          <w:noProof/>
          <w:sz w:val="24"/>
          <w:vertAlign w:val="superscript"/>
        </w:rPr>
        <w:footnoteReference w:id="24"/>
      </w:r>
      <w:r>
        <w:rPr>
          <w:rFonts w:ascii="Times New Roman" w:hAnsi="Times New Roman"/>
          <w:noProof/>
          <w:sz w:val="24"/>
          <w:lang w:val="es-ES"/>
        </w:rPr>
        <w:t>, tras las consultas con los Estados miembros, con objeto de incrementar en la medida de lo posible la armonización en todos los Estados miembros. Una mayor armonización del trato dispensado a los solicitantes de asilo en toda la UE es fundamental, no solo</w:t>
      </w:r>
      <w:r>
        <w:rPr>
          <w:rFonts w:ascii="Times New Roman" w:hAnsi="Times New Roman"/>
          <w:noProof/>
          <w:sz w:val="24"/>
          <w:lang w:val="es-ES"/>
        </w:rPr>
        <w:t xml:space="preserve"> para garantizar que este tratamiento sea digno, sino también para reducir los incentivos para desplazarse a Europa y a otros Estados miembros dentro de Europa. Como primer paso en este sentido, la Comisión ha pedido a la EASO que elabore normas técnicas c</w:t>
      </w:r>
      <w:r>
        <w:rPr>
          <w:rFonts w:ascii="Times New Roman" w:hAnsi="Times New Roman"/>
          <w:noProof/>
          <w:sz w:val="24"/>
          <w:lang w:val="es-ES"/>
        </w:rPr>
        <w:t>omunes y directrices para los sistemas de acogida de los Estados miembros, en colaboración con una red de autoridades de acogida de solicitantes de asilo de la UE de nueva creación y con la Agencia de Derechos Fundamentales. Estas nuevas normas servirán as</w:t>
      </w:r>
      <w:r>
        <w:rPr>
          <w:rFonts w:ascii="Times New Roman" w:hAnsi="Times New Roman"/>
          <w:noProof/>
          <w:sz w:val="24"/>
          <w:lang w:val="es-ES"/>
        </w:rPr>
        <w:t xml:space="preserve">imismo como referencia para facilitar la supervisión. </w:t>
      </w:r>
    </w:p>
    <w:p w:rsidR="00953C0F" w:rsidRDefault="00953C0F">
      <w:pPr>
        <w:spacing w:after="0" w:line="240" w:lineRule="auto"/>
        <w:jc w:val="both"/>
        <w:rPr>
          <w:rFonts w:ascii="Times New Roman" w:eastAsia="Times New Roman" w:hAnsi="Times New Roman" w:cs="Times New Roman"/>
          <w:bCs/>
          <w:noProof/>
          <w:sz w:val="24"/>
          <w:szCs w:val="24"/>
          <w:lang w:val="es-ES"/>
        </w:rPr>
      </w:pPr>
    </w:p>
    <w:p w:rsidR="00953C0F" w:rsidRDefault="00A44E6E">
      <w:pPr>
        <w:spacing w:after="0" w:line="240" w:lineRule="auto"/>
        <w:ind w:left="720" w:hanging="720"/>
        <w:jc w:val="both"/>
        <w:rPr>
          <w:rFonts w:ascii="Times New Roman" w:eastAsia="Times New Roman" w:hAnsi="Times New Roman" w:cs="Times New Roman"/>
          <w:i/>
          <w:noProof/>
          <w:sz w:val="24"/>
          <w:szCs w:val="24"/>
          <w:lang w:val="es-ES"/>
        </w:rPr>
      </w:pPr>
      <w:r>
        <w:rPr>
          <w:rFonts w:ascii="Times New Roman" w:hAnsi="Times New Roman"/>
          <w:b/>
          <w:i/>
          <w:noProof/>
          <w:sz w:val="24"/>
          <w:lang w:val="es-ES"/>
        </w:rPr>
        <w:t>d)</w:t>
      </w:r>
      <w:r>
        <w:rPr>
          <w:noProof/>
          <w:lang w:val="es-ES"/>
        </w:rPr>
        <w:tab/>
      </w:r>
      <w:r>
        <w:rPr>
          <w:rFonts w:ascii="Times New Roman" w:hAnsi="Times New Roman"/>
          <w:b/>
          <w:i/>
          <w:noProof/>
          <w:sz w:val="24"/>
          <w:u w:val="single"/>
          <w:lang w:val="es-ES"/>
        </w:rPr>
        <w:t>Prevenir los movimientos secundarios dentro de la UE</w:t>
      </w:r>
      <w:r>
        <w:rPr>
          <w:rFonts w:ascii="Times New Roman" w:hAnsi="Times New Roman"/>
          <w:i/>
          <w:noProof/>
          <w:sz w:val="24"/>
          <w:lang w:val="es-ES"/>
        </w:rPr>
        <w:t xml:space="preserve">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Comisión tiene la intención de proponer una serie de medidas en todo el acervo en materia de asilo a fin de garantizar que el funcionamient</w:t>
      </w:r>
      <w:r>
        <w:rPr>
          <w:rFonts w:ascii="Times New Roman" w:hAnsi="Times New Roman"/>
          <w:noProof/>
          <w:sz w:val="24"/>
          <w:lang w:val="es-ES"/>
        </w:rPr>
        <w:t xml:space="preserve">o del sistema no se vea perturbado por los movimientos secundarios de los solicitantes de asilo y los beneficiarios de protección internacional hacia el Estado miembro de su elección.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Deberían preverse sanciones proporcionadas en caso de que un solicitan</w:t>
      </w:r>
      <w:r>
        <w:rPr>
          <w:rFonts w:ascii="Times New Roman" w:hAnsi="Times New Roman"/>
          <w:noProof/>
          <w:sz w:val="24"/>
          <w:lang w:val="es-ES"/>
        </w:rPr>
        <w:t>te no permanezca en el Estado miembro responsable. Los demás Estados miembros tendrían la obligación de enviar a los solicitantes de asilo que se hayan fugado al Estado miembro responsable, donde estarían sujetos a un procedimiento de examen acelerado cuan</w:t>
      </w:r>
      <w:r>
        <w:rPr>
          <w:rFonts w:ascii="Times New Roman" w:hAnsi="Times New Roman"/>
          <w:noProof/>
          <w:sz w:val="24"/>
          <w:lang w:val="es-ES"/>
        </w:rPr>
        <w:t>do su derecho a permanecer a la espera del recurso no sea reconocido de forma automática, sin perjuicio del principio de no devolución y del derecho a la tutela judicial efectiva. Por otra parte, al solicitante que se haya fugado o que es probable que se f</w:t>
      </w:r>
      <w:r>
        <w:rPr>
          <w:rFonts w:ascii="Times New Roman" w:hAnsi="Times New Roman"/>
          <w:noProof/>
          <w:sz w:val="24"/>
          <w:lang w:val="es-ES"/>
        </w:rPr>
        <w:t>ugue, debería asignársele una zona designada en el Estado miembro, o detenérsele en caso de necesidad, y en la medida de lo posible, las condiciones materiales de acogida podrían facilitarse únicamente en especie. Además, podrían ampliarse y reforzarse las</w:t>
      </w:r>
      <w:r>
        <w:rPr>
          <w:rFonts w:ascii="Times New Roman" w:hAnsi="Times New Roman"/>
          <w:noProof/>
          <w:sz w:val="24"/>
          <w:lang w:val="es-ES"/>
        </w:rPr>
        <w:t xml:space="preserve"> disposiciones vigentes del acervo que vinculan el hecho de que un solicitante no haya presentado una solicitud lo antes posible, pese a haber tenido la oportunidad efectiva de hacerlo, a la evaluación de la credibilidad de su pretensión. Esto podría tener</w:t>
      </w:r>
      <w:r>
        <w:rPr>
          <w:rFonts w:ascii="Times New Roman" w:hAnsi="Times New Roman"/>
          <w:noProof/>
          <w:sz w:val="24"/>
          <w:lang w:val="es-ES"/>
        </w:rPr>
        <w:t xml:space="preserve"> como consecuencia que el hecho de que una persona haya abandonado irregularmente el Estado miembro responsable podría ser tenido en cuenta al apreciar su solicitud de asilo.</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Además, con objeto de evitar movimientos secundarios de los beneficiarios de pro</w:t>
      </w:r>
      <w:r>
        <w:rPr>
          <w:rFonts w:ascii="Times New Roman" w:hAnsi="Times New Roman"/>
          <w:noProof/>
          <w:sz w:val="24"/>
          <w:lang w:val="es-ES"/>
        </w:rPr>
        <w:t>tección internacional, las normas establecidas en la Directiva sobre los requisitos para el reconocimiento en materia de suministro de información, cooperación y obligación de informar se verían reforzadas (por lo que se refiere a los solicitantes de asilo</w:t>
      </w:r>
      <w:r>
        <w:rPr>
          <w:rFonts w:ascii="Times New Roman" w:hAnsi="Times New Roman"/>
          <w:noProof/>
          <w:sz w:val="24"/>
          <w:lang w:val="es-ES"/>
        </w:rPr>
        <w:t>). Se establecerá claramente que los refugiados únicamente tienen derecho a derechos y prestaciones en el Estado miembro que les haya concedido protección, y en el que tienen obligación de permanecer. Además, se modificará el Reglamento de Dublín para obli</w:t>
      </w:r>
      <w:r>
        <w:rPr>
          <w:rFonts w:ascii="Times New Roman" w:hAnsi="Times New Roman"/>
          <w:noProof/>
          <w:sz w:val="24"/>
          <w:lang w:val="es-ES"/>
        </w:rPr>
        <w:t>gar a los Estados miembros a readmitir a los beneficiarios de protección internacional que deben permanecer en el Estado miembro que le ha concedido protección. El hecho de que una persona haya salido de forma irregular del territorio de dicho Estado miemb</w:t>
      </w:r>
      <w:r>
        <w:rPr>
          <w:rFonts w:ascii="Times New Roman" w:hAnsi="Times New Roman"/>
          <w:noProof/>
          <w:sz w:val="24"/>
          <w:lang w:val="es-ES"/>
        </w:rPr>
        <w:t xml:space="preserve">ro podría constituir un motivo para preceder a la reconsideración de su estatuto.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Respetando plenamente los requisitos de la Carta de los Derechos Fundamentales, el reconocimiento de cualquier derecho vinculado al procedimiento de asilo, incluidas las co</w:t>
      </w:r>
      <w:r>
        <w:rPr>
          <w:rFonts w:ascii="Times New Roman" w:hAnsi="Times New Roman"/>
          <w:noProof/>
          <w:sz w:val="24"/>
          <w:lang w:val="es-ES"/>
        </w:rPr>
        <w:t>ndiciones materiales de acogida, estará supeditado al registro, la toma de impresiones dactilares, la presencia y la estancia en el Estado miembro responsable. Se reforzarán las disposiciones relativas a la información que se debe facilitar a los solicitan</w:t>
      </w:r>
      <w:r>
        <w:rPr>
          <w:rFonts w:ascii="Times New Roman" w:hAnsi="Times New Roman"/>
          <w:noProof/>
          <w:sz w:val="24"/>
          <w:lang w:val="es-ES"/>
        </w:rPr>
        <w:t>tes sobre la obligación de presentar una solicitud de asilo lo antes posible a su llegada a la UE, así como de permanecer en el Estado miembro responsable. También se reforzarán las normas relativas a la obligación de los solicitantes de informar a las aut</w:t>
      </w:r>
      <w:r>
        <w:rPr>
          <w:rFonts w:ascii="Times New Roman" w:hAnsi="Times New Roman"/>
          <w:noProof/>
          <w:sz w:val="24"/>
          <w:lang w:val="es-ES"/>
        </w:rPr>
        <w:t>oridades y de cooperar con ellas y se tomarán medidas específicas para tratar con los solicitantes que presenten un elevado riesgo de fuga, incluido el uso de procedimientos de examen acelerados. Además, se propondrán normas comunes de la UE sobre los docu</w:t>
      </w:r>
      <w:r>
        <w:rPr>
          <w:rFonts w:ascii="Times New Roman" w:hAnsi="Times New Roman"/>
          <w:noProof/>
          <w:sz w:val="24"/>
          <w:lang w:val="es-ES"/>
        </w:rPr>
        <w:t>mentos expedidos a los solicitantes que certificarían su identidad y en los que se indicaría claramente que, en principio, no tienen derecho a desplazarse a otro Estado miembro. Si bien los Estados miembros pueden mantener la posibilidad de facilitar a los</w:t>
      </w:r>
      <w:r>
        <w:rPr>
          <w:rFonts w:ascii="Times New Roman" w:hAnsi="Times New Roman"/>
          <w:noProof/>
          <w:sz w:val="24"/>
          <w:lang w:val="es-ES"/>
        </w:rPr>
        <w:t xml:space="preserve"> solicitantes un documento de viaje cuando existan razones humanitarias de peso que requieran su presencia en otro Estado miembro, deben precisarse las disposiciones legislativas para asegurar que nunca se expidan documentos de viaje si no concurren estas </w:t>
      </w:r>
      <w:r>
        <w:rPr>
          <w:rFonts w:ascii="Times New Roman" w:hAnsi="Times New Roman"/>
          <w:noProof/>
          <w:sz w:val="24"/>
          <w:lang w:val="es-ES"/>
        </w:rPr>
        <w:t>circunstancias excepcionales.</w:t>
      </w: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 </w:t>
      </w: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También se modificará la </w:t>
      </w:r>
      <w:r>
        <w:rPr>
          <w:rFonts w:ascii="Times New Roman" w:hAnsi="Times New Roman"/>
          <w:b/>
          <w:noProof/>
          <w:sz w:val="24"/>
          <w:lang w:val="es-ES"/>
        </w:rPr>
        <w:t>Directiva sobre la residencia de larga duración</w:t>
      </w:r>
      <w:r>
        <w:rPr>
          <w:rFonts w:ascii="Times New Roman" w:hAnsi="Times New Roman"/>
          <w:b/>
          <w:noProof/>
          <w:sz w:val="24"/>
          <w:vertAlign w:val="superscript"/>
        </w:rPr>
        <w:footnoteReference w:id="25"/>
      </w:r>
      <w:r>
        <w:rPr>
          <w:rFonts w:ascii="Times New Roman" w:hAnsi="Times New Roman"/>
          <w:noProof/>
          <w:sz w:val="24"/>
          <w:lang w:val="es-ES"/>
        </w:rPr>
        <w:t xml:space="preserve"> para disponer que el periodo de cinco años después del cual los beneficiarios de protección internacional podrían optar al estatuto de residente de la</w:t>
      </w:r>
      <w:r>
        <w:rPr>
          <w:rFonts w:ascii="Times New Roman" w:hAnsi="Times New Roman"/>
          <w:noProof/>
          <w:sz w:val="24"/>
          <w:lang w:val="es-ES"/>
        </w:rPr>
        <w:t xml:space="preserve">rga duración debe reiniciarse cada vez que la persona abandone sin autorización el territorio de los Estados miembros que les hayan concedido protección.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En general, los Estados miembros deberían estar obligados a prever sanciones efectivas, disuasorias </w:t>
      </w:r>
      <w:r>
        <w:rPr>
          <w:rFonts w:ascii="Times New Roman" w:hAnsi="Times New Roman"/>
          <w:noProof/>
          <w:sz w:val="24"/>
          <w:lang w:val="es-ES"/>
        </w:rPr>
        <w:t>y proporcionadas para los movimientos secundarios irregulares.</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i/>
          <w:noProof/>
          <w:sz w:val="24"/>
          <w:szCs w:val="24"/>
          <w:lang w:val="es-ES"/>
        </w:rPr>
      </w:pPr>
      <w:r>
        <w:rPr>
          <w:rFonts w:ascii="Times New Roman" w:hAnsi="Times New Roman"/>
          <w:b/>
          <w:i/>
          <w:noProof/>
          <w:sz w:val="24"/>
          <w:lang w:val="es-ES"/>
        </w:rPr>
        <w:t>e)</w:t>
      </w:r>
      <w:r>
        <w:rPr>
          <w:noProof/>
          <w:lang w:val="es-ES"/>
        </w:rPr>
        <w:tab/>
      </w:r>
      <w:r>
        <w:rPr>
          <w:rFonts w:ascii="Times New Roman" w:hAnsi="Times New Roman"/>
          <w:b/>
          <w:i/>
          <w:noProof/>
          <w:sz w:val="24"/>
          <w:u w:val="single"/>
          <w:lang w:val="es-ES"/>
        </w:rPr>
        <w:t>Un nuevo mandato para la agencia de asilo de la UE</w:t>
      </w:r>
      <w:r>
        <w:rPr>
          <w:rFonts w:ascii="Times New Roman" w:hAnsi="Times New Roman"/>
          <w:i/>
          <w:noProof/>
          <w:sz w:val="24"/>
          <w:lang w:val="es-ES"/>
        </w:rPr>
        <w:t xml:space="preserve">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hAnsi="Times New Roman"/>
          <w:b/>
          <w:noProof/>
          <w:sz w:val="24"/>
          <w:lang w:val="es-ES"/>
        </w:rPr>
      </w:pPr>
      <w:r>
        <w:rPr>
          <w:rFonts w:ascii="Times New Roman" w:hAnsi="Times New Roman"/>
          <w:noProof/>
          <w:sz w:val="24"/>
          <w:lang w:val="es-ES"/>
        </w:rPr>
        <w:t xml:space="preserve">La Comisión propondrá un mandato reforzado para la EASO, de modo que pueda desempeñar un nuevo </w:t>
      </w:r>
      <w:r>
        <w:rPr>
          <w:rFonts w:ascii="Times New Roman" w:hAnsi="Times New Roman"/>
          <w:b/>
          <w:noProof/>
          <w:sz w:val="24"/>
          <w:lang w:val="es-ES"/>
        </w:rPr>
        <w:t xml:space="preserve">papel como ejecutora de políticas y un </w:t>
      </w:r>
      <w:r>
        <w:rPr>
          <w:rFonts w:ascii="Times New Roman" w:hAnsi="Times New Roman"/>
          <w:b/>
          <w:noProof/>
          <w:sz w:val="24"/>
          <w:lang w:val="es-ES"/>
        </w:rPr>
        <w:t>papel operativo reforzado</w:t>
      </w:r>
      <w:r>
        <w:rPr>
          <w:rFonts w:ascii="Times New Roman" w:hAnsi="Times New Roman"/>
          <w:noProof/>
          <w:sz w:val="24"/>
          <w:lang w:val="es-ES"/>
        </w:rPr>
        <w:t xml:space="preserve"> y, de este modo, </w:t>
      </w:r>
      <w:r>
        <w:rPr>
          <w:rFonts w:ascii="Times New Roman" w:hAnsi="Times New Roman"/>
          <w:b/>
          <w:noProof/>
          <w:sz w:val="24"/>
          <w:lang w:val="es-ES"/>
        </w:rPr>
        <w:t>facilitar el correcto funcionamiento del Sistema Europeo Común de Asilo</w:t>
      </w:r>
      <w:r>
        <w:rPr>
          <w:rFonts w:ascii="Times New Roman" w:hAnsi="Times New Roman"/>
          <w:noProof/>
          <w:sz w:val="24"/>
          <w:lang w:val="es-ES"/>
        </w:rPr>
        <w:t>.</w:t>
      </w:r>
      <w:r>
        <w:rPr>
          <w:rFonts w:ascii="Times New Roman" w:hAnsi="Times New Roman"/>
          <w:b/>
          <w:noProof/>
          <w:sz w:val="24"/>
          <w:lang w:val="es-ES"/>
        </w:rPr>
        <w:t xml:space="preserve"> </w:t>
      </w:r>
    </w:p>
    <w:p w:rsidR="00953C0F" w:rsidRDefault="00953C0F">
      <w:pPr>
        <w:spacing w:after="0" w:line="240" w:lineRule="auto"/>
        <w:jc w:val="both"/>
        <w:rPr>
          <w:rFonts w:ascii="Times New Roman" w:hAnsi="Times New Roman"/>
          <w:b/>
          <w:noProof/>
          <w:sz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agencia, en estrecha cooperación con la Comisión y sin perjuicio de la responsabilidad de esta última en su calidad de guardiana de los</w:t>
      </w:r>
      <w:r>
        <w:rPr>
          <w:rFonts w:ascii="Times New Roman" w:hAnsi="Times New Roman"/>
          <w:noProof/>
          <w:sz w:val="24"/>
          <w:lang w:val="es-ES"/>
        </w:rPr>
        <w:t xml:space="preserve"> Tratados, sería responsable de un </w:t>
      </w:r>
      <w:r>
        <w:rPr>
          <w:rFonts w:ascii="Times New Roman" w:hAnsi="Times New Roman"/>
          <w:b/>
          <w:noProof/>
          <w:sz w:val="24"/>
          <w:lang w:val="es-ES"/>
        </w:rPr>
        <w:t>mecanismo de evaluación específico</w:t>
      </w:r>
      <w:r>
        <w:rPr>
          <w:rFonts w:ascii="Times New Roman" w:hAnsi="Times New Roman"/>
          <w:noProof/>
          <w:sz w:val="24"/>
          <w:lang w:val="es-ES"/>
        </w:rPr>
        <w:t xml:space="preserve"> para supervisar la observancia por los Estados miembros de las normas en materia de asilo que es especialmente necesario cumplir para asegurar el buen funcionamiento del sistema de Dublí</w:t>
      </w:r>
      <w:r>
        <w:rPr>
          <w:rFonts w:ascii="Times New Roman" w:hAnsi="Times New Roman"/>
          <w:noProof/>
          <w:sz w:val="24"/>
          <w:lang w:val="es-ES"/>
        </w:rPr>
        <w:t>n, sobre todo en lo que respecta a las condiciones de acogida, el acceso a los procedimientos de asilo y el respeto de las salvaguardias esenciales. Ello implicaría la supervisión de la situación en todos los Estados miembros y la determinación de las medi</w:t>
      </w:r>
      <w:r>
        <w:rPr>
          <w:rFonts w:ascii="Times New Roman" w:hAnsi="Times New Roman"/>
          <w:noProof/>
          <w:sz w:val="24"/>
          <w:lang w:val="es-ES"/>
        </w:rPr>
        <w:t>das que deberán adoptar los Estados miembros para subsanar las deficiencias existentes. En caso de que la actuación individual de los Estados miembros fuera insuficiente para hacer frente a la situación, la agencia podría intervenir aportando un mayor apoy</w:t>
      </w:r>
      <w:r>
        <w:rPr>
          <w:rFonts w:ascii="Times New Roman" w:hAnsi="Times New Roman"/>
          <w:noProof/>
          <w:sz w:val="24"/>
          <w:lang w:val="es-ES"/>
        </w:rPr>
        <w:t xml:space="preserve">o. También se preverían medidas en caso de que el Estado miembro en cuestión no diese los pasos adecuados, a fin de mitigar en la medida de lo posible cualquier incentivo para que los Estados miembros o los solicitantes de asilo no respeten las normas. Si </w:t>
      </w:r>
      <w:r>
        <w:rPr>
          <w:rFonts w:ascii="Times New Roman" w:hAnsi="Times New Roman"/>
          <w:noProof/>
          <w:sz w:val="24"/>
          <w:lang w:val="es-ES"/>
        </w:rPr>
        <w:t xml:space="preserve">la agencia considera, sobre la base de una evaluación documentada de la situación, que el Estado miembro en cuestión no ha actuado o que su actuación ha sido insuficiente, la Comisión estaría facultada para prescribir, mediante actos de ejecución, medidas </w:t>
      </w:r>
      <w:r>
        <w:rPr>
          <w:rFonts w:ascii="Times New Roman" w:hAnsi="Times New Roman"/>
          <w:noProof/>
          <w:sz w:val="24"/>
          <w:lang w:val="es-ES"/>
        </w:rPr>
        <w:t>operativas que deberán ser adoptadas por dicho Estado miembro, teniendo en cuenta las recomendaciones de la agencia.</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Otra de las tareas principales de la agencia sería </w:t>
      </w:r>
      <w:r>
        <w:rPr>
          <w:rFonts w:ascii="Times New Roman" w:hAnsi="Times New Roman"/>
          <w:b/>
          <w:noProof/>
          <w:sz w:val="24"/>
          <w:lang w:val="es-ES"/>
        </w:rPr>
        <w:t>garantizar una evaluación más armonizada de las solicitudes de protección internacional</w:t>
      </w:r>
      <w:r>
        <w:rPr>
          <w:rFonts w:ascii="Times New Roman" w:hAnsi="Times New Roman"/>
          <w:b/>
          <w:noProof/>
          <w:sz w:val="24"/>
          <w:lang w:val="es-ES"/>
        </w:rPr>
        <w:t xml:space="preserve"> en toda la UE</w:t>
      </w:r>
      <w:r>
        <w:rPr>
          <w:rFonts w:ascii="Times New Roman" w:hAnsi="Times New Roman"/>
          <w:noProof/>
          <w:sz w:val="24"/>
          <w:lang w:val="es-ES"/>
        </w:rPr>
        <w:t>, sobre la base de los criterios definidos en la Directiva sobre los requisitos para el reconocimiento. El objetivo sería abordar las actuales diferencias en las tasas de reconocimiento mediante la emisión de directrices detalladas y regulare</w:t>
      </w:r>
      <w:r>
        <w:rPr>
          <w:rFonts w:ascii="Times New Roman" w:hAnsi="Times New Roman"/>
          <w:noProof/>
          <w:sz w:val="24"/>
          <w:lang w:val="es-ES"/>
        </w:rPr>
        <w:t>s, basadas en un análisis común, sobre el enfoque aplicable a los solicitantes de asilo procedentes de países de origen específicos, sin perjuicio de un examen individual de cada solicitud. Estas directrices serían aprobadas por el Consejo de Administració</w:t>
      </w:r>
      <w:r>
        <w:rPr>
          <w:rFonts w:ascii="Times New Roman" w:hAnsi="Times New Roman"/>
          <w:noProof/>
          <w:sz w:val="24"/>
          <w:lang w:val="es-ES"/>
        </w:rPr>
        <w:t>n y sus destinatarios serían los Estados miembros. Un mecanismo de notificación facilitaría la tarea de evaluar si, en la práctica, los Estados miembros tienen en cuenta las directrices de la agencia. La EASO, con el apoyo de la Comisión y de la Presidenci</w:t>
      </w:r>
      <w:r>
        <w:rPr>
          <w:rFonts w:ascii="Times New Roman" w:hAnsi="Times New Roman"/>
          <w:noProof/>
          <w:sz w:val="24"/>
          <w:lang w:val="es-ES"/>
        </w:rPr>
        <w:t>a neerlandesa, está probando actualmente este enfoque, coordinando el desarrollo por expertos de los Estados miembros de directrices comunes sobre la evaluación de las solicitudes de asilo afganas. Además, se implantaría un sistema de auditoría caso por ca</w:t>
      </w:r>
      <w:r>
        <w:rPr>
          <w:rFonts w:ascii="Times New Roman" w:hAnsi="Times New Roman"/>
          <w:noProof/>
          <w:sz w:val="24"/>
          <w:lang w:val="es-ES"/>
        </w:rPr>
        <w:t>so, para supervisar la calidad de las decisiones en materia de asilo en los Estados miembros, incluida la observancia de dichas directrices.</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Por otra parte, se encomendaría a la agencia la evaluación fáctica del cumplimiento por los terceros países de los</w:t>
      </w:r>
      <w:r>
        <w:rPr>
          <w:rFonts w:ascii="Times New Roman" w:hAnsi="Times New Roman"/>
          <w:noProof/>
          <w:sz w:val="24"/>
          <w:lang w:val="es-ES"/>
        </w:rPr>
        <w:t xml:space="preserve"> criterios para la designación como tercer país seguro o tercer país de origen seguro, y la emisión de dictámenes dirigidos a la Comisión con el fin de garantizar un enfoque armonizado.</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La agencia sería igualmente la más indicada para </w:t>
      </w:r>
      <w:r>
        <w:rPr>
          <w:rFonts w:ascii="Times New Roman" w:hAnsi="Times New Roman"/>
          <w:b/>
          <w:noProof/>
          <w:sz w:val="24"/>
          <w:lang w:val="es-ES"/>
        </w:rPr>
        <w:t>implementar el mecan</w:t>
      </w:r>
      <w:r>
        <w:rPr>
          <w:rFonts w:ascii="Times New Roman" w:hAnsi="Times New Roman"/>
          <w:b/>
          <w:noProof/>
          <w:sz w:val="24"/>
          <w:lang w:val="es-ES"/>
        </w:rPr>
        <w:t>ismo de distribución</w:t>
      </w:r>
      <w:r>
        <w:rPr>
          <w:rFonts w:ascii="Times New Roman" w:hAnsi="Times New Roman"/>
          <w:noProof/>
          <w:sz w:val="24"/>
          <w:lang w:val="es-ES"/>
        </w:rPr>
        <w:t xml:space="preserve"> en el marco de un sistema de Dublín reformado, sea cual sea la forma que adopte.</w:t>
      </w:r>
      <w:r>
        <w:rPr>
          <w:rFonts w:ascii="Times New Roman" w:hAnsi="Times New Roman"/>
          <w:b/>
          <w:noProof/>
          <w:sz w:val="24"/>
          <w:lang w:val="es-ES"/>
        </w:rPr>
        <w:t xml:space="preserve"> </w:t>
      </w:r>
      <w:r>
        <w:rPr>
          <w:rFonts w:ascii="Times New Roman" w:hAnsi="Times New Roman"/>
          <w:noProof/>
          <w:sz w:val="24"/>
          <w:lang w:val="es-ES"/>
        </w:rPr>
        <w:t>Ello implicaría la aplicación de una clave de distribución para asignar solicitantes de asilo a los Estados miembros respectivos, a través de un mecanismo</w:t>
      </w:r>
      <w:r>
        <w:rPr>
          <w:rFonts w:ascii="Times New Roman" w:hAnsi="Times New Roman"/>
          <w:noProof/>
          <w:sz w:val="24"/>
          <w:lang w:val="es-ES"/>
        </w:rPr>
        <w:t xml:space="preserve"> sin carácter discrecional para la agencia.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Siguiendo el modelo de la propuesta de la Guardia Europea de Fronteras y Costas, la agencia debería poder intervenir, incluso a iniciativa propia, en apoyo de los Estados miembros que no hayan tomado medidas co</w:t>
      </w:r>
      <w:r>
        <w:rPr>
          <w:rFonts w:ascii="Times New Roman" w:hAnsi="Times New Roman"/>
          <w:noProof/>
          <w:sz w:val="24"/>
          <w:lang w:val="es-ES"/>
        </w:rPr>
        <w:t xml:space="preserve">rrectivas necesarias o que se enfrenten a </w:t>
      </w:r>
      <w:r>
        <w:rPr>
          <w:rFonts w:ascii="Times New Roman" w:hAnsi="Times New Roman"/>
          <w:b/>
          <w:noProof/>
          <w:sz w:val="24"/>
          <w:lang w:val="es-ES"/>
        </w:rPr>
        <w:t>situaciones de emergencia</w:t>
      </w:r>
      <w:r>
        <w:rPr>
          <w:rFonts w:ascii="Times New Roman" w:hAnsi="Times New Roman"/>
          <w:noProof/>
          <w:sz w:val="24"/>
          <w:lang w:val="es-ES"/>
        </w:rPr>
        <w:t>. Las intervenciones de la agencia podrían consistir, en particular, en la asistencia en la tramitación de los asuntos y en apoyo en relación con la acogida. Tales intervenciones estarían e</w:t>
      </w:r>
      <w:r>
        <w:rPr>
          <w:rFonts w:ascii="Times New Roman" w:hAnsi="Times New Roman"/>
          <w:noProof/>
          <w:sz w:val="24"/>
          <w:lang w:val="es-ES"/>
        </w:rPr>
        <w:t>strechamente vinculadas a las intervenciones de la Guardia Europea de Fronteras y Costas propuesta y en muchos casos podrían tener el mismo factor desencadenante. La agencia debería disponer de una reserva de expertos de intervención rápida a la que los Es</w:t>
      </w:r>
      <w:r>
        <w:rPr>
          <w:rFonts w:ascii="Times New Roman" w:hAnsi="Times New Roman"/>
          <w:noProof/>
          <w:sz w:val="24"/>
          <w:lang w:val="es-ES"/>
        </w:rPr>
        <w:t>tados miembros estarían obligados a contribuir. Estos expertos podrían desplegarse en muy breve plazo cuando fuera necesario aplicar medidas de emergencia.</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b/>
          <w:noProof/>
          <w:sz w:val="24"/>
          <w:lang w:val="es-ES"/>
        </w:rPr>
        <w:t>Habría que dotar a la agencia de recursos financieros y medios legales</w:t>
      </w:r>
      <w:r>
        <w:rPr>
          <w:rFonts w:ascii="Times New Roman" w:hAnsi="Times New Roman"/>
          <w:noProof/>
          <w:sz w:val="24"/>
          <w:lang w:val="es-ES"/>
        </w:rPr>
        <w:t xml:space="preserve"> suficientes, para asegurarse</w:t>
      </w:r>
      <w:r>
        <w:rPr>
          <w:rFonts w:ascii="Times New Roman" w:hAnsi="Times New Roman"/>
          <w:noProof/>
          <w:sz w:val="24"/>
          <w:lang w:val="es-ES"/>
        </w:rPr>
        <w:t xml:space="preserve"> de que ejerce efectivamente su papel reforzado, en particular en lo que se refiere a la prevención y la gestión de crisis. Las medidas adoptadas por la EASO deberán coordinarse plenamente con otras medidas de apoyo que se podrían prestar a los Estados mie</w:t>
      </w:r>
      <w:r>
        <w:rPr>
          <w:rFonts w:ascii="Times New Roman" w:hAnsi="Times New Roman"/>
          <w:noProof/>
          <w:sz w:val="24"/>
          <w:lang w:val="es-ES"/>
        </w:rPr>
        <w:t>mbros sujetos a presiones especiales, en particular en el marco del nuevo mecanismo propuesto por la Comisión relativo a la prestación de asistencia humanitaria en la UE</w:t>
      </w:r>
      <w:r>
        <w:rPr>
          <w:rFonts w:ascii="Times New Roman" w:hAnsi="Times New Roman"/>
          <w:noProof/>
          <w:sz w:val="24"/>
          <w:vertAlign w:val="superscript"/>
        </w:rPr>
        <w:footnoteReference w:id="26"/>
      </w:r>
      <w:r>
        <w:rPr>
          <w:rFonts w:ascii="Times New Roman" w:hAnsi="Times New Roman"/>
          <w:noProof/>
          <w:sz w:val="24"/>
          <w:lang w:val="es-ES"/>
        </w:rPr>
        <w:t xml:space="preserve">.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rPr>
          <w:rFonts w:ascii="Times New Roman" w:eastAsia="Times New Roman" w:hAnsi="Times New Roman" w:cs="Times New Roman"/>
          <w:b/>
          <w:smallCaps/>
          <w:noProof/>
          <w:sz w:val="32"/>
          <w:szCs w:val="32"/>
          <w:u w:val="single"/>
          <w:lang w:val="es-ES"/>
        </w:rPr>
      </w:pPr>
      <w:r>
        <w:rPr>
          <w:rFonts w:ascii="Times New Roman" w:hAnsi="Times New Roman"/>
          <w:b/>
          <w:smallCaps/>
          <w:noProof/>
          <w:sz w:val="32"/>
          <w:u w:val="single"/>
          <w:lang w:val="es-ES"/>
        </w:rPr>
        <w:t xml:space="preserve">II. Garantizar y mejorar unas rutas migratorias seguras y legales </w:t>
      </w:r>
    </w:p>
    <w:p w:rsidR="00953C0F" w:rsidRDefault="00953C0F">
      <w:pPr>
        <w:spacing w:after="0" w:line="240" w:lineRule="auto"/>
        <w:rPr>
          <w:rFonts w:ascii="Times New Roman" w:eastAsia="Times New Roman" w:hAnsi="Times New Roman" w:cs="Times New Roman"/>
          <w:b/>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Una gestión in</w:t>
      </w:r>
      <w:r>
        <w:rPr>
          <w:rFonts w:ascii="Times New Roman" w:hAnsi="Times New Roman"/>
          <w:noProof/>
          <w:sz w:val="24"/>
          <w:lang w:val="es-ES"/>
        </w:rPr>
        <w:t>teligente de la migración requiere no solo una política firme encaminada a atajar los flujos irregulares, garantizando en todo momento la protección a quienes la necesitan, sino también una política proactiva de vías legales sostenibles, transparentes y ac</w:t>
      </w:r>
      <w:r>
        <w:rPr>
          <w:rFonts w:ascii="Times New Roman" w:hAnsi="Times New Roman"/>
          <w:noProof/>
          <w:sz w:val="24"/>
          <w:lang w:val="es-ES"/>
        </w:rPr>
        <w:t>cesibles. De acuerdo con la Agenda 2030 para el Desarrollo Sostenible adoptada a nivel mundial, reconocemos así la positiva contribución de los migrantes al crecimiento inclusivo y que la migración es una realidad pluridimensional que exige respuestas cohe</w:t>
      </w:r>
      <w:r>
        <w:rPr>
          <w:rFonts w:ascii="Times New Roman" w:hAnsi="Times New Roman"/>
          <w:noProof/>
          <w:sz w:val="24"/>
          <w:lang w:val="es-ES"/>
        </w:rPr>
        <w:t>rentes e integrales.</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Por una parte, son necesarios más canales legales para permitir que las personas con necesidad de protección internacional puedan llegar a la UE de forma ordenada, gestionada, segura y digna y contribuir a salvar vidas, al tiempo que </w:t>
      </w:r>
      <w:r>
        <w:rPr>
          <w:rFonts w:ascii="Times New Roman" w:hAnsi="Times New Roman"/>
          <w:noProof/>
          <w:sz w:val="24"/>
          <w:lang w:val="es-ES"/>
        </w:rPr>
        <w:t xml:space="preserve">se reduce la migración irregular y se desmantela el </w:t>
      </w:r>
      <w:r>
        <w:rPr>
          <w:rFonts w:ascii="Times New Roman" w:hAnsi="Times New Roman"/>
          <w:i/>
          <w:noProof/>
          <w:sz w:val="24"/>
          <w:lang w:val="es-ES"/>
        </w:rPr>
        <w:t>modus operandi</w:t>
      </w:r>
      <w:r>
        <w:rPr>
          <w:rFonts w:ascii="Times New Roman" w:hAnsi="Times New Roman"/>
          <w:noProof/>
          <w:sz w:val="24"/>
          <w:lang w:val="es-ES"/>
        </w:rPr>
        <w:t xml:space="preserve"> de los traficantes de seres humanos. Al mismo tiempo, la responsabilidad en materia de protección no solo debería ser asumida en mayor medida por la UE en su conjunto, sino también por la comunidad internacional, pues actualmente es compartida de manera d</w:t>
      </w:r>
      <w:r>
        <w:rPr>
          <w:rFonts w:ascii="Times New Roman" w:hAnsi="Times New Roman"/>
          <w:noProof/>
          <w:sz w:val="24"/>
          <w:lang w:val="es-ES"/>
        </w:rPr>
        <w:t>esigual a nivel mundial.</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Por otra parte, la UE necesita una política de migración laboral más proactiva para atraer los talentos y las competencias necesarias para hacer frente a los desafíos demográficos y los déficits de capacitación, contribuyendo así </w:t>
      </w:r>
      <w:r>
        <w:rPr>
          <w:rFonts w:ascii="Times New Roman" w:hAnsi="Times New Roman"/>
          <w:noProof/>
          <w:sz w:val="24"/>
          <w:lang w:val="es-ES"/>
        </w:rPr>
        <w:t>al crecimiento económico y a la sostenibilidad de nuestro sistema de prestaciones sociales. De manera más general, la UE debería aprovechar esta oportunidad para evaluar y mejorar el marco global en materia de migración legal y laboral.</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hAnsi="Times New Roman" w:cs="Times New Roman"/>
          <w:noProof/>
          <w:sz w:val="24"/>
          <w:szCs w:val="24"/>
          <w:lang w:val="es-ES"/>
        </w:rPr>
      </w:pPr>
      <w:r>
        <w:rPr>
          <w:rFonts w:ascii="Times New Roman" w:hAnsi="Times New Roman"/>
          <w:noProof/>
          <w:sz w:val="24"/>
          <w:lang w:val="es-ES"/>
        </w:rPr>
        <w:t xml:space="preserve">Además, y como se </w:t>
      </w:r>
      <w:r>
        <w:rPr>
          <w:rFonts w:ascii="Times New Roman" w:hAnsi="Times New Roman"/>
          <w:noProof/>
          <w:sz w:val="24"/>
          <w:lang w:val="es-ES"/>
        </w:rPr>
        <w:t>pone de relieve en la Comunicación sobre el Semestre Europeo de 2016</w:t>
      </w:r>
      <w:r>
        <w:rPr>
          <w:rStyle w:val="FootnoteReference"/>
          <w:rFonts w:ascii="Times New Roman" w:hAnsi="Times New Roman"/>
          <w:noProof/>
          <w:sz w:val="24"/>
        </w:rPr>
        <w:footnoteReference w:id="27"/>
      </w:r>
      <w:r>
        <w:rPr>
          <w:rFonts w:ascii="Times New Roman" w:hAnsi="Times New Roman"/>
          <w:noProof/>
          <w:sz w:val="24"/>
          <w:lang w:val="es-ES"/>
        </w:rPr>
        <w:t>, la integración efectiva de los nacionales de terceros países que residan legalmente en la Unión Europea es esencial, tanto a la luz de los recientes retos planteados por la crisis de lo</w:t>
      </w:r>
      <w:r>
        <w:rPr>
          <w:rFonts w:ascii="Times New Roman" w:hAnsi="Times New Roman"/>
          <w:noProof/>
          <w:sz w:val="24"/>
          <w:lang w:val="es-ES"/>
        </w:rPr>
        <w:t>s refugiados, como de los retos actuales y futuros relacionados con la migración. Basándose en el trabajo ya realizado a escala de la UE, la Comisión se propone intensificar su acción en materia de integración de los nacionales de terceros países, proponie</w:t>
      </w:r>
      <w:r>
        <w:rPr>
          <w:rFonts w:ascii="Times New Roman" w:hAnsi="Times New Roman"/>
          <w:noProof/>
          <w:sz w:val="24"/>
          <w:lang w:val="es-ES"/>
        </w:rPr>
        <w:t>ndo un plan de acción de la UE sobre la integración. Dicho plan recogerá acciones relacionadas con los ámbitos de actuación más pertinentes para la integración (p. ej. la educación, la integración en el mercado laboral, incluido el emprendimiento, la inclu</w:t>
      </w:r>
      <w:r>
        <w:rPr>
          <w:rFonts w:ascii="Times New Roman" w:hAnsi="Times New Roman"/>
          <w:noProof/>
          <w:sz w:val="24"/>
          <w:lang w:val="es-ES"/>
        </w:rPr>
        <w:t>sión social o la lucha contra la discriminación), con el fin de apoyar a los Estados miembros, con una indicación de los recursos presupuestarios disponibles de la UE.</w:t>
      </w:r>
    </w:p>
    <w:p w:rsidR="00953C0F" w:rsidRDefault="00A44E6E">
      <w:pPr>
        <w:spacing w:after="0" w:line="240" w:lineRule="auto"/>
        <w:jc w:val="both"/>
        <w:rPr>
          <w:rFonts w:ascii="Times New Roman" w:hAnsi="Times New Roman" w:cs="Times New Roman"/>
          <w:noProof/>
          <w:sz w:val="24"/>
          <w:szCs w:val="24"/>
          <w:lang w:val="es-ES"/>
        </w:rPr>
      </w:pPr>
      <w:r>
        <w:rPr>
          <w:rFonts w:ascii="Times New Roman" w:hAnsi="Times New Roman"/>
          <w:noProof/>
          <w:sz w:val="24"/>
          <w:lang w:val="es-ES"/>
        </w:rPr>
        <w:t xml:space="preserve"> </w:t>
      </w:r>
    </w:p>
    <w:p w:rsidR="00953C0F" w:rsidRDefault="00A44E6E">
      <w:pPr>
        <w:spacing w:after="0" w:line="240" w:lineRule="auto"/>
        <w:jc w:val="both"/>
        <w:rPr>
          <w:rFonts w:ascii="Times New Roman" w:hAnsi="Times New Roman" w:cs="Times New Roman"/>
          <w:noProof/>
          <w:sz w:val="24"/>
          <w:szCs w:val="24"/>
          <w:lang w:val="es-ES"/>
        </w:rPr>
      </w:pPr>
      <w:r>
        <w:rPr>
          <w:rFonts w:ascii="Times New Roman" w:hAnsi="Times New Roman"/>
          <w:noProof/>
          <w:sz w:val="24"/>
          <w:lang w:val="es-ES"/>
        </w:rPr>
        <w:t>Por último, la UE deberá reforzar su cooperación con terceros países de origen clave p</w:t>
      </w:r>
      <w:r>
        <w:rPr>
          <w:rFonts w:ascii="Times New Roman" w:hAnsi="Times New Roman"/>
          <w:noProof/>
          <w:sz w:val="24"/>
          <w:lang w:val="es-ES"/>
        </w:rPr>
        <w:t>ara garantizar una mejor y más amplia gestión de la migración y la movilidad.</w:t>
      </w:r>
    </w:p>
    <w:p w:rsidR="00953C0F" w:rsidRDefault="00953C0F">
      <w:pPr>
        <w:spacing w:after="0" w:line="240" w:lineRule="auto"/>
        <w:jc w:val="both"/>
        <w:rPr>
          <w:rFonts w:ascii="Times New Roman" w:hAnsi="Times New Roman" w:cs="Times New Roman"/>
          <w:noProof/>
          <w:sz w:val="24"/>
          <w:szCs w:val="24"/>
          <w:lang w:val="es-ES"/>
        </w:rPr>
      </w:pPr>
    </w:p>
    <w:p w:rsidR="00953C0F" w:rsidRDefault="00953C0F">
      <w:pPr>
        <w:spacing w:after="0" w:line="240" w:lineRule="auto"/>
        <w:rPr>
          <w:rFonts w:ascii="Times New Roman" w:eastAsia="Times New Roman" w:hAnsi="Times New Roman" w:cs="Times New Roman"/>
          <w:b/>
          <w:noProof/>
          <w:sz w:val="24"/>
          <w:szCs w:val="24"/>
          <w:lang w:val="es-ES"/>
        </w:rPr>
      </w:pPr>
    </w:p>
    <w:p w:rsidR="00953C0F" w:rsidRDefault="00A44E6E">
      <w:pPr>
        <w:spacing w:after="0" w:line="240" w:lineRule="auto"/>
        <w:jc w:val="both"/>
        <w:rPr>
          <w:rFonts w:ascii="Times New Roman" w:eastAsia="Times New Roman" w:hAnsi="Times New Roman" w:cs="Times New Roman"/>
          <w:b/>
          <w:noProof/>
          <w:sz w:val="24"/>
          <w:szCs w:val="24"/>
          <w:lang w:val="es-ES"/>
        </w:rPr>
      </w:pPr>
      <w:r>
        <w:rPr>
          <w:rFonts w:ascii="Times New Roman" w:hAnsi="Times New Roman"/>
          <w:b/>
          <w:noProof/>
          <w:sz w:val="24"/>
          <w:lang w:val="es-ES"/>
        </w:rPr>
        <w:t xml:space="preserve">II.1. Avanzar hacia un enfoque más gestionado de la protección de los refugiados en la UE </w:t>
      </w:r>
      <w:r>
        <w:rPr>
          <w:rFonts w:ascii="Times New Roman" w:hAnsi="Times New Roman"/>
          <w:b/>
          <w:noProof/>
          <w:sz w:val="24"/>
          <w:lang w:val="es-ES"/>
        </w:rPr>
        <w:t>– un sistema de reasentamiento estructurado</w:t>
      </w:r>
    </w:p>
    <w:p w:rsidR="00953C0F" w:rsidRDefault="00953C0F">
      <w:pPr>
        <w:spacing w:after="0" w:line="240" w:lineRule="auto"/>
        <w:jc w:val="both"/>
        <w:rPr>
          <w:rFonts w:ascii="Times New Roman" w:eastAsia="Times New Roman" w:hAnsi="Times New Roman" w:cs="Times New Roman"/>
          <w:b/>
          <w:noProof/>
          <w:sz w:val="24"/>
          <w:szCs w:val="24"/>
          <w:lang w:val="es-ES"/>
        </w:rPr>
      </w:pPr>
    </w:p>
    <w:p w:rsidR="00953C0F" w:rsidRDefault="00A44E6E">
      <w:pPr>
        <w:spacing w:after="0" w:line="240" w:lineRule="auto"/>
        <w:jc w:val="both"/>
        <w:rPr>
          <w:rFonts w:ascii="Times New Roman" w:hAnsi="Times New Roman"/>
          <w:noProof/>
          <w:sz w:val="24"/>
          <w:lang w:val="es-ES"/>
        </w:rPr>
      </w:pPr>
      <w:r>
        <w:rPr>
          <w:rFonts w:ascii="Times New Roman" w:hAnsi="Times New Roman"/>
          <w:noProof/>
          <w:sz w:val="24"/>
          <w:lang w:val="es-ES"/>
        </w:rPr>
        <w:t xml:space="preserve">En el desarrollo de un sistema de </w:t>
      </w:r>
      <w:r>
        <w:rPr>
          <w:rFonts w:ascii="Times New Roman" w:hAnsi="Times New Roman"/>
          <w:noProof/>
          <w:sz w:val="24"/>
          <w:lang w:val="es-ES"/>
        </w:rPr>
        <w:t>reasentamiento estructurado la Comisión no parte de cero. Ya ha recomendado un planteamiento a escala de la UE en el que los Estados miembros han decidido reasentar a 22 504 refugiados en el periodo 2015-16 desde campos de refugiados en el Oriente Próximo,</w:t>
      </w:r>
      <w:r>
        <w:rPr>
          <w:rFonts w:ascii="Times New Roman" w:hAnsi="Times New Roman"/>
          <w:noProof/>
          <w:sz w:val="24"/>
          <w:lang w:val="es-ES"/>
        </w:rPr>
        <w:t xml:space="preserve"> el norte de África y el Cuerno de África, con la intermediación del ACNUR. Como se anunció en la Declaración acordada entre los Estados miembros y Turquía de 18 de marzo</w:t>
      </w:r>
      <w:r>
        <w:rPr>
          <w:rStyle w:val="FootnoteReference"/>
          <w:rFonts w:ascii="Times New Roman" w:hAnsi="Times New Roman"/>
          <w:noProof/>
          <w:sz w:val="24"/>
        </w:rPr>
        <w:footnoteReference w:id="28"/>
      </w:r>
      <w:r>
        <w:rPr>
          <w:rFonts w:ascii="Times New Roman" w:hAnsi="Times New Roman"/>
          <w:noProof/>
          <w:sz w:val="24"/>
          <w:lang w:val="es-ES"/>
        </w:rPr>
        <w:t xml:space="preserve">, se establece un mecanismo para sustituir las travesías irregulares y peligrosas de </w:t>
      </w:r>
      <w:r>
        <w:rPr>
          <w:rFonts w:ascii="Times New Roman" w:hAnsi="Times New Roman"/>
          <w:noProof/>
          <w:sz w:val="24"/>
          <w:lang w:val="es-ES"/>
        </w:rPr>
        <w:t>migrantes desde Turquía a las islas griegas por el canal legal del reasentamiento desde Turquía en la UE. Por cada sirio que se devuelva a Turquía, otro sirio procedente de Turquía será reasentado en la UE. Por parte de la UE, el reasentamiento en virtud d</w:t>
      </w:r>
      <w:r>
        <w:rPr>
          <w:rFonts w:ascii="Times New Roman" w:hAnsi="Times New Roman"/>
          <w:noProof/>
          <w:sz w:val="24"/>
          <w:lang w:val="es-ES"/>
        </w:rPr>
        <w:t>e este mecanismo se realizará en primer lugar cumpliendo los compromisos contraídos en virtud del citado planteamiento a escala de la UE, del que quedan 18 000 de las 22 504 plazas de reasentamiento previstas inicialmente. La Comisión ha propuesto que 54 0</w:t>
      </w:r>
      <w:r>
        <w:rPr>
          <w:rFonts w:ascii="Times New Roman" w:hAnsi="Times New Roman"/>
          <w:noProof/>
          <w:sz w:val="24"/>
          <w:lang w:val="es-ES"/>
        </w:rPr>
        <w:t>00 plazas que estaban asignadas para reubicaciones se pongan ahora también a disposición para reasentar a sirios procedentes de Turquía en la UE</w:t>
      </w:r>
      <w:r>
        <w:rPr>
          <w:rStyle w:val="FootnoteReference"/>
          <w:rFonts w:ascii="Times New Roman" w:hAnsi="Times New Roman"/>
          <w:noProof/>
          <w:sz w:val="24"/>
        </w:rPr>
        <w:footnoteReference w:id="29"/>
      </w:r>
      <w:r>
        <w:rPr>
          <w:rFonts w:ascii="Times New Roman" w:hAnsi="Times New Roman"/>
          <w:noProof/>
          <w:sz w:val="24"/>
          <w:lang w:val="es-ES"/>
        </w:rPr>
        <w:t xml:space="preserve"> en caso de que sea necesario realizar más reasentamientos. Paralelamente, se está trabajando en los Estados mi</w:t>
      </w:r>
      <w:r>
        <w:rPr>
          <w:rFonts w:ascii="Times New Roman" w:hAnsi="Times New Roman"/>
          <w:noProof/>
          <w:sz w:val="24"/>
          <w:lang w:val="es-ES"/>
        </w:rPr>
        <w:t>embros para poner en marcha el régimen de admisión humanitaria para los refugiados sirios que se encuentran actualmente en Turquía. Una vez que cesen las travesías irregulares entre Turquía y la UE, o que al menos se hayan reducido de forma sustancial y so</w:t>
      </w:r>
      <w:r>
        <w:rPr>
          <w:rFonts w:ascii="Times New Roman" w:hAnsi="Times New Roman"/>
          <w:noProof/>
          <w:sz w:val="24"/>
          <w:lang w:val="es-ES"/>
        </w:rPr>
        <w:t>stenible, se activará este régimen. Los Estados miembros de la UE contribuirán a él de manera voluntaria.</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Sobre la base de estas iniciativas, la Comisión elaborará una </w:t>
      </w:r>
      <w:r>
        <w:rPr>
          <w:rFonts w:ascii="Times New Roman" w:hAnsi="Times New Roman"/>
          <w:b/>
          <w:noProof/>
          <w:sz w:val="24"/>
          <w:lang w:val="es-ES"/>
        </w:rPr>
        <w:t xml:space="preserve">propuesta en la que se trazarán las líneas maestras de la política de la UE en materia </w:t>
      </w:r>
      <w:r>
        <w:rPr>
          <w:rFonts w:ascii="Times New Roman" w:hAnsi="Times New Roman"/>
          <w:b/>
          <w:noProof/>
          <w:sz w:val="24"/>
          <w:lang w:val="es-ES"/>
        </w:rPr>
        <w:t>de reasentamiento</w:t>
      </w:r>
      <w:r>
        <w:rPr>
          <w:rFonts w:ascii="Times New Roman" w:hAnsi="Times New Roman"/>
          <w:noProof/>
          <w:sz w:val="24"/>
          <w:lang w:val="es-ES"/>
        </w:rPr>
        <w:t>, con un enfoque común para la llegada segura y legal a la UE de las personas que necesitan protección. Dicha propuesta creará un mecanismo horizontal para la puesta en marcha de iniciativas de reasentamiento de la UE específicas, mediante</w:t>
      </w:r>
      <w:r>
        <w:rPr>
          <w:rFonts w:ascii="Times New Roman" w:hAnsi="Times New Roman"/>
          <w:noProof/>
          <w:sz w:val="24"/>
          <w:lang w:val="es-ES"/>
        </w:rPr>
        <w:t xml:space="preserve"> el establecimiento de normas comunes de la UE en materia de admisión y distribución, sobre el estatuto que debe otorgarse a las personas reasentadas, sobre el apoyo financiero, y sobre medidas para desalentar los movimientos secundarios. Tales iniciativas</w:t>
      </w:r>
      <w:r>
        <w:rPr>
          <w:rFonts w:ascii="Times New Roman" w:hAnsi="Times New Roman"/>
          <w:noProof/>
          <w:sz w:val="24"/>
          <w:lang w:val="es-ES"/>
        </w:rPr>
        <w:t xml:space="preserve"> a escala de la UE podrían ser de aplicación general, ir destinadas a mejorar el reasentamiento en general o a facilitar el reasentamiento desde un tercer país o región determinados y estar vinculadas a determinadas condiciones sobre una cooperación efecti</w:t>
      </w:r>
      <w:r>
        <w:rPr>
          <w:rFonts w:ascii="Times New Roman" w:hAnsi="Times New Roman"/>
          <w:noProof/>
          <w:sz w:val="24"/>
          <w:lang w:val="es-ES"/>
        </w:rPr>
        <w:t>va en materia de gestión de la migración (por ejemplo, la reducción del número de personas que llegan espontáneamente a los Estados miembros de la UE, acordando o mejorando la aplicación de los acuerdos de readmisión). Este mecanismo podría activarse media</w:t>
      </w:r>
      <w:r>
        <w:rPr>
          <w:rFonts w:ascii="Times New Roman" w:hAnsi="Times New Roman"/>
          <w:noProof/>
          <w:sz w:val="24"/>
          <w:lang w:val="es-ES"/>
        </w:rPr>
        <w:t>nte actos de ejecución que se adoptarían atendiendo a criterios definidos objetivamente (p. ej. los objetivos mundiales de reasentamiento del ACNUR).</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política de la UE en materia de reasentamiento debería perseguir como objetivo general la asunción por</w:t>
      </w:r>
      <w:r>
        <w:rPr>
          <w:rFonts w:ascii="Times New Roman" w:hAnsi="Times New Roman"/>
          <w:noProof/>
          <w:sz w:val="24"/>
          <w:lang w:val="es-ES"/>
        </w:rPr>
        <w:t xml:space="preserve"> la Unión de la parte de responsabilidad que le toca para dar refugio a los refugiados del mundo. Se trata de una responsabilidad que ha de compartir la comunidad internacional en su conjunto, y que solo se puede abordar de forma adecuada y sostenible medi</w:t>
      </w:r>
      <w:r>
        <w:rPr>
          <w:rFonts w:ascii="Times New Roman" w:hAnsi="Times New Roman"/>
          <w:noProof/>
          <w:sz w:val="24"/>
          <w:lang w:val="es-ES"/>
        </w:rPr>
        <w:t>ante un enfoque concertado y decidido en el que participen todos los actores internacionales. En este contexto, es preciso que la UE refuerce su apoyo a iniciativas internacionales destinadas a abordar los desafíos globales en materia de migración y refugi</w:t>
      </w:r>
      <w:r>
        <w:rPr>
          <w:rFonts w:ascii="Times New Roman" w:hAnsi="Times New Roman"/>
          <w:noProof/>
          <w:sz w:val="24"/>
          <w:lang w:val="es-ES"/>
        </w:rPr>
        <w:t>ados, como los programas mundiales de reasentamiento del ACNUR</w:t>
      </w:r>
      <w:r>
        <w:rPr>
          <w:rStyle w:val="FootnoteReference"/>
          <w:rFonts w:ascii="Times New Roman" w:hAnsi="Times New Roman"/>
          <w:noProof/>
          <w:sz w:val="24"/>
        </w:rPr>
        <w:footnoteReference w:id="30"/>
      </w:r>
      <w:r>
        <w:rPr>
          <w:rFonts w:ascii="Times New Roman" w:hAnsi="Times New Roman"/>
          <w:noProof/>
          <w:sz w:val="24"/>
          <w:lang w:val="es-ES"/>
        </w:rPr>
        <w:t>, e incremente su participación en ellas, pero también que reclame un mayor compromiso en otros contextos internacionales, como el G20. Para ello, necesita un sistema común estructurado que aún</w:t>
      </w:r>
      <w:r>
        <w:rPr>
          <w:rFonts w:ascii="Times New Roman" w:hAnsi="Times New Roman"/>
          <w:noProof/>
          <w:sz w:val="24"/>
          <w:lang w:val="es-ES"/>
        </w:rPr>
        <w:t xml:space="preserve">e los esfuerzos europeos de reasentamiento de manera más sistemática. De esta forma, estará predicando con el ejemplo y enviará a la comunidad internacional un mensaje claro y visible de la solidaridad europea. </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Los Estados miembros han de estudiar tambié</w:t>
      </w:r>
      <w:r>
        <w:rPr>
          <w:rFonts w:ascii="Times New Roman" w:hAnsi="Times New Roman"/>
          <w:noProof/>
          <w:sz w:val="24"/>
          <w:lang w:val="es-ES"/>
        </w:rPr>
        <w:t>n la posibilidad de encontrar más formas de entrada legal para las personas que necesitan protección internacional. Los regímenes específicos para los refugiados, como el reasentamiento y la admisión humanitaria, deben completarse haciendo más accesibles p</w:t>
      </w:r>
      <w:r>
        <w:rPr>
          <w:rFonts w:ascii="Times New Roman" w:hAnsi="Times New Roman"/>
          <w:noProof/>
          <w:sz w:val="24"/>
          <w:lang w:val="es-ES"/>
        </w:rPr>
        <w:t xml:space="preserve">ara los refugiados los regímenes de admisión regulares existentes para categorías generales como los estudiantes, los investigadores y los trabajadores, y deben respaldarse plenamente las iniciativas ya existentes. Otras iniciativas, como el </w:t>
      </w:r>
      <w:r>
        <w:rPr>
          <w:rFonts w:ascii="Times New Roman" w:hAnsi="Times New Roman"/>
          <w:b/>
          <w:noProof/>
          <w:sz w:val="24"/>
          <w:lang w:val="es-ES"/>
        </w:rPr>
        <w:t>patrocinio pri</w:t>
      </w:r>
      <w:r>
        <w:rPr>
          <w:rFonts w:ascii="Times New Roman" w:hAnsi="Times New Roman"/>
          <w:b/>
          <w:noProof/>
          <w:sz w:val="24"/>
          <w:lang w:val="es-ES"/>
        </w:rPr>
        <w:t>vado</w:t>
      </w:r>
      <w:r>
        <w:rPr>
          <w:rFonts w:ascii="Times New Roman" w:hAnsi="Times New Roman"/>
          <w:noProof/>
          <w:sz w:val="24"/>
          <w:lang w:val="es-ES"/>
        </w:rPr>
        <w:t>, en las que agrupaciones u organizaciones privadas pueden contribuir a sufragar los costes del patrocinio y apoyar el asentamiento de las personas necesitadas de protección, también pueden desempeñar un papel importante a la hora de multiplicar las po</w:t>
      </w:r>
      <w:r>
        <w:rPr>
          <w:rFonts w:ascii="Times New Roman" w:hAnsi="Times New Roman"/>
          <w:noProof/>
          <w:sz w:val="24"/>
          <w:lang w:val="es-ES"/>
        </w:rPr>
        <w:t>sibilidades de entrada legal. El patrocinio privado puede adoptar diversas formas, desde becas para estudiantes y personal académico hasta el apoyo a la integración para los miembros de la familia. El patrocinio privado no es solo una manera de encontrar n</w:t>
      </w:r>
      <w:r>
        <w:rPr>
          <w:rFonts w:ascii="Times New Roman" w:hAnsi="Times New Roman"/>
          <w:noProof/>
          <w:sz w:val="24"/>
          <w:lang w:val="es-ES"/>
        </w:rPr>
        <w:t xml:space="preserve">uevas posibilidades de entrada legal sino que contribuye igualmente a sensibilizar a la opinión pública y apoyar a los refugiados, y propicia un marco más acogedor, pues suele contar con la participación de las comunidades locales. Por consiguiente, estas </w:t>
      </w:r>
      <w:r>
        <w:rPr>
          <w:rFonts w:ascii="Times New Roman" w:hAnsi="Times New Roman"/>
          <w:noProof/>
          <w:sz w:val="24"/>
          <w:lang w:val="es-ES"/>
        </w:rPr>
        <w:t>prácticas deberían fomentarse desarrollando mejores prácticas en la UE, inspirándose en los modelos y experiencias procedentes de otros terceros países.</w:t>
      </w:r>
      <w:r>
        <w:rPr>
          <w:noProof/>
          <w:lang w:val="es-ES"/>
        </w:rPr>
        <w:t xml:space="preserve"> </w:t>
      </w:r>
      <w:r>
        <w:rPr>
          <w:rFonts w:ascii="Times New Roman" w:hAnsi="Times New Roman"/>
          <w:noProof/>
          <w:sz w:val="24"/>
          <w:lang w:val="es-ES"/>
        </w:rPr>
        <w:t>Se anima también a los Estados miembros a utilizar plenamente otras vías legales disponibles para las p</w:t>
      </w:r>
      <w:r>
        <w:rPr>
          <w:rFonts w:ascii="Times New Roman" w:hAnsi="Times New Roman"/>
          <w:noProof/>
          <w:sz w:val="24"/>
          <w:lang w:val="es-ES"/>
        </w:rPr>
        <w:t>ersonas necesitadas de protección, como los permisos humanitarios, y la Comisión estudiará las posibilidades de promover un enfoque europeo coordinado también en este ámbito.</w:t>
      </w:r>
    </w:p>
    <w:p w:rsidR="00953C0F" w:rsidRDefault="00953C0F">
      <w:pPr>
        <w:spacing w:after="0" w:line="240" w:lineRule="auto"/>
        <w:rPr>
          <w:rFonts w:ascii="Times New Roman" w:eastAsia="Times New Roman" w:hAnsi="Times New Roman" w:cs="Times New Roman"/>
          <w:noProof/>
          <w:sz w:val="24"/>
          <w:szCs w:val="24"/>
          <w:lang w:val="es-ES"/>
        </w:rPr>
      </w:pPr>
    </w:p>
    <w:p w:rsidR="00953C0F" w:rsidRDefault="00A44E6E">
      <w:pPr>
        <w:spacing w:after="0" w:line="240" w:lineRule="auto"/>
        <w:ind w:left="720" w:hanging="720"/>
        <w:rPr>
          <w:rFonts w:ascii="Times New Roman" w:eastAsia="Times New Roman" w:hAnsi="Times New Roman" w:cs="Times New Roman"/>
          <w:b/>
          <w:noProof/>
          <w:sz w:val="24"/>
          <w:szCs w:val="24"/>
          <w:lang w:val="es-ES"/>
        </w:rPr>
      </w:pPr>
      <w:r>
        <w:rPr>
          <w:rFonts w:ascii="Times New Roman" w:hAnsi="Times New Roman"/>
          <w:b/>
          <w:noProof/>
          <w:sz w:val="24"/>
          <w:lang w:val="es-ES"/>
        </w:rPr>
        <w:t>II.2. Una política de migración legal más inteligente y bien gestionada</w:t>
      </w:r>
    </w:p>
    <w:p w:rsidR="00953C0F" w:rsidRDefault="00953C0F">
      <w:pPr>
        <w:spacing w:after="0" w:line="240" w:lineRule="auto"/>
        <w:jc w:val="both"/>
        <w:rPr>
          <w:rFonts w:ascii="Times New Roman" w:hAnsi="Times New Roman" w:cs="Times New Roman"/>
          <w:noProof/>
          <w:sz w:val="24"/>
          <w:szCs w:val="24"/>
          <w:lang w:val="es-ES"/>
        </w:rPr>
      </w:pPr>
    </w:p>
    <w:p w:rsidR="00953C0F" w:rsidRDefault="00A44E6E">
      <w:pPr>
        <w:autoSpaceDE w:val="0"/>
        <w:autoSpaceDN w:val="0"/>
        <w:adjustRightInd w:val="0"/>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A lo la</w:t>
      </w:r>
      <w:r>
        <w:rPr>
          <w:rFonts w:ascii="Times New Roman" w:hAnsi="Times New Roman"/>
          <w:noProof/>
          <w:sz w:val="24"/>
          <w:lang w:val="es-ES"/>
        </w:rPr>
        <w:t>rgo de los últimos trece años, la UE ha desarrollado una amplia gama de instrumentos sobre admisión de diferentes categorías de migrantes legales. La Directiva sobre la tarjeta azul y la Directiva sobre las personas trasladadas dentro de una misma empresa</w:t>
      </w:r>
      <w:r>
        <w:rPr>
          <w:rFonts w:ascii="Times New Roman" w:hAnsi="Times New Roman"/>
          <w:noProof/>
          <w:sz w:val="24"/>
          <w:vertAlign w:val="superscript"/>
        </w:rPr>
        <w:footnoteReference w:id="31"/>
      </w:r>
      <w:r>
        <w:rPr>
          <w:rFonts w:ascii="Times New Roman" w:hAnsi="Times New Roman"/>
          <w:noProof/>
          <w:sz w:val="24"/>
          <w:lang w:val="es-ES"/>
        </w:rPr>
        <w:t xml:space="preserve"> crean un marco jurídico para los migrantes altamente cualificados; la Directiva sobre estudiantes e investigadores</w:t>
      </w:r>
      <w:r>
        <w:rPr>
          <w:rFonts w:ascii="Times New Roman" w:hAnsi="Times New Roman"/>
          <w:noProof/>
          <w:sz w:val="24"/>
          <w:vertAlign w:val="superscript"/>
        </w:rPr>
        <w:footnoteReference w:id="32"/>
      </w:r>
      <w:r>
        <w:rPr>
          <w:rFonts w:ascii="Times New Roman" w:hAnsi="Times New Roman"/>
          <w:noProof/>
          <w:sz w:val="24"/>
          <w:lang w:val="es-ES"/>
        </w:rPr>
        <w:t xml:space="preserve"> revisada facilita la admisión y la movilidad dentro de la UE para estudiantes e investigadores extranjeros y establece su derecho a quedars</w:t>
      </w:r>
      <w:r>
        <w:rPr>
          <w:rFonts w:ascii="Times New Roman" w:hAnsi="Times New Roman"/>
          <w:noProof/>
          <w:sz w:val="24"/>
          <w:lang w:val="es-ES"/>
        </w:rPr>
        <w:t>e nueve meses para buscar un trabajo o crear una empresa; la Directiva sobre los trabajadores temporeros</w:t>
      </w:r>
      <w:r>
        <w:rPr>
          <w:rFonts w:ascii="Times New Roman" w:hAnsi="Times New Roman"/>
          <w:noProof/>
          <w:sz w:val="24"/>
          <w:vertAlign w:val="superscript"/>
        </w:rPr>
        <w:footnoteReference w:id="33"/>
      </w:r>
      <w:r>
        <w:rPr>
          <w:rFonts w:ascii="Times New Roman" w:hAnsi="Times New Roman"/>
          <w:noProof/>
          <w:sz w:val="24"/>
          <w:lang w:val="es-ES"/>
        </w:rPr>
        <w:t xml:space="preserve">, que habrá de ser plenamente transpuesta por los Estados miembros antes de que finalice el presente año, regula las condiciones de entrada y estancia </w:t>
      </w:r>
      <w:r>
        <w:rPr>
          <w:rFonts w:ascii="Times New Roman" w:hAnsi="Times New Roman"/>
          <w:noProof/>
          <w:sz w:val="24"/>
          <w:lang w:val="es-ES"/>
        </w:rPr>
        <w:t>temporal de los trabajadores temporeros, lo que facilita la migración circular y protege a esta categoría de trabajadores particularmente vulnerable. Además, la Directiva sobre el permiso único</w:t>
      </w:r>
      <w:r>
        <w:rPr>
          <w:rFonts w:ascii="Times New Roman" w:hAnsi="Times New Roman"/>
          <w:noProof/>
          <w:sz w:val="24"/>
          <w:vertAlign w:val="superscript"/>
        </w:rPr>
        <w:footnoteReference w:id="34"/>
      </w:r>
      <w:r>
        <w:rPr>
          <w:rFonts w:ascii="Times New Roman" w:hAnsi="Times New Roman"/>
          <w:noProof/>
          <w:sz w:val="24"/>
          <w:lang w:val="es-ES"/>
        </w:rPr>
        <w:t xml:space="preserve"> ofrece un permiso único que combina el permiso de residencia </w:t>
      </w:r>
      <w:r>
        <w:rPr>
          <w:rFonts w:ascii="Times New Roman" w:hAnsi="Times New Roman"/>
          <w:noProof/>
          <w:sz w:val="24"/>
          <w:lang w:val="es-ES"/>
        </w:rPr>
        <w:t>y el permiso de trabajo para los nacionales de terceros países, la Directiva sobre los residentes de larga duración</w:t>
      </w:r>
      <w:r>
        <w:rPr>
          <w:rFonts w:ascii="Times New Roman" w:hAnsi="Times New Roman"/>
          <w:noProof/>
          <w:sz w:val="24"/>
          <w:vertAlign w:val="superscript"/>
        </w:rPr>
        <w:footnoteReference w:id="35"/>
      </w:r>
      <w:r>
        <w:rPr>
          <w:rFonts w:ascii="Times New Roman" w:hAnsi="Times New Roman"/>
          <w:noProof/>
          <w:sz w:val="24"/>
          <w:lang w:val="es-ES"/>
        </w:rPr>
        <w:t xml:space="preserve"> regula las condiciones y los derechos de residencia de los nacionales de terceros países que hayan residido en la UE durante más de cinco a</w:t>
      </w:r>
      <w:r>
        <w:rPr>
          <w:rFonts w:ascii="Times New Roman" w:hAnsi="Times New Roman"/>
          <w:noProof/>
          <w:sz w:val="24"/>
          <w:lang w:val="es-ES"/>
        </w:rPr>
        <w:t>ños, y la Directiva sobre la reagrupación familiar</w:t>
      </w:r>
      <w:r>
        <w:rPr>
          <w:rFonts w:ascii="Times New Roman" w:hAnsi="Times New Roman"/>
          <w:noProof/>
          <w:sz w:val="24"/>
          <w:vertAlign w:val="superscript"/>
        </w:rPr>
        <w:footnoteReference w:id="36"/>
      </w:r>
      <w:r>
        <w:rPr>
          <w:rFonts w:ascii="Times New Roman" w:hAnsi="Times New Roman"/>
          <w:noProof/>
          <w:sz w:val="24"/>
          <w:lang w:val="es-ES"/>
        </w:rPr>
        <w:t xml:space="preserve"> establece las condiciones de entrada y de residencia de los miembros de la familia de los nacionales de terceros países.</w:t>
      </w:r>
    </w:p>
    <w:p w:rsidR="00953C0F" w:rsidRDefault="00953C0F">
      <w:pPr>
        <w:autoSpaceDE w:val="0"/>
        <w:autoSpaceDN w:val="0"/>
        <w:adjustRightInd w:val="0"/>
        <w:spacing w:after="0" w:line="240" w:lineRule="auto"/>
        <w:jc w:val="both"/>
        <w:rPr>
          <w:rFonts w:ascii="Times New Roman" w:eastAsia="Times New Roman" w:hAnsi="Times New Roman" w:cs="Times New Roman"/>
          <w:noProof/>
          <w:sz w:val="24"/>
          <w:szCs w:val="24"/>
          <w:lang w:val="es-ES"/>
        </w:rPr>
      </w:pPr>
    </w:p>
    <w:p w:rsidR="00953C0F" w:rsidRDefault="00A44E6E">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Sin embargo, son necesarias nuevas actuaciones a nivel de la UE. En primer lugar, </w:t>
      </w:r>
      <w:r>
        <w:rPr>
          <w:rFonts w:ascii="Times New Roman" w:hAnsi="Times New Roman"/>
          <w:noProof/>
          <w:sz w:val="24"/>
          <w:lang w:val="es-ES"/>
        </w:rPr>
        <w:t>la UE ha de mejorar la normativa sobre migración para los migrantes altamente cualificados mediante una reforma de la tarjeta azul de la UE. En segundo lugar, la UE debería estudiar la forma de atraer a emprendedores innovadores que puedan impulsar el crec</w:t>
      </w:r>
      <w:r>
        <w:rPr>
          <w:rFonts w:ascii="Times New Roman" w:hAnsi="Times New Roman"/>
          <w:noProof/>
          <w:sz w:val="24"/>
          <w:lang w:val="es-ES"/>
        </w:rPr>
        <w:t>imiento económico y ayudar a crear puestos de trabajo. En tercer lugar, la migración legal debe formar parte integrante del debate general con los terceros países de origen y de tránsito sobre la cooperación en la gestión de los flujos migratorios. Por últ</w:t>
      </w:r>
      <w:r>
        <w:rPr>
          <w:rFonts w:ascii="Times New Roman" w:hAnsi="Times New Roman"/>
          <w:noProof/>
          <w:sz w:val="24"/>
          <w:lang w:val="es-ES"/>
        </w:rPr>
        <w:t>imo, debería iniciarse un ejercicio de reflexión sobre los posibles modos de modificar, a más largo plazo, el modelo de la UE de gestión de la migración legal, y especialmente de la migración laboral, en particular inspirándose en modelos de reconocido éxi</w:t>
      </w:r>
      <w:r>
        <w:rPr>
          <w:rFonts w:ascii="Times New Roman" w:hAnsi="Times New Roman"/>
          <w:noProof/>
          <w:sz w:val="24"/>
          <w:lang w:val="es-ES"/>
        </w:rPr>
        <w:t>to puestos en práctica por otros países desarrollados.</w:t>
      </w:r>
    </w:p>
    <w:p w:rsidR="00953C0F" w:rsidRDefault="00953C0F">
      <w:pPr>
        <w:spacing w:after="0" w:line="240" w:lineRule="auto"/>
        <w:rPr>
          <w:rFonts w:ascii="Times New Roman" w:eastAsia="Times New Roman" w:hAnsi="Times New Roman" w:cs="Times New Roman"/>
          <w:noProof/>
          <w:sz w:val="24"/>
          <w:szCs w:val="24"/>
          <w:u w:val="single"/>
          <w:lang w:val="es-ES"/>
        </w:rPr>
      </w:pPr>
    </w:p>
    <w:p w:rsidR="00953C0F" w:rsidRDefault="00A44E6E">
      <w:pPr>
        <w:pStyle w:val="ListParagraph"/>
        <w:numPr>
          <w:ilvl w:val="0"/>
          <w:numId w:val="9"/>
        </w:numPr>
        <w:spacing w:after="0" w:line="240" w:lineRule="auto"/>
        <w:rPr>
          <w:rFonts w:ascii="Times New Roman" w:hAnsi="Times New Roman"/>
          <w:i/>
          <w:noProof/>
          <w:sz w:val="24"/>
          <w:lang w:val="es-ES"/>
        </w:rPr>
      </w:pPr>
      <w:r>
        <w:rPr>
          <w:rFonts w:ascii="Times New Roman" w:hAnsi="Times New Roman"/>
          <w:i/>
          <w:noProof/>
          <w:sz w:val="24"/>
          <w:lang w:val="es-ES"/>
        </w:rPr>
        <w:t xml:space="preserve">Atraer a Europa a trabajadores altamente cualificados: una tarjeta azul más eficaz </w:t>
      </w:r>
    </w:p>
    <w:p w:rsidR="00953C0F" w:rsidRDefault="00953C0F">
      <w:pPr>
        <w:spacing w:after="0" w:line="240" w:lineRule="auto"/>
        <w:jc w:val="both"/>
        <w:rPr>
          <w:rFonts w:ascii="Times New Roman" w:eastAsia="Times New Roman" w:hAnsi="Times New Roman" w:cs="Times New Roman"/>
          <w:i/>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Europa es un continente que envejece, con una población activa en declive</w:t>
      </w:r>
      <w:r>
        <w:rPr>
          <w:rStyle w:val="FootnoteReference"/>
          <w:rFonts w:ascii="Times New Roman" w:hAnsi="Times New Roman"/>
          <w:noProof/>
          <w:sz w:val="24"/>
        </w:rPr>
        <w:footnoteReference w:id="37"/>
      </w:r>
      <w:r>
        <w:rPr>
          <w:rFonts w:ascii="Times New Roman" w:hAnsi="Times New Roman"/>
          <w:noProof/>
          <w:sz w:val="24"/>
          <w:lang w:val="es-ES"/>
        </w:rPr>
        <w:t xml:space="preserve">, que se espera disminuya en 18 millones </w:t>
      </w:r>
      <w:r>
        <w:rPr>
          <w:rFonts w:ascii="Times New Roman" w:hAnsi="Times New Roman"/>
          <w:noProof/>
          <w:sz w:val="24"/>
          <w:lang w:val="es-ES"/>
        </w:rPr>
        <w:t>de personas en la próxima década. Además, la evolución de las competencias requeridas por los mercados laborales de la UE entre 2012 y 2025 revela una necesidad creciente de capital humano altamente cualificado (de 68 a 83 millones de trabajadores, o sea u</w:t>
      </w:r>
      <w:r>
        <w:rPr>
          <w:rFonts w:ascii="Times New Roman" w:hAnsi="Times New Roman"/>
          <w:noProof/>
          <w:sz w:val="24"/>
          <w:lang w:val="es-ES"/>
        </w:rPr>
        <w:t>n +23 %)</w:t>
      </w:r>
      <w:r>
        <w:rPr>
          <w:rFonts w:ascii="Times New Roman" w:hAnsi="Times New Roman"/>
          <w:noProof/>
          <w:sz w:val="24"/>
          <w:vertAlign w:val="superscript"/>
        </w:rPr>
        <w:footnoteReference w:id="38"/>
      </w:r>
      <w:r>
        <w:rPr>
          <w:rFonts w:ascii="Times New Roman" w:hAnsi="Times New Roman"/>
          <w:noProof/>
          <w:sz w:val="24"/>
          <w:lang w:val="es-ES"/>
        </w:rPr>
        <w:t>. Al mismo tiempo, es necesario aprovechar mejor el potencial de mano de obra de la UE, tal como demuestran las elevadas tasas de desempleo, especialmente entre los jóvenes, las bajas tasas de participación y los persistentes desequilibrios del me</w:t>
      </w:r>
      <w:r>
        <w:rPr>
          <w:rFonts w:ascii="Times New Roman" w:hAnsi="Times New Roman"/>
          <w:noProof/>
          <w:sz w:val="24"/>
          <w:lang w:val="es-ES"/>
        </w:rPr>
        <w:t>rcado de trabajo en la UE. Ello requiere un esfuerzo concertado a todos los niveles centrado en la inversión en el desarrollo de las cualificaciones de la mano de obra existente, el fomento de las políticas dirigidas a aumentar la tasa de actividad para ut</w:t>
      </w:r>
      <w:r>
        <w:rPr>
          <w:rFonts w:ascii="Times New Roman" w:hAnsi="Times New Roman"/>
          <w:noProof/>
          <w:sz w:val="24"/>
          <w:lang w:val="es-ES"/>
        </w:rPr>
        <w:t>ilizar todas las competencias disponibles y la promoción de la movilidad de los trabajadores dentro de la UE. La próxima agenda de competencias para Europa será un componente fundamental en este esfuerzo, con la atención centrada en un mejor aprovechamient</w:t>
      </w:r>
      <w:r>
        <w:rPr>
          <w:rFonts w:ascii="Times New Roman" w:hAnsi="Times New Roman"/>
          <w:noProof/>
          <w:sz w:val="24"/>
          <w:lang w:val="es-ES"/>
        </w:rPr>
        <w:t>o y reconocimiento de las competencias existentes en la UE, la mejora del reconocimiento de las cualificaciones extranjeras, y el estímulo del desarrollo de nuevas competencias en los sectores en que sean necesarias</w:t>
      </w:r>
      <w:r>
        <w:rPr>
          <w:rFonts w:ascii="Times New Roman" w:hAnsi="Times New Roman"/>
          <w:noProof/>
          <w:sz w:val="24"/>
          <w:vertAlign w:val="superscript"/>
        </w:rPr>
        <w:footnoteReference w:id="39"/>
      </w:r>
      <w:r>
        <w:rPr>
          <w:rFonts w:ascii="Times New Roman" w:hAnsi="Times New Roman"/>
          <w:noProof/>
          <w:sz w:val="24"/>
          <w:lang w:val="es-ES"/>
        </w:rPr>
        <w:t>.</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Sin embargo, parece claro que esas me</w:t>
      </w:r>
      <w:r>
        <w:rPr>
          <w:rFonts w:ascii="Times New Roman" w:hAnsi="Times New Roman"/>
          <w:noProof/>
          <w:sz w:val="24"/>
          <w:lang w:val="es-ES"/>
        </w:rPr>
        <w:t>didas no bastarán por sí solas para solucionar las carencias de competencias: la UE también tendrá que atraer talentos y competencias de otros países si quiere seguir siendo un agente competitivo a nivel mundial. Ello es esencial no solo para satisfacer la</w:t>
      </w:r>
      <w:r>
        <w:rPr>
          <w:rFonts w:ascii="Times New Roman" w:hAnsi="Times New Roman"/>
          <w:noProof/>
          <w:sz w:val="24"/>
          <w:lang w:val="es-ES"/>
        </w:rPr>
        <w:t>s necesidades actuales y futuras de competencias y garantizar el dinamismo de la economía, sino también para garantizar la sostenibilidad de nuestros sistemas de bienestar a largo plazo.</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opinión de las partes interesadas confirma claramente este extrem</w:t>
      </w:r>
      <w:r>
        <w:rPr>
          <w:rFonts w:ascii="Times New Roman" w:hAnsi="Times New Roman"/>
          <w:noProof/>
          <w:sz w:val="24"/>
          <w:lang w:val="es-ES"/>
        </w:rPr>
        <w:t>o: en una consulta pública sobre la tarjeta azul realizada en toda la UE el año pasado</w:t>
      </w:r>
      <w:r>
        <w:rPr>
          <w:rStyle w:val="FootnoteReference"/>
          <w:rFonts w:ascii="Times New Roman" w:hAnsi="Times New Roman"/>
          <w:noProof/>
          <w:sz w:val="24"/>
        </w:rPr>
        <w:footnoteReference w:id="40"/>
      </w:r>
      <w:r>
        <w:rPr>
          <w:rFonts w:ascii="Times New Roman" w:hAnsi="Times New Roman"/>
          <w:noProof/>
          <w:sz w:val="24"/>
          <w:lang w:val="es-ES"/>
        </w:rPr>
        <w:t>, el 85 % de los encuestados, entre ellos las patronales y los sindicatos, consideraron que, además de medidas tales como contratar personal de otros Estados miembros, a</w:t>
      </w:r>
      <w:r>
        <w:rPr>
          <w:rFonts w:ascii="Times New Roman" w:hAnsi="Times New Roman"/>
          <w:noProof/>
          <w:sz w:val="24"/>
          <w:lang w:val="es-ES"/>
        </w:rPr>
        <w:t xml:space="preserve">umentar la edad de jubilación y la tasa de participación en el mercado laboral, la contratación de trabajadores altamente cualificados procedentes de fuera de la UE es una medida necesaria para abordar la escasez de mano de obra en determinados sectores u </w:t>
      </w:r>
      <w:r>
        <w:rPr>
          <w:rFonts w:ascii="Times New Roman" w:hAnsi="Times New Roman"/>
          <w:noProof/>
          <w:sz w:val="24"/>
          <w:lang w:val="es-ES"/>
        </w:rPr>
        <w:t>ocupaciones en la UE. Paralelamente, el primer diálogo europeo sobre competencias y migración ha instado a que se ponga fin a la fragmentación de las políticas de admisión para trabajadores altamente cualificados en Europa, abogando por un régimen de admis</w:t>
      </w:r>
      <w:r>
        <w:rPr>
          <w:rFonts w:ascii="Times New Roman" w:hAnsi="Times New Roman"/>
          <w:noProof/>
          <w:sz w:val="24"/>
          <w:lang w:val="es-ES"/>
        </w:rPr>
        <w:t>ión rápido y transparente</w:t>
      </w:r>
      <w:r>
        <w:rPr>
          <w:rStyle w:val="FootnoteReference"/>
          <w:rFonts w:ascii="Times New Roman" w:hAnsi="Times New Roman"/>
          <w:noProof/>
          <w:sz w:val="24"/>
        </w:rPr>
        <w:footnoteReference w:id="41"/>
      </w:r>
      <w:r>
        <w:rPr>
          <w:rFonts w:ascii="Times New Roman" w:hAnsi="Times New Roman"/>
          <w:noProof/>
          <w:sz w:val="24"/>
          <w:lang w:val="es-ES"/>
        </w:rPr>
        <w:t>.</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Directiva sobre la tarjeta azul de 2009 no ha alcanzado su pleno potencial como el régimen a escala de la UE para atraer a trabajadores nacionales de terceros países talentosos y altamente cualificados que pretendía ser. Las</w:t>
      </w:r>
      <w:r>
        <w:rPr>
          <w:rFonts w:ascii="Times New Roman" w:hAnsi="Times New Roman"/>
          <w:noProof/>
          <w:sz w:val="24"/>
          <w:lang w:val="es-ES"/>
        </w:rPr>
        <w:t xml:space="preserve"> condiciones de admisión son bastante restrictivas, la Directiva prevé poca coherencia y armonización, y la movilidad dentro de la UE para los titulares de la tarjeta azul es muy limitada. Por otra parte, existe una variedad de regímenes nacionales para pe</w:t>
      </w:r>
      <w:r>
        <w:rPr>
          <w:rFonts w:ascii="Times New Roman" w:hAnsi="Times New Roman"/>
          <w:noProof/>
          <w:sz w:val="24"/>
          <w:lang w:val="es-ES"/>
        </w:rPr>
        <w:t>rsonal altamente cualificado en paralelo con la tarjeta azul de la UE, lo que crea un marco fragmentado con numerosas normas y procedimientos aplicables diferentes. Como consecuencia de ello, el número total de admisiones de trabajadores altamente cualific</w:t>
      </w:r>
      <w:r>
        <w:rPr>
          <w:rFonts w:ascii="Times New Roman" w:hAnsi="Times New Roman"/>
          <w:noProof/>
          <w:sz w:val="24"/>
          <w:lang w:val="es-ES"/>
        </w:rPr>
        <w:t>ados en la UE sigue siendo bajo</w:t>
      </w:r>
      <w:r>
        <w:rPr>
          <w:rFonts w:ascii="Times New Roman" w:hAnsi="Times New Roman"/>
          <w:noProof/>
          <w:sz w:val="24"/>
          <w:vertAlign w:val="superscript"/>
        </w:rPr>
        <w:footnoteReference w:id="42"/>
      </w:r>
      <w:r>
        <w:rPr>
          <w:rFonts w:ascii="Times New Roman" w:hAnsi="Times New Roman"/>
          <w:noProof/>
          <w:sz w:val="24"/>
          <w:lang w:val="es-ES"/>
        </w:rPr>
        <w:t>, y, en comparación con países no europeos de la OCDE, la UE atrae a migrantes con niveles de estudios más bien bajos</w:t>
      </w:r>
      <w:r>
        <w:rPr>
          <w:rStyle w:val="FootnoteReference"/>
          <w:rFonts w:ascii="Times New Roman" w:hAnsi="Times New Roman"/>
          <w:noProof/>
          <w:sz w:val="24"/>
        </w:rPr>
        <w:footnoteReference w:id="43"/>
      </w:r>
      <w:r>
        <w:rPr>
          <w:rFonts w:ascii="Times New Roman" w:hAnsi="Times New Roman"/>
          <w:noProof/>
          <w:sz w:val="24"/>
          <w:lang w:val="es-ES"/>
        </w:rPr>
        <w:t>.</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A fin de asegurar que la tarjeta azul es un instrumento eficaz que facilita la admisión de trabajadores</w:t>
      </w:r>
      <w:r>
        <w:rPr>
          <w:rFonts w:ascii="Times New Roman" w:hAnsi="Times New Roman"/>
          <w:noProof/>
          <w:sz w:val="24"/>
          <w:lang w:val="es-ES"/>
        </w:rPr>
        <w:t xml:space="preserve"> altamente cualificados, la Comisión va a proponer cambios de la Directiva vigente, con el objetivo general de fortalecerla como programa a nivel europeo, desarrollando un planteamiento común armonizado a escala de la UE, y en particular: previendo unas co</w:t>
      </w:r>
      <w:r>
        <w:rPr>
          <w:rFonts w:ascii="Times New Roman" w:hAnsi="Times New Roman"/>
          <w:noProof/>
          <w:sz w:val="24"/>
          <w:lang w:val="es-ES"/>
        </w:rPr>
        <w:t>ndiciones de admisión más flexibles; mejorando y facilitando los procedimientos de admisión; y mejorando los derechos, en particular a la movilidad dentro de la UE. Además de los cambios en la legislación, la tarjeta azul será también objeto de una mejor p</w:t>
      </w:r>
      <w:r>
        <w:rPr>
          <w:rFonts w:ascii="Times New Roman" w:hAnsi="Times New Roman"/>
          <w:noProof/>
          <w:sz w:val="24"/>
          <w:lang w:val="es-ES"/>
        </w:rPr>
        <w:t>romoción, de modo que los empresarios y los migrantes sean plenamente conscientes de las ventajas de este sistema.</w:t>
      </w:r>
    </w:p>
    <w:p w:rsidR="00953C0F" w:rsidRDefault="00953C0F">
      <w:pPr>
        <w:spacing w:after="0" w:line="240" w:lineRule="auto"/>
        <w:jc w:val="both"/>
        <w:rPr>
          <w:rFonts w:ascii="Times New Roman" w:eastAsia="Times New Roman" w:hAnsi="Times New Roman" w:cs="Times New Roman"/>
          <w:noProof/>
          <w:sz w:val="24"/>
          <w:szCs w:val="24"/>
          <w:lang w:val="es-ES"/>
        </w:rPr>
      </w:pPr>
    </w:p>
    <w:p w:rsidR="00953C0F" w:rsidRDefault="00A44E6E">
      <w:pPr>
        <w:pStyle w:val="ListParagraph"/>
        <w:numPr>
          <w:ilvl w:val="0"/>
          <w:numId w:val="9"/>
        </w:numPr>
        <w:spacing w:after="0" w:line="240" w:lineRule="auto"/>
        <w:rPr>
          <w:rFonts w:ascii="Times New Roman" w:eastAsia="Times New Roman" w:hAnsi="Times New Roman" w:cs="Times New Roman"/>
          <w:i/>
          <w:noProof/>
          <w:sz w:val="24"/>
          <w:szCs w:val="24"/>
        </w:rPr>
      </w:pPr>
      <w:r>
        <w:rPr>
          <w:rFonts w:ascii="Times New Roman" w:hAnsi="Times New Roman"/>
          <w:i/>
          <w:noProof/>
          <w:sz w:val="24"/>
        </w:rPr>
        <w:t>Atraer a la UE a emprendedores innovadores</w:t>
      </w:r>
    </w:p>
    <w:p w:rsidR="00953C0F" w:rsidRDefault="00953C0F">
      <w:pPr>
        <w:spacing w:after="0" w:line="240" w:lineRule="auto"/>
        <w:rPr>
          <w:rFonts w:ascii="Times New Roman" w:eastAsia="Times New Roman" w:hAnsi="Times New Roman" w:cs="Times New Roman"/>
          <w:noProof/>
          <w:sz w:val="24"/>
          <w:szCs w:val="24"/>
          <w:u w:val="single"/>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Si quiere seguir siendo un actor competitivo a nivel mundial, la UE tiene que encontrar la mejor</w:t>
      </w:r>
      <w:r>
        <w:rPr>
          <w:rFonts w:ascii="Times New Roman" w:hAnsi="Times New Roman"/>
          <w:noProof/>
          <w:sz w:val="24"/>
          <w:lang w:val="es-ES"/>
        </w:rPr>
        <w:t xml:space="preserve"> manera de atraer a migrantes que sean emprendedores innovadores y que aporten capital humano y financiero para contribuir positivamente al crecimiento y la competitividad de la UE, y apoyar a los que ya están aquí. Atraer a la UE a emprendedores innovador</w:t>
      </w:r>
      <w:r>
        <w:rPr>
          <w:rFonts w:ascii="Times New Roman" w:hAnsi="Times New Roman"/>
          <w:noProof/>
          <w:sz w:val="24"/>
          <w:lang w:val="es-ES"/>
        </w:rPr>
        <w:t xml:space="preserve">es no solo formaría parte del planteamiento general para reducir el impacto del declive demográfico. Podría capitalizar asimismo la expansión de las tendencias innovadoras de la economía (en particular, la economía digital, la economía verde y la economía </w:t>
      </w:r>
      <w:r>
        <w:rPr>
          <w:rFonts w:ascii="Times New Roman" w:hAnsi="Times New Roman"/>
          <w:noProof/>
          <w:sz w:val="24"/>
          <w:lang w:val="es-ES"/>
        </w:rPr>
        <w:t>social) y contribuir de manera más general a impulsar el crecimiento económico y la competitividad de la UE. Esto también es plenamente conforme con la «Iniciativa Start Up» en el contexto de la Estrategia para el mercado único</w:t>
      </w:r>
      <w:r>
        <w:rPr>
          <w:rStyle w:val="FootnoteReference"/>
          <w:rFonts w:ascii="Times New Roman" w:hAnsi="Times New Roman"/>
          <w:noProof/>
          <w:sz w:val="24"/>
        </w:rPr>
        <w:footnoteReference w:id="44"/>
      </w:r>
      <w:r>
        <w:rPr>
          <w:rFonts w:ascii="Times New Roman" w:hAnsi="Times New Roman"/>
          <w:noProof/>
          <w:sz w:val="24"/>
          <w:lang w:val="es-ES"/>
        </w:rPr>
        <w:t>.</w:t>
      </w:r>
    </w:p>
    <w:p w:rsidR="00953C0F" w:rsidRDefault="00953C0F">
      <w:pPr>
        <w:spacing w:after="0" w:line="240" w:lineRule="auto"/>
        <w:ind w:left="720"/>
        <w:jc w:val="both"/>
        <w:rPr>
          <w:rFonts w:ascii="Times New Roman" w:eastAsia="Times New Roman" w:hAnsi="Times New Roman" w:cs="Times New Roman"/>
          <w:noProof/>
          <w:sz w:val="24"/>
          <w:szCs w:val="24"/>
          <w:lang w:val="es-ES"/>
        </w:rPr>
      </w:pPr>
    </w:p>
    <w:p w:rsidR="00953C0F" w:rsidRDefault="00A44E6E">
      <w:pPr>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En este contexto, la Comi</w:t>
      </w:r>
      <w:r>
        <w:rPr>
          <w:rFonts w:ascii="Times New Roman" w:hAnsi="Times New Roman"/>
          <w:noProof/>
          <w:sz w:val="24"/>
          <w:lang w:val="es-ES"/>
        </w:rPr>
        <w:t>sión seguirá trabajando para encontrar formas de atraer y apoyar a emprendedores innovadores, incluidas empresas emergentes, de terceros países. Esto podría implicar normas a escala de la UE sobre admisión (y movilidad dentro de la UE), pero también medida</w:t>
      </w:r>
      <w:r>
        <w:rPr>
          <w:rFonts w:ascii="Times New Roman" w:hAnsi="Times New Roman"/>
          <w:noProof/>
          <w:sz w:val="24"/>
          <w:lang w:val="es-ES"/>
        </w:rPr>
        <w:t>s para apoyar la creación de empresas en sectores de alto valor añadido por emprendedores migrantes altamente cualificados. Este enfoque podría basarse en iniciativas y servicios existentes a nivel europeo, nacional, regional o local en los Estados miembro</w:t>
      </w:r>
      <w:r>
        <w:rPr>
          <w:rFonts w:ascii="Times New Roman" w:hAnsi="Times New Roman"/>
          <w:noProof/>
          <w:sz w:val="24"/>
          <w:lang w:val="es-ES"/>
        </w:rPr>
        <w:t xml:space="preserve">s y crear sinergias adecuadas. </w:t>
      </w:r>
    </w:p>
    <w:p w:rsidR="00953C0F" w:rsidRDefault="00953C0F">
      <w:pPr>
        <w:spacing w:after="0" w:line="240" w:lineRule="auto"/>
        <w:rPr>
          <w:rFonts w:ascii="Times New Roman" w:eastAsia="Times New Roman" w:hAnsi="Times New Roman" w:cs="Times New Roman"/>
          <w:noProof/>
          <w:sz w:val="24"/>
          <w:szCs w:val="24"/>
          <w:u w:val="single"/>
          <w:lang w:val="es-ES"/>
        </w:rPr>
      </w:pPr>
    </w:p>
    <w:p w:rsidR="00953C0F" w:rsidRDefault="00A44E6E">
      <w:pPr>
        <w:pStyle w:val="ListParagraph"/>
        <w:numPr>
          <w:ilvl w:val="0"/>
          <w:numId w:val="9"/>
        </w:numPr>
        <w:spacing w:after="0" w:line="240" w:lineRule="auto"/>
        <w:rPr>
          <w:rFonts w:ascii="Times New Roman" w:eastAsia="Times New Roman" w:hAnsi="Times New Roman" w:cs="Times New Roman"/>
          <w:i/>
          <w:noProof/>
          <w:sz w:val="24"/>
          <w:szCs w:val="24"/>
          <w:lang w:val="es-ES"/>
        </w:rPr>
      </w:pPr>
      <w:r>
        <w:rPr>
          <w:rFonts w:ascii="Times New Roman" w:hAnsi="Times New Roman"/>
          <w:i/>
          <w:noProof/>
          <w:sz w:val="24"/>
          <w:lang w:val="es-ES"/>
        </w:rPr>
        <w:t>Hacia un modelo más coherente y eficaz de gestión de la migración legal a escala de la UE</w:t>
      </w:r>
    </w:p>
    <w:p w:rsidR="00953C0F" w:rsidRDefault="00953C0F">
      <w:pPr>
        <w:spacing w:after="0" w:line="240" w:lineRule="auto"/>
        <w:rPr>
          <w:rFonts w:ascii="Times New Roman" w:eastAsia="Times New Roman" w:hAnsi="Times New Roman" w:cs="Times New Roman"/>
          <w:noProof/>
          <w:sz w:val="24"/>
          <w:szCs w:val="24"/>
          <w:u w:val="single"/>
          <w:lang w:val="es-ES"/>
        </w:rPr>
      </w:pPr>
    </w:p>
    <w:p w:rsidR="00953C0F" w:rsidRDefault="00A44E6E">
      <w:pPr>
        <w:autoSpaceDE w:val="0"/>
        <w:autoSpaceDN w:val="0"/>
        <w:adjustRightInd w:val="0"/>
        <w:spacing w:line="240" w:lineRule="auto"/>
        <w:contextualSpacing/>
        <w:jc w:val="both"/>
        <w:rPr>
          <w:rFonts w:ascii="Times New Roman" w:eastAsia="Times New Roman" w:hAnsi="Times New Roman" w:cs="Times New Roman"/>
          <w:noProof/>
          <w:sz w:val="24"/>
          <w:szCs w:val="24"/>
          <w:lang w:val="es-ES"/>
        </w:rPr>
      </w:pPr>
      <w:r>
        <w:rPr>
          <w:rFonts w:ascii="Times New Roman" w:hAnsi="Times New Roman"/>
          <w:noProof/>
          <w:sz w:val="24"/>
          <w:lang w:val="es-ES"/>
        </w:rPr>
        <w:t>A fin de gestionar eficazmente las políticas de migración legal, la UE tendrá que hacer un mejor uso de todos sus instrumentos exist</w:t>
      </w:r>
      <w:r>
        <w:rPr>
          <w:rFonts w:ascii="Times New Roman" w:hAnsi="Times New Roman"/>
          <w:noProof/>
          <w:sz w:val="24"/>
          <w:lang w:val="es-ES"/>
        </w:rPr>
        <w:t>entes, centrándose en las diferentes categorías y cualificaciones de los nacionales de terceros países. Por ello, la Comisión pondrá en marcha una evaluación REFIT</w:t>
      </w:r>
      <w:r>
        <w:rPr>
          <w:rStyle w:val="FootnoteReference"/>
          <w:rFonts w:ascii="Times New Roman" w:hAnsi="Times New Roman"/>
          <w:noProof/>
          <w:sz w:val="24"/>
        </w:rPr>
        <w:footnoteReference w:id="45"/>
      </w:r>
      <w:r>
        <w:rPr>
          <w:rFonts w:ascii="Times New Roman" w:hAnsi="Times New Roman"/>
          <w:noProof/>
          <w:sz w:val="24"/>
          <w:lang w:val="es-ES"/>
        </w:rPr>
        <w:t xml:space="preserve"> de los actuales instrumentos de migración legal con el fin de detectar posibles incoherenci</w:t>
      </w:r>
      <w:r>
        <w:rPr>
          <w:rFonts w:ascii="Times New Roman" w:hAnsi="Times New Roman"/>
          <w:noProof/>
          <w:sz w:val="24"/>
          <w:lang w:val="es-ES"/>
        </w:rPr>
        <w:t>as y lagunas, y racionalizar y simplificar las normas actualmente vigentes. Como parte de este ejercicio, la Comisión abordará asimismo la cuestión de si es necesaria una normativa específica de la UE sobre los proveedores de servicios internacionales en e</w:t>
      </w:r>
      <w:r>
        <w:rPr>
          <w:rFonts w:ascii="Times New Roman" w:hAnsi="Times New Roman"/>
          <w:noProof/>
          <w:sz w:val="24"/>
          <w:lang w:val="es-ES"/>
        </w:rPr>
        <w:t>l marco de los acuerdos comerciales. El objetivo general de esta evaluación será mejorar en la medida de lo posible la normativa existente, también a la luz de la necesidad de prevenir y combatir la explotación laboral, que según la Agencia los de Derechos</w:t>
      </w:r>
      <w:r>
        <w:rPr>
          <w:rFonts w:ascii="Times New Roman" w:hAnsi="Times New Roman"/>
          <w:noProof/>
          <w:sz w:val="24"/>
          <w:lang w:val="es-ES"/>
        </w:rPr>
        <w:t xml:space="preserve"> Fundamentales (FRA)</w:t>
      </w:r>
      <w:r>
        <w:rPr>
          <w:rStyle w:val="FootnoteReference"/>
          <w:rFonts w:ascii="Times New Roman" w:hAnsi="Times New Roman"/>
          <w:noProof/>
          <w:sz w:val="24"/>
        </w:rPr>
        <w:footnoteReference w:id="46"/>
      </w:r>
      <w:r>
        <w:rPr>
          <w:rFonts w:ascii="Times New Roman" w:hAnsi="Times New Roman"/>
          <w:noProof/>
          <w:sz w:val="24"/>
          <w:lang w:val="es-ES"/>
        </w:rPr>
        <w:t xml:space="preserve"> es común entre los trabajadores migrantes. A este respecto, la Comisión seguirá supervisando asimismo la ejecución efectiva del acervo pertinente de la UE, a fin de garantizar la protección de los derechos de los migrantes que trabaja</w:t>
      </w:r>
      <w:r>
        <w:rPr>
          <w:rFonts w:ascii="Times New Roman" w:hAnsi="Times New Roman"/>
          <w:noProof/>
          <w:sz w:val="24"/>
          <w:lang w:val="es-ES"/>
        </w:rPr>
        <w:t>n en la UE, en particular para evitar la explotación laboral, independientemente de su estatuto jurídico.</w:t>
      </w:r>
    </w:p>
    <w:p w:rsidR="00953C0F" w:rsidRDefault="00953C0F">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s-ES"/>
        </w:rPr>
      </w:pPr>
    </w:p>
    <w:p w:rsidR="00953C0F" w:rsidRDefault="00A44E6E">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s-ES"/>
        </w:rPr>
      </w:pPr>
      <w:r>
        <w:rPr>
          <w:rFonts w:ascii="Times New Roman" w:hAnsi="Times New Roman"/>
          <w:noProof/>
          <w:sz w:val="24"/>
          <w:lang w:val="es-ES"/>
        </w:rPr>
        <w:t>La Comisión pondrá en marcha un estudio sobre la posible elaboración de un mecanismo a escala de la UE con el fin de mejorar la transparencia y facil</w:t>
      </w:r>
      <w:r>
        <w:rPr>
          <w:rFonts w:ascii="Times New Roman" w:hAnsi="Times New Roman"/>
          <w:noProof/>
          <w:sz w:val="24"/>
          <w:lang w:val="es-ES"/>
        </w:rPr>
        <w:t>itar el encuentro entre los migrantes potenciales y los empleadores. A este respecto, algunos países desarrollados que compiten con la UE para atraer a migrantes cualificados</w:t>
      </w:r>
      <w:r>
        <w:rPr>
          <w:rFonts w:ascii="Times New Roman" w:hAnsi="Times New Roman"/>
          <w:noProof/>
          <w:sz w:val="24"/>
          <w:vertAlign w:val="superscript"/>
        </w:rPr>
        <w:footnoteReference w:id="47"/>
      </w:r>
      <w:r>
        <w:rPr>
          <w:rFonts w:ascii="Times New Roman" w:hAnsi="Times New Roman"/>
          <w:noProof/>
          <w:sz w:val="24"/>
          <w:lang w:val="es-ES"/>
        </w:rPr>
        <w:t xml:space="preserve"> han adoptado recientemente un sistema de preselección con una «reserva de candid</w:t>
      </w:r>
      <w:r>
        <w:rPr>
          <w:rFonts w:ascii="Times New Roman" w:hAnsi="Times New Roman"/>
          <w:noProof/>
          <w:sz w:val="24"/>
          <w:lang w:val="es-ES"/>
        </w:rPr>
        <w:t>atos preseleccionados», seguido de procedimientos de admisión real. Este sistema está articulado en función de la demanda (es decir, que exige una oferta de empleo o un contrato como requisito previo) y se centra en elementos de capital humano (es decir, l</w:t>
      </w:r>
      <w:r>
        <w:rPr>
          <w:rFonts w:ascii="Times New Roman" w:hAnsi="Times New Roman"/>
          <w:noProof/>
          <w:sz w:val="24"/>
          <w:lang w:val="es-ES"/>
        </w:rPr>
        <w:t>as competencias y cualificaciones de la persona, la experiencia, etc.)</w:t>
      </w:r>
      <w:r>
        <w:rPr>
          <w:rFonts w:ascii="Times New Roman" w:hAnsi="Times New Roman"/>
          <w:noProof/>
          <w:sz w:val="24"/>
          <w:vertAlign w:val="superscript"/>
        </w:rPr>
        <w:footnoteReference w:id="48"/>
      </w:r>
      <w:r>
        <w:rPr>
          <w:rFonts w:ascii="Times New Roman" w:hAnsi="Times New Roman"/>
          <w:noProof/>
          <w:sz w:val="24"/>
          <w:lang w:val="es-ES"/>
        </w:rPr>
        <w:t>. Sin cuestionar la competencia de los Estados miembros para determinar el volumen de migrantes económicos que admiten, el estudio analizará la posibilidad de un mecanismo de preselecci</w:t>
      </w:r>
      <w:r>
        <w:rPr>
          <w:rFonts w:ascii="Times New Roman" w:hAnsi="Times New Roman"/>
          <w:noProof/>
          <w:sz w:val="24"/>
          <w:lang w:val="es-ES"/>
        </w:rPr>
        <w:t>ón que permita la creación de una reserva de candidatos accesible a los Estados miembros y los empresarios de la UE.</w:t>
      </w:r>
    </w:p>
    <w:p w:rsidR="00953C0F" w:rsidRDefault="00953C0F">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es-ES"/>
        </w:rPr>
      </w:pPr>
    </w:p>
    <w:p w:rsidR="00953C0F" w:rsidRDefault="00A44E6E">
      <w:pPr>
        <w:pStyle w:val="ListParagraph"/>
        <w:numPr>
          <w:ilvl w:val="0"/>
          <w:numId w:val="9"/>
        </w:numPr>
        <w:spacing w:after="0" w:line="240" w:lineRule="auto"/>
        <w:rPr>
          <w:rFonts w:ascii="Times New Roman" w:eastAsia="Times New Roman" w:hAnsi="Times New Roman" w:cs="Times New Roman"/>
          <w:i/>
          <w:noProof/>
          <w:sz w:val="24"/>
          <w:szCs w:val="24"/>
          <w:lang w:val="es-ES"/>
        </w:rPr>
      </w:pPr>
      <w:r>
        <w:rPr>
          <w:rFonts w:ascii="Times New Roman" w:hAnsi="Times New Roman"/>
          <w:i/>
          <w:noProof/>
          <w:sz w:val="24"/>
          <w:lang w:val="es-ES"/>
        </w:rPr>
        <w:t xml:space="preserve">Fortalecer la cooperación con los países de origen clave </w:t>
      </w:r>
    </w:p>
    <w:p w:rsidR="00953C0F" w:rsidRDefault="00953C0F">
      <w:pPr>
        <w:spacing w:after="0" w:line="240" w:lineRule="auto"/>
        <w:rPr>
          <w:rFonts w:ascii="Times New Roman" w:eastAsia="Times New Roman" w:hAnsi="Times New Roman" w:cs="Times New Roman"/>
          <w:i/>
          <w:noProof/>
          <w:sz w:val="24"/>
          <w:szCs w:val="24"/>
          <w:lang w:val="es-ES"/>
        </w:rPr>
      </w:pPr>
    </w:p>
    <w:p w:rsidR="00953C0F" w:rsidRDefault="00A44E6E">
      <w:pPr>
        <w:autoSpaceDE w:val="0"/>
        <w:autoSpaceDN w:val="0"/>
        <w:adjustRightInd w:val="0"/>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Garantizar unas vías de migración legal es la otra cara de la moneda </w:t>
      </w:r>
      <w:r>
        <w:rPr>
          <w:rFonts w:ascii="Times New Roman" w:hAnsi="Times New Roman"/>
          <w:noProof/>
          <w:sz w:val="24"/>
          <w:lang w:val="es-ES"/>
        </w:rPr>
        <w:t>consistente en reforzar la readmisión y el retorno de aquellos que no tienen derecho a permanecer, y ambos elementos deben integrarse plenamente en los debates con terceros países, en particular con los países de origen de los migrantes, sobre la manera de</w:t>
      </w:r>
      <w:r>
        <w:rPr>
          <w:rFonts w:ascii="Times New Roman" w:hAnsi="Times New Roman"/>
          <w:noProof/>
          <w:sz w:val="24"/>
          <w:lang w:val="es-ES"/>
        </w:rPr>
        <w:t xml:space="preserve"> cooperar con miras a una gestión eficaz de los flujos migratorios. Este es el enfoque adoptado en los diálogos políticos y la cooperación operativa con terceros países en el marco del Enfoque Global de la Migración y la Movilidad (EGMM), en el que la migr</w:t>
      </w:r>
      <w:r>
        <w:rPr>
          <w:rFonts w:ascii="Times New Roman" w:hAnsi="Times New Roman"/>
          <w:noProof/>
          <w:sz w:val="24"/>
          <w:lang w:val="es-ES"/>
        </w:rPr>
        <w:t>ación legal y la movilidad bien gestionada se consideran prioridades de la política de migración y asilo de la UE. En el marco del EGMM, la UE ha firmado en los últimos años asociaciones de movilidad y agendas comunes en materia de migración y movilidad co</w:t>
      </w:r>
      <w:r>
        <w:rPr>
          <w:rFonts w:ascii="Times New Roman" w:hAnsi="Times New Roman"/>
          <w:noProof/>
          <w:sz w:val="24"/>
          <w:lang w:val="es-ES"/>
        </w:rPr>
        <w:t>n varios países de su vecindad inmediata y otros</w:t>
      </w:r>
      <w:r>
        <w:rPr>
          <w:rStyle w:val="FootnoteReference"/>
          <w:rFonts w:ascii="Times New Roman" w:hAnsi="Times New Roman"/>
          <w:noProof/>
          <w:sz w:val="24"/>
        </w:rPr>
        <w:footnoteReference w:id="49"/>
      </w:r>
      <w:r>
        <w:rPr>
          <w:rFonts w:ascii="Times New Roman" w:hAnsi="Times New Roman"/>
          <w:noProof/>
          <w:sz w:val="24"/>
          <w:lang w:val="es-ES"/>
        </w:rPr>
        <w:t>.</w:t>
      </w:r>
    </w:p>
    <w:p w:rsidR="00953C0F" w:rsidRDefault="00953C0F">
      <w:pPr>
        <w:autoSpaceDE w:val="0"/>
        <w:autoSpaceDN w:val="0"/>
        <w:adjustRightInd w:val="0"/>
        <w:spacing w:after="0" w:line="240" w:lineRule="auto"/>
        <w:jc w:val="both"/>
        <w:rPr>
          <w:rFonts w:ascii="Times New Roman" w:eastAsia="Times New Roman" w:hAnsi="Times New Roman" w:cs="Times New Roman"/>
          <w:noProof/>
          <w:sz w:val="24"/>
          <w:szCs w:val="24"/>
          <w:lang w:val="es-ES"/>
        </w:rPr>
      </w:pPr>
    </w:p>
    <w:p w:rsidR="00953C0F" w:rsidRDefault="00A44E6E">
      <w:pPr>
        <w:autoSpaceDE w:val="0"/>
        <w:autoSpaceDN w:val="0"/>
        <w:adjustRightInd w:val="0"/>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Se buscará una cooperación más estrecha con los socios que compartan intereses y estén dispuestos a asumir compromisos mutuos con la UE y sus Estados miembros, en particular en lo que respecta a la </w:t>
      </w:r>
      <w:r>
        <w:rPr>
          <w:rFonts w:ascii="Times New Roman" w:hAnsi="Times New Roman"/>
          <w:noProof/>
          <w:sz w:val="24"/>
          <w:lang w:val="es-ES"/>
        </w:rPr>
        <w:t xml:space="preserve">cooperación en materia de readmisión. La UE debería ofrecer una gama más amplia de mecanismos operativos e incentivos a fin de aplicar el enfoque global de manera más estructurada y sistemática, tal como se hizo mediante los diálogos de alto nivel, en los </w:t>
      </w:r>
      <w:r>
        <w:rPr>
          <w:rFonts w:ascii="Times New Roman" w:hAnsi="Times New Roman"/>
          <w:noProof/>
          <w:sz w:val="24"/>
          <w:lang w:val="es-ES"/>
        </w:rPr>
        <w:t>que los terceros países reclaman regularmente más vías legales de migración.</w:t>
      </w:r>
    </w:p>
    <w:p w:rsidR="00953C0F" w:rsidRDefault="00953C0F">
      <w:pPr>
        <w:autoSpaceDE w:val="0"/>
        <w:autoSpaceDN w:val="0"/>
        <w:adjustRightInd w:val="0"/>
        <w:spacing w:after="0" w:line="240" w:lineRule="auto"/>
        <w:jc w:val="both"/>
        <w:rPr>
          <w:rFonts w:ascii="Times New Roman" w:eastAsia="Times New Roman" w:hAnsi="Times New Roman" w:cs="Times New Roman"/>
          <w:noProof/>
          <w:sz w:val="24"/>
          <w:szCs w:val="24"/>
          <w:lang w:val="es-ES"/>
        </w:rPr>
      </w:pPr>
    </w:p>
    <w:p w:rsidR="00953C0F" w:rsidRDefault="00A44E6E">
      <w:pPr>
        <w:autoSpaceDE w:val="0"/>
        <w:autoSpaceDN w:val="0"/>
        <w:adjustRightInd w:val="0"/>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 xml:space="preserve">En sus Conclusiones sobre migración de 18 de febrero de 2016, el Consejo Europeo destacó que, en lo tocante a las relaciones con los terceros países pertinentes, los paquetes de </w:t>
      </w:r>
      <w:r>
        <w:rPr>
          <w:rFonts w:ascii="Times New Roman" w:hAnsi="Times New Roman"/>
          <w:noProof/>
          <w:sz w:val="24"/>
          <w:lang w:val="es-ES"/>
        </w:rPr>
        <w:t>incentivos globales y a la medida que se están desarrollando para países específicos al objeto de garantizar el retorno efectivo y la readmisión necesitan el pleno apoyo de la UE y de los Estados miembros. La Comisión y la Alta Representante/Vicepresidenta</w:t>
      </w:r>
      <w:r>
        <w:rPr>
          <w:rFonts w:ascii="Times New Roman" w:hAnsi="Times New Roman"/>
          <w:noProof/>
          <w:sz w:val="24"/>
          <w:lang w:val="es-ES"/>
        </w:rPr>
        <w:t xml:space="preserve"> de la Comisión, en estrecha colaboración con los Estados miembros, están llevando a cabo este cometido con el objetivo de proponer al Consejo Europeo incentivos globales y a la medida, tanto positivos como negativos, que abarquen todos los ámbitos de actu</w:t>
      </w:r>
      <w:r>
        <w:rPr>
          <w:rFonts w:ascii="Times New Roman" w:hAnsi="Times New Roman"/>
          <w:noProof/>
          <w:sz w:val="24"/>
          <w:lang w:val="es-ES"/>
        </w:rPr>
        <w:t>ación y que deberán utilizarse en las negociaciones con terceros países.</w:t>
      </w:r>
    </w:p>
    <w:p w:rsidR="00953C0F" w:rsidRDefault="00953C0F">
      <w:pPr>
        <w:autoSpaceDE w:val="0"/>
        <w:autoSpaceDN w:val="0"/>
        <w:adjustRightInd w:val="0"/>
        <w:spacing w:after="0" w:line="240" w:lineRule="auto"/>
        <w:jc w:val="both"/>
        <w:rPr>
          <w:rFonts w:ascii="Times New Roman" w:eastAsia="Times New Roman" w:hAnsi="Times New Roman" w:cs="Times New Roman"/>
          <w:noProof/>
          <w:sz w:val="24"/>
          <w:szCs w:val="24"/>
          <w:lang w:val="es-ES"/>
        </w:rPr>
      </w:pPr>
    </w:p>
    <w:p w:rsidR="00953C0F" w:rsidRDefault="00A44E6E">
      <w:pPr>
        <w:autoSpaceDE w:val="0"/>
        <w:autoSpaceDN w:val="0"/>
        <w:adjustRightInd w:val="0"/>
        <w:spacing w:after="0"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De esta forma, la UE, en cooperación con los socios africanos, se basará en las conclusiones que figuran en el Plan de acción de la Valeta</w:t>
      </w:r>
      <w:r>
        <w:rPr>
          <w:rFonts w:ascii="Times New Roman" w:hAnsi="Times New Roman"/>
          <w:noProof/>
          <w:sz w:val="24"/>
          <w:vertAlign w:val="superscript"/>
        </w:rPr>
        <w:footnoteReference w:id="50"/>
      </w:r>
      <w:r>
        <w:rPr>
          <w:rFonts w:ascii="Times New Roman" w:hAnsi="Times New Roman"/>
          <w:noProof/>
          <w:sz w:val="24"/>
          <w:lang w:val="es-ES"/>
        </w:rPr>
        <w:t xml:space="preserve">, que incluye, entre las posibles acciones </w:t>
      </w:r>
      <w:r>
        <w:rPr>
          <w:rFonts w:ascii="Times New Roman" w:hAnsi="Times New Roman"/>
          <w:noProof/>
          <w:sz w:val="24"/>
          <w:lang w:val="es-ES"/>
        </w:rPr>
        <w:t xml:space="preserve">en el ámbito de la migración legal y la movilidad, la puesta en común de ofertas por parte de la UE sobre la migración legal, en particular proyectos piloto para facilitar el reconocimiento de las cualificaciones en determinados sectores o profesiones, el </w:t>
      </w:r>
      <w:r>
        <w:rPr>
          <w:rFonts w:ascii="Times New Roman" w:hAnsi="Times New Roman"/>
          <w:noProof/>
          <w:sz w:val="24"/>
          <w:lang w:val="es-ES"/>
        </w:rPr>
        <w:t xml:space="preserve">incremento del número de becas en el marco del programa Erasmus+ y el apoyo a medidas previas a la partida y los servicios públicos de empleo. </w:t>
      </w:r>
    </w:p>
    <w:p w:rsidR="00953C0F" w:rsidRDefault="00953C0F">
      <w:pPr>
        <w:autoSpaceDE w:val="0"/>
        <w:autoSpaceDN w:val="0"/>
        <w:adjustRightInd w:val="0"/>
        <w:spacing w:after="0" w:line="240" w:lineRule="auto"/>
        <w:jc w:val="both"/>
        <w:rPr>
          <w:rFonts w:ascii="Times New Roman" w:eastAsia="Times New Roman" w:hAnsi="Times New Roman" w:cs="Times New Roman"/>
          <w:noProof/>
          <w:sz w:val="24"/>
          <w:szCs w:val="24"/>
          <w:lang w:val="es-ES"/>
        </w:rPr>
      </w:pPr>
    </w:p>
    <w:p w:rsidR="00953C0F" w:rsidRDefault="00953C0F">
      <w:pPr>
        <w:autoSpaceDE w:val="0"/>
        <w:autoSpaceDN w:val="0"/>
        <w:adjustRightInd w:val="0"/>
        <w:spacing w:after="0" w:line="240" w:lineRule="auto"/>
        <w:jc w:val="both"/>
        <w:rPr>
          <w:rFonts w:ascii="Times New Roman" w:eastAsia="Times New Roman" w:hAnsi="Times New Roman" w:cs="Times New Roman"/>
          <w:noProof/>
          <w:sz w:val="24"/>
          <w:szCs w:val="24"/>
          <w:lang w:val="es-ES"/>
        </w:rPr>
      </w:pPr>
    </w:p>
    <w:p w:rsidR="00953C0F" w:rsidRDefault="00953C0F">
      <w:pPr>
        <w:autoSpaceDE w:val="0"/>
        <w:autoSpaceDN w:val="0"/>
        <w:adjustRightInd w:val="0"/>
        <w:spacing w:after="0" w:line="240" w:lineRule="auto"/>
        <w:jc w:val="both"/>
        <w:rPr>
          <w:rFonts w:ascii="Times New Roman" w:eastAsia="Times New Roman" w:hAnsi="Times New Roman" w:cs="Times New Roman"/>
          <w:noProof/>
          <w:sz w:val="24"/>
          <w:szCs w:val="24"/>
          <w:lang w:val="es-ES"/>
        </w:rPr>
      </w:pPr>
    </w:p>
    <w:p w:rsidR="00953C0F" w:rsidRDefault="00A44E6E">
      <w:pPr>
        <w:spacing w:line="240" w:lineRule="auto"/>
        <w:jc w:val="both"/>
        <w:rPr>
          <w:rFonts w:ascii="Times New Roman" w:eastAsia="Times New Roman" w:hAnsi="Times New Roman" w:cs="Times New Roman"/>
          <w:b/>
          <w:noProof/>
          <w:sz w:val="24"/>
          <w:szCs w:val="24"/>
          <w:lang w:val="es-ES"/>
        </w:rPr>
      </w:pPr>
      <w:r>
        <w:rPr>
          <w:rFonts w:ascii="Times New Roman" w:hAnsi="Times New Roman"/>
          <w:b/>
          <w:noProof/>
          <w:sz w:val="24"/>
          <w:lang w:val="es-ES"/>
        </w:rPr>
        <w:t>III. CONCLUSIÓN</w:t>
      </w:r>
    </w:p>
    <w:p w:rsidR="00953C0F" w:rsidRDefault="00A44E6E">
      <w:pPr>
        <w:spacing w:line="240" w:lineRule="auto"/>
        <w:jc w:val="both"/>
        <w:rPr>
          <w:rFonts w:ascii="Times New Roman" w:eastAsia="Times New Roman" w:hAnsi="Times New Roman" w:cs="Times New Roman"/>
          <w:noProof/>
          <w:sz w:val="24"/>
          <w:szCs w:val="24"/>
          <w:lang w:val="es-ES"/>
        </w:rPr>
      </w:pPr>
      <w:r>
        <w:rPr>
          <w:rFonts w:ascii="Times New Roman" w:hAnsi="Times New Roman"/>
          <w:noProof/>
          <w:sz w:val="24"/>
          <w:lang w:val="es-ES"/>
        </w:rPr>
        <w:t>La prioridad enunciada por el presidente Juncker de que «Europa necesita gestionar mejor la m</w:t>
      </w:r>
      <w:r>
        <w:rPr>
          <w:rFonts w:ascii="Times New Roman" w:hAnsi="Times New Roman"/>
          <w:noProof/>
          <w:sz w:val="24"/>
          <w:lang w:val="es-ES"/>
        </w:rPr>
        <w:t>igración en todos los aspectos», desde el imperativo humanitario, la necesidad de la solidaridad y los retos demográficos y de competencias, es más válida que nunca. Por eso la Comisión está plenamente comprometida con la consecución del importante objetiv</w:t>
      </w:r>
      <w:r>
        <w:rPr>
          <w:rFonts w:ascii="Times New Roman" w:hAnsi="Times New Roman"/>
          <w:noProof/>
          <w:sz w:val="24"/>
          <w:lang w:val="es-ES"/>
        </w:rPr>
        <w:t>o de configurar una política migratoria de la UE integrada, sostenible y holística.</w:t>
      </w:r>
    </w:p>
    <w:p w:rsidR="00953C0F" w:rsidRDefault="00A44E6E">
      <w:pPr>
        <w:spacing w:line="240" w:lineRule="auto"/>
        <w:jc w:val="both"/>
        <w:rPr>
          <w:rFonts w:ascii="Times New Roman" w:eastAsia="Times New Roman" w:hAnsi="Times New Roman" w:cs="Times New Roman"/>
          <w:noProof/>
          <w:sz w:val="24"/>
          <w:szCs w:val="24"/>
          <w:lang w:val="es-ES" w:eastAsia="en-GB"/>
        </w:rPr>
      </w:pPr>
      <w:r>
        <w:rPr>
          <w:rFonts w:ascii="Times New Roman" w:hAnsi="Times New Roman"/>
          <w:noProof/>
          <w:sz w:val="24"/>
          <w:lang w:val="es-ES"/>
        </w:rPr>
        <w:t>Con ese fin, conviene iniciar por medio de la presente Comunicación un debate sobre los importantes temas tratados en ella. No hay más opción que la de seguir la doble estr</w:t>
      </w:r>
      <w:r>
        <w:rPr>
          <w:rFonts w:ascii="Times New Roman" w:hAnsi="Times New Roman"/>
          <w:noProof/>
          <w:sz w:val="24"/>
          <w:lang w:val="es-ES"/>
        </w:rPr>
        <w:t>ategia de estabilizar la situación actual mediante el respeto y la aplicación escrupulosos del marco jurídico vigente y, al mismo tiempo, con el futuro como perspectiva, afrontar la necesidad de reformar la arquitectura de esas normas. En medio de la prese</w:t>
      </w:r>
      <w:r>
        <w:rPr>
          <w:rFonts w:ascii="Times New Roman" w:hAnsi="Times New Roman"/>
          <w:noProof/>
          <w:sz w:val="24"/>
          <w:lang w:val="es-ES"/>
        </w:rPr>
        <w:t>nte crisis, las limitaciones del sistema actual y los desafíos comunes que afrontamos han quedado al descubierto. Por lo tanto, es precisamente ahora, en el momento en que más falta hacen la actuación concertada y una solidaridad fuerte, cuando esta perspe</w:t>
      </w:r>
      <w:r>
        <w:rPr>
          <w:rFonts w:ascii="Times New Roman" w:hAnsi="Times New Roman"/>
          <w:noProof/>
          <w:sz w:val="24"/>
          <w:lang w:val="es-ES"/>
        </w:rPr>
        <w:t xml:space="preserve">ctiva futura es necesaria para abrir el camino hacia una política europea de migración y asilo humana y eficiente, basada en un reparto justo de las responsabilidades. A tenor de las reacciones que reciba a la presente Comunicación, la Comisión presentará </w:t>
      </w:r>
      <w:r>
        <w:rPr>
          <w:rFonts w:ascii="Times New Roman" w:hAnsi="Times New Roman"/>
          <w:noProof/>
          <w:sz w:val="24"/>
          <w:lang w:val="es-ES"/>
        </w:rPr>
        <w:t>entonces las propuestas adecuadas.</w:t>
      </w:r>
    </w:p>
    <w:p w:rsidR="00953C0F" w:rsidRDefault="00953C0F">
      <w:pPr>
        <w:spacing w:line="240" w:lineRule="auto"/>
        <w:jc w:val="both"/>
        <w:rPr>
          <w:rFonts w:ascii="Times New Roman" w:eastAsia="Times New Roman" w:hAnsi="Times New Roman" w:cs="Times New Roman"/>
          <w:noProof/>
          <w:sz w:val="24"/>
          <w:szCs w:val="24"/>
          <w:lang w:val="es-ES" w:eastAsia="en-GB"/>
        </w:rPr>
      </w:pPr>
    </w:p>
    <w:p w:rsidR="00953C0F" w:rsidRDefault="00953C0F">
      <w:pPr>
        <w:spacing w:line="240" w:lineRule="auto"/>
        <w:jc w:val="both"/>
        <w:rPr>
          <w:rFonts w:ascii="Times New Roman" w:eastAsia="Times New Roman" w:hAnsi="Times New Roman" w:cs="Times New Roman"/>
          <w:noProof/>
          <w:sz w:val="24"/>
          <w:szCs w:val="24"/>
          <w:lang w:val="es-ES" w:eastAsia="en-GB"/>
        </w:rPr>
      </w:pPr>
    </w:p>
    <w:p w:rsidR="00953C0F" w:rsidRDefault="00953C0F">
      <w:pPr>
        <w:rPr>
          <w:noProof/>
          <w:lang w:val="es-ES"/>
        </w:rPr>
      </w:pPr>
    </w:p>
    <w:sectPr w:rsidR="00953C0F">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0F" w:rsidRDefault="00A44E6E">
      <w:pPr>
        <w:spacing w:after="0" w:line="240" w:lineRule="auto"/>
      </w:pPr>
      <w:r>
        <w:separator/>
      </w:r>
    </w:p>
  </w:endnote>
  <w:endnote w:type="continuationSeparator" w:id="0">
    <w:p w:rsidR="00953C0F" w:rsidRDefault="00A4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A44E6E">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34109"/>
      <w:docPartObj>
        <w:docPartGallery w:val="Page Numbers (Bottom of Page)"/>
        <w:docPartUnique/>
      </w:docPartObj>
    </w:sdtPr>
    <w:sdtEndPr>
      <w:rPr>
        <w:noProof/>
      </w:rPr>
    </w:sdtEndPr>
    <w:sdtContent>
      <w:p w:rsidR="00953C0F" w:rsidRDefault="00A44E6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53C0F" w:rsidRDefault="00953C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0F" w:rsidRDefault="00A44E6E">
      <w:pPr>
        <w:spacing w:after="0" w:line="240" w:lineRule="auto"/>
      </w:pPr>
      <w:r>
        <w:separator/>
      </w:r>
    </w:p>
  </w:footnote>
  <w:footnote w:type="continuationSeparator" w:id="0">
    <w:p w:rsidR="00953C0F" w:rsidRDefault="00A44E6E">
      <w:pPr>
        <w:spacing w:after="0" w:line="240" w:lineRule="auto"/>
      </w:pPr>
      <w:r>
        <w:continuationSeparator/>
      </w:r>
    </w:p>
  </w:footnote>
  <w:footnote w:id="1">
    <w:p w:rsidR="00953C0F" w:rsidRDefault="00A44E6E">
      <w:pPr>
        <w:pStyle w:val="FootnoteText"/>
        <w:rPr>
          <w:lang w:val="pt-PT"/>
        </w:rPr>
      </w:pPr>
      <w:r>
        <w:rPr>
          <w:rStyle w:val="FootnoteReference"/>
        </w:rPr>
        <w:footnoteRef/>
      </w:r>
      <w:r>
        <w:rPr>
          <w:lang w:val="pt-PT"/>
        </w:rPr>
        <w:t xml:space="preserve"> COM(2016) 85 final.</w:t>
      </w:r>
    </w:p>
  </w:footnote>
  <w:footnote w:id="2">
    <w:p w:rsidR="00953C0F" w:rsidRDefault="00A44E6E">
      <w:pPr>
        <w:pStyle w:val="FootnoteText"/>
        <w:rPr>
          <w:lang w:val="pt-PT"/>
        </w:rPr>
      </w:pPr>
      <w:r>
        <w:rPr>
          <w:rStyle w:val="FootnoteReference"/>
        </w:rPr>
        <w:footnoteRef/>
      </w:r>
      <w:r>
        <w:rPr>
          <w:lang w:val="pt-PT"/>
        </w:rPr>
        <w:t xml:space="preserve"> COM(2015) 240 final.</w:t>
      </w:r>
    </w:p>
  </w:footnote>
  <w:footnote w:id="3">
    <w:p w:rsidR="00953C0F" w:rsidRDefault="00A44E6E">
      <w:pPr>
        <w:pStyle w:val="FootnoteText"/>
        <w:rPr>
          <w:lang w:val="pt-PT"/>
        </w:rPr>
      </w:pPr>
      <w:r>
        <w:rPr>
          <w:rStyle w:val="FootnoteReference"/>
        </w:rPr>
        <w:footnoteRef/>
      </w:r>
      <w:r>
        <w:rPr>
          <w:lang w:val="pt-PT"/>
        </w:rPr>
        <w:t xml:space="preserve"> EUCO 1/16; SN 28/16.</w:t>
      </w:r>
    </w:p>
  </w:footnote>
  <w:footnote w:id="4">
    <w:p w:rsidR="00953C0F" w:rsidRDefault="00A44E6E">
      <w:pPr>
        <w:pStyle w:val="FootnoteText"/>
        <w:rPr>
          <w:lang w:val="pt-PT"/>
        </w:rPr>
      </w:pPr>
      <w:r>
        <w:rPr>
          <w:rStyle w:val="FootnoteReference"/>
        </w:rPr>
        <w:footnoteRef/>
      </w:r>
      <w:r>
        <w:rPr>
          <w:lang w:val="pt-PT"/>
        </w:rPr>
        <w:t xml:space="preserve"> EUCO 12/1/16.</w:t>
      </w:r>
    </w:p>
  </w:footnote>
  <w:footnote w:id="5">
    <w:p w:rsidR="00953C0F" w:rsidRDefault="00A44E6E">
      <w:pPr>
        <w:pStyle w:val="FootnoteText"/>
        <w:rPr>
          <w:lang w:val="pt-PT"/>
        </w:rPr>
      </w:pPr>
      <w:r>
        <w:rPr>
          <w:rStyle w:val="FootnoteReference"/>
        </w:rPr>
        <w:footnoteRef/>
      </w:r>
      <w:r>
        <w:rPr>
          <w:lang w:val="pt-PT"/>
        </w:rPr>
        <w:t xml:space="preserve"> COM(2015) 671 final.</w:t>
      </w:r>
    </w:p>
  </w:footnote>
  <w:footnote w:id="6">
    <w:p w:rsidR="00953C0F" w:rsidRDefault="00A44E6E">
      <w:pPr>
        <w:pStyle w:val="FootnoteText"/>
        <w:rPr>
          <w:lang w:val="pt-PT"/>
        </w:rPr>
      </w:pPr>
      <w:r>
        <w:rPr>
          <w:rStyle w:val="FootnoteReference"/>
        </w:rPr>
        <w:footnoteRef/>
      </w:r>
      <w:r>
        <w:rPr>
          <w:lang w:val="pt-PT"/>
        </w:rPr>
        <w:t xml:space="preserve"> COM(2015) 285 final.</w:t>
      </w:r>
    </w:p>
  </w:footnote>
  <w:footnote w:id="7">
    <w:p w:rsidR="00953C0F" w:rsidRDefault="00A44E6E">
      <w:pPr>
        <w:pStyle w:val="FootnoteText"/>
        <w:rPr>
          <w:lang w:val="es-ES"/>
        </w:rPr>
      </w:pPr>
      <w:r>
        <w:rPr>
          <w:rStyle w:val="FootnoteReference"/>
        </w:rPr>
        <w:footnoteRef/>
      </w:r>
      <w:r>
        <w:rPr>
          <w:lang w:val="es-ES"/>
        </w:rPr>
        <w:t xml:space="preserve"> COM(2015) 668 final.</w:t>
      </w:r>
    </w:p>
  </w:footnote>
  <w:footnote w:id="8">
    <w:p w:rsidR="00953C0F" w:rsidRDefault="00A44E6E">
      <w:pPr>
        <w:pStyle w:val="FootnoteText"/>
        <w:jc w:val="both"/>
        <w:rPr>
          <w:lang w:val="es-ES"/>
        </w:rPr>
      </w:pPr>
      <w:r>
        <w:rPr>
          <w:rStyle w:val="FootnoteReference"/>
        </w:rPr>
        <w:footnoteRef/>
      </w:r>
      <w:r>
        <w:rPr>
          <w:lang w:val="es-ES"/>
        </w:rPr>
        <w:t xml:space="preserve"> Reglamento (UE) n.º 604/2013 del Parlamento Europeo y del Consejo, de 26 de junio de 2013, por el que se establecen los criterios y mecanismos de determinación del Estado miembro responsable del examen de una solicitud de protección internacional presenta</w:t>
      </w:r>
      <w:r>
        <w:rPr>
          <w:lang w:val="es-ES"/>
        </w:rPr>
        <w:t>da en uno de los Estados miembros por un nacional de un tercer país o un apátrida (DO L 180 de 29.6.2013, p. 31). El Reino Unido e Irlanda están vinculados por este Reglamento, tras haber notificado su deseo de participar en su adopción y aplicación con ar</w:t>
      </w:r>
      <w:r>
        <w:rPr>
          <w:lang w:val="es-ES"/>
        </w:rPr>
        <w:t>reglo al Protocolo n.º 21 de los Tratados. La posición de estos Estados miembros con respecto a cualquier modificación del citado Reglamento está definida por el Protocolo n.º 21. Dinamarca aplica el Reglamento de Dublín sobre la base de un acuerdo interna</w:t>
      </w:r>
      <w:r>
        <w:rPr>
          <w:lang w:val="es-ES"/>
        </w:rPr>
        <w:t>cional (DO L 66 de 8.3.2006, p. 38). De conformidad con el artículo 3 de ese acuerdo, deberá notificar a la Comisión su decisión de aplicar o no el contenido de cualquier modificación del Reglamento.</w:t>
      </w:r>
    </w:p>
  </w:footnote>
  <w:footnote w:id="9">
    <w:p w:rsidR="00953C0F" w:rsidRDefault="00A44E6E">
      <w:pPr>
        <w:pStyle w:val="FootnoteText"/>
        <w:jc w:val="both"/>
        <w:rPr>
          <w:lang w:val="x-none"/>
        </w:rPr>
      </w:pPr>
      <w:r>
        <w:rPr>
          <w:rStyle w:val="FootnoteReference"/>
        </w:rPr>
        <w:footnoteRef/>
      </w:r>
      <w:r>
        <w:rPr>
          <w:lang w:val="es-ES"/>
        </w:rPr>
        <w:t xml:space="preserve"> Así lo ha confirmado una evaluación externa de la apli</w:t>
      </w:r>
      <w:r>
        <w:rPr>
          <w:lang w:val="es-ES"/>
        </w:rPr>
        <w:t xml:space="preserve">cación del Reglamento (UE) nº. 604/2013 (Reglamento Dublín III) y un informe de evaluación, disponible en http://ec.europa.eu/dgs/home-affairs/what-we-do/policies/asylum/examination-of-applicants/index_en.htm. </w:t>
      </w:r>
    </w:p>
  </w:footnote>
  <w:footnote w:id="10">
    <w:p w:rsidR="00953C0F" w:rsidRDefault="00A44E6E">
      <w:pPr>
        <w:pStyle w:val="FootnoteText"/>
        <w:rPr>
          <w:lang w:val="es-ES"/>
        </w:rPr>
      </w:pPr>
      <w:r>
        <w:rPr>
          <w:rStyle w:val="FootnoteReference"/>
        </w:rPr>
        <w:footnoteRef/>
      </w:r>
      <w:r>
        <w:rPr>
          <w:lang w:val="es-ES"/>
        </w:rPr>
        <w:t xml:space="preserve"> La Comisión adoptó el 10 de febrero de 2016</w:t>
      </w:r>
      <w:r>
        <w:rPr>
          <w:lang w:val="es-ES"/>
        </w:rPr>
        <w:t xml:space="preserve"> una Recomendación [C(2016) 871 final] sobre las medidas urgentes que Grecia debe adoptar con vistas a la reanudación de los traslados del sistema de Dublín.</w:t>
      </w:r>
    </w:p>
  </w:footnote>
  <w:footnote w:id="11">
    <w:p w:rsidR="00953C0F" w:rsidRDefault="00A44E6E">
      <w:pPr>
        <w:pStyle w:val="FootnoteText"/>
        <w:jc w:val="both"/>
        <w:rPr>
          <w:lang w:val="es-ES"/>
        </w:rPr>
      </w:pPr>
      <w:r>
        <w:rPr>
          <w:rStyle w:val="FootnoteReference"/>
        </w:rPr>
        <w:footnoteRef/>
      </w:r>
      <w:r>
        <w:rPr>
          <w:lang w:val="es-ES"/>
        </w:rPr>
        <w:t>Directiva 2013/32/UE del Parlamento Europeo y del Consejo, de 26 de junio de 2013, sobre procedim</w:t>
      </w:r>
      <w:r>
        <w:rPr>
          <w:lang w:val="es-ES"/>
        </w:rPr>
        <w:t>ientos comunes para la concesión o la retirada de la protección internacional (DO L 180 de 29.6.2013, p. 249).</w:t>
      </w:r>
    </w:p>
  </w:footnote>
  <w:footnote w:id="12">
    <w:p w:rsidR="00953C0F" w:rsidRDefault="00A44E6E">
      <w:pPr>
        <w:pStyle w:val="FootnoteText"/>
        <w:jc w:val="both"/>
        <w:rPr>
          <w:lang w:val="es-ES"/>
        </w:rPr>
      </w:pPr>
      <w:r>
        <w:rPr>
          <w:rStyle w:val="FootnoteReference"/>
        </w:rPr>
        <w:footnoteRef/>
      </w:r>
      <w:r>
        <w:rPr>
          <w:lang w:val="es-ES"/>
        </w:rPr>
        <w:t xml:space="preserve"> Directiva 2013/33/UE del Parlamento Europeo y del Consejo, de 26 de junio de 2013, por la que se aprueban normas para la acogida de los solicit</w:t>
      </w:r>
      <w:r>
        <w:rPr>
          <w:lang w:val="es-ES"/>
        </w:rPr>
        <w:t>antes de protección internacional (DO L 180 de 29.6.2013, p. 96).</w:t>
      </w:r>
    </w:p>
  </w:footnote>
  <w:footnote w:id="13">
    <w:p w:rsidR="00953C0F" w:rsidRDefault="00A44E6E">
      <w:pPr>
        <w:pStyle w:val="FootnoteText"/>
        <w:jc w:val="both"/>
        <w:rPr>
          <w:lang w:val="es-ES"/>
        </w:rPr>
      </w:pPr>
      <w:r>
        <w:rPr>
          <w:rStyle w:val="FootnoteReference"/>
        </w:rPr>
        <w:footnoteRef/>
      </w:r>
      <w:r>
        <w:rPr>
          <w:lang w:val="es-ES"/>
        </w:rPr>
        <w:t xml:space="preserve"> Directiva 2011/95/UE del Parlamento Europeo y del Consejo, de 13 de diciembre de 2011, por la que se establecen normas relativas a los requisitos para el reconocimiento de nacionales de te</w:t>
      </w:r>
      <w:r>
        <w:rPr>
          <w:lang w:val="es-ES"/>
        </w:rPr>
        <w:t>rceros países o apátridas como beneficiarios de protección internacional, a un estatuto uniforme para los refugiados o para las personas con derecho a protección subsidiaria y al contenido de la protección concedida (DO L 337 de 20.12.2011, p. 9).</w:t>
      </w:r>
    </w:p>
  </w:footnote>
  <w:footnote w:id="14">
    <w:p w:rsidR="00953C0F" w:rsidRDefault="00A44E6E">
      <w:pPr>
        <w:pStyle w:val="FootnoteText"/>
        <w:rPr>
          <w:lang w:val="es-ES"/>
        </w:rPr>
      </w:pPr>
      <w:r>
        <w:rPr>
          <w:rStyle w:val="FootnoteReference"/>
        </w:rPr>
        <w:footnoteRef/>
      </w:r>
      <w:r>
        <w:rPr>
          <w:lang w:val="es-ES"/>
        </w:rPr>
        <w:t xml:space="preserve"> Por ej</w:t>
      </w:r>
      <w:r>
        <w:rPr>
          <w:lang w:val="es-ES"/>
        </w:rPr>
        <w:t>emplo, en el periodo comprendido entre enero y septiembre de 2015, los índices de reconocimiento de los solicitantes de asilo procedentes de Afganistán variaron de casi un 100 % en Italia a un 5,88 % en Bulgaria.</w:t>
      </w:r>
    </w:p>
  </w:footnote>
  <w:footnote w:id="15">
    <w:p w:rsidR="00953C0F" w:rsidRDefault="00A44E6E">
      <w:pPr>
        <w:pStyle w:val="FootnoteText"/>
        <w:rPr>
          <w:lang w:val="es-ES"/>
        </w:rPr>
      </w:pPr>
      <w:r>
        <w:rPr>
          <w:rStyle w:val="FootnoteReference"/>
        </w:rPr>
        <w:footnoteRef/>
      </w:r>
      <w:r>
        <w:rPr>
          <w:lang w:val="es-ES"/>
        </w:rPr>
        <w:t xml:space="preserve"> El 10 de febrero de 2016, la Comisión emi</w:t>
      </w:r>
      <w:r>
        <w:rPr>
          <w:lang w:val="es-ES"/>
        </w:rPr>
        <w:t>tió dictámenes motivados contra Estados miembros en nueve asuntos de infracción por la no transposición de directivas que forman parte del Sistema Europeo Común de Asilo.</w:t>
      </w:r>
    </w:p>
  </w:footnote>
  <w:footnote w:id="16">
    <w:p w:rsidR="00953C0F" w:rsidRDefault="00A44E6E">
      <w:pPr>
        <w:pStyle w:val="FootnoteText"/>
        <w:jc w:val="both"/>
        <w:rPr>
          <w:lang w:val="es-ES"/>
        </w:rPr>
      </w:pPr>
      <w:r>
        <w:rPr>
          <w:rStyle w:val="FootnoteReference"/>
        </w:rPr>
        <w:footnoteRef/>
      </w:r>
      <w:r>
        <w:rPr>
          <w:lang w:val="es-ES"/>
        </w:rPr>
        <w:t xml:space="preserve"> Directiva 2001/55/CE del Consejo, de 20 de julio de 2001 (DO L 212 de 7.8.2001). Es</w:t>
      </w:r>
      <w:r>
        <w:rPr>
          <w:lang w:val="es-ES"/>
        </w:rPr>
        <w:t>te instrumento de la UE en materia de asilo, destinado a ser activado en respuesta a la afluencia masiva de personas necesitadas de protección internacional, no se había activado nunca, debido principalmente a la falta de un mecanismo interno de solidarida</w:t>
      </w:r>
      <w:r>
        <w:rPr>
          <w:lang w:val="es-ES"/>
        </w:rPr>
        <w:t>d obligatorio que garantice un reparto equitativo de responsabilidades entre los Estados miembros.</w:t>
      </w:r>
    </w:p>
  </w:footnote>
  <w:footnote w:id="17">
    <w:p w:rsidR="00953C0F" w:rsidRDefault="00A44E6E">
      <w:pPr>
        <w:pStyle w:val="FootnoteText"/>
        <w:rPr>
          <w:lang w:val="es-ES"/>
        </w:rPr>
      </w:pPr>
      <w:r>
        <w:rPr>
          <w:rStyle w:val="FootnoteReference"/>
        </w:rPr>
        <w:footnoteRef/>
      </w:r>
      <w:r>
        <w:rPr>
          <w:lang w:val="es-ES"/>
        </w:rPr>
        <w:t xml:space="preserve"> COM(2015) 450 final.</w:t>
      </w:r>
    </w:p>
  </w:footnote>
  <w:footnote w:id="18">
    <w:p w:rsidR="00953C0F" w:rsidRDefault="00A44E6E">
      <w:pPr>
        <w:pStyle w:val="FootnoteText"/>
        <w:rPr>
          <w:lang w:val="es-ES"/>
        </w:rPr>
      </w:pPr>
      <w:r>
        <w:rPr>
          <w:rStyle w:val="FootnoteReference"/>
        </w:rPr>
        <w:footnoteRef/>
      </w:r>
      <w:r>
        <w:rPr>
          <w:lang w:val="es-ES"/>
        </w:rPr>
        <w:t xml:space="preserve"> COM(2015) 671 final.</w:t>
      </w:r>
    </w:p>
  </w:footnote>
  <w:footnote w:id="19">
    <w:p w:rsidR="00953C0F" w:rsidRDefault="00A44E6E">
      <w:pPr>
        <w:pStyle w:val="FootnoteText"/>
        <w:rPr>
          <w:lang w:val="es-ES"/>
        </w:rPr>
      </w:pPr>
      <w:r>
        <w:rPr>
          <w:rStyle w:val="FootnoteReference"/>
        </w:rPr>
        <w:footnoteRef/>
      </w:r>
      <w:r>
        <w:rPr>
          <w:lang w:val="es-ES"/>
        </w:rPr>
        <w:t xml:space="preserve"> Por ejemplo, a todos aquellos solicitantes que no proceden de un país de origen designado como seguro por la </w:t>
      </w:r>
      <w:r>
        <w:rPr>
          <w:lang w:val="es-ES"/>
        </w:rPr>
        <w:t>UE.</w:t>
      </w:r>
    </w:p>
  </w:footnote>
  <w:footnote w:id="20">
    <w:p w:rsidR="00953C0F" w:rsidRDefault="00A44E6E">
      <w:pPr>
        <w:pStyle w:val="FootnoteText"/>
        <w:jc w:val="both"/>
        <w:rPr>
          <w:lang w:val="es-ES"/>
        </w:rPr>
      </w:pPr>
      <w:r>
        <w:rPr>
          <w:rStyle w:val="FootnoteReference"/>
        </w:rPr>
        <w:footnoteRef/>
      </w:r>
      <w:r>
        <w:rPr>
          <w:lang w:val="es-ES"/>
        </w:rPr>
        <w:t xml:space="preserve"> Aunque la clave de distribución podría seguir el planteamiento previsto en los planes de reubicación actuales y propuestos, podría reconsiderarse el diseño de la clave, en particular en lo que respecta a la toma en consideración de criterios como el </w:t>
      </w:r>
      <w:r>
        <w:rPr>
          <w:lang w:val="es-ES"/>
        </w:rPr>
        <w:t>número de refugiados en los Estados miembros y los niveles de desempleo, así como los demás esfuerzos realizados, en concreto mediante el reasentamiento.</w:t>
      </w:r>
    </w:p>
  </w:footnote>
  <w:footnote w:id="21">
    <w:p w:rsidR="00953C0F" w:rsidRDefault="00A44E6E">
      <w:pPr>
        <w:pStyle w:val="FootnoteText"/>
        <w:rPr>
          <w:lang w:val="es-ES"/>
        </w:rPr>
      </w:pPr>
      <w:r>
        <w:rPr>
          <w:rStyle w:val="FootnoteReference"/>
        </w:rPr>
        <w:footnoteRef/>
      </w:r>
      <w:r>
        <w:rPr>
          <w:lang w:val="es-ES"/>
        </w:rPr>
        <w:t xml:space="preserve"> En 2015, se presentaron en la UE 1,3 millones de solicitudes.</w:t>
      </w:r>
    </w:p>
  </w:footnote>
  <w:footnote w:id="22">
    <w:p w:rsidR="00953C0F" w:rsidRDefault="00A44E6E">
      <w:pPr>
        <w:pStyle w:val="FootnoteText"/>
        <w:rPr>
          <w:lang w:val="es-ES"/>
        </w:rPr>
      </w:pPr>
      <w:r>
        <w:rPr>
          <w:rStyle w:val="FootnoteReference"/>
        </w:rPr>
        <w:footnoteRef/>
      </w:r>
      <w:r>
        <w:rPr>
          <w:lang w:val="es-ES"/>
        </w:rPr>
        <w:t xml:space="preserve"> COM(2016) 205 final.</w:t>
      </w:r>
    </w:p>
  </w:footnote>
  <w:footnote w:id="23">
    <w:p w:rsidR="00953C0F" w:rsidRDefault="00A44E6E">
      <w:pPr>
        <w:pStyle w:val="FootnoteText"/>
        <w:rPr>
          <w:lang w:val="es-ES"/>
        </w:rPr>
      </w:pPr>
      <w:r>
        <w:rPr>
          <w:rStyle w:val="FootnoteReference"/>
        </w:rPr>
        <w:footnoteRef/>
      </w:r>
      <w:r>
        <w:rPr>
          <w:lang w:val="es-ES"/>
        </w:rPr>
        <w:t xml:space="preserve"> COM(2015) 240 final.</w:t>
      </w:r>
    </w:p>
  </w:footnote>
  <w:footnote w:id="24">
    <w:p w:rsidR="00953C0F" w:rsidRDefault="00A44E6E">
      <w:pPr>
        <w:pStyle w:val="FootnoteText"/>
        <w:rPr>
          <w:lang w:val="es-ES"/>
        </w:rPr>
      </w:pPr>
      <w:r>
        <w:rPr>
          <w:rStyle w:val="FootnoteReference"/>
        </w:rPr>
        <w:footnoteRef/>
      </w:r>
      <w:r>
        <w:rPr>
          <w:lang w:val="es-ES"/>
        </w:rPr>
        <w:t xml:space="preserve"> Directiva 2013/33/UE del Parlamento Europeo y del Consejo, de 26 de junio de 2013, por la que se aprueban normas para la acogida de los solicitantes de protección internacional (DO L 180 de 29.6.2013, p. 96).</w:t>
      </w:r>
    </w:p>
  </w:footnote>
  <w:footnote w:id="25">
    <w:p w:rsidR="00953C0F" w:rsidRDefault="00A44E6E">
      <w:pPr>
        <w:pStyle w:val="FootnoteText"/>
        <w:jc w:val="both"/>
        <w:rPr>
          <w:lang w:val="es-ES"/>
        </w:rPr>
      </w:pPr>
      <w:r>
        <w:rPr>
          <w:rStyle w:val="FootnoteReference"/>
        </w:rPr>
        <w:footnoteRef/>
      </w:r>
      <w:r>
        <w:rPr>
          <w:lang w:val="es-ES"/>
        </w:rPr>
        <w:t xml:space="preserve"> Directiva 2011/51/UE </w:t>
      </w:r>
      <w:r>
        <w:rPr>
          <w:lang w:val="es-ES"/>
        </w:rPr>
        <w:t>del Parlamento Europeo y del Consejo, de 11 de mayo de 2011, por la que se modifica la Directiva 2003/109/CE del Consejo con el fin de extender su ámbito de aplicación a los beneficiarios de protección internacional (DO L 132 de 19.5.2011, p. 1).</w:t>
      </w:r>
    </w:p>
  </w:footnote>
  <w:footnote w:id="26">
    <w:p w:rsidR="00953C0F" w:rsidRDefault="00A44E6E">
      <w:pPr>
        <w:pStyle w:val="FootnoteText"/>
        <w:rPr>
          <w:lang w:val="es-ES"/>
        </w:rPr>
      </w:pPr>
      <w:r>
        <w:rPr>
          <w:rStyle w:val="FootnoteReference"/>
        </w:rPr>
        <w:footnoteRef/>
      </w:r>
      <w:r>
        <w:rPr>
          <w:lang w:val="es-ES"/>
        </w:rPr>
        <w:t xml:space="preserve"> Propues</w:t>
      </w:r>
      <w:r>
        <w:rPr>
          <w:lang w:val="es-ES"/>
        </w:rPr>
        <w:t>ta de Reglamento del Consejo relativo a la prestación de asistencia urgente en la Unión [COM(2016) 115 final].</w:t>
      </w:r>
    </w:p>
  </w:footnote>
  <w:footnote w:id="27">
    <w:p w:rsidR="00953C0F" w:rsidRDefault="00A44E6E">
      <w:pPr>
        <w:pStyle w:val="Default"/>
        <w:jc w:val="both"/>
        <w:rPr>
          <w:lang w:val="pt-PT"/>
        </w:rPr>
      </w:pPr>
      <w:r>
        <w:rPr>
          <w:rStyle w:val="FootnoteReference"/>
        </w:rPr>
        <w:footnoteRef/>
      </w:r>
      <w:r>
        <w:rPr>
          <w:lang w:val="pt-PT"/>
        </w:rPr>
        <w:t xml:space="preserve"> </w:t>
      </w:r>
      <w:r>
        <w:rPr>
          <w:sz w:val="20"/>
          <w:lang w:val="pt-PT"/>
        </w:rPr>
        <w:t>COM(2016) 95 final.</w:t>
      </w:r>
    </w:p>
  </w:footnote>
  <w:footnote w:id="28">
    <w:p w:rsidR="00953C0F" w:rsidRDefault="00A44E6E">
      <w:pPr>
        <w:pStyle w:val="FootnoteText"/>
        <w:rPr>
          <w:lang w:val="pt-PT"/>
        </w:rPr>
      </w:pPr>
      <w:r>
        <w:rPr>
          <w:rStyle w:val="FootnoteReference"/>
        </w:rPr>
        <w:footnoteRef/>
      </w:r>
      <w:r>
        <w:rPr>
          <w:lang w:val="pt-PT"/>
        </w:rPr>
        <w:t xml:space="preserve"> SN 38/16.</w:t>
      </w:r>
    </w:p>
  </w:footnote>
  <w:footnote w:id="29">
    <w:p w:rsidR="00953C0F" w:rsidRDefault="00A44E6E">
      <w:pPr>
        <w:pStyle w:val="FootnoteText"/>
        <w:rPr>
          <w:lang w:val="pt-PT"/>
        </w:rPr>
      </w:pPr>
      <w:r>
        <w:rPr>
          <w:rStyle w:val="FootnoteReference"/>
        </w:rPr>
        <w:footnoteRef/>
      </w:r>
      <w:r>
        <w:rPr>
          <w:lang w:val="pt-PT"/>
        </w:rPr>
        <w:t xml:space="preserve"> COM(2016) 171 final.</w:t>
      </w:r>
    </w:p>
  </w:footnote>
  <w:footnote w:id="30">
    <w:p w:rsidR="00953C0F" w:rsidRDefault="00A44E6E">
      <w:pPr>
        <w:pStyle w:val="FootnoteText"/>
        <w:jc w:val="both"/>
        <w:rPr>
          <w:lang w:val="es-ES"/>
        </w:rPr>
      </w:pPr>
      <w:r>
        <w:rPr>
          <w:rStyle w:val="FootnoteReference"/>
        </w:rPr>
        <w:footnoteRef/>
      </w:r>
      <w:r>
        <w:rPr>
          <w:lang w:val="es-ES"/>
        </w:rPr>
        <w:t xml:space="preserve"> En particular, la reunión de alto nivel del ACNUR sobre el reparto de responsabilidade</w:t>
      </w:r>
      <w:r>
        <w:rPr>
          <w:lang w:val="es-ES"/>
        </w:rPr>
        <w:t>s a nivel mundial a través de vías de admisión de los refugiados sirios, celebrada en Ginebra el 30 de marzo de 2016, la primera Cumbre Mundial Humanitaria, que se celebrará en Estambul los días 23 y 24 de mayo de 2016, y la Cumbre de la AGNU sobre grandes</w:t>
      </w:r>
      <w:r>
        <w:rPr>
          <w:lang w:val="es-ES"/>
        </w:rPr>
        <w:t xml:space="preserve"> movimientos de refugiados y migrantes, que tendrá lugar en Nueva York el 19 de septiembre de 2016.</w:t>
      </w:r>
    </w:p>
  </w:footnote>
  <w:footnote w:id="31">
    <w:p w:rsidR="00953C0F" w:rsidRDefault="00A44E6E">
      <w:pPr>
        <w:pStyle w:val="FootnoteText"/>
        <w:rPr>
          <w:lang w:val="es-ES"/>
        </w:rPr>
      </w:pPr>
      <w:r>
        <w:rPr>
          <w:rStyle w:val="FootnoteReference"/>
        </w:rPr>
        <w:footnoteRef/>
      </w:r>
      <w:r>
        <w:rPr>
          <w:lang w:val="es-ES"/>
        </w:rPr>
        <w:t xml:space="preserve"> Directiva 2009/50/CE y Directiva 2014/66/UE, respectivamente.</w:t>
      </w:r>
    </w:p>
  </w:footnote>
  <w:footnote w:id="32">
    <w:p w:rsidR="00953C0F" w:rsidRDefault="00A44E6E">
      <w:pPr>
        <w:pStyle w:val="FootnoteText"/>
        <w:rPr>
          <w:lang w:val="es-ES"/>
        </w:rPr>
      </w:pPr>
      <w:r>
        <w:rPr>
          <w:rStyle w:val="FootnoteReference"/>
        </w:rPr>
        <w:footnoteRef/>
      </w:r>
      <w:r>
        <w:rPr>
          <w:lang w:val="es-ES"/>
        </w:rPr>
        <w:t xml:space="preserve"> En 2015, los colegisladores llegaron a un acuerdo político sobre la refundición de la Directiva. Su adopción formal tendrá lugar en el primer semestre de 2016. </w:t>
      </w:r>
    </w:p>
  </w:footnote>
  <w:footnote w:id="33">
    <w:p w:rsidR="00953C0F" w:rsidRDefault="00A44E6E">
      <w:pPr>
        <w:pStyle w:val="FootnoteText"/>
        <w:rPr>
          <w:lang w:val="es-ES"/>
        </w:rPr>
      </w:pPr>
      <w:r>
        <w:rPr>
          <w:rStyle w:val="FootnoteReference"/>
        </w:rPr>
        <w:footnoteRef/>
      </w:r>
      <w:r>
        <w:rPr>
          <w:lang w:val="es-ES"/>
        </w:rPr>
        <w:t xml:space="preserve"> Directiva 2014/36/UE.</w:t>
      </w:r>
    </w:p>
  </w:footnote>
  <w:footnote w:id="34">
    <w:p w:rsidR="00953C0F" w:rsidRDefault="00A44E6E">
      <w:pPr>
        <w:pStyle w:val="FootnoteText"/>
        <w:rPr>
          <w:lang w:val="es-ES"/>
        </w:rPr>
      </w:pPr>
      <w:r>
        <w:rPr>
          <w:rStyle w:val="FootnoteReference"/>
        </w:rPr>
        <w:footnoteRef/>
      </w:r>
      <w:r>
        <w:rPr>
          <w:lang w:val="es-ES"/>
        </w:rPr>
        <w:t xml:space="preserve"> Directiva 2011/98/UE.</w:t>
      </w:r>
    </w:p>
  </w:footnote>
  <w:footnote w:id="35">
    <w:p w:rsidR="00953C0F" w:rsidRDefault="00A44E6E">
      <w:pPr>
        <w:pStyle w:val="FootnoteText"/>
        <w:rPr>
          <w:lang w:val="es-ES"/>
        </w:rPr>
      </w:pPr>
      <w:r>
        <w:rPr>
          <w:rStyle w:val="FootnoteReference"/>
        </w:rPr>
        <w:footnoteRef/>
      </w:r>
      <w:r>
        <w:rPr>
          <w:lang w:val="es-ES"/>
        </w:rPr>
        <w:t xml:space="preserve"> Directiva 2003/109/CE.</w:t>
      </w:r>
    </w:p>
  </w:footnote>
  <w:footnote w:id="36">
    <w:p w:rsidR="00953C0F" w:rsidRDefault="00A44E6E">
      <w:pPr>
        <w:pStyle w:val="FootnoteText"/>
        <w:rPr>
          <w:lang w:val="es-ES"/>
        </w:rPr>
      </w:pPr>
      <w:r>
        <w:rPr>
          <w:rStyle w:val="FootnoteReference"/>
        </w:rPr>
        <w:footnoteRef/>
      </w:r>
      <w:r>
        <w:rPr>
          <w:lang w:val="es-ES"/>
        </w:rPr>
        <w:t xml:space="preserve"> Directiva 2003/86/C</w:t>
      </w:r>
      <w:r>
        <w:rPr>
          <w:lang w:val="es-ES"/>
        </w:rPr>
        <w:t>E.</w:t>
      </w:r>
    </w:p>
  </w:footnote>
  <w:footnote w:id="37">
    <w:p w:rsidR="00953C0F" w:rsidRDefault="00A44E6E">
      <w:pPr>
        <w:pStyle w:val="FootnoteText"/>
        <w:rPr>
          <w:lang w:val="es-ES"/>
        </w:rPr>
      </w:pPr>
      <w:r>
        <w:rPr>
          <w:rStyle w:val="FootnoteReference"/>
        </w:rPr>
        <w:footnoteRef/>
      </w:r>
      <w:r>
        <w:rPr>
          <w:lang w:val="es-ES"/>
        </w:rPr>
        <w:t xml:space="preserve"> Véase Comisión Europea, Informe de 2015 sobre el envejecimiento demográfico, European Economy 3/2015.</w:t>
      </w:r>
    </w:p>
  </w:footnote>
  <w:footnote w:id="38">
    <w:p w:rsidR="00953C0F" w:rsidRDefault="00A44E6E">
      <w:pPr>
        <w:pStyle w:val="FootnoteText"/>
        <w:jc w:val="both"/>
        <w:rPr>
          <w:lang w:val="es-ES"/>
        </w:rPr>
      </w:pPr>
      <w:r>
        <w:rPr>
          <w:rStyle w:val="FootnoteReference"/>
        </w:rPr>
        <w:footnoteRef/>
      </w:r>
      <w:r>
        <w:rPr>
          <w:lang w:val="es-ES"/>
        </w:rPr>
        <w:t xml:space="preserve"> Previsiones del CEDEFOP. </w:t>
      </w:r>
    </w:p>
  </w:footnote>
  <w:footnote w:id="39">
    <w:p w:rsidR="00953C0F" w:rsidRDefault="00A44E6E">
      <w:pPr>
        <w:pStyle w:val="FootnoteText"/>
        <w:rPr>
          <w:lang w:val="es-ES"/>
        </w:rPr>
      </w:pPr>
      <w:r>
        <w:rPr>
          <w:rStyle w:val="FootnoteReference"/>
        </w:rPr>
        <w:footnoteRef/>
      </w:r>
      <w:r>
        <w:rPr>
          <w:lang w:val="es-ES"/>
        </w:rPr>
        <w:t xml:space="preserve"> Futura iniciativa/comunicación/estrategia y una de las diez prioridades políticas de la Comisión Europea.</w:t>
      </w:r>
    </w:p>
  </w:footnote>
  <w:footnote w:id="40">
    <w:p w:rsidR="00953C0F" w:rsidRDefault="00A44E6E">
      <w:pPr>
        <w:pStyle w:val="FootnoteText"/>
        <w:rPr>
          <w:lang w:val="es-ES"/>
        </w:rPr>
      </w:pPr>
      <w:r>
        <w:rPr>
          <w:rStyle w:val="FootnoteReference"/>
        </w:rPr>
        <w:footnoteRef/>
      </w:r>
      <w:r>
        <w:rPr>
          <w:lang w:val="es-ES"/>
        </w:rPr>
        <w:t xml:space="preserve"> </w:t>
      </w:r>
      <w:hyperlink r:id="rId1">
        <w:r>
          <w:rPr>
            <w:rStyle w:val="Hyperlink"/>
            <w:lang w:val="es-ES"/>
          </w:rPr>
          <w:t>http://ec.europa.eu/dgs/home-affairs/what-is-new/public-consultation/2015/consulting_0029_en.htm</w:t>
        </w:r>
      </w:hyperlink>
      <w:r>
        <w:rPr>
          <w:rStyle w:val="Hyperlink"/>
          <w:lang w:val="es-ES"/>
        </w:rPr>
        <w:t>.</w:t>
      </w:r>
    </w:p>
    <w:p w:rsidR="00953C0F" w:rsidRDefault="00953C0F">
      <w:pPr>
        <w:pStyle w:val="FootnoteText"/>
        <w:rPr>
          <w:lang w:val="es-ES"/>
        </w:rPr>
      </w:pPr>
    </w:p>
  </w:footnote>
  <w:footnote w:id="41">
    <w:p w:rsidR="00953C0F" w:rsidRDefault="00A44E6E">
      <w:pPr>
        <w:pStyle w:val="FootnoteText"/>
        <w:rPr>
          <w:lang w:val="es-ES"/>
        </w:rPr>
      </w:pPr>
      <w:r>
        <w:rPr>
          <w:rStyle w:val="FootnoteReference"/>
        </w:rPr>
        <w:footnoteRef/>
      </w:r>
      <w:r>
        <w:rPr>
          <w:lang w:val="es-ES"/>
        </w:rPr>
        <w:t xml:space="preserve"> Los días 27 y 28 de enero, la Comisión puso en mar</w:t>
      </w:r>
      <w:r>
        <w:rPr>
          <w:lang w:val="es-ES"/>
        </w:rPr>
        <w:t>cha el diálogo europeo sobre competencias y migración, que se celebrará de forma regular, a fin de implicar más estrechamente a los socios empresariales y sindicales en el proceso de atraer e integrar a nacionales de terceros países cualificados en el merc</w:t>
      </w:r>
      <w:r>
        <w:rPr>
          <w:lang w:val="es-ES"/>
        </w:rPr>
        <w:t>ado laboral (</w:t>
      </w:r>
      <w:hyperlink r:id="rId2">
        <w:r>
          <w:rPr>
            <w:rStyle w:val="Hyperlink"/>
            <w:lang w:val="es-ES"/>
          </w:rPr>
          <w:t>http://www.skillsandmigration.eu/</w:t>
        </w:r>
      </w:hyperlink>
      <w:r>
        <w:rPr>
          <w:lang w:val="es-ES"/>
        </w:rPr>
        <w:t>).</w:t>
      </w:r>
    </w:p>
  </w:footnote>
  <w:footnote w:id="42">
    <w:p w:rsidR="00953C0F" w:rsidRDefault="00A44E6E">
      <w:pPr>
        <w:pStyle w:val="FootnoteText"/>
        <w:rPr>
          <w:lang w:val="es-ES"/>
        </w:rPr>
      </w:pPr>
      <w:r>
        <w:rPr>
          <w:rStyle w:val="FootnoteReference"/>
        </w:rPr>
        <w:footnoteRef/>
      </w:r>
      <w:r>
        <w:rPr>
          <w:lang w:val="es-ES"/>
        </w:rPr>
        <w:t xml:space="preserve"> En 2014 solo se expidieron 13 852 tarjetas azules (aún menos en años anteriores), un 87 % de las cuales fue expedido por un solo Estado miembro, y unos </w:t>
      </w:r>
      <w:r>
        <w:rPr>
          <w:lang w:val="es-ES"/>
        </w:rPr>
        <w:t xml:space="preserve">25 000 permisos nacionales para personal altamente cualificado. </w:t>
      </w:r>
    </w:p>
  </w:footnote>
  <w:footnote w:id="43">
    <w:p w:rsidR="00953C0F" w:rsidRDefault="00A44E6E">
      <w:pPr>
        <w:pStyle w:val="FootnoteText"/>
        <w:rPr>
          <w:lang w:val="es-ES"/>
        </w:rPr>
      </w:pPr>
      <w:r>
        <w:rPr>
          <w:rStyle w:val="FootnoteReference"/>
        </w:rPr>
        <w:footnoteRef/>
      </w:r>
      <w:r>
        <w:rPr>
          <w:lang w:val="es-ES"/>
        </w:rPr>
        <w:t xml:space="preserve"> De todos los migrantes procedentes de países no miembros de la UE que entran en países de la OCDE, el 48 % de los migrantes con bajos niveles de estudios eligió un destino en la UE y el 68 </w:t>
      </w:r>
      <w:r>
        <w:rPr>
          <w:lang w:val="es-ES"/>
        </w:rPr>
        <w:t>% de los migrantes con altos niveles de estudios, un destino de la OCDE fuera de Europa.</w:t>
      </w:r>
    </w:p>
  </w:footnote>
  <w:footnote w:id="44">
    <w:p w:rsidR="00953C0F" w:rsidRDefault="00A44E6E">
      <w:pPr>
        <w:pStyle w:val="FootnoteText"/>
        <w:rPr>
          <w:lang w:val="es-ES"/>
        </w:rPr>
      </w:pPr>
      <w:r>
        <w:rPr>
          <w:rStyle w:val="FootnoteReference"/>
        </w:rPr>
        <w:footnoteRef/>
      </w:r>
      <w:r>
        <w:rPr>
          <w:lang w:val="es-ES"/>
        </w:rPr>
        <w:t xml:space="preserve"> COM(2015) 550 final.</w:t>
      </w:r>
    </w:p>
  </w:footnote>
  <w:footnote w:id="45">
    <w:p w:rsidR="00953C0F" w:rsidRDefault="00A44E6E">
      <w:pPr>
        <w:pStyle w:val="FootnoteText"/>
        <w:rPr>
          <w:lang w:val="es-ES"/>
        </w:rPr>
      </w:pPr>
      <w:r>
        <w:rPr>
          <w:rStyle w:val="FootnoteReference"/>
        </w:rPr>
        <w:footnoteRef/>
      </w:r>
      <w:r>
        <w:rPr>
          <w:lang w:val="es-ES"/>
        </w:rPr>
        <w:t xml:space="preserve"> Véase el documento de trabajo de los servicios de la Comisión </w:t>
      </w:r>
      <w:r>
        <w:rPr>
          <w:i/>
          <w:lang w:val="es-ES"/>
        </w:rPr>
        <w:t>Regulatory Fitness and Performance Programme (REFIT) - State of Play and Outlook</w:t>
      </w:r>
      <w:r>
        <w:rPr>
          <w:i/>
          <w:lang w:val="es-ES"/>
        </w:rPr>
        <w:t xml:space="preserve"> - REFIT Scoreboard</w:t>
      </w:r>
      <w:r>
        <w:rPr>
          <w:lang w:val="es-ES"/>
        </w:rPr>
        <w:t xml:space="preserve"> (SWD(2015) 110 final), anexo a la Comunicación de la Comisión al Parlamento Europeo, al Consejo, al Comité Económico y Social Europeo y al Comité de las Regiones «Legislar mejor para obtener mejores resultados - Un programa de la UE» [C</w:t>
      </w:r>
      <w:r>
        <w:rPr>
          <w:lang w:val="es-ES"/>
        </w:rPr>
        <w:t xml:space="preserve">OM(2015)215 final]. </w:t>
      </w:r>
    </w:p>
  </w:footnote>
  <w:footnote w:id="46">
    <w:p w:rsidR="00953C0F" w:rsidRDefault="00A44E6E">
      <w:pPr>
        <w:pStyle w:val="FootnoteText"/>
        <w:rPr>
          <w:lang w:val="es-ES"/>
        </w:rPr>
      </w:pPr>
      <w:r>
        <w:rPr>
          <w:rStyle w:val="FootnoteReference"/>
        </w:rPr>
        <w:footnoteRef/>
      </w:r>
      <w:r>
        <w:rPr>
          <w:lang w:val="es-ES"/>
        </w:rPr>
        <w:t xml:space="preserve"> </w:t>
      </w:r>
      <w:r>
        <w:rPr>
          <w:i/>
          <w:lang w:val="es-ES"/>
        </w:rPr>
        <w:t>Explotación laboral grave: trabajadores que se desplazan dentro de la Unión Europea o hacia ella</w:t>
      </w:r>
      <w:r>
        <w:rPr>
          <w:lang w:val="es-ES"/>
        </w:rPr>
        <w:t>, en la siguiente dirección: http://fra.europa.eu/en/publication/2015/severe-labour-exploitation-workers-moving-within-or-european-union.</w:t>
      </w:r>
    </w:p>
  </w:footnote>
  <w:footnote w:id="47">
    <w:p w:rsidR="00953C0F" w:rsidRDefault="00A44E6E">
      <w:pPr>
        <w:pStyle w:val="FootnoteText"/>
        <w:rPr>
          <w:lang w:val="es-ES"/>
        </w:rPr>
      </w:pPr>
      <w:r>
        <w:rPr>
          <w:rStyle w:val="FootnoteReference"/>
        </w:rPr>
        <w:footnoteRef/>
      </w:r>
      <w:r>
        <w:rPr>
          <w:lang w:val="es-ES"/>
        </w:rPr>
        <w:t xml:space="preserve"> Por ejemplo, Canadá, Australia y Nueva Zelanda.</w:t>
      </w:r>
    </w:p>
  </w:footnote>
  <w:footnote w:id="48">
    <w:p w:rsidR="00953C0F" w:rsidRDefault="00A44E6E">
      <w:pPr>
        <w:pStyle w:val="FootnoteText"/>
        <w:rPr>
          <w:lang w:val="es-ES"/>
        </w:rPr>
      </w:pPr>
      <w:r>
        <w:rPr>
          <w:rStyle w:val="FootnoteReference"/>
        </w:rPr>
        <w:footnoteRef/>
      </w:r>
      <w:r>
        <w:rPr>
          <w:lang w:val="es-ES"/>
        </w:rPr>
        <w:t xml:space="preserve"> Véase, por ejemplo, el sistema «Express Entry» canadiense: </w:t>
      </w:r>
      <w:hyperlink r:id="rId3">
        <w:r>
          <w:rPr>
            <w:rStyle w:val="Hyperlink"/>
            <w:lang w:val="es-ES"/>
          </w:rPr>
          <w:t>http://www.cic.gc.ca/english/Immigrate/skilled/index.asp</w:t>
        </w:r>
      </w:hyperlink>
      <w:r>
        <w:rPr>
          <w:lang w:val="es-ES"/>
        </w:rPr>
        <w:t>.</w:t>
      </w:r>
    </w:p>
  </w:footnote>
  <w:footnote w:id="49">
    <w:p w:rsidR="00953C0F" w:rsidRDefault="00A44E6E">
      <w:pPr>
        <w:pStyle w:val="FootnoteText"/>
        <w:rPr>
          <w:lang w:val="es-ES"/>
        </w:rPr>
      </w:pPr>
      <w:r>
        <w:rPr>
          <w:rStyle w:val="FootnoteReference"/>
        </w:rPr>
        <w:footnoteRef/>
      </w:r>
      <w:r>
        <w:rPr>
          <w:lang w:val="es-ES"/>
        </w:rPr>
        <w:t xml:space="preserve"> Existen asociaciones de movilidad con Jordania, Marruecos, Túnez, Moldavia, Cabo Verde, Georgia, Armenia y Azerbaiyán. Existen programas comunes de migración y movilidad con Nigeria y Etiopía.</w:t>
      </w:r>
    </w:p>
  </w:footnote>
  <w:footnote w:id="50">
    <w:p w:rsidR="00953C0F" w:rsidRDefault="00A44E6E">
      <w:pPr>
        <w:pStyle w:val="FootnoteText"/>
        <w:rPr>
          <w:lang w:val="es-ES"/>
        </w:rPr>
      </w:pPr>
      <w:r>
        <w:rPr>
          <w:rStyle w:val="FootnoteReference"/>
        </w:rPr>
        <w:footnoteRef/>
      </w:r>
      <w:r>
        <w:rPr>
          <w:lang w:val="es-ES"/>
        </w:rPr>
        <w:t xml:space="preserve"> Cumbre de La Valeta, 11 y 12 de noviembre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F" w:rsidRDefault="00953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F24"/>
    <w:multiLevelType w:val="hybridMultilevel"/>
    <w:tmpl w:val="D49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402F"/>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72FA0"/>
    <w:multiLevelType w:val="hybridMultilevel"/>
    <w:tmpl w:val="B34C12A8"/>
    <w:lvl w:ilvl="0" w:tplc="358A7908">
      <w:start w:val="1"/>
      <w:numFmt w:val="bullet"/>
      <w:lvlText w:val="•"/>
      <w:lvlJc w:val="left"/>
      <w:pPr>
        <w:tabs>
          <w:tab w:val="num" w:pos="720"/>
        </w:tabs>
        <w:ind w:left="720" w:hanging="360"/>
      </w:pPr>
      <w:rPr>
        <w:rFonts w:ascii="Arial" w:hAnsi="Arial" w:cs="Times New Roman" w:hint="default"/>
      </w:rPr>
    </w:lvl>
    <w:lvl w:ilvl="1" w:tplc="8A5C7516">
      <w:start w:val="1"/>
      <w:numFmt w:val="bullet"/>
      <w:lvlText w:val="•"/>
      <w:lvlJc w:val="left"/>
      <w:pPr>
        <w:tabs>
          <w:tab w:val="num" w:pos="1440"/>
        </w:tabs>
        <w:ind w:left="1440" w:hanging="360"/>
      </w:pPr>
      <w:rPr>
        <w:rFonts w:ascii="Arial" w:hAnsi="Arial" w:cs="Times New Roman" w:hint="default"/>
      </w:rPr>
    </w:lvl>
    <w:lvl w:ilvl="2" w:tplc="6D282C12">
      <w:start w:val="1"/>
      <w:numFmt w:val="bullet"/>
      <w:lvlText w:val="•"/>
      <w:lvlJc w:val="left"/>
      <w:pPr>
        <w:tabs>
          <w:tab w:val="num" w:pos="2160"/>
        </w:tabs>
        <w:ind w:left="2160" w:hanging="360"/>
      </w:pPr>
      <w:rPr>
        <w:rFonts w:ascii="Arial" w:hAnsi="Arial" w:cs="Times New Roman" w:hint="default"/>
      </w:rPr>
    </w:lvl>
    <w:lvl w:ilvl="3" w:tplc="F7E4835E">
      <w:start w:val="1"/>
      <w:numFmt w:val="bullet"/>
      <w:lvlText w:val="•"/>
      <w:lvlJc w:val="left"/>
      <w:pPr>
        <w:tabs>
          <w:tab w:val="num" w:pos="2880"/>
        </w:tabs>
        <w:ind w:left="2880" w:hanging="360"/>
      </w:pPr>
      <w:rPr>
        <w:rFonts w:ascii="Arial" w:hAnsi="Arial" w:cs="Times New Roman" w:hint="default"/>
      </w:rPr>
    </w:lvl>
    <w:lvl w:ilvl="4" w:tplc="347497BC">
      <w:start w:val="1"/>
      <w:numFmt w:val="bullet"/>
      <w:lvlText w:val="•"/>
      <w:lvlJc w:val="left"/>
      <w:pPr>
        <w:tabs>
          <w:tab w:val="num" w:pos="3600"/>
        </w:tabs>
        <w:ind w:left="3600" w:hanging="360"/>
      </w:pPr>
      <w:rPr>
        <w:rFonts w:ascii="Arial" w:hAnsi="Arial" w:cs="Times New Roman" w:hint="default"/>
      </w:rPr>
    </w:lvl>
    <w:lvl w:ilvl="5" w:tplc="9D36CE00">
      <w:start w:val="1"/>
      <w:numFmt w:val="bullet"/>
      <w:lvlText w:val="•"/>
      <w:lvlJc w:val="left"/>
      <w:pPr>
        <w:tabs>
          <w:tab w:val="num" w:pos="4320"/>
        </w:tabs>
        <w:ind w:left="4320" w:hanging="360"/>
      </w:pPr>
      <w:rPr>
        <w:rFonts w:ascii="Arial" w:hAnsi="Arial" w:cs="Times New Roman" w:hint="default"/>
      </w:rPr>
    </w:lvl>
    <w:lvl w:ilvl="6" w:tplc="71982D78">
      <w:start w:val="1"/>
      <w:numFmt w:val="bullet"/>
      <w:lvlText w:val="•"/>
      <w:lvlJc w:val="left"/>
      <w:pPr>
        <w:tabs>
          <w:tab w:val="num" w:pos="5040"/>
        </w:tabs>
        <w:ind w:left="5040" w:hanging="360"/>
      </w:pPr>
      <w:rPr>
        <w:rFonts w:ascii="Arial" w:hAnsi="Arial" w:cs="Times New Roman" w:hint="default"/>
      </w:rPr>
    </w:lvl>
    <w:lvl w:ilvl="7" w:tplc="E436A5C2">
      <w:start w:val="1"/>
      <w:numFmt w:val="bullet"/>
      <w:lvlText w:val="•"/>
      <w:lvlJc w:val="left"/>
      <w:pPr>
        <w:tabs>
          <w:tab w:val="num" w:pos="5760"/>
        </w:tabs>
        <w:ind w:left="5760" w:hanging="360"/>
      </w:pPr>
      <w:rPr>
        <w:rFonts w:ascii="Arial" w:hAnsi="Arial" w:cs="Times New Roman" w:hint="default"/>
      </w:rPr>
    </w:lvl>
    <w:lvl w:ilvl="8" w:tplc="6E60B596">
      <w:start w:val="1"/>
      <w:numFmt w:val="bullet"/>
      <w:lvlText w:val="•"/>
      <w:lvlJc w:val="left"/>
      <w:pPr>
        <w:tabs>
          <w:tab w:val="num" w:pos="6480"/>
        </w:tabs>
        <w:ind w:left="6480" w:hanging="360"/>
      </w:pPr>
      <w:rPr>
        <w:rFonts w:ascii="Arial" w:hAnsi="Arial" w:cs="Times New Roman" w:hint="default"/>
      </w:rPr>
    </w:lvl>
  </w:abstractNum>
  <w:abstractNum w:abstractNumId="3">
    <w:nsid w:val="345B4FEC"/>
    <w:multiLevelType w:val="hybridMultilevel"/>
    <w:tmpl w:val="9C0C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A40B18"/>
    <w:multiLevelType w:val="hybridMultilevel"/>
    <w:tmpl w:val="478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92D3B"/>
    <w:multiLevelType w:val="hybridMultilevel"/>
    <w:tmpl w:val="077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4915B0"/>
    <w:multiLevelType w:val="hybridMultilevel"/>
    <w:tmpl w:val="B6461E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74B6A"/>
    <w:multiLevelType w:val="hybridMultilevel"/>
    <w:tmpl w:val="C6B8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86C24"/>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244465"/>
    <w:multiLevelType w:val="hybridMultilevel"/>
    <w:tmpl w:val="2C4CB416"/>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E725C"/>
    <w:multiLevelType w:val="hybridMultilevel"/>
    <w:tmpl w:val="F4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0"/>
  </w:num>
  <w:num w:numId="6">
    <w:abstractNumId w:val="3"/>
  </w:num>
  <w:num w:numId="7">
    <w:abstractNumId w:val="7"/>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CC6CB3BA265B493BBE053B2F84F17083"/>
    <w:docVar w:name="LW_CROSSREFERENCE" w:val="&lt;UNUSED&gt;"/>
    <w:docVar w:name="LW_DocType" w:val="NORMAL"/>
    <w:docVar w:name="LW_EMISSION" w:val="6.4.2016"/>
    <w:docVar w:name="LW_EMISSION_ISODATE" w:val="2016-04-06"/>
    <w:docVar w:name="LW_EMISSION_LOCATION" w:val="BRX"/>
    <w:docVar w:name="LW_EMISSION_PREFIX" w:val="Bruselas, "/>
    <w:docVar w:name="LW_EMISSION_SUFFIX" w:val=" "/>
    <w:docVar w:name="LW_ID_DOCTYPE_NONLW" w:val="CP-012"/>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6) 197"/>
    <w:docVar w:name="LW_REF.INTERNE" w:val="&lt;UNUSED&gt;"/>
    <w:docVar w:name="LW_SOUS.TITRE.OBJ.CP" w:val="&lt;UNUSED&gt;"/>
    <w:docVar w:name="LW_SUPERTITRE" w:val="&lt;UNUSED&gt;"/>
    <w:docVar w:name="LW_TITRE.OBJ.CP" w:val="HACIA UNA REFORMA DEL SISTEMA EUROPEO COMÚN DE ASILO Y UNA MEJORA DE LAS VÍAS LEGALES A EUROPA"/>
    <w:docVar w:name="LW_TYPE.DOC.CP" w:val="COMUNICACIÓN DE LA COMISIÓN AL PARLAMENTO EUROPEO Y AL CONSEJO"/>
    <w:docVar w:name="LW_TYPE.DOC.CP.USERTEXT" w:val="&lt;EMPTY&gt;"/>
  </w:docVars>
  <w:rsids>
    <w:rsidRoot w:val="00953C0F"/>
    <w:rsid w:val="00953C0F"/>
    <w:rsid w:val="00A44E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5224">
      <w:bodyDiv w:val="1"/>
      <w:marLeft w:val="0"/>
      <w:marRight w:val="0"/>
      <w:marTop w:val="0"/>
      <w:marBottom w:val="0"/>
      <w:divBdr>
        <w:top w:val="none" w:sz="0" w:space="0" w:color="auto"/>
        <w:left w:val="none" w:sz="0" w:space="0" w:color="auto"/>
        <w:bottom w:val="none" w:sz="0" w:space="0" w:color="auto"/>
        <w:right w:val="none" w:sz="0" w:space="0" w:color="auto"/>
      </w:divBdr>
    </w:div>
    <w:div w:id="1400708654">
      <w:bodyDiv w:val="1"/>
      <w:marLeft w:val="0"/>
      <w:marRight w:val="0"/>
      <w:marTop w:val="0"/>
      <w:marBottom w:val="0"/>
      <w:divBdr>
        <w:top w:val="none" w:sz="0" w:space="0" w:color="auto"/>
        <w:left w:val="none" w:sz="0" w:space="0" w:color="auto"/>
        <w:bottom w:val="none" w:sz="0" w:space="0" w:color="auto"/>
        <w:right w:val="none" w:sz="0" w:space="0" w:color="auto"/>
      </w:divBdr>
    </w:div>
    <w:div w:id="2004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c.gc.ca/english/Immigrate/skilled/index.asp" TargetMode="External"/><Relationship Id="rId2" Type="http://schemas.openxmlformats.org/officeDocument/2006/relationships/hyperlink" Target="http://www.skillsandmigration.eu/" TargetMode="External"/><Relationship Id="rId1" Type="http://schemas.openxmlformats.org/officeDocument/2006/relationships/hyperlink" Target="http://ec.europa.eu/dgs/home-affairs/what-is-new/public-consultation/2015/consulting_0029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CBC7-9BD3-447F-B484-338B73ED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10287</Words>
  <Characters>57305</Characters>
  <Application>Microsoft Office Word</Application>
  <DocSecurity>0</DocSecurity>
  <Lines>1023</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17</cp:revision>
  <cp:lastPrinted>2016-04-06T08:25:00Z</cp:lastPrinted>
  <dcterms:created xsi:type="dcterms:W3CDTF">2016-04-07T10:04:00Z</dcterms:created>
  <dcterms:modified xsi:type="dcterms:W3CDTF">2016-04-08T08:21:00Z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