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4822AAF339684179929CD0EBABD639D9" style="width:451.25pt;height:416.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2012/0011 (COD)</w:t>
      </w:r>
    </w:p>
    <w:p>
      <w:pPr>
        <w:pStyle w:val="Typedudocument"/>
        <w:rPr>
          <w:noProof/>
        </w:rPr>
      </w:pPr>
      <w:r>
        <w:rPr>
          <w:noProof/>
        </w:rPr>
        <w:t xml:space="preserve">KOMUNIKAT KOMISJI </w:t>
      </w:r>
      <w:r>
        <w:rPr>
          <w:noProof/>
        </w:rPr>
        <w:br/>
        <w:t>DO PARLAMENTU EUROPEJSKIEGO</w:t>
      </w:r>
      <w:r>
        <w:rPr>
          <w:noProof/>
        </w:rPr>
        <w:br/>
      </w:r>
      <w:r>
        <w:rPr>
          <w:noProof/>
        </w:rPr>
        <w:br/>
        <w:t>na podstawie art. 294 ust. 6 Traktatu o funkcjonowaniu Unii Europejskiej</w:t>
      </w:r>
      <w:r>
        <w:rPr>
          <w:noProof/>
        </w:rPr>
        <w:br/>
      </w:r>
      <w:r>
        <w:rPr>
          <w:noProof/>
        </w:rPr>
        <w:br/>
        <w:t>dotyczący</w:t>
      </w:r>
    </w:p>
    <w:p>
      <w:pPr>
        <w:pStyle w:val="Titreobjet"/>
        <w:rPr>
          <w:noProof/>
        </w:rPr>
      </w:pPr>
      <w:r>
        <w:rPr>
          <w:noProof/>
        </w:rPr>
        <w:t>stanowiska Rady dotyczącego przyjęcia rozporządzenia Parlamentu Europejskiego i Rady w sprawie ochrony osób fizycznych w związku z przetwarzaniem danych osobowych i swobodnym przepływem takich danych (ogólne rozporządzenie o ochronie danych) oraz uchylającego dyrektywę 95/46/WE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Przebieg procedury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Data przekazania wniosku Parlamentowi Europejskiemu i Radzie</w:t>
            </w:r>
            <w:r>
              <w:rPr>
                <w:noProof/>
              </w:rPr>
              <w:br/>
              <w:t>(dokument COM(2012) 11 final – 2012/11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 stycznia 2012 r.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wydania opinii przez Europejski Komitet Ekonomiczno-Społeczny:</w:t>
            </w:r>
          </w:p>
          <w:p>
            <w:pPr>
              <w:jc w:val="left"/>
              <w:rPr>
                <w:noProof/>
              </w:rPr>
            </w:pPr>
            <w:r>
              <w:rPr>
                <w:rStyle w:val="info"/>
                <w:noProof/>
              </w:rPr>
              <w:t>SOC/455 EESC-2012-1303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 maja 2012 r.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uchwalenia stanowiska Parlamentu Europejskiego w pierwszym czytaniu: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 marca 2014 r.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przekazania zmienionego wniosku: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Nie dotyczy.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przyjęcia stanowiska Rady: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 kwietnia 2016 r.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Przedmiot wniosku Komisji</w:t>
      </w:r>
    </w:p>
    <w:p>
      <w:pPr>
        <w:rPr>
          <w:noProof/>
        </w:rPr>
      </w:pPr>
      <w:r>
        <w:rPr>
          <w:noProof/>
        </w:rPr>
        <w:t>Dyrektywa 95/46/WE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– będąca głównym instrumentem prawnym w zakresie ochrony danych osobowych w Europie – była przełomowym dokumentem w historii ochrony danych. Nadal aktualne są jej cele polegające na zapewnieniu funkcjonowania jednolitego rynku i skutecznej ochrony praw podstawowych i wolności osób fizycznych. Została ona jednak przyjęta 21 lat temu, kiedy internet dopiero raczkował. W dzisiejszym nowym, wymagającym środowisku cyfrowym istniejące przepisy nie zapewniają wymaganego stopnia harmonizacji ani niezbędnej skuteczności gwarantującej prawo do ochrony danych osobowych. </w:t>
      </w:r>
    </w:p>
    <w:p>
      <w:pPr>
        <w:pStyle w:val="Text1"/>
        <w:ind w:left="0"/>
        <w:rPr>
          <w:rFonts w:eastAsia="Times New Roman"/>
          <w:noProof/>
        </w:rPr>
      </w:pPr>
      <w:r>
        <w:rPr>
          <w:noProof/>
        </w:rPr>
        <w:t xml:space="preserve">W związku z tym w dniu 25 stycznia 2012 r. Komisja przedstawiła wniosek dotyczący rozporządzenia mającego zastąpić dyrektywę 95/46/WE i określającego ogólne unijne ramy ochrony danych. We wniosku dotyczącym rozporządzenia zmodernizowano zasady przyjęte w dyrektywie z 1995 r., tym samym dostosowano je do ery cyfrowej oraz zharmonizowano przepisy dotyczące ochrony danych w Europie. Rygorystyczne przepisy dotyczące ochrony </w:t>
      </w:r>
      <w:r>
        <w:rPr>
          <w:noProof/>
        </w:rPr>
        <w:lastRenderedPageBreak/>
        <w:t>danych są niezbędne, tak aby osoby fizyczne ponownie nabrały zaufania do metod wykorzystywania ich danych.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 xml:space="preserve">Wniosek dotyczący rozporządzenia dotyczy przede wszystkim: wzmocnienia praw osób fizycznych, pogłębienia rynku wewnętrznego UE, zapewnienia lepszego egzekwowania przepisów, usprawnienia międzynarodowego przekazywania danych osobowych oraz ustanowienia kompleksowych norm w zakresie ochrony danych. 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 xml:space="preserve">Zmiany te umożliwią społeczeństwu większą kontrolę nad danymi osobowymi i ułatwią mu do nich dostęp. Zostały one wypracowane z myślą o zapewnieniu ochrony danych osobowych, niezależnie od tego, gdzie się one znajdują. Nowe przepisy pozwalają rozwiać obawy związane z powyższymi zagadnieniami w drodze: </w:t>
      </w: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 xml:space="preserve">zapewnienia łatwiejszego dostępu osób fizycznych do ich danych osobowych – osoby fizyczne będą miały do dyspozycji więcej jasnych i zrozumiałych informacji na temat sposobu, w jaki ich dane są przetwarzane; </w:t>
      </w:r>
    </w:p>
    <w:p>
      <w:pPr>
        <w:pStyle w:val="Bullet0"/>
        <w:rPr>
          <w:noProof/>
        </w:rPr>
      </w:pPr>
      <w:r>
        <w:rPr>
          <w:noProof/>
        </w:rPr>
        <w:t>„prawa do bycia zapomnianym” – jeżeli dana osoba fizyczna nie życzy sobie dłużej, aby jej dane były przetwarzane, oraz pod warunkiem że nie istnieją uzasadnione przesłanki ich zatrzymania, dane zostaną usunięte;</w:t>
      </w:r>
    </w:p>
    <w:p>
      <w:pPr>
        <w:pStyle w:val="Bullet0"/>
        <w:rPr>
          <w:noProof/>
        </w:rPr>
      </w:pPr>
      <w:r>
        <w:rPr>
          <w:noProof/>
        </w:rPr>
        <w:t>prawa do otrzymania informacji w przypadku złamania zabezpieczeń danych – spółki mają obowiązek zawiadomienia organu nadzorczego o naruszeniach ochrony danych, które narażają osoby fizyczne na ryzyko i przekazania informacji dotyczących wszystkich naruszeń wysokiego ryzyka, tak aby użytkownicy mogli podjąć odpowiednie działania;</w:t>
      </w:r>
    </w:p>
    <w:p>
      <w:pPr>
        <w:pStyle w:val="Bullet0"/>
        <w:rPr>
          <w:noProof/>
        </w:rPr>
      </w:pPr>
      <w:r>
        <w:rPr>
          <w:noProof/>
        </w:rPr>
        <w:t>prawa do przenoszenia danych – ułatwi to osobom fizycznym przenoszenie danych osobowych między dostawcami usług.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>Proponowane rozporządzenie wspiera także wykorzystanie potencjału jednolitego rynku cyfrowego poprzez:</w:t>
      </w:r>
    </w:p>
    <w:p>
      <w:pPr>
        <w:pStyle w:val="Bullet0"/>
        <w:rPr>
          <w:noProof/>
        </w:rPr>
      </w:pPr>
      <w:r>
        <w:rPr>
          <w:noProof/>
        </w:rPr>
        <w:t xml:space="preserve">jeden kontynent – jedno prawo: jednolite ogólnoeuropejskie prawo o ochronie danych zastępujące obowiązujący obecnie niespójny zbiór przepisów z 28 państw członkowskich; </w:t>
      </w:r>
    </w:p>
    <w:p>
      <w:pPr>
        <w:pStyle w:val="Bullet0"/>
        <w:rPr>
          <w:noProof/>
        </w:rPr>
      </w:pPr>
      <w:r>
        <w:rPr>
          <w:noProof/>
        </w:rPr>
        <w:t>punkt kompleksowej obsługi: „pojedynczy punkt kontaktowy” dla podmiotów gospodarczych: spółki będą musiały zwracać się wyłącznie do jednego organu nadzorczego, a nie do 28 organów. Dzięki temu prowadzenie działalności gospodarczej w całej UE stanie się łatwiejsze i tańsze;</w:t>
      </w:r>
    </w:p>
    <w:p>
      <w:pPr>
        <w:pStyle w:val="Bullet0"/>
        <w:rPr>
          <w:noProof/>
        </w:rPr>
      </w:pPr>
      <w:r>
        <w:rPr>
          <w:noProof/>
        </w:rPr>
        <w:t>równe szanse – obecnie spółki europejskie muszą przestrzegać bardziej restrykcyjnych standardów niż spółki mające swoją siedzibę poza UE i prowadzące działalność również na jednolitym rynku. Po wprowadzeniu reformy spółki mające siedzibę poza Europą będą musiały przestrzegać tych samych przepisów, gdy sprzedają towary lub świadczą usługi na unijnym rynku;</w:t>
      </w:r>
    </w:p>
    <w:p>
      <w:pPr>
        <w:pStyle w:val="Bullet0"/>
        <w:rPr>
          <w:noProof/>
        </w:rPr>
      </w:pPr>
      <w:r>
        <w:rPr>
          <w:noProof/>
        </w:rPr>
        <w:t>neutralność technologiczna: nowe zasady zawarte w rozporządzeniu utrzymują korzystne warunki sprzyjające innowacjom.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lastRenderedPageBreak/>
        <w:t>Ponadto proponowane rozporządzenie przewiduje, że organy nadzorcze będą mogły nakładać grzywny na przedsiębiorstwa, które nie przestrzegają unijnych przepisów do wysokości 2 % ich całkowitego rocznego obrotu.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Uwagi dotyczące stanowiska Rady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Stanowisko Rady odzwierciedla porozumienie polityczne osiągnięte przez Parlament Europejski i Radę w dniu 15 grudnia 2015 r. w ramach nieformalnych rozmów trójstronnych, które zostało następnie zatwierdzone przez Radę w dniu 8 kwietnia 2016 r.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Komisja popiera to porozumienie, ponieważ jest ono zgodne z celami przedstawionego przez nią wniosku.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W porozumieniu zachowano charakter instrumentu prawnego zaproponowany przez Komisję, czyli jest to rozporządzenie, a nie dyrektywa, której przyjęcie oznaczałoby konieczność transpozycji jej przepisów do 28 krajowych systemów prawnych. Ponadto zapewnia ono niezbędny poziom harmonizacji, pozostawiając pewien margines swobody państwom członkowskim co do szczegółowych rozwiązań w przepisach dotyczących ochrony danych w sektorze publicznym.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W swoim stanowisku Rada potwierdziła podejście Komisji co do terytorialnego zakresu stosowania rozporządzenia, mianowicie rozporządzenie będzie miało zastosowanie również do administratorów lub podmiotów przetwarzających mających siedzibę w państwie trzecim, jeżeli sprzedają oni towary lub świadczą usługi bądź monitorują zachowanie osób, których dane dotyczą, na terytorium Unii.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Porozumienie, zgodnie z podejściem Komisji, wzmacnia zasady przetwarzania danych (np. zasada minimalizacji danych) oraz prawa osób, których dane dotyczą, w drodze zapisania prawa do bycia zapomnianym i prawa do przenoszenia danych oraz dalszego kształtowania istniejących praw, takich jak prawo do informacji bądź prawo dostępu. </w:t>
      </w:r>
    </w:p>
    <w:p>
      <w:pPr>
        <w:widowControl w:val="0"/>
        <w:rPr>
          <w:noProof/>
          <w:color w:val="000000"/>
          <w:bdr w:val="nil"/>
        </w:rPr>
      </w:pPr>
      <w:r>
        <w:rPr>
          <w:noProof/>
        </w:rPr>
        <w:t>Ponadto w porozumieniu utrzymano i opracowano szerzej podejście oparte na analizie ryzyka, zaprezentowane już we wniosku Komisji, zgodnie z którym to podejściem administratorzy danych oraz w niektórych przypadkach podmioty przetwarzające uwzględniają charakter, zakres, kontekst i cele przetwarzania oraz ryzyka o zróżnicowanym prawdopodobieństwie wystąpienia i nasileniu dla praw i wolności podmiotu, którego dane dotyczą, wynikające z takiego przetwarzania. Ponadto porozumienie, jakie osiągnięto w sprawie „</w:t>
      </w:r>
      <w:r>
        <w:rPr>
          <w:noProof/>
          <w:color w:val="000000"/>
          <w:u w:color="000000"/>
          <w:bdr w:val="nil"/>
        </w:rPr>
        <w:t>mechanizmu kompleksowej obsługi”, jest prawnie i instytucjonalnie zasadne oraz przynosi znaczną wartość dodaną spółkom i osobom, których dane dotyczą</w:t>
      </w:r>
      <w:r>
        <w:rPr>
          <w:noProof/>
        </w:rPr>
        <w:t>.</w:t>
      </w:r>
      <w:r>
        <w:rPr>
          <w:noProof/>
          <w:color w:val="000000"/>
          <w:u w:color="000000"/>
          <w:bdr w:val="nil"/>
        </w:rPr>
        <w:t xml:space="preserve"> Mechanizm ten będzie działał zgodnie z zasadą, że decyzję podejmuje „najbardziej kompetentny organ”, i będzie obejmował wyłącznie sprawy mające znaczący wymiar transgraniczny. W następstwie posiedzenia w Radzie utrzymano główne uproszczenie, jakim jest konieczność uzyskiwania jednej decyzji na terytorium całej UE, oraz zasadę kontaktowania się z jedną osobą zarówno w przypadku podmiotów gospodarczych, jak i osób fizycznych.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Ponadto porozumienie to wyjaśnia i precyzuje zasady dotyczące międzynarodowego przekazywania danych, np. w odniesieniu do kryteriów, które należy uwzględnić przy ocenie poziomu ochrony w państwie trzecim, lub narzędzi, które mogą zapewnić odpowiednie gwarancje na potrzeby międzynarodowego przekazywania danych.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Stanowisko Rady upoważnia organy nadzorcze do nakładania sankcji finansowych za naruszanie przepisów rozporządzenia, nawet do wysokości 2 – 4 % całkowitego rocznego obrotu przedsiębiorstwa.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lastRenderedPageBreak/>
        <w:t xml:space="preserve">W przeciwieństwie do wniosku Komisji stanowisko Rady nie uznaje rozporządzenia za środek służący rozwinięciu dorobku Schengen. Komisja uważa zatem, że oświadczenie w tej kwestii nie jest konieczne.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Podsumowanie</w:t>
      </w:r>
    </w:p>
    <w:p>
      <w:pPr>
        <w:rPr>
          <w:rFonts w:eastAsia="Times New Roman"/>
          <w:noProof/>
        </w:rPr>
      </w:pPr>
      <w:r>
        <w:rPr>
          <w:noProof/>
        </w:rPr>
        <w:t>Komisja popiera wyniki negocjacji międzyinstytucjonalnych i może zatem przyjąć stanowisko Rady w pierwszym czytaniu.</w:t>
      </w:r>
    </w:p>
    <w:p>
      <w:pPr>
        <w:pStyle w:val="ManualHeading1"/>
        <w:rPr>
          <w:bCs/>
          <w:noProof/>
        </w:rPr>
      </w:pPr>
      <w:r>
        <w:rPr>
          <w:noProof/>
        </w:rPr>
        <w:t>5.</w:t>
      </w:r>
      <w:r>
        <w:rPr>
          <w:noProof/>
        </w:rPr>
        <w:tab/>
        <w:t>Oświadczenie Komisji – rozporządzenie o znaczeniu dla Schengen</w:t>
      </w:r>
    </w:p>
    <w:p>
      <w:pPr>
        <w:rPr>
          <w:rFonts w:eastAsia="Times New Roman"/>
          <w:noProof/>
        </w:rPr>
      </w:pPr>
      <w:r>
        <w:rPr>
          <w:noProof/>
        </w:rPr>
        <w:t>„Komisja wyraża ubolewanie, że do jej pierwotnego wniosku wprowadzono zmiany w drodze wykreślenia motywów 136, 137 i 138 związanych z dorobkiem Schengen. Komisja uważa, że w szczególności w odniesieniu do wiz, kontroli granic i powrotów, ogólne rozporządzenie o ochronie danych stanowi rozwój dorobku Schengen w przypadku czterech państw włączonych we wdrażanie, stosowanie i rozwój tego dorobku.”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Dyrektywa 95/46/WE w sprawie ochrony osób fizycznych w zakresie przetwarzania danych osobowych i swobodnego przepływu tych danych, Dz.U. L 281 z 23.11.1995, s. 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33EC3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8EE03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0A479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7BA61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B80F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9C2B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48A2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E102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4-11 08:11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4822AAF339684179929CD0EBABD639D9"/>
    <w:docVar w:name="LW_CROSSREFERENCE" w:val="&lt;UNUSED&gt;"/>
    <w:docVar w:name="LW_DocType" w:val="COM"/>
    <w:docVar w:name="LW_EMISSION" w:val="11.4.2016"/>
    <w:docVar w:name="LW_EMISSION_ISODATE" w:val="2016-04-11"/>
    <w:docVar w:name="LW_EMISSION_LOCATION" w:val="BRX"/>
    <w:docVar w:name="LW_EMISSION_PREFIX" w:val="Bruksela, dnia "/>
    <w:docVar w:name="LW_EMISSION_SUFFIX" w:val=" r.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11"/>
    <w:docVar w:name="LW_REF.II.NEW.CP_YEAR" w:val="2012"/>
    <w:docVar w:name="LW_REF.INST.NEW" w:val="COM"/>
    <w:docVar w:name="LW_REF.INST.NEW_ADOPTED" w:val="final"/>
    <w:docVar w:name="LW_REF.INST.NEW_TEXT" w:val="(2016) 214"/>
    <w:docVar w:name="LW_REF.INTERNE" w:val="&lt;UNUSED&gt;"/>
    <w:docVar w:name="LW_SOUS.TITRE.OBJ.CP" w:val="&lt;UNUSED&gt;"/>
    <w:docVar w:name="LW_SUPERTITRE" w:val="&lt;UNUSED&gt;"/>
    <w:docVar w:name="LW_TITRE.OBJ.CP" w:val="stanowiska Rady dotycz\u261?cego przyj\u281?cia rozporz\u261?dzenia Parlamentu Europejskiego i Rady w sprawie ochrony osób fizycznych w zwi\u261?zku z przetwarzaniem danych osobowych i swobodnym przep\u322?ywem takich danych (ogólne rozporz\u261?dzenie o ochronie danych) oraz uchylaj\u261?cego dyrektyw\u281? 95/46/WE"/>
    <w:docVar w:name="LW_TYPE.DOC.CP" w:val="KOMUNIKAT KOMISJI _x000b_DO PARLAMENTU EUROPEJSKIEGO_x000b__x000b_na podstawie art. 294 ust. 6 Traktatu o funkcjonowaniu Unii Europejskiej_x000b__x000b_dotycz\u261?c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">
    <w:name w:val="info"/>
    <w:basedOn w:val="DefaultParagraphFont"/>
  </w:style>
  <w:style w:type="character" w:customStyle="1" w:styleId="Text1Char">
    <w:name w:val="Text 1 Char"/>
    <w:rPr>
      <w:rFonts w:ascii="Times New Roman" w:hAnsi="Times New Roman" w:cs="Times New Roman"/>
      <w:sz w:val="24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">
    <w:name w:val="info"/>
    <w:basedOn w:val="DefaultParagraphFont"/>
  </w:style>
  <w:style w:type="character" w:customStyle="1" w:styleId="Text1Char">
    <w:name w:val="Text 1 Char"/>
    <w:rPr>
      <w:rFonts w:ascii="Times New Roman" w:hAnsi="Times New Roman" w:cs="Times New Roman"/>
      <w:sz w:val="24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1105</Words>
  <Characters>7549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2016-04-04T13:45:00Z</cp:lastPrinted>
  <dcterms:created xsi:type="dcterms:W3CDTF">2016-04-08T13:08:00Z</dcterms:created>
  <dcterms:modified xsi:type="dcterms:W3CDTF">2016-04-11T06:11:00Z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