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D867E7A5F199427B96BCEAAB23F06970" style="width:450.75pt;height:429.75pt">
            <v:imagedata r:id="rId8" o:title=""/>
          </v:shape>
        </w:pict>
      </w:r>
    </w:p>
    <w:p>
      <w:pPr>
        <w:pStyle w:val="Pagedecouverture"/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bookmarkStart w:id="0" w:name="_GoBack"/>
      <w:bookmarkEnd w:id="0"/>
      <w:r>
        <w:rPr>
          <w:noProof/>
        </w:rPr>
        <w:lastRenderedPageBreak/>
        <w:t>2012/0010 (COD)</w:t>
      </w:r>
    </w:p>
    <w:p>
      <w:pPr>
        <w:pStyle w:val="Typedudocument"/>
        <w:rPr>
          <w:noProof/>
        </w:rPr>
      </w:pPr>
      <w:r>
        <w:rPr>
          <w:noProof/>
        </w:rPr>
        <w:t>KOMUNIKAZZJONI TAL-KUMMISSJONI LILL-PARLAMENT EWROPEW</w:t>
      </w:r>
      <w:r>
        <w:rPr>
          <w:noProof/>
        </w:rPr>
        <w:br/>
      </w:r>
      <w:r>
        <w:rPr>
          <w:noProof/>
        </w:rPr>
        <w:br/>
        <w:t>skont l-Artikolu 294(6) tat-Trattat dwar il-Funzjonament tal-Unjoni Ewropea</w:t>
      </w:r>
      <w:r>
        <w:rPr>
          <w:noProof/>
        </w:rPr>
        <w:br/>
      </w:r>
      <w:r>
        <w:rPr>
          <w:noProof/>
        </w:rPr>
        <w:br/>
        <w:t>dwar</w:t>
      </w:r>
    </w:p>
    <w:p>
      <w:pPr>
        <w:pStyle w:val="Titreobjet"/>
        <w:rPr>
          <w:noProof/>
        </w:rPr>
      </w:pPr>
      <w:r>
        <w:rPr>
          <w:noProof/>
        </w:rPr>
        <w:t>pożizzjoni tal-Kunsill dwar l-adozzjoni ta' Direttiva tal-Parlament Ewropew u tal-Kunsill dwar il-protezzjoni ta’ individwi fir-rigward tal-ipproċessar ta’ dejta personali mill-awtoritajiet kompetenti għall-finijiet ta’ prevenzjoni, investigazzjoni, detezzjoni jew prosekuzzjoni ta’ reati kriminali jew l-eżekuzzjoni ta’ pieni kriminali, u dwar il-moviment liberu ta’ tali dejta,</w:t>
      </w:r>
      <w:r>
        <w:rPr>
          <w:noProof/>
        </w:rPr>
        <w:br/>
        <w:t>u li tħassar id-Deċiżjoni Qafas tal-Kunsill 2008/977/ĠAI</w:t>
      </w:r>
    </w:p>
    <w:p>
      <w:pPr>
        <w:pStyle w:val="ManualHeading1"/>
        <w:rPr>
          <w:noProof/>
          <w:sz w:val="22"/>
        </w:rPr>
      </w:pPr>
      <w:r>
        <w:rPr>
          <w:noProof/>
        </w:rPr>
        <w:t>1.</w:t>
      </w:r>
      <w:r>
        <w:rPr>
          <w:noProof/>
        </w:rPr>
        <w:tab/>
        <w:t>Sfond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4"/>
        <w:gridCol w:w="2483"/>
      </w:tblGrid>
      <w:tr>
        <w:tc>
          <w:tcPr>
            <w:tcW w:w="6804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Data ta' trażmissjoni tal-proposta lill-Parlament Ewropew u lill-Kunsill</w:t>
            </w:r>
            <w:r>
              <w:rPr>
                <w:noProof/>
              </w:rPr>
              <w:br/>
              <w:t>(dokument COM(2012) 10 finali – 2012/0010 COD):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25 ta' Jannar 2012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tal-pożizzjoni tal-Parlament Ewropew, l-ewwel qari: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12 ta' Marzu 2014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tat-trażmissjoni tal-proposta emendata: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Mhux applikabbli</w:t>
            </w:r>
          </w:p>
        </w:tc>
      </w:tr>
      <w:tr>
        <w:tc>
          <w:tcPr>
            <w:tcW w:w="6804" w:type="dxa"/>
          </w:tcPr>
          <w:p>
            <w:pPr>
              <w:rPr>
                <w:noProof/>
              </w:rPr>
            </w:pPr>
            <w:r>
              <w:rPr>
                <w:noProof/>
              </w:rPr>
              <w:t>Data tal-adozzjoni tal-pożizzjoni tal-Kunsill:</w:t>
            </w:r>
          </w:p>
        </w:tc>
        <w:tc>
          <w:tcPr>
            <w:tcW w:w="2483" w:type="dxa"/>
          </w:tcPr>
          <w:p>
            <w:pPr>
              <w:jc w:val="left"/>
              <w:rPr>
                <w:noProof/>
              </w:rPr>
            </w:pPr>
            <w:r>
              <w:rPr>
                <w:noProof/>
              </w:rPr>
              <w:t>8 ta' April 2016</w:t>
            </w: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L-objettiv tal-proposta tal-Kummissjoni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>Id-Direttiva dwar il-Protezzjoni tad-Dejta għall-awtoritajiet tal-pulizija u l-ġustizzja kriminali tifforma parti minn pakkett ta' Riforma tal-Protezzjoni tad-Dejta propost mill-Kummissjoni, li jinkludi r-Regolament Ġenerali dwar il-Protezzjoni tad-Data.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 xml:space="preserve">Il-pakkett tar-riforma tal-protezzjoni tad-dejta tal-UE għandu l-għan li jibni qafas modern, qawwi, konsistenti u komprensiv tal-protezzjoni tad-dejta għall-Unjoni Ewropea. Dan se jibbenefikaw minnu individwi billi jsaħħaħ id-drittijiet u l-libertajiet fundamentali tagħhom fir-rigward tal-ipproċessar tad-dejta personali u l-fiduċja tagħhom fl-ambjent diġitali. 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 xml:space="preserve">Id-Deċiżjoni Qafas tal-Kunsill 2008/977/ĠAI tas-27 ta’ Novembru 2008 dwar il-protezzjoni ta’ data personali pproċessata fil-qafas tal-kooperazzjoni tal-pulizija u dik ġudizzjarja f’materji kriminali li ppreċediet id-dħul fis-seħħ tat-Trattat ta' Lisbona. Il-Kummissjoni – sat-30 ta' Novembru 2014 – ma kellhiex setgħat biex issaħħaħ ir-regoli tagħha, peress li hi Deċiżjoni Qafas, u dan ikkontribwixxa għal implimentazzjoni żbilanċjata. Barra minn hekk, il-kamp ta' applikazzjoni tad-Deċiżjoni Qafas hija limitata għal attivitajiet ta' pproċessar transkonfinali. Dan ifisser li l-ipproċessar tad-dejta personali li ma tkunx ġiet soġġetta għal skambji bejn Stati Membri bħalissa mhuwiex kopert mir-regoli tal-UE li jirregolaw tali pproċessar u jipproteġu d-dritt fundamentali għall-protezzjoni tad-dejta. Dan joħloq ukoll, </w:t>
      </w:r>
      <w:r>
        <w:rPr>
          <w:noProof/>
        </w:rPr>
        <w:lastRenderedPageBreak/>
        <w:t>f’ċerti każijiet, diffikultajiet prattiċi għall-pulizija u awtoritajiet oħra li għalihom ma jkunx dejjem ovvju jekk l-ipproċessar tad-dejta għandux ikun purament domestiku jew transkonfinali; jew li jipprevedu jekk dejta "domestika" għandiex issir l-oġġett ta’ skambju transkonfinali sussegwenti.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>L-assigurazzjoni ta’ livell konsistenti u għoli ta’ protezzjoni tad-dejta personali ta’ individwi u l-iffaċilitar tal-iskambju ta’ dejta personali bejn awtoritajiet kompetenti ta’ Stati Membri hija kruċjali sabiex tkun assigurata l-kooperazzjoni ġudizzjarja effettiva f’materji kriminali u dik tal-pulizija. Għal dak il-għan, il-livell ta’ protezzjoni tad-drittijiet u l-libertajiet tal-individwi fir-rigward tal-ipproċessar ta’ dejta personali mill-awtoritajiet kompetenti għall-finijiet ta’ prevenzjoni, investigazzjoni, detezzjoni jew prosekuzzjoni ta’ reati kriminali jew l-eżekuzzjoni ta’ pieni kriminali, irid ikun ekwivalenti fl-Istati Membri kollha. Il-protezzjoni effettiva tad-dejta personali madwar l-Unjoni titlob li jiġu msaħħa d-drittijiet tas-suġġetti tad-dejta u l-obbligi ta’ dawk li jipproċessaw dejta personali, iżda wkoll setgħat ekwivalenti sabiex tiġi sorveljata u assigurata l-konformità mar-regoli għall-protezzjoni tad-dejta personali fi Stati Membri.</w:t>
      </w:r>
    </w:p>
    <w:p>
      <w:pPr>
        <w:autoSpaceDE w:val="0"/>
        <w:autoSpaceDN w:val="0"/>
        <w:adjustRightInd w:val="0"/>
        <w:spacing w:before="0" w:after="0"/>
        <w:rPr>
          <w:noProof/>
          <w:szCs w:val="24"/>
        </w:rPr>
      </w:pPr>
      <w:r>
        <w:rPr>
          <w:noProof/>
        </w:rPr>
        <w:t>Id-Direttiva se tippermetti lill-awtoritajiet ġudizzjarji u tal-infurzar tal-liġi jikooperaw iktar effettivament u malajr flimkien. Tibni l-kunfidenza u tiżgura ċertezza tad-dritt.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Kummenti dwar il-pożizzjoni tal-Kunsill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Il-pożizzjoni tal-Kunsill tirrifletti l-ftehim politiku milħuq bejn il-Parlament Ewropew u l-Kunsill fi trilogi informali fil-15 ta' Diċembru 2015, sussegwentement appoġġati mill-Kunsill fit-8 ta' April 2016.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Il-Kummissjoni tappoġġa dan il-ftehim peress li hu konformi mal-objettivi tal-proposta tal-Kummissjoni. 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>Il-ftehim għandu l-objettiv ġenerali li jiżgura livell għoli ta’ protezzjoni tad-dejta personali fil-qasam tal-kooperazzjoni tal-pulizija u dik ġudizzjarja f’materji kriminali u biex jiffaċilita skambji tad-dejta personali bejn il-pulizija u l-awtoritajiet ġudizzjarji tal-Istati Membri, billi japplika regoli armonizzati lil operazzjonijiet ta' pproċessar tad-dejta fuq livell domestiku wkoll. Jippreserva l-applikazzjoni tal-prinċipji ġenerali dwar il-protezzjoni ta' dejta għall-kooperazzjoni tal-pulizija u l-kooperazzjoni ġudizzjarja f’materji kriminali, filwaqt li tkun rispettata n-natura speċifika ta' dawn l-oqsma.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>Il-ftehim jiċċara l-kamp ta' applikazzjoni materjali tad-Direttiva billi jispeċifika li l-għanijiet ta' prevenzjoni, investigazzjoni, detezzjoni jew prosekuzzjoni ta’ reati kriminali jew l-eżekuzzjoni ta’ pieni kriminali jinkludu s-"salvagwardja kontra l-prevenzjoni ta' theddidiet għas-sigurtà pubblika". Il-ftehim jinkludi wkoll xi entitajiet privati fil-kunċett ta' "awtoritajiet kompetenti" iżda tali possibbiltà hija riżervata strettament għal entitajiet maħtura mil-liġi nazzjonali sabiex iwettqu poteri pubbliċi jew awtorità pubblika għall-finijiet tad-Direttiva. Peress li teżisti l-prattika fi Stati Membri li xi attivitajiet definiti li qabel kienu jsiru biss mill-Istat jiġu delegati lis-settur privat (eżempju, ħabsijiet privati) tali possibbiltà tintroduċi grad ta' flessibbiltà fid-Direttiva li jippermettilha li taġġusta ruħha għal ambjent li qed jinbidel.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 xml:space="preserve">Il-ftehim jipprevedi wkoll għal kriterji u kundizzjonijiet armonizzati minimi dwar limitazzjonijiet possibbli għar-regoli ġenerali. Dan jikkonċerna, b'mod partikulari, id-drittijiet tal-individwi biex ikunu infurmati meta l-pulizija u l-awtoritajiet ġudizzjarji jamministraw jew jaċċessaw id-dejta tagħhom. Limitazzjonijiet bħal dawn huma meħtieġa għall-prevenzjoni effettiva, l-investigazzjoni, id-detezzjoni jew il-prosekuzzjoni ta' reati kriminali. Jistabbilixxi </w:t>
      </w:r>
      <w:r>
        <w:rPr>
          <w:noProof/>
        </w:rPr>
        <w:lastRenderedPageBreak/>
        <w:t>wkoll regoli speċifiċi li jkopru n-natura speċifika tal-attivitajiet tal-infurzar tal-liġi, inkluża distinzjoni bejn kategoriji differenti ta’ suġġetti tad-dejta li d-drittijiet tagħhom jafu jvarjaw (bħax-xhieda u s-suspettati).</w:t>
      </w:r>
    </w:p>
    <w:p>
      <w:pPr>
        <w:widowControl w:val="0"/>
        <w:rPr>
          <w:rFonts w:eastAsia="Times New Roman"/>
          <w:noProof/>
        </w:rPr>
      </w:pPr>
      <w:r>
        <w:rPr>
          <w:noProof/>
        </w:rPr>
        <w:t>Il-ftehim isaħħaħ l-approċċ abbażi ta' riskju billi jipprevedi l-obbligazzjoni l-ġdida tal-kontrollur sabiex iwettaq, f'ċerti ċirkostanzi, valutazzjoni tal-impatt fuq il-protezzjoni tad-dejta filwaqt li jinżammu l-obbligazzjonijiet relatati mal-protezzjoni tad-dejta kemm intenzjonalment kif ukoll awtomatikament u mal-ħatra ta' uffiċjal tal-protezzjoni tad-dejta.</w:t>
      </w:r>
    </w:p>
    <w:p>
      <w:pPr>
        <w:widowControl w:val="0"/>
        <w:rPr>
          <w:noProof/>
        </w:rPr>
      </w:pPr>
      <w:r>
        <w:rPr>
          <w:noProof/>
        </w:rPr>
        <w:t>Il-ftehim jistipula r-regoli għal trasferimenti internazzjonali għal pajjiżi terzi minn awtoritajiet kompetenti għall-finijiet tad-Direttiva għal tali awtoritajiet, filwaqt li jipprevedi wkoll għall-possibbiltà ta' trasferimenti lil entitajiet privati, ġaladarba jintlaħqu għadd ta' kundizzjonijiet speċifiċi.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Konklużjoni</w:t>
      </w:r>
    </w:p>
    <w:p>
      <w:pPr>
        <w:rPr>
          <w:noProof/>
        </w:rPr>
      </w:pPr>
      <w:r>
        <w:rPr>
          <w:noProof/>
        </w:rPr>
        <w:t>Il-Kummissjoni tappoġġa r-riżultati tan-negozjati interistituzzjonali u għalhekk tista' taċċetta l-pożizzjoni tal-Kunsill fl-ewwel qari.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44FA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8B69F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7449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3DCA7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4AC22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1387F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8DA77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31AE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4-11 08:12:5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D867E7A5F199427B96BCEAAB23F06970"/>
    <w:docVar w:name="LW_CROSSREFERENCE" w:val="&lt;UNUSED&gt;"/>
    <w:docVar w:name="LW_DocType" w:val="COM"/>
    <w:docVar w:name="LW_EMISSION" w:val="11.4.2016"/>
    <w:docVar w:name="LW_EMISSION_ISODATE" w:val="2016-04-11"/>
    <w:docVar w:name="LW_EMISSION_LOCATION" w:val="BRX"/>
    <w:docVar w:name="LW_EMISSION_PREFIX" w:val="Brussell, "/>
    <w:docVar w:name="LW_EMISSION_SUFFIX" w:val=" "/>
    <w:docVar w:name="LW_ID_DOCMODEL" w:val="SJ-028"/>
    <w:docVar w:name="LW_ID_DOCSTRUCTURE" w:val="COM/PL/CODEC"/>
    <w:docVar w:name="LW_ID_DOCTYPE" w:val="SJ-028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010"/>
    <w:docVar w:name="LW_REF.II.NEW.CP_YEAR" w:val="2012"/>
    <w:docVar w:name="LW_REF.INST.NEW" w:val="COM"/>
    <w:docVar w:name="LW_REF.INST.NEW_ADOPTED" w:val="final"/>
    <w:docVar w:name="LW_REF.INST.NEW_TEXT" w:val="(2016) 213"/>
    <w:docVar w:name="LW_REF.INTERNE" w:val="&lt;UNUSED&gt;"/>
    <w:docVar w:name="LW_SOUS.TITRE.OBJ.CP" w:val="&lt;UNUSED&gt;"/>
    <w:docVar w:name="LW_SUPERTITRE" w:val="&lt;UNUSED&gt;"/>
    <w:docVar w:name="LW_TITRE.OBJ.CP" w:val="po\u380?izzjoni tal-Kunsill dwar l-adozzjoni ta' Direttiva tal-Parlament Ewropew u tal-Kunsill dwar il-protezzjoni ta\u8217? individwi fir-rigward tal-ippro\u267?essar ta\u8217? dejta personali mill-awtoritajiet kompetenti g\u295?all-finijiet ta\u8217? prevenzjoni, investigazzjoni, detezzjoni jew prosekuzzjoni ta\u8217? reati kriminali jew l-e\u380?ekuzzjoni ta\u8217? pieni kriminali, u dwar il-moviment liberu ta\u8217? tali dejta,_x000b_u li t\u295?assar id-De\u267?i\u380?joni Qafas tal-Kunsill 2008/977/\u288?AI"/>
    <w:docVar w:name="LW_TYPE.DOC.CP" w:val="KOMUNIKAZZJONI TAL-KUMMISSJONI LILL-PARLAMENT EWROPEW_x000b__x000b_skont l-Artikolu 294(6) tat-Trattat dwar il-Funzjonament tal-Unjoni Ewropea_x000b__x000b_dwar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mt-M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0</TotalTime>
  <Pages>4</Pages>
  <Words>826</Words>
  <Characters>6436</Characters>
  <Application>Microsoft Office Word</Application>
  <DocSecurity>0</DocSecurity>
  <Lines>100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16</cp:revision>
  <cp:lastPrinted>2016-04-04T13:24:00Z</cp:lastPrinted>
  <dcterms:created xsi:type="dcterms:W3CDTF">2016-04-08T07:35:00Z</dcterms:created>
  <dcterms:modified xsi:type="dcterms:W3CDTF">2016-04-11T06:12:00Z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COM/PL/CODEC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SJ-028</vt:lpwstr>
  </property>
  <property fmtid="{D5CDD505-2E9C-101B-9397-08002B2CF9AE}" pid="10" name="DQCStatus">
    <vt:lpwstr>Green (DQC version 03)</vt:lpwstr>
  </property>
</Properties>
</file>