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9" w:rsidRDefault="0034196E">
      <w:pPr>
        <w:pStyle w:val="d-orzel"/>
        <w:rPr>
          <w:sz w:val="26"/>
        </w:rPr>
      </w:pPr>
      <w:r>
        <w:rPr>
          <w:noProof/>
        </w:rPr>
        <w:drawing>
          <wp:inline distT="0" distB="0" distL="0" distR="0">
            <wp:extent cx="609600" cy="675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69" w:rsidRDefault="00EC4569">
      <w:pPr>
        <w:pStyle w:val="d-orzel"/>
        <w:spacing w:before="240" w:after="60"/>
        <w:ind w:right="-1"/>
      </w:pPr>
      <w:r>
        <w:t>SENAT</w:t>
      </w:r>
    </w:p>
    <w:p w:rsidR="00EC4569" w:rsidRDefault="00EC4569">
      <w:pPr>
        <w:pStyle w:val="d-orzel"/>
        <w:spacing w:after="60"/>
      </w:pPr>
      <w:r>
        <w:t>RZECZYPOSPOLITEJ POLSKIEJ</w:t>
      </w:r>
    </w:p>
    <w:p w:rsidR="00EC4569" w:rsidRDefault="00B8154F">
      <w:pPr>
        <w:pStyle w:val="d-orzel"/>
        <w:spacing w:after="480"/>
        <w:rPr>
          <w:sz w:val="22"/>
        </w:rPr>
      </w:pPr>
      <w:r>
        <w:rPr>
          <w:sz w:val="22"/>
        </w:rPr>
        <w:t>I</w:t>
      </w:r>
      <w:r w:rsidR="003128E0">
        <w:rPr>
          <w:sz w:val="22"/>
        </w:rPr>
        <w:t>X</w:t>
      </w:r>
      <w:r>
        <w:rPr>
          <w:sz w:val="22"/>
        </w:rPr>
        <w:t xml:space="preserve"> </w:t>
      </w:r>
      <w:r w:rsidR="00EC4569">
        <w:rPr>
          <w:sz w:val="22"/>
        </w:rPr>
        <w:t xml:space="preserve"> KADENCJA</w:t>
      </w:r>
    </w:p>
    <w:p w:rsidR="00EC4569" w:rsidRDefault="00EC4569">
      <w:pPr>
        <w:pStyle w:val="d-linia1"/>
        <w:rPr>
          <w:sz w:val="16"/>
        </w:rPr>
      </w:pPr>
    </w:p>
    <w:p w:rsidR="00EC4569" w:rsidRDefault="00EC4569">
      <w:pPr>
        <w:pStyle w:val="d-linia2"/>
        <w:rPr>
          <w:b/>
        </w:rPr>
      </w:pPr>
      <w:r>
        <w:t>Warszawa, dnia</w:t>
      </w:r>
      <w:r w:rsidR="000034E4">
        <w:t xml:space="preserve"> </w:t>
      </w:r>
      <w:bookmarkStart w:id="0" w:name="data_druku"/>
      <w:bookmarkEnd w:id="0"/>
      <w:r w:rsidR="007F0738">
        <w:t>12 kwietnia 2016 r.</w:t>
      </w:r>
      <w:r>
        <w:tab/>
      </w:r>
      <w:r>
        <w:rPr>
          <w:b/>
        </w:rPr>
        <w:t xml:space="preserve">Druk nr </w:t>
      </w:r>
      <w:bookmarkStart w:id="1" w:name="nrdruku"/>
      <w:bookmarkEnd w:id="1"/>
      <w:r w:rsidR="007F0738">
        <w:rPr>
          <w:b/>
        </w:rPr>
        <w:t>E9</w:t>
      </w:r>
    </w:p>
    <w:p w:rsidR="00EC4569" w:rsidRDefault="00EC4569">
      <w:pPr>
        <w:pStyle w:val="d-linia3"/>
        <w:rPr>
          <w:sz w:val="16"/>
        </w:rPr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-sro-18"/>
        <w:rPr>
          <w:caps/>
        </w:rPr>
      </w:pPr>
      <w:r>
        <w:rPr>
          <w:caps/>
        </w:rPr>
        <w:t>opinia</w:t>
      </w:r>
    </w:p>
    <w:p w:rsidR="00EC4569" w:rsidRDefault="00EC4569">
      <w:pPr>
        <w:pStyle w:val="d-ro-14"/>
        <w:rPr>
          <w:caps/>
        </w:rPr>
      </w:pPr>
      <w:r>
        <w:t xml:space="preserve">KOMISJI </w:t>
      </w:r>
      <w:r>
        <w:rPr>
          <w:caps/>
        </w:rPr>
        <w:t xml:space="preserve">Spraw </w:t>
      </w:r>
      <w:r w:rsidR="003128E0">
        <w:rPr>
          <w:caps/>
        </w:rPr>
        <w:t xml:space="preserve">ZAGRANICZNYCH I </w:t>
      </w:r>
      <w:r>
        <w:rPr>
          <w:caps/>
        </w:rPr>
        <w:t>Unii Europejskiej</w:t>
      </w:r>
    </w:p>
    <w:p w:rsidR="00EC4569" w:rsidRDefault="007F0738">
      <w:pPr>
        <w:pStyle w:val="d-ro-B"/>
      </w:pPr>
      <w:bookmarkStart w:id="2" w:name="tyt_opinii"/>
      <w:bookmarkEnd w:id="2"/>
      <w:r>
        <w:t>Wniosek dotyczący dyrektywy Parlamentu Europejskiego i Rady zmieniającej dyrektywę 96/71/WE Parlamentu Europejskiego i Rady z dnia 16 grudnia 1996 r. dotyczącą delegowania pracowników w ramach świadczenia usług</w:t>
      </w:r>
    </w:p>
    <w:p w:rsidR="00EC4569" w:rsidRDefault="00EC4569">
      <w:pPr>
        <w:pStyle w:val="druk-stanard"/>
        <w:jc w:val="both"/>
        <w:rPr>
          <w:rFonts w:ascii="TimesNewRoman,Bold" w:hAnsi="TimesNewRoman,Bold"/>
          <w:b/>
          <w:snapToGrid w:val="0"/>
        </w:rPr>
      </w:pPr>
    </w:p>
    <w:p w:rsidR="00EC4569" w:rsidRDefault="00EC4569">
      <w:pPr>
        <w:pStyle w:val="druk-stanard"/>
        <w:jc w:val="both"/>
        <w:rPr>
          <w:b/>
        </w:rPr>
      </w:pPr>
    </w:p>
    <w:p w:rsidR="00EC4569" w:rsidRDefault="00EC4569">
      <w:pPr>
        <w:pStyle w:val="d-skier"/>
        <w:ind w:left="567"/>
      </w:pPr>
      <w:r>
        <w:t>Marszałek Senatu skierował do komisji projekt aktu prawnego UE; projekt stanowiska R</w:t>
      </w:r>
      <w:r w:rsidR="00737C0B">
        <w:t>P</w:t>
      </w:r>
      <w:r>
        <w:t xml:space="preserve"> w sprawie tego dokumentu został przekazany w dniu </w:t>
      </w:r>
      <w:bookmarkStart w:id="3" w:name="data_przek"/>
      <w:bookmarkEnd w:id="3"/>
      <w:r w:rsidR="007F0738">
        <w:t>24 marca 2016 r.</w:t>
      </w:r>
      <w:r w:rsidR="00B80A2F">
        <w:t xml:space="preserve"> </w:t>
      </w:r>
    </w:p>
    <w:p w:rsidR="00EC4569" w:rsidRDefault="00EC4569">
      <w:pPr>
        <w:pStyle w:val="d-poroz"/>
      </w:pPr>
      <w:r>
        <w:t xml:space="preserve">Komisja rozpatrzyła wniosek na posiedzeniu w dniu </w:t>
      </w:r>
      <w:bookmarkStart w:id="4" w:name="data_pos"/>
      <w:bookmarkEnd w:id="4"/>
      <w:r w:rsidR="007F0738">
        <w:t>12 kwietnia 2016 r.</w:t>
      </w:r>
      <w:r w:rsidR="00B80A2F">
        <w:t xml:space="preserve">  </w:t>
      </w:r>
    </w:p>
    <w:p w:rsidR="00EC4569" w:rsidRDefault="00EC4569">
      <w:pPr>
        <w:pStyle w:val="Tekstpodstawowy"/>
        <w:rPr>
          <w:b w:val="0"/>
        </w:rPr>
      </w:pPr>
    </w:p>
    <w:p w:rsidR="00EC4569" w:rsidRDefault="00EC4569">
      <w:pPr>
        <w:pStyle w:val="Tekstpodstawowy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890"/>
        <w:gridCol w:w="3125"/>
        <w:gridCol w:w="7"/>
      </w:tblGrid>
      <w:tr w:rsidR="00EC4569">
        <w:trPr>
          <w:gridAfter w:val="1"/>
          <w:wAfter w:w="7" w:type="dxa"/>
          <w:cantSplit/>
          <w:trHeight w:val="578"/>
          <w:jc w:val="center"/>
        </w:trPr>
        <w:tc>
          <w:tcPr>
            <w:tcW w:w="1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Sygnatura dokumentu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Komisja Europejska</w:t>
            </w:r>
          </w:p>
        </w:tc>
        <w:tc>
          <w:tcPr>
            <w:tcW w:w="3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C4569" w:rsidRPr="00AB6276" w:rsidRDefault="007F0738">
            <w:pPr>
              <w:pStyle w:val="Nagwek7"/>
              <w:spacing w:before="60"/>
              <w:jc w:val="center"/>
              <w:rPr>
                <w:sz w:val="22"/>
              </w:rPr>
            </w:pPr>
            <w:bookmarkStart w:id="5" w:name="sygcom"/>
            <w:bookmarkEnd w:id="5"/>
            <w:r>
              <w:rPr>
                <w:sz w:val="22"/>
              </w:rPr>
              <w:t>COM(2016) 128</w:t>
            </w:r>
          </w:p>
        </w:tc>
      </w:tr>
      <w:tr w:rsidR="00EC4569">
        <w:trPr>
          <w:cantSplit/>
          <w:trHeight w:val="579"/>
          <w:jc w:val="center"/>
        </w:trPr>
        <w:tc>
          <w:tcPr>
            <w:tcW w:w="1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jc w:val="center"/>
              <w:rPr>
                <w:sz w:val="22"/>
              </w:rPr>
            </w:pPr>
            <w:r>
              <w:rPr>
                <w:sz w:val="22"/>
              </w:rPr>
              <w:t>Rada UE</w:t>
            </w:r>
          </w:p>
        </w:tc>
        <w:tc>
          <w:tcPr>
            <w:tcW w:w="313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Pr="00AB6276" w:rsidRDefault="00EC456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EC4569" w:rsidRDefault="00EC4569">
      <w:pPr>
        <w:pStyle w:val="Tekstpodstawowy"/>
        <w:rPr>
          <w:sz w:val="20"/>
        </w:rPr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FA37DB">
      <w:pPr>
        <w:pStyle w:val="druk-stan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A37DB" w:rsidRDefault="00EC4569">
      <w:pPr>
        <w:pStyle w:val="d-podpis"/>
      </w:pPr>
      <w:r>
        <w:tab/>
      </w:r>
      <w:r>
        <w:tab/>
      </w:r>
      <w:r w:rsidR="00FA37DB">
        <w:t>(-)</w:t>
      </w:r>
      <w:bookmarkStart w:id="6" w:name="sygrue"/>
      <w:bookmarkEnd w:id="6"/>
      <w:r w:rsidR="00FA37DB">
        <w:t xml:space="preserve"> </w:t>
      </w:r>
      <w:r w:rsidR="00E87B22">
        <w:t xml:space="preserve"> </w:t>
      </w:r>
      <w:bookmarkStart w:id="7" w:name="lider"/>
      <w:bookmarkEnd w:id="7"/>
      <w:r w:rsidR="007F0738">
        <w:t>Marek Rocki</w:t>
      </w:r>
    </w:p>
    <w:p w:rsidR="00EC4569" w:rsidRDefault="00FA37DB">
      <w:pPr>
        <w:pStyle w:val="d-podpis"/>
      </w:pPr>
      <w:r>
        <w:tab/>
      </w:r>
      <w:r>
        <w:tab/>
      </w:r>
      <w:r w:rsidR="00EC4569">
        <w:t>Przewodniczący Komisji</w:t>
      </w:r>
    </w:p>
    <w:p w:rsidR="00EC4569" w:rsidRDefault="00EC4569">
      <w:pPr>
        <w:pStyle w:val="d-podpis"/>
      </w:pPr>
      <w:r>
        <w:tab/>
      </w:r>
      <w:r>
        <w:tab/>
        <w:t xml:space="preserve">Spraw </w:t>
      </w:r>
      <w:r w:rsidR="003128E0">
        <w:t xml:space="preserve">Zagranicznych i </w:t>
      </w:r>
      <w:r>
        <w:t>Unii Europejskiej</w:t>
      </w:r>
    </w:p>
    <w:p w:rsidR="00EC4569" w:rsidRDefault="00EC4569">
      <w:pPr>
        <w:pStyle w:val="d-podpis"/>
      </w:pPr>
      <w:r>
        <w:tab/>
      </w:r>
      <w:r>
        <w:tab/>
      </w:r>
    </w:p>
    <w:p w:rsidR="00EC4569" w:rsidRDefault="00EC4569">
      <w:pPr>
        <w:pStyle w:val="druk-stanard"/>
      </w:pPr>
    </w:p>
    <w:p w:rsidR="00EC4569" w:rsidRDefault="00EC4569">
      <w:pPr>
        <w:pStyle w:val="druk-stanard"/>
        <w:sectPr w:rsidR="00EC4569">
          <w:headerReference w:type="even" r:id="rId9"/>
          <w:headerReference w:type="default" r:id="rId10"/>
          <w:pgSz w:w="11905" w:h="16837" w:code="9"/>
          <w:pgMar w:top="1134" w:right="964" w:bottom="1134" w:left="1134" w:header="142" w:footer="708" w:gutter="567"/>
          <w:cols w:space="60"/>
          <w:noEndnote/>
          <w:titlePg/>
        </w:sectPr>
      </w:pPr>
    </w:p>
    <w:p w:rsidR="00EC4569" w:rsidRDefault="00EC4569"/>
    <w:p w:rsidR="00F2277B" w:rsidRPr="00F2277B" w:rsidRDefault="00F2277B" w:rsidP="00F2277B">
      <w:pPr>
        <w:jc w:val="center"/>
        <w:rPr>
          <w:b/>
        </w:rPr>
      </w:pPr>
      <w:r w:rsidRPr="00F2277B">
        <w:rPr>
          <w:b/>
        </w:rPr>
        <w:t>Opinia</w:t>
      </w:r>
    </w:p>
    <w:p w:rsidR="00F2277B" w:rsidRPr="00F2277B" w:rsidRDefault="00F2277B" w:rsidP="00F2277B">
      <w:pPr>
        <w:jc w:val="center"/>
        <w:rPr>
          <w:b/>
        </w:rPr>
      </w:pPr>
      <w:r w:rsidRPr="00F2277B">
        <w:rPr>
          <w:b/>
        </w:rPr>
        <w:t>Komisji Spraw Zagranicznych i Unii Europejskiej Senatu RP</w:t>
      </w:r>
    </w:p>
    <w:p w:rsidR="00F2277B" w:rsidRPr="00F2277B" w:rsidRDefault="00F2277B" w:rsidP="00F2277B">
      <w:pPr>
        <w:jc w:val="center"/>
        <w:rPr>
          <w:b/>
        </w:rPr>
      </w:pPr>
      <w:r w:rsidRPr="00F2277B">
        <w:rPr>
          <w:b/>
        </w:rPr>
        <w:t>dotycząca projektu Dyrektywy Parlamentu Europejskiego i Rady zmieniająca dyrektywę 96/71/WE Parlamentu Europejskiego i Rady z dnia 16 grudnia 1996 r. dotyczącą delegowania pracowników w ramach świadczenia usług</w:t>
      </w:r>
    </w:p>
    <w:p w:rsidR="00F2277B" w:rsidRPr="00F2277B" w:rsidRDefault="00F2277B" w:rsidP="00F2277B">
      <w:pPr>
        <w:adjustRightInd w:val="0"/>
        <w:jc w:val="center"/>
        <w:rPr>
          <w:b/>
        </w:rPr>
      </w:pPr>
      <w:r w:rsidRPr="00F2277B">
        <w:rPr>
          <w:b/>
        </w:rPr>
        <w:t>COM(2016)128</w:t>
      </w:r>
    </w:p>
    <w:p w:rsidR="00F2277B" w:rsidRPr="00F2277B" w:rsidRDefault="00F2277B" w:rsidP="00F2277B">
      <w:pPr>
        <w:spacing w:before="120"/>
        <w:jc w:val="center"/>
        <w:rPr>
          <w:b/>
        </w:rPr>
      </w:pPr>
      <w:r w:rsidRPr="00F2277B">
        <w:rPr>
          <w:b/>
        </w:rPr>
        <w:t>przyjęta na posiedzeniu w dniu 12.04.2016 r.</w:t>
      </w:r>
    </w:p>
    <w:p w:rsidR="00F2277B" w:rsidRPr="00F2277B" w:rsidRDefault="00F2277B" w:rsidP="00F2277B"/>
    <w:p w:rsidR="00F2277B" w:rsidRPr="00F2277B" w:rsidRDefault="00F2277B" w:rsidP="00F2277B"/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Komisja Spraw Zagranicznych i Unii Europejskiej Senatu RP (KSZUE) nie popiera projektu dyrektywy Parlamentu Europejskiego i Rady zmieniającej dyrektywę 96/71/WE Parlamentu Europejskiego i Rady z dnia 16 grudnia 1996 r. dotyczącą delegowania pracowników w ramach świadczenia usług (COM(2016)128).</w:t>
      </w:r>
    </w:p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Doceniając wartość jaką jest zapewnienie możliwie szerokich praw pracownikom delegowanym, KSZUE uważa, że przedmiotowa regulacja narusza zasadę proporcjonalności. Wprowadzając dodatkowe ograniczenia i obciążenia administracyjne Komisja nie wskazała jakie będą faktyczne korzyści dla pracowników wynikające z przedstawionego projektu.</w:t>
      </w:r>
    </w:p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KSZUE jest zdania, że projektowana dyrektywa jest sprzeczna z duchem Traktatu, w szczególności z art. 56 Traktatu o funkcjonowaniu Unii Europejskiej. Tak daleko idące dostosowanie się do prawa państwa, w którym świadczona jest usługa, sprawia, że staje się ona prawie tożsama ze swobodą przedsiębiorczości. W ocenie KSZUE, w konsekwencji dyrektywa przyczyni się do powstania nowych ograniczeń w funkcjonowaniu rynku wewnętrznego.</w:t>
      </w:r>
    </w:p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KSZUE zwraca uwagę, że Komisja nie podała wystarczającego uzasadnienia projektu i powodów jego zgłoszenia jeszcze przed upływem terminu na implementację dyrektywy z dnia 15 maja 2014 r. w sprawie egzekwowania dyrektywy 96/71/WE dotyczącej delegowania pracowników w ramach świadczenia usług, zmieniającej rozporządzenie (UE) nr 1024/2012 w sprawie współpracy administracyjnej za pośrednictwem systemu wymiany informacji na rynku wewnętrznym („rozporządzenie w sprawie IMI”). KSZUE jest przeciwna przyjmowaniu nowych aktów prawnych w sytuacji, gdy nie zostały jeszcze w pełni wdrożone poprzednie rozwiązania i nie da się ocenić ich skutków zarówno dla ochrony praw pracowników, jak i dla przedsiębiorstw, które ich delegują.</w:t>
      </w:r>
    </w:p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Komisja nie przedstawiła również skutków projektowanej dyrektywy dla małych i średnich przedsiębiorstw, szczególnie w państwach o niższych kosztach pracy. Nie podała także szczegółowych danych dotyczących kosztów, które będą ponosili przedsiębiorcy w związku z nowymi zasadami określania wynagrodzenia.</w:t>
      </w:r>
    </w:p>
    <w:p w:rsidR="00F2277B" w:rsidRPr="00F2277B" w:rsidRDefault="00F2277B" w:rsidP="00F2277B">
      <w:pPr>
        <w:numPr>
          <w:ilvl w:val="0"/>
          <w:numId w:val="9"/>
        </w:numPr>
        <w:jc w:val="both"/>
      </w:pPr>
      <w:r w:rsidRPr="00F2277B">
        <w:t>KSZUE nie zgadza się z opinią, że projektowana dyrektywa przyczyni się do większej przejrzystości przepisów i ułatwi ich stosowanie przedsiębiorcom delegującym pracowników. W ocenie KSZUE, przyczyni się ona raczej do skomplikowania obecnie obowiązujących zasad poprzez konieczność stosowania różnych systemów prawnych w przypadku delegowania trwającego powyżej 24 miesięcy. KSZUE zwraca także uwagę, że obowiązkowe stosowanie prawa państwa przyjmującego stoi w sprzeczności z zasadami wyboru prawa właściwego, określonymi w rozporządzeniu Parlamentu Europejskiego i Rady (WE) 593/2008 w sprawie prawa właściwego dla zobowiązań umownych (Rzym I).</w:t>
      </w:r>
    </w:p>
    <w:p w:rsidR="00EC4569" w:rsidRPr="00737C0B" w:rsidRDefault="00EC4569">
      <w:pPr>
        <w:pStyle w:val="d-tocz1"/>
      </w:pPr>
      <w:bookmarkStart w:id="8" w:name="_GoBack"/>
      <w:bookmarkEnd w:id="8"/>
      <w:r w:rsidRPr="00737C0B">
        <w:t>..........................................................................................................................................................</w:t>
      </w:r>
    </w:p>
    <w:p w:rsidR="00EC4569" w:rsidRPr="00860E1E" w:rsidRDefault="00EC4569">
      <w:pPr>
        <w:pStyle w:val="d-tocz2"/>
        <w:rPr>
          <w:color w:val="000000"/>
        </w:rPr>
      </w:pPr>
      <w:r w:rsidRPr="00860E1E">
        <w:rPr>
          <w:color w:val="000000"/>
        </w:rPr>
        <w:t>T ł o c z o n o   z   p o l e c e n i a   M a r s z a ł k a   S e n a t u</w:t>
      </w:r>
    </w:p>
    <w:p w:rsidR="00EC4569" w:rsidRPr="00860E1E" w:rsidRDefault="00EC4569">
      <w:pPr>
        <w:pStyle w:val="druk-stanard"/>
        <w:rPr>
          <w:color w:val="000000"/>
        </w:rPr>
      </w:pPr>
      <w:r w:rsidRPr="00860E1E">
        <w:rPr>
          <w:color w:val="000000"/>
        </w:rPr>
        <w:t>..........................................................................................................................................................</w:t>
      </w:r>
    </w:p>
    <w:sectPr w:rsidR="00EC4569" w:rsidRPr="00860E1E">
      <w:headerReference w:type="default" r:id="rId11"/>
      <w:pgSz w:w="11905" w:h="16837" w:code="9"/>
      <w:pgMar w:top="1134" w:right="964" w:bottom="1134" w:left="1134" w:header="851" w:footer="708" w:gutter="567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8" w:rsidRDefault="007F0738">
      <w:r>
        <w:separator/>
      </w:r>
    </w:p>
  </w:endnote>
  <w:endnote w:type="continuationSeparator" w:id="0">
    <w:p w:rsidR="007F0738" w:rsidRDefault="007F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8" w:rsidRDefault="007F0738">
      <w:r>
        <w:separator/>
      </w:r>
    </w:p>
  </w:footnote>
  <w:footnote w:type="continuationSeparator" w:id="0">
    <w:p w:rsidR="007F0738" w:rsidRDefault="007F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BBF" w:rsidRDefault="00347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7BBF" w:rsidRDefault="00347BBF">
    <w:pPr>
      <w:pStyle w:val="Nagwek"/>
      <w:spacing w:before="240" w:after="360"/>
      <w:jc w:val="center"/>
      <w:rPr>
        <w:sz w:val="22"/>
      </w:rPr>
    </w:pPr>
    <w:r>
      <w:rPr>
        <w:snapToGrid w:val="0"/>
        <w:sz w:val="22"/>
      </w:rPr>
      <w:t>-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19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-</w:t>
    </w:r>
  </w:p>
  <w:p w:rsidR="00347BBF" w:rsidRDefault="00347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1FD"/>
    <w:multiLevelType w:val="singleLevel"/>
    <w:tmpl w:val="C72A26A4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5CF6958"/>
    <w:multiLevelType w:val="singleLevel"/>
    <w:tmpl w:val="9F10BE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2111DC"/>
    <w:multiLevelType w:val="singleLevel"/>
    <w:tmpl w:val="0E92789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6310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B470CB"/>
    <w:multiLevelType w:val="hybridMultilevel"/>
    <w:tmpl w:val="67E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6491"/>
    <w:multiLevelType w:val="singleLevel"/>
    <w:tmpl w:val="9F10BE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291A39"/>
    <w:multiLevelType w:val="singleLevel"/>
    <w:tmpl w:val="7B76F7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6EBA2790"/>
    <w:multiLevelType w:val="singleLevel"/>
    <w:tmpl w:val="03E60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za1" w:val="KSUE9.nsf"/>
    <w:docVar w:name="linki" w:val="Nie"/>
    <w:docVar w:name="serwer1" w:val="CN=beu/O=senat"/>
  </w:docVars>
  <w:rsids>
    <w:rsidRoot w:val="007F0738"/>
    <w:rsid w:val="000034E4"/>
    <w:rsid w:val="00007199"/>
    <w:rsid w:val="00022191"/>
    <w:rsid w:val="00031A1D"/>
    <w:rsid w:val="00103495"/>
    <w:rsid w:val="001970B1"/>
    <w:rsid w:val="001C53EF"/>
    <w:rsid w:val="001E690C"/>
    <w:rsid w:val="00267966"/>
    <w:rsid w:val="003128E0"/>
    <w:rsid w:val="0034196E"/>
    <w:rsid w:val="0034394B"/>
    <w:rsid w:val="00347BBF"/>
    <w:rsid w:val="003A51CA"/>
    <w:rsid w:val="003C0C54"/>
    <w:rsid w:val="003C51C4"/>
    <w:rsid w:val="003E442D"/>
    <w:rsid w:val="003E5094"/>
    <w:rsid w:val="00424A29"/>
    <w:rsid w:val="00450496"/>
    <w:rsid w:val="004F55A8"/>
    <w:rsid w:val="00571A13"/>
    <w:rsid w:val="00693625"/>
    <w:rsid w:val="006E3DA7"/>
    <w:rsid w:val="00737C0B"/>
    <w:rsid w:val="007E07D0"/>
    <w:rsid w:val="007E752B"/>
    <w:rsid w:val="007F0738"/>
    <w:rsid w:val="007F518C"/>
    <w:rsid w:val="008329ED"/>
    <w:rsid w:val="00860E1E"/>
    <w:rsid w:val="008678B2"/>
    <w:rsid w:val="0096712D"/>
    <w:rsid w:val="00A23D56"/>
    <w:rsid w:val="00A82F80"/>
    <w:rsid w:val="00AB6276"/>
    <w:rsid w:val="00AE1B98"/>
    <w:rsid w:val="00AF378F"/>
    <w:rsid w:val="00B80A2F"/>
    <w:rsid w:val="00B8154F"/>
    <w:rsid w:val="00BD7BF2"/>
    <w:rsid w:val="00BE2D11"/>
    <w:rsid w:val="00BF5556"/>
    <w:rsid w:val="00C13DC2"/>
    <w:rsid w:val="00C44305"/>
    <w:rsid w:val="00CE27FA"/>
    <w:rsid w:val="00D141C3"/>
    <w:rsid w:val="00D536A9"/>
    <w:rsid w:val="00D777B9"/>
    <w:rsid w:val="00DE15D5"/>
    <w:rsid w:val="00E304C8"/>
    <w:rsid w:val="00E45F9B"/>
    <w:rsid w:val="00E87B22"/>
    <w:rsid w:val="00EC4569"/>
    <w:rsid w:val="00F2277B"/>
    <w:rsid w:val="00F62881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next w:val="Normalny"/>
    <w:qFormat/>
    <w:pPr>
      <w:keepNext/>
      <w:spacing w:line="360" w:lineRule="auto"/>
      <w:jc w:val="center"/>
      <w:outlineLvl w:val="0"/>
    </w:pPr>
    <w:rPr>
      <w:b/>
      <w:noProof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spacing w:after="36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line="360" w:lineRule="atLeast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6"/>
      </w:numPr>
      <w:spacing w:line="360" w:lineRule="auto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natorowie">
    <w:name w:val="Senatorowie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-orzel">
    <w:name w:val="d-orzel"/>
    <w:pPr>
      <w:jc w:val="center"/>
    </w:pPr>
    <w:rPr>
      <w:b/>
      <w:sz w:val="24"/>
    </w:rPr>
  </w:style>
  <w:style w:type="paragraph" w:customStyle="1" w:styleId="d-linia1">
    <w:name w:val="d-linia1"/>
    <w:pPr>
      <w:pBdr>
        <w:top w:val="single" w:sz="4" w:space="1" w:color="auto"/>
      </w:pBdr>
      <w:jc w:val="both"/>
    </w:pPr>
    <w:rPr>
      <w:sz w:val="24"/>
    </w:rPr>
  </w:style>
  <w:style w:type="paragraph" w:customStyle="1" w:styleId="d-linia2">
    <w:name w:val="d-linia2"/>
    <w:next w:val="d-linia1"/>
    <w:pPr>
      <w:tabs>
        <w:tab w:val="right" w:pos="9072"/>
      </w:tabs>
      <w:spacing w:after="60"/>
      <w:ind w:left="284"/>
    </w:pPr>
    <w:rPr>
      <w:sz w:val="24"/>
    </w:rPr>
  </w:style>
  <w:style w:type="paragraph" w:customStyle="1" w:styleId="d-sro-18">
    <w:name w:val="d-sro-18"/>
    <w:next w:val="d-ro-14"/>
    <w:pPr>
      <w:spacing w:after="120"/>
      <w:jc w:val="center"/>
    </w:pPr>
    <w:rPr>
      <w:b/>
      <w:sz w:val="36"/>
    </w:rPr>
  </w:style>
  <w:style w:type="paragraph" w:customStyle="1" w:styleId="d-ro-14">
    <w:name w:val="d-śro-14"/>
    <w:next w:val="d-ro-B"/>
    <w:pPr>
      <w:spacing w:before="120" w:after="120"/>
      <w:jc w:val="center"/>
    </w:pPr>
    <w:rPr>
      <w:b/>
      <w:sz w:val="28"/>
    </w:rPr>
  </w:style>
  <w:style w:type="paragraph" w:customStyle="1" w:styleId="d-ro-kurs">
    <w:name w:val="d-śro-kurs"/>
    <w:pPr>
      <w:spacing w:before="240"/>
      <w:jc w:val="center"/>
    </w:pPr>
    <w:rPr>
      <w:i/>
      <w:sz w:val="24"/>
    </w:rPr>
  </w:style>
  <w:style w:type="paragraph" w:customStyle="1" w:styleId="d-ro-B">
    <w:name w:val="d-śro-B"/>
    <w:pPr>
      <w:spacing w:before="120" w:after="120"/>
      <w:ind w:left="567"/>
      <w:jc w:val="center"/>
    </w:pPr>
    <w:rPr>
      <w:b/>
      <w:sz w:val="24"/>
    </w:rPr>
  </w:style>
  <w:style w:type="paragraph" w:customStyle="1" w:styleId="d-skier">
    <w:name w:val="d-skier"/>
    <w:pPr>
      <w:spacing w:after="120"/>
      <w:ind w:left="851"/>
    </w:pPr>
    <w:rPr>
      <w:sz w:val="24"/>
    </w:rPr>
  </w:style>
  <w:style w:type="paragraph" w:customStyle="1" w:styleId="d-poroz">
    <w:name w:val="d-poroz"/>
    <w:pPr>
      <w:spacing w:before="240"/>
      <w:ind w:left="1418"/>
    </w:pPr>
    <w:rPr>
      <w:sz w:val="24"/>
    </w:rPr>
  </w:style>
  <w:style w:type="paragraph" w:customStyle="1" w:styleId="d-wnos">
    <w:name w:val="d-wnos"/>
    <w:next w:val="d-skier"/>
    <w:pPr>
      <w:spacing w:before="180" w:after="180"/>
      <w:ind w:left="4820"/>
    </w:pPr>
    <w:rPr>
      <w:sz w:val="24"/>
    </w:rPr>
  </w:style>
  <w:style w:type="paragraph" w:customStyle="1" w:styleId="d-raczy">
    <w:name w:val="d-raczy"/>
    <w:basedOn w:val="Normalny"/>
    <w:pPr>
      <w:ind w:left="1418"/>
    </w:pPr>
    <w:rPr>
      <w:b/>
    </w:rPr>
  </w:style>
  <w:style w:type="paragraph" w:customStyle="1" w:styleId="d-podpis">
    <w:name w:val="d-podpis"/>
    <w:pPr>
      <w:tabs>
        <w:tab w:val="center" w:pos="2835"/>
        <w:tab w:val="center" w:pos="7088"/>
      </w:tabs>
      <w:spacing w:after="60"/>
    </w:pPr>
    <w:rPr>
      <w:sz w:val="24"/>
    </w:rPr>
  </w:style>
  <w:style w:type="paragraph" w:customStyle="1" w:styleId="d-tocz1">
    <w:name w:val="d-tłocz1"/>
    <w:pPr>
      <w:keepNext/>
    </w:pPr>
    <w:rPr>
      <w:sz w:val="24"/>
    </w:rPr>
  </w:style>
  <w:style w:type="paragraph" w:customStyle="1" w:styleId="druk-stanard">
    <w:name w:val="druk-stanard"/>
    <w:rPr>
      <w:sz w:val="24"/>
    </w:rPr>
  </w:style>
  <w:style w:type="paragraph" w:customStyle="1" w:styleId="d-linia3">
    <w:name w:val="d-linia3"/>
    <w:next w:val="druk-stanard"/>
    <w:pPr>
      <w:pBdr>
        <w:bottom w:val="single" w:sz="4" w:space="1" w:color="auto"/>
      </w:pBdr>
    </w:pPr>
    <w:rPr>
      <w:noProof/>
      <w:sz w:val="24"/>
    </w:rPr>
  </w:style>
  <w:style w:type="paragraph" w:customStyle="1" w:styleId="d-tocz2">
    <w:name w:val="d-tłocz2"/>
    <w:pPr>
      <w:keepNext/>
      <w:spacing w:before="120" w:after="120"/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pPr>
      <w:ind w:firstLine="851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bbtszarob1blockstyleTekstpodstawowyZnakZnakZnakZnakZnakZnakZnakZnakagaTekstpodstawowyZnakTekstpodstawowyGBodyTextCharTelobesedilaZnak1CharTelobesedilaZnakZnakCharBr">
    <w:name w:val="Tekst podstawowy.b.bt.szaro.b1.block style.Tekst podstawowy Znak Znak Znak Znak Znak Znak Znak Znak.aga.Tekst podstawowy Znak.Tekst podstawowyG.Body Text Char.Telo besedila Znak1 Char.Telo besedila Znak Znak Char.Br"/>
    <w:basedOn w:val="Normalny"/>
    <w:pPr>
      <w:jc w:val="both"/>
    </w:pPr>
    <w:rPr>
      <w:lang w:val="en-US"/>
    </w:rPr>
  </w:style>
  <w:style w:type="paragraph" w:styleId="Tekstpodstawowy3">
    <w:name w:val="Body Text 3"/>
    <w:basedOn w:val="Normalny"/>
    <w:rPr>
      <w:snapToGrid w:val="0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C5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next w:val="Normalny"/>
    <w:qFormat/>
    <w:pPr>
      <w:keepNext/>
      <w:spacing w:line="360" w:lineRule="auto"/>
      <w:jc w:val="center"/>
      <w:outlineLvl w:val="0"/>
    </w:pPr>
    <w:rPr>
      <w:b/>
      <w:noProof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spacing w:after="36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line="360" w:lineRule="atLeast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6"/>
      </w:numPr>
      <w:spacing w:line="360" w:lineRule="auto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natorowie">
    <w:name w:val="Senatorowie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-orzel">
    <w:name w:val="d-orzel"/>
    <w:pPr>
      <w:jc w:val="center"/>
    </w:pPr>
    <w:rPr>
      <w:b/>
      <w:sz w:val="24"/>
    </w:rPr>
  </w:style>
  <w:style w:type="paragraph" w:customStyle="1" w:styleId="d-linia1">
    <w:name w:val="d-linia1"/>
    <w:pPr>
      <w:pBdr>
        <w:top w:val="single" w:sz="4" w:space="1" w:color="auto"/>
      </w:pBdr>
      <w:jc w:val="both"/>
    </w:pPr>
    <w:rPr>
      <w:sz w:val="24"/>
    </w:rPr>
  </w:style>
  <w:style w:type="paragraph" w:customStyle="1" w:styleId="d-linia2">
    <w:name w:val="d-linia2"/>
    <w:next w:val="d-linia1"/>
    <w:pPr>
      <w:tabs>
        <w:tab w:val="right" w:pos="9072"/>
      </w:tabs>
      <w:spacing w:after="60"/>
      <w:ind w:left="284"/>
    </w:pPr>
    <w:rPr>
      <w:sz w:val="24"/>
    </w:rPr>
  </w:style>
  <w:style w:type="paragraph" w:customStyle="1" w:styleId="d-sro-18">
    <w:name w:val="d-sro-18"/>
    <w:next w:val="d-ro-14"/>
    <w:pPr>
      <w:spacing w:after="120"/>
      <w:jc w:val="center"/>
    </w:pPr>
    <w:rPr>
      <w:b/>
      <w:sz w:val="36"/>
    </w:rPr>
  </w:style>
  <w:style w:type="paragraph" w:customStyle="1" w:styleId="d-ro-14">
    <w:name w:val="d-śro-14"/>
    <w:next w:val="d-ro-B"/>
    <w:pPr>
      <w:spacing w:before="120" w:after="120"/>
      <w:jc w:val="center"/>
    </w:pPr>
    <w:rPr>
      <w:b/>
      <w:sz w:val="28"/>
    </w:rPr>
  </w:style>
  <w:style w:type="paragraph" w:customStyle="1" w:styleId="d-ro-kurs">
    <w:name w:val="d-śro-kurs"/>
    <w:pPr>
      <w:spacing w:before="240"/>
      <w:jc w:val="center"/>
    </w:pPr>
    <w:rPr>
      <w:i/>
      <w:sz w:val="24"/>
    </w:rPr>
  </w:style>
  <w:style w:type="paragraph" w:customStyle="1" w:styleId="d-ro-B">
    <w:name w:val="d-śro-B"/>
    <w:pPr>
      <w:spacing w:before="120" w:after="120"/>
      <w:ind w:left="567"/>
      <w:jc w:val="center"/>
    </w:pPr>
    <w:rPr>
      <w:b/>
      <w:sz w:val="24"/>
    </w:rPr>
  </w:style>
  <w:style w:type="paragraph" w:customStyle="1" w:styleId="d-skier">
    <w:name w:val="d-skier"/>
    <w:pPr>
      <w:spacing w:after="120"/>
      <w:ind w:left="851"/>
    </w:pPr>
    <w:rPr>
      <w:sz w:val="24"/>
    </w:rPr>
  </w:style>
  <w:style w:type="paragraph" w:customStyle="1" w:styleId="d-poroz">
    <w:name w:val="d-poroz"/>
    <w:pPr>
      <w:spacing w:before="240"/>
      <w:ind w:left="1418"/>
    </w:pPr>
    <w:rPr>
      <w:sz w:val="24"/>
    </w:rPr>
  </w:style>
  <w:style w:type="paragraph" w:customStyle="1" w:styleId="d-wnos">
    <w:name w:val="d-wnos"/>
    <w:next w:val="d-skier"/>
    <w:pPr>
      <w:spacing w:before="180" w:after="180"/>
      <w:ind w:left="4820"/>
    </w:pPr>
    <w:rPr>
      <w:sz w:val="24"/>
    </w:rPr>
  </w:style>
  <w:style w:type="paragraph" w:customStyle="1" w:styleId="d-raczy">
    <w:name w:val="d-raczy"/>
    <w:basedOn w:val="Normalny"/>
    <w:pPr>
      <w:ind w:left="1418"/>
    </w:pPr>
    <w:rPr>
      <w:b/>
    </w:rPr>
  </w:style>
  <w:style w:type="paragraph" w:customStyle="1" w:styleId="d-podpis">
    <w:name w:val="d-podpis"/>
    <w:pPr>
      <w:tabs>
        <w:tab w:val="center" w:pos="2835"/>
        <w:tab w:val="center" w:pos="7088"/>
      </w:tabs>
      <w:spacing w:after="60"/>
    </w:pPr>
    <w:rPr>
      <w:sz w:val="24"/>
    </w:rPr>
  </w:style>
  <w:style w:type="paragraph" w:customStyle="1" w:styleId="d-tocz1">
    <w:name w:val="d-tłocz1"/>
    <w:pPr>
      <w:keepNext/>
    </w:pPr>
    <w:rPr>
      <w:sz w:val="24"/>
    </w:rPr>
  </w:style>
  <w:style w:type="paragraph" w:customStyle="1" w:styleId="druk-stanard">
    <w:name w:val="druk-stanard"/>
    <w:rPr>
      <w:sz w:val="24"/>
    </w:rPr>
  </w:style>
  <w:style w:type="paragraph" w:customStyle="1" w:styleId="d-linia3">
    <w:name w:val="d-linia3"/>
    <w:next w:val="druk-stanard"/>
    <w:pPr>
      <w:pBdr>
        <w:bottom w:val="single" w:sz="4" w:space="1" w:color="auto"/>
      </w:pBdr>
    </w:pPr>
    <w:rPr>
      <w:noProof/>
      <w:sz w:val="24"/>
    </w:rPr>
  </w:style>
  <w:style w:type="paragraph" w:customStyle="1" w:styleId="d-tocz2">
    <w:name w:val="d-tłocz2"/>
    <w:pPr>
      <w:keepNext/>
      <w:spacing w:before="120" w:after="120"/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pPr>
      <w:ind w:firstLine="851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bbtszarob1blockstyleTekstpodstawowyZnakZnakZnakZnakZnakZnakZnakZnakagaTekstpodstawowyZnakTekstpodstawowyGBodyTextCharTelobesedilaZnak1CharTelobesedilaZnakZnakCharBr">
    <w:name w:val="Tekst podstawowy.b.bt.szaro.b1.block style.Tekst podstawowy Znak Znak Znak Znak Znak Znak Znak Znak.aga.Tekst podstawowy Znak.Tekst podstawowyG.Body Text Char.Telo besedila Znak1 Char.Telo besedila Znak Znak Char.Br"/>
    <w:basedOn w:val="Normalny"/>
    <w:pPr>
      <w:jc w:val="both"/>
    </w:pPr>
    <w:rPr>
      <w:lang w:val="en-US"/>
    </w:rPr>
  </w:style>
  <w:style w:type="paragraph" w:styleId="Tekstpodstawowy3">
    <w:name w:val="Body Text 3"/>
    <w:basedOn w:val="Normalny"/>
    <w:rPr>
      <w:snapToGrid w:val="0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C5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lej\AppData\Local\Lotus\Notes\Data\opi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</Template>
  <TotalTime>4</TotalTime>
  <Pages>2</Pages>
  <Words>538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 RP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5</cp:revision>
  <cp:lastPrinted>2016-04-12T13:39:00Z</cp:lastPrinted>
  <dcterms:created xsi:type="dcterms:W3CDTF">2016-04-12T12:43:00Z</dcterms:created>
  <dcterms:modified xsi:type="dcterms:W3CDTF">2016-04-13T07:15:00Z</dcterms:modified>
</cp:coreProperties>
</file>