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B8" w:rsidRPr="00A470D5" w:rsidRDefault="009844B8" w:rsidP="0010686E">
      <w:pPr>
        <w:jc w:val="center"/>
        <w:rPr>
          <w:b/>
          <w:i/>
          <w:lang w:val="en-GB"/>
        </w:rPr>
      </w:pPr>
      <w:bookmarkStart w:id="0" w:name="_GoBack"/>
      <w:bookmarkEnd w:id="0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470D5">
        <w:rPr>
          <w:b/>
          <w:i/>
          <w:lang w:val="en-GB"/>
        </w:rPr>
        <w:t>Courtesy translation</w:t>
      </w:r>
    </w:p>
    <w:p w:rsidR="0010686E" w:rsidRPr="00B74771" w:rsidRDefault="00276C52" w:rsidP="0010686E">
      <w:pPr>
        <w:jc w:val="center"/>
        <w:rPr>
          <w:b/>
          <w:lang w:val="en-US"/>
        </w:rPr>
      </w:pPr>
      <w:r w:rsidRPr="007E36A9">
        <w:rPr>
          <w:b/>
          <w:lang w:val="en-GB"/>
        </w:rPr>
        <w:t>Opinion</w:t>
      </w:r>
    </w:p>
    <w:p w:rsidR="00B74771" w:rsidRDefault="00276C52" w:rsidP="0010686E">
      <w:pPr>
        <w:jc w:val="center"/>
        <w:rPr>
          <w:b/>
          <w:lang w:val="en-GB"/>
        </w:rPr>
      </w:pPr>
      <w:r w:rsidRPr="007E36A9">
        <w:rPr>
          <w:b/>
          <w:lang w:val="en-GB"/>
        </w:rPr>
        <w:t>of the Foreign and European Union Affairs Committee</w:t>
      </w:r>
    </w:p>
    <w:p w:rsidR="0010686E" w:rsidRPr="00B74771" w:rsidRDefault="00276C52" w:rsidP="0010686E">
      <w:pPr>
        <w:jc w:val="center"/>
        <w:rPr>
          <w:b/>
          <w:lang w:val="en-GB"/>
        </w:rPr>
      </w:pPr>
      <w:r w:rsidRPr="007E36A9">
        <w:rPr>
          <w:b/>
          <w:lang w:val="en-GB"/>
        </w:rPr>
        <w:t>of the Senate of the Republic of Poland</w:t>
      </w:r>
    </w:p>
    <w:p w:rsidR="00B74771" w:rsidRDefault="00276C52" w:rsidP="0010686E">
      <w:pPr>
        <w:jc w:val="center"/>
        <w:rPr>
          <w:b/>
          <w:lang w:val="en-GB"/>
        </w:rPr>
      </w:pPr>
      <w:r w:rsidRPr="007E36A9">
        <w:rPr>
          <w:b/>
          <w:lang w:val="en-GB"/>
        </w:rPr>
        <w:t xml:space="preserve">on the </w:t>
      </w:r>
      <w:r w:rsidR="00A96645" w:rsidRPr="007E36A9">
        <w:rPr>
          <w:b/>
          <w:lang w:val="en-GB"/>
        </w:rPr>
        <w:t xml:space="preserve">Proposal for a </w:t>
      </w:r>
      <w:r w:rsidRPr="007E36A9">
        <w:rPr>
          <w:b/>
          <w:lang w:val="en-GB"/>
        </w:rPr>
        <w:t xml:space="preserve">Directive of the European Parliament and of the Council amending Directive 96/71/EC of </w:t>
      </w:r>
      <w:r w:rsidR="00DB1B07">
        <w:rPr>
          <w:b/>
          <w:lang w:val="en-GB"/>
        </w:rPr>
        <w:t>t</w:t>
      </w:r>
      <w:r w:rsidRPr="007E36A9">
        <w:rPr>
          <w:b/>
          <w:lang w:val="en-GB"/>
        </w:rPr>
        <w:t xml:space="preserve">he European Parliament and of the Council </w:t>
      </w:r>
    </w:p>
    <w:p w:rsidR="00B74771" w:rsidRDefault="00276C52" w:rsidP="0010686E">
      <w:pPr>
        <w:jc w:val="center"/>
        <w:rPr>
          <w:b/>
          <w:lang w:val="en-GB"/>
        </w:rPr>
      </w:pPr>
      <w:r w:rsidRPr="007E36A9">
        <w:rPr>
          <w:b/>
          <w:lang w:val="en-GB"/>
        </w:rPr>
        <w:t xml:space="preserve">of 16 December 1996 concerning the posting of workers in the framework </w:t>
      </w:r>
    </w:p>
    <w:p w:rsidR="0010686E" w:rsidRPr="00B74771" w:rsidRDefault="00276C52" w:rsidP="0010686E">
      <w:pPr>
        <w:jc w:val="center"/>
        <w:rPr>
          <w:b/>
          <w:lang w:val="en-US"/>
        </w:rPr>
      </w:pPr>
      <w:r w:rsidRPr="007E36A9">
        <w:rPr>
          <w:b/>
          <w:lang w:val="en-GB"/>
        </w:rPr>
        <w:t xml:space="preserve">of the provision of services </w:t>
      </w:r>
    </w:p>
    <w:p w:rsidR="005469F4" w:rsidRDefault="00276C52" w:rsidP="0010686E">
      <w:pPr>
        <w:adjustRightInd w:val="0"/>
        <w:jc w:val="center"/>
        <w:rPr>
          <w:b/>
          <w:lang w:val="en-GB"/>
        </w:rPr>
      </w:pPr>
      <w:r w:rsidRPr="007E36A9">
        <w:rPr>
          <w:b/>
          <w:lang w:val="en-GB"/>
        </w:rPr>
        <w:t>COM(2016)128</w:t>
      </w:r>
    </w:p>
    <w:p w:rsidR="00D62618" w:rsidRPr="00B74771" w:rsidRDefault="00D62618" w:rsidP="0010686E">
      <w:pPr>
        <w:adjustRightInd w:val="0"/>
        <w:jc w:val="center"/>
        <w:rPr>
          <w:b/>
          <w:lang w:val="en-US"/>
        </w:rPr>
      </w:pPr>
    </w:p>
    <w:p w:rsidR="00D62618" w:rsidRDefault="00276C52" w:rsidP="00D62618">
      <w:pPr>
        <w:jc w:val="center"/>
        <w:rPr>
          <w:b/>
          <w:lang w:val="en-GB"/>
        </w:rPr>
      </w:pPr>
      <w:r w:rsidRPr="007E36A9">
        <w:rPr>
          <w:b/>
          <w:lang w:val="en-GB"/>
        </w:rPr>
        <w:t>adopted at the meeting of 12 April 2016</w:t>
      </w:r>
    </w:p>
    <w:p w:rsidR="00385F0E" w:rsidRPr="00B74771" w:rsidRDefault="00385F0E" w:rsidP="00D62618">
      <w:pPr>
        <w:jc w:val="center"/>
        <w:rPr>
          <w:lang w:val="en-US"/>
        </w:rPr>
      </w:pPr>
    </w:p>
    <w:p w:rsidR="006C3FCF" w:rsidRPr="00B74771" w:rsidRDefault="00276C52" w:rsidP="00A96645">
      <w:pPr>
        <w:numPr>
          <w:ilvl w:val="0"/>
          <w:numId w:val="15"/>
        </w:numPr>
        <w:jc w:val="both"/>
        <w:rPr>
          <w:lang w:val="en-US"/>
        </w:rPr>
      </w:pPr>
      <w:r w:rsidRPr="007E36A9">
        <w:rPr>
          <w:lang w:val="en-GB"/>
        </w:rPr>
        <w:t>The Foreign and European Union Affairs Committee of the Senate of the Republic of Poland (</w:t>
      </w:r>
      <w:r w:rsidR="009B3259" w:rsidRPr="007E36A9">
        <w:rPr>
          <w:lang w:val="en-GB"/>
        </w:rPr>
        <w:t>FEUAC</w:t>
      </w:r>
      <w:r w:rsidRPr="007E36A9">
        <w:rPr>
          <w:lang w:val="en-GB"/>
        </w:rPr>
        <w:t xml:space="preserve">) does not </w:t>
      </w:r>
      <w:r w:rsidR="006530DB" w:rsidRPr="007E36A9">
        <w:rPr>
          <w:lang w:val="en-GB"/>
        </w:rPr>
        <w:t>support</w:t>
      </w:r>
      <w:r w:rsidR="00930144" w:rsidRPr="007E36A9">
        <w:rPr>
          <w:lang w:val="en-GB"/>
        </w:rPr>
        <w:t xml:space="preserve"> </w:t>
      </w:r>
      <w:r w:rsidRPr="007E36A9">
        <w:rPr>
          <w:lang w:val="en-GB"/>
        </w:rPr>
        <w:t xml:space="preserve">the proposal for a Directive of the European Parliament and of the Council amending Directive 96/71/EC of </w:t>
      </w:r>
      <w:r w:rsidR="00DB1B07">
        <w:rPr>
          <w:lang w:val="en-GB"/>
        </w:rPr>
        <w:t>t</w:t>
      </w:r>
      <w:r w:rsidRPr="007E36A9">
        <w:rPr>
          <w:lang w:val="en-GB"/>
        </w:rPr>
        <w:t xml:space="preserve">he European Parliament and of the Council of 16 December 1996 concerning the posting of workers in the framework of the provision of services </w:t>
      </w:r>
      <w:r w:rsidR="00930144" w:rsidRPr="007E36A9">
        <w:rPr>
          <w:lang w:val="en-GB"/>
        </w:rPr>
        <w:t>(COM(2016)128).</w:t>
      </w:r>
    </w:p>
    <w:p w:rsidR="00A33376" w:rsidRPr="00B74771" w:rsidRDefault="00930144" w:rsidP="00A96645">
      <w:pPr>
        <w:numPr>
          <w:ilvl w:val="0"/>
          <w:numId w:val="15"/>
        </w:numPr>
        <w:jc w:val="both"/>
        <w:rPr>
          <w:lang w:val="en-US"/>
        </w:rPr>
      </w:pPr>
      <w:r w:rsidRPr="007E36A9">
        <w:rPr>
          <w:szCs w:val="24"/>
          <w:lang w:val="en-GB"/>
        </w:rPr>
        <w:t xml:space="preserve">While appreciating the value of ensuring the </w:t>
      </w:r>
      <w:r w:rsidR="00FF1630" w:rsidRPr="007E36A9">
        <w:rPr>
          <w:szCs w:val="24"/>
          <w:lang w:val="en-GB"/>
        </w:rPr>
        <w:t xml:space="preserve">broadest possible </w:t>
      </w:r>
      <w:r w:rsidRPr="007E36A9">
        <w:rPr>
          <w:szCs w:val="24"/>
          <w:lang w:val="en-GB"/>
        </w:rPr>
        <w:t xml:space="preserve">rights </w:t>
      </w:r>
      <w:r w:rsidR="00FF1630" w:rsidRPr="007E36A9">
        <w:rPr>
          <w:szCs w:val="24"/>
          <w:lang w:val="en-GB"/>
        </w:rPr>
        <w:t>to</w:t>
      </w:r>
      <w:r w:rsidRPr="007E36A9">
        <w:rPr>
          <w:szCs w:val="24"/>
          <w:lang w:val="en-GB"/>
        </w:rPr>
        <w:t xml:space="preserve"> posted workers, </w:t>
      </w:r>
      <w:r w:rsidR="00FF1630" w:rsidRPr="007E36A9">
        <w:rPr>
          <w:szCs w:val="24"/>
          <w:lang w:val="en-GB"/>
        </w:rPr>
        <w:t>the FEUAC</w:t>
      </w:r>
      <w:r w:rsidRPr="007E36A9">
        <w:rPr>
          <w:szCs w:val="24"/>
          <w:lang w:val="en-GB"/>
        </w:rPr>
        <w:t xml:space="preserve"> </w:t>
      </w:r>
      <w:r w:rsidR="00DA7068" w:rsidRPr="007E36A9">
        <w:rPr>
          <w:szCs w:val="24"/>
          <w:lang w:val="en-GB"/>
        </w:rPr>
        <w:t xml:space="preserve">believes that </w:t>
      </w:r>
      <w:r w:rsidRPr="007E36A9">
        <w:rPr>
          <w:szCs w:val="24"/>
          <w:lang w:val="en-GB"/>
        </w:rPr>
        <w:t xml:space="preserve">the </w:t>
      </w:r>
      <w:r w:rsidR="00DA7068" w:rsidRPr="007E36A9">
        <w:rPr>
          <w:szCs w:val="24"/>
          <w:lang w:val="en-GB"/>
        </w:rPr>
        <w:t xml:space="preserve">said </w:t>
      </w:r>
      <w:r w:rsidR="00DB1B07">
        <w:rPr>
          <w:szCs w:val="24"/>
          <w:lang w:val="en-GB"/>
        </w:rPr>
        <w:t xml:space="preserve">proposal </w:t>
      </w:r>
      <w:r w:rsidR="00DA7068" w:rsidRPr="007E36A9">
        <w:rPr>
          <w:szCs w:val="24"/>
          <w:lang w:val="en-GB"/>
        </w:rPr>
        <w:t xml:space="preserve">is </w:t>
      </w:r>
      <w:r w:rsidR="005E0DDF" w:rsidRPr="007E36A9">
        <w:rPr>
          <w:szCs w:val="24"/>
          <w:lang w:val="en-GB"/>
        </w:rPr>
        <w:t xml:space="preserve">a </w:t>
      </w:r>
      <w:r w:rsidR="00DA7068" w:rsidRPr="007E36A9">
        <w:rPr>
          <w:szCs w:val="24"/>
          <w:lang w:val="en-GB"/>
        </w:rPr>
        <w:t xml:space="preserve">breach of the </w:t>
      </w:r>
      <w:r w:rsidRPr="007E36A9">
        <w:rPr>
          <w:szCs w:val="24"/>
          <w:lang w:val="en-GB"/>
        </w:rPr>
        <w:t xml:space="preserve">principle of </w:t>
      </w:r>
      <w:r w:rsidR="00DA7068" w:rsidRPr="007E36A9">
        <w:rPr>
          <w:szCs w:val="24"/>
          <w:lang w:val="en-GB"/>
        </w:rPr>
        <w:t>proportionality</w:t>
      </w:r>
      <w:r w:rsidRPr="007E36A9">
        <w:rPr>
          <w:szCs w:val="24"/>
          <w:lang w:val="en-GB"/>
        </w:rPr>
        <w:t>.</w:t>
      </w:r>
      <w:r w:rsidR="00A33376" w:rsidRPr="00B74771">
        <w:rPr>
          <w:lang w:val="en-US"/>
        </w:rPr>
        <w:t xml:space="preserve"> </w:t>
      </w:r>
      <w:r w:rsidR="00DA7068" w:rsidRPr="007E36A9">
        <w:rPr>
          <w:lang w:val="en-GB"/>
        </w:rPr>
        <w:t>While introducing additional restrict</w:t>
      </w:r>
      <w:r w:rsidR="00A96645" w:rsidRPr="007E36A9">
        <w:rPr>
          <w:lang w:val="en-GB"/>
        </w:rPr>
        <w:t>ions and administrative burdens</w:t>
      </w:r>
      <w:r w:rsidR="00DA7068" w:rsidRPr="007E36A9">
        <w:rPr>
          <w:lang w:val="en-GB"/>
        </w:rPr>
        <w:t xml:space="preserve"> the Commission did not indicate the real benefits for </w:t>
      </w:r>
      <w:r w:rsidR="005E0DDF" w:rsidRPr="007E36A9">
        <w:rPr>
          <w:lang w:val="en-GB"/>
        </w:rPr>
        <w:t xml:space="preserve">workers </w:t>
      </w:r>
      <w:r w:rsidR="00DA7068" w:rsidRPr="007E36A9">
        <w:rPr>
          <w:lang w:val="en-GB"/>
        </w:rPr>
        <w:t>resulting from the propos</w:t>
      </w:r>
      <w:r w:rsidR="00301CA8">
        <w:rPr>
          <w:lang w:val="en-GB"/>
        </w:rPr>
        <w:t>al</w:t>
      </w:r>
      <w:r w:rsidR="00DA7068" w:rsidRPr="007E36A9">
        <w:rPr>
          <w:lang w:val="en-GB"/>
        </w:rPr>
        <w:t>.</w:t>
      </w:r>
    </w:p>
    <w:p w:rsidR="006C3FCF" w:rsidRPr="00B74771" w:rsidRDefault="00512DBE" w:rsidP="00A96645">
      <w:pPr>
        <w:numPr>
          <w:ilvl w:val="0"/>
          <w:numId w:val="15"/>
        </w:numPr>
        <w:jc w:val="both"/>
        <w:rPr>
          <w:lang w:val="en-US"/>
        </w:rPr>
      </w:pPr>
      <w:r w:rsidRPr="007E36A9">
        <w:rPr>
          <w:szCs w:val="24"/>
          <w:lang w:val="en-GB"/>
        </w:rPr>
        <w:t>The FEUAC</w:t>
      </w:r>
      <w:r w:rsidR="00DA7068" w:rsidRPr="007E36A9">
        <w:rPr>
          <w:szCs w:val="24"/>
          <w:lang w:val="en-GB"/>
        </w:rPr>
        <w:t xml:space="preserve"> </w:t>
      </w:r>
      <w:r w:rsidRPr="007E36A9">
        <w:rPr>
          <w:szCs w:val="24"/>
          <w:lang w:val="en-GB"/>
        </w:rPr>
        <w:t>considers</w:t>
      </w:r>
      <w:r w:rsidR="00DA7068" w:rsidRPr="007E36A9">
        <w:rPr>
          <w:szCs w:val="24"/>
          <w:lang w:val="en-GB"/>
        </w:rPr>
        <w:t xml:space="preserve"> that the proposed Directive </w:t>
      </w:r>
      <w:r w:rsidRPr="007E36A9">
        <w:rPr>
          <w:szCs w:val="24"/>
          <w:lang w:val="en-GB"/>
        </w:rPr>
        <w:t>is contrary to</w:t>
      </w:r>
      <w:r w:rsidR="00DA7068" w:rsidRPr="007E36A9">
        <w:rPr>
          <w:bCs/>
          <w:szCs w:val="24"/>
          <w:lang w:val="en-GB"/>
        </w:rPr>
        <w:t xml:space="preserve"> the spirit of the Treaty, in particular </w:t>
      </w:r>
      <w:r w:rsidR="005E0DDF" w:rsidRPr="007E36A9">
        <w:rPr>
          <w:bCs/>
          <w:szCs w:val="24"/>
          <w:lang w:val="en-GB"/>
        </w:rPr>
        <w:t>with respect to</w:t>
      </w:r>
      <w:r w:rsidR="00DA7068" w:rsidRPr="007E36A9">
        <w:rPr>
          <w:bCs/>
          <w:szCs w:val="24"/>
          <w:lang w:val="en-GB"/>
        </w:rPr>
        <w:t xml:space="preserve"> </w:t>
      </w:r>
      <w:r w:rsidR="00DA7068" w:rsidRPr="007E36A9">
        <w:rPr>
          <w:szCs w:val="24"/>
          <w:lang w:val="en-GB"/>
        </w:rPr>
        <w:t>Article 56</w:t>
      </w:r>
      <w:r w:rsidR="00DA7068" w:rsidRPr="007E36A9">
        <w:rPr>
          <w:bCs/>
          <w:szCs w:val="24"/>
          <w:lang w:val="en-GB"/>
        </w:rPr>
        <w:t xml:space="preserve"> of the Treaty on the Functioning of the European Union.</w:t>
      </w:r>
      <w:r w:rsidR="006C3FCF" w:rsidRPr="00B74771">
        <w:rPr>
          <w:lang w:val="en-US"/>
        </w:rPr>
        <w:t xml:space="preserve"> </w:t>
      </w:r>
      <w:r w:rsidR="00DA7068" w:rsidRPr="007E36A9">
        <w:rPr>
          <w:lang w:val="en-GB"/>
        </w:rPr>
        <w:t xml:space="preserve">Such far-reaching adaptation to the law of the state in which the service is provided makes it almost </w:t>
      </w:r>
      <w:r w:rsidR="00095E6F">
        <w:rPr>
          <w:lang w:val="en-GB"/>
        </w:rPr>
        <w:t xml:space="preserve">equal </w:t>
      </w:r>
      <w:r w:rsidR="00DA7068" w:rsidRPr="007E36A9">
        <w:rPr>
          <w:lang w:val="en-GB"/>
        </w:rPr>
        <w:t xml:space="preserve">with the </w:t>
      </w:r>
      <w:r w:rsidR="00095E6F">
        <w:rPr>
          <w:lang w:val="en-GB"/>
        </w:rPr>
        <w:t xml:space="preserve">requirements for the </w:t>
      </w:r>
      <w:r w:rsidR="00DA7068" w:rsidRPr="007E36A9">
        <w:rPr>
          <w:lang w:val="en-GB"/>
        </w:rPr>
        <w:t>freedom of establishment.</w:t>
      </w:r>
      <w:r w:rsidR="006C3FCF" w:rsidRPr="00B74771">
        <w:rPr>
          <w:lang w:val="en-US"/>
        </w:rPr>
        <w:t xml:space="preserve"> </w:t>
      </w:r>
      <w:r w:rsidR="00DA7068" w:rsidRPr="007E36A9">
        <w:rPr>
          <w:lang w:val="en-GB"/>
        </w:rPr>
        <w:t xml:space="preserve">In </w:t>
      </w:r>
      <w:r w:rsidRPr="007E36A9">
        <w:rPr>
          <w:lang w:val="en-GB"/>
        </w:rPr>
        <w:t>the</w:t>
      </w:r>
      <w:r w:rsidR="00DA7068" w:rsidRPr="007E36A9">
        <w:rPr>
          <w:lang w:val="en-GB"/>
        </w:rPr>
        <w:t xml:space="preserve"> opinion </w:t>
      </w:r>
      <w:r w:rsidRPr="007E36A9">
        <w:rPr>
          <w:lang w:val="en-GB"/>
        </w:rPr>
        <w:t xml:space="preserve">of </w:t>
      </w:r>
      <w:r w:rsidR="00FB74BE" w:rsidRPr="007E36A9">
        <w:rPr>
          <w:lang w:val="en-GB"/>
        </w:rPr>
        <w:t xml:space="preserve">the </w:t>
      </w:r>
      <w:r w:rsidRPr="007E36A9">
        <w:rPr>
          <w:lang w:val="en-GB"/>
        </w:rPr>
        <w:t>FEUAC</w:t>
      </w:r>
      <w:r w:rsidR="005E0DDF" w:rsidRPr="007E36A9">
        <w:rPr>
          <w:lang w:val="en-GB"/>
        </w:rPr>
        <w:t>,</w:t>
      </w:r>
      <w:r w:rsidRPr="007E36A9">
        <w:rPr>
          <w:lang w:val="en-GB"/>
        </w:rPr>
        <w:t xml:space="preserve"> </w:t>
      </w:r>
      <w:r w:rsidR="00DA7068" w:rsidRPr="007E36A9">
        <w:rPr>
          <w:lang w:val="en-GB"/>
        </w:rPr>
        <w:t xml:space="preserve">the </w:t>
      </w:r>
      <w:r w:rsidR="00817C6C" w:rsidRPr="007E36A9">
        <w:rPr>
          <w:lang w:val="en-GB"/>
        </w:rPr>
        <w:t>D</w:t>
      </w:r>
      <w:r w:rsidR="00DA7068" w:rsidRPr="007E36A9">
        <w:rPr>
          <w:lang w:val="en-GB"/>
        </w:rPr>
        <w:t xml:space="preserve">irective </w:t>
      </w:r>
      <w:r w:rsidR="00817C6C" w:rsidRPr="007E36A9">
        <w:rPr>
          <w:lang w:val="en-GB"/>
        </w:rPr>
        <w:t xml:space="preserve">will </w:t>
      </w:r>
      <w:r w:rsidRPr="007E36A9">
        <w:rPr>
          <w:lang w:val="en-GB"/>
        </w:rPr>
        <w:t xml:space="preserve">thus </w:t>
      </w:r>
      <w:r w:rsidR="00FB74BE" w:rsidRPr="007E36A9">
        <w:rPr>
          <w:lang w:val="en-GB"/>
        </w:rPr>
        <w:t>be conducive</w:t>
      </w:r>
      <w:r w:rsidR="00817C6C" w:rsidRPr="007E36A9">
        <w:rPr>
          <w:lang w:val="en-GB"/>
        </w:rPr>
        <w:t xml:space="preserve"> to creati</w:t>
      </w:r>
      <w:r w:rsidR="00FB74BE" w:rsidRPr="007E36A9">
        <w:rPr>
          <w:lang w:val="en-GB"/>
        </w:rPr>
        <w:t>ng</w:t>
      </w:r>
      <w:r w:rsidR="00817C6C" w:rsidRPr="007E36A9">
        <w:rPr>
          <w:lang w:val="en-GB"/>
        </w:rPr>
        <w:t xml:space="preserve"> new restrictions in the functioning of the Internal Market.</w:t>
      </w:r>
    </w:p>
    <w:p w:rsidR="00930702" w:rsidRPr="00B74771" w:rsidRDefault="00365358" w:rsidP="00A96645">
      <w:pPr>
        <w:numPr>
          <w:ilvl w:val="0"/>
          <w:numId w:val="15"/>
        </w:numPr>
        <w:jc w:val="both"/>
        <w:rPr>
          <w:lang w:val="en-US"/>
        </w:rPr>
      </w:pPr>
      <w:r w:rsidRPr="007E36A9">
        <w:rPr>
          <w:szCs w:val="24"/>
          <w:lang w:val="en-GB"/>
        </w:rPr>
        <w:t>The FEUAC</w:t>
      </w:r>
      <w:r w:rsidR="00D00776" w:rsidRPr="007E36A9">
        <w:rPr>
          <w:szCs w:val="24"/>
          <w:lang w:val="en-GB"/>
        </w:rPr>
        <w:t xml:space="preserve"> </w:t>
      </w:r>
      <w:r w:rsidR="003B4874" w:rsidRPr="007E36A9">
        <w:rPr>
          <w:szCs w:val="24"/>
          <w:lang w:val="en-GB"/>
        </w:rPr>
        <w:t xml:space="preserve">wishes to </w:t>
      </w:r>
      <w:r w:rsidR="00D00776" w:rsidRPr="007E36A9">
        <w:rPr>
          <w:szCs w:val="24"/>
          <w:lang w:val="en-GB"/>
        </w:rPr>
        <w:t xml:space="preserve">point out that the Commission did not provide </w:t>
      </w:r>
      <w:r w:rsidR="005E0DDF" w:rsidRPr="007E36A9">
        <w:rPr>
          <w:szCs w:val="24"/>
          <w:lang w:val="en-GB"/>
        </w:rPr>
        <w:t xml:space="preserve">an </w:t>
      </w:r>
      <w:r w:rsidR="00D00776" w:rsidRPr="007E36A9">
        <w:rPr>
          <w:lang w:val="en-GB"/>
        </w:rPr>
        <w:t xml:space="preserve">adequate justification of the project and </w:t>
      </w:r>
      <w:r w:rsidRPr="007E36A9">
        <w:rPr>
          <w:lang w:val="en-GB"/>
        </w:rPr>
        <w:t xml:space="preserve">the </w:t>
      </w:r>
      <w:r w:rsidR="00D00776" w:rsidRPr="007E36A9">
        <w:rPr>
          <w:lang w:val="en-GB"/>
        </w:rPr>
        <w:t xml:space="preserve">reasons for its submission prior to the </w:t>
      </w:r>
      <w:r w:rsidR="005E0DDF" w:rsidRPr="007E36A9">
        <w:rPr>
          <w:bCs/>
          <w:lang w:val="en-GB"/>
        </w:rPr>
        <w:t xml:space="preserve">deadline </w:t>
      </w:r>
      <w:r w:rsidR="00D00776" w:rsidRPr="007E36A9">
        <w:rPr>
          <w:bCs/>
          <w:lang w:val="en-GB"/>
        </w:rPr>
        <w:t>pre</w:t>
      </w:r>
      <w:r w:rsidR="00D00776" w:rsidRPr="007E36A9">
        <w:rPr>
          <w:lang w:val="en-GB"/>
        </w:rPr>
        <w:t>scribe</w:t>
      </w:r>
      <w:r w:rsidR="00D00776" w:rsidRPr="007E36A9">
        <w:rPr>
          <w:bCs/>
          <w:lang w:val="en-GB"/>
        </w:rPr>
        <w:t xml:space="preserve">d for transposing </w:t>
      </w:r>
      <w:r w:rsidRPr="007E36A9">
        <w:rPr>
          <w:bCs/>
          <w:lang w:val="en-GB"/>
        </w:rPr>
        <w:t xml:space="preserve">the </w:t>
      </w:r>
      <w:r w:rsidR="00D00776" w:rsidRPr="007E36A9">
        <w:rPr>
          <w:bCs/>
          <w:lang w:val="en-GB"/>
        </w:rPr>
        <w:t>Directive</w:t>
      </w:r>
      <w:r w:rsidR="00D00776" w:rsidRPr="007E36A9">
        <w:rPr>
          <w:lang w:val="en-GB"/>
        </w:rPr>
        <w:t xml:space="preserve"> of 15 May 2014 </w:t>
      </w:r>
      <w:r w:rsidR="00D00776" w:rsidRPr="007E36A9">
        <w:rPr>
          <w:bCs/>
          <w:szCs w:val="24"/>
          <w:lang w:val="en-GB"/>
        </w:rPr>
        <w:t>on the enforcement of Directive 96/71/EC on the post</w:t>
      </w:r>
      <w:r w:rsidR="00D00776" w:rsidRPr="007E36A9">
        <w:rPr>
          <w:szCs w:val="24"/>
          <w:lang w:val="en-GB"/>
        </w:rPr>
        <w:t xml:space="preserve">ing of workers in the framework of the provision of services </w:t>
      </w:r>
      <w:r w:rsidR="00D00776" w:rsidRPr="007E36A9">
        <w:rPr>
          <w:lang w:val="en-GB"/>
        </w:rPr>
        <w:t xml:space="preserve">and amending Regulation (EU) No 1024/2012 </w:t>
      </w:r>
      <w:r w:rsidR="00D00776" w:rsidRPr="007E36A9">
        <w:rPr>
          <w:bCs/>
          <w:szCs w:val="24"/>
          <w:lang w:val="en-GB"/>
        </w:rPr>
        <w:t>on administrative cooperation through the Internal</w:t>
      </w:r>
      <w:r w:rsidR="00D00776" w:rsidRPr="007E36A9">
        <w:rPr>
          <w:szCs w:val="24"/>
          <w:lang w:val="en-GB"/>
        </w:rPr>
        <w:t xml:space="preserve"> Market Information System (“IMI Regulation”).</w:t>
      </w:r>
      <w:r w:rsidR="00596C43" w:rsidRPr="00B74771">
        <w:rPr>
          <w:lang w:val="en-US"/>
        </w:rPr>
        <w:t xml:space="preserve"> </w:t>
      </w:r>
      <w:r w:rsidR="00E12260" w:rsidRPr="007E36A9">
        <w:rPr>
          <w:lang w:val="en-GB"/>
        </w:rPr>
        <w:t>The FEUAC</w:t>
      </w:r>
      <w:r w:rsidR="00AD5FE5" w:rsidRPr="007E36A9">
        <w:rPr>
          <w:lang w:val="en-GB"/>
        </w:rPr>
        <w:t xml:space="preserve"> </w:t>
      </w:r>
      <w:r w:rsidR="00E12260" w:rsidRPr="007E36A9">
        <w:rPr>
          <w:lang w:val="en-GB"/>
        </w:rPr>
        <w:t>is opposed</w:t>
      </w:r>
      <w:r w:rsidR="00AD5FE5" w:rsidRPr="007E36A9">
        <w:rPr>
          <w:lang w:val="en-GB"/>
        </w:rPr>
        <w:t xml:space="preserve"> </w:t>
      </w:r>
      <w:r w:rsidR="00E12260" w:rsidRPr="007E36A9">
        <w:rPr>
          <w:lang w:val="en-GB"/>
        </w:rPr>
        <w:t xml:space="preserve">to </w:t>
      </w:r>
      <w:r w:rsidR="00AD5FE5" w:rsidRPr="007E36A9">
        <w:rPr>
          <w:lang w:val="en-GB"/>
        </w:rPr>
        <w:t xml:space="preserve">the adoption of </w:t>
      </w:r>
      <w:r w:rsidR="00A96645" w:rsidRPr="007E36A9">
        <w:rPr>
          <w:lang w:val="en-GB"/>
        </w:rPr>
        <w:t>new legislati</w:t>
      </w:r>
      <w:r w:rsidR="00E12260" w:rsidRPr="007E36A9">
        <w:rPr>
          <w:lang w:val="en-GB"/>
        </w:rPr>
        <w:t>ve acts</w:t>
      </w:r>
      <w:r w:rsidR="00A96645" w:rsidRPr="007E36A9">
        <w:rPr>
          <w:lang w:val="en-GB"/>
        </w:rPr>
        <w:t xml:space="preserve"> </w:t>
      </w:r>
      <w:r w:rsidR="005E0DDF" w:rsidRPr="007E36A9">
        <w:rPr>
          <w:lang w:val="en-GB"/>
        </w:rPr>
        <w:t>until</w:t>
      </w:r>
      <w:r w:rsidR="00AD5FE5" w:rsidRPr="007E36A9">
        <w:rPr>
          <w:lang w:val="en-GB"/>
        </w:rPr>
        <w:t xml:space="preserve"> the previous legal measures have been fully implemented and their impact </w:t>
      </w:r>
      <w:r w:rsidR="00E12260" w:rsidRPr="007E36A9">
        <w:rPr>
          <w:lang w:val="en-GB"/>
        </w:rPr>
        <w:t>relative both</w:t>
      </w:r>
      <w:r w:rsidR="00AD5FE5" w:rsidRPr="007E36A9">
        <w:rPr>
          <w:lang w:val="en-GB"/>
        </w:rPr>
        <w:t xml:space="preserve"> </w:t>
      </w:r>
      <w:r w:rsidR="00E12260" w:rsidRPr="007E36A9">
        <w:rPr>
          <w:lang w:val="en-GB"/>
        </w:rPr>
        <w:t xml:space="preserve">to </w:t>
      </w:r>
      <w:r w:rsidR="00AD5FE5" w:rsidRPr="007E36A9">
        <w:rPr>
          <w:lang w:val="en-GB"/>
        </w:rPr>
        <w:t>the protection of workers</w:t>
      </w:r>
      <w:r w:rsidR="00E12260" w:rsidRPr="007E36A9">
        <w:rPr>
          <w:lang w:val="en-GB"/>
        </w:rPr>
        <w:t>’</w:t>
      </w:r>
      <w:r w:rsidR="00AD5FE5" w:rsidRPr="007E36A9">
        <w:rPr>
          <w:lang w:val="en-GB"/>
        </w:rPr>
        <w:t xml:space="preserve"> rights and </w:t>
      </w:r>
      <w:r w:rsidR="00E12260" w:rsidRPr="007E36A9">
        <w:rPr>
          <w:lang w:val="en-GB"/>
        </w:rPr>
        <w:t>to the</w:t>
      </w:r>
      <w:r w:rsidR="00AD5FE5" w:rsidRPr="007E36A9">
        <w:rPr>
          <w:lang w:val="en-GB"/>
        </w:rPr>
        <w:t xml:space="preserve"> undertakings that post them cannot be assessed.</w:t>
      </w:r>
    </w:p>
    <w:p w:rsidR="00060AD2" w:rsidRPr="00B74771" w:rsidRDefault="004B2B67" w:rsidP="00A96645">
      <w:pPr>
        <w:numPr>
          <w:ilvl w:val="0"/>
          <w:numId w:val="15"/>
        </w:numPr>
        <w:jc w:val="both"/>
        <w:rPr>
          <w:lang w:val="en-US"/>
        </w:rPr>
      </w:pPr>
      <w:r w:rsidRPr="007E36A9">
        <w:rPr>
          <w:lang w:val="en-GB"/>
        </w:rPr>
        <w:t xml:space="preserve">The Commission did not present the </w:t>
      </w:r>
      <w:r w:rsidR="005E0DDF" w:rsidRPr="007E36A9">
        <w:rPr>
          <w:lang w:val="en-GB"/>
        </w:rPr>
        <w:t>impact</w:t>
      </w:r>
      <w:r w:rsidRPr="007E36A9">
        <w:rPr>
          <w:lang w:val="en-GB"/>
        </w:rPr>
        <w:t xml:space="preserve"> </w:t>
      </w:r>
      <w:r w:rsidR="00AC684C" w:rsidRPr="007E36A9">
        <w:rPr>
          <w:lang w:val="en-GB"/>
        </w:rPr>
        <w:t xml:space="preserve">of </w:t>
      </w:r>
      <w:r w:rsidRPr="007E36A9">
        <w:rPr>
          <w:lang w:val="en-GB"/>
        </w:rPr>
        <w:t xml:space="preserve">the proposed Directive </w:t>
      </w:r>
      <w:r w:rsidR="005E0DDF" w:rsidRPr="007E36A9">
        <w:rPr>
          <w:lang w:val="en-GB"/>
        </w:rPr>
        <w:t>on</w:t>
      </w:r>
      <w:r w:rsidRPr="007E36A9">
        <w:rPr>
          <w:lang w:val="en-GB"/>
        </w:rPr>
        <w:t xml:space="preserve"> s</w:t>
      </w:r>
      <w:r w:rsidRPr="007E36A9">
        <w:rPr>
          <w:szCs w:val="24"/>
          <w:lang w:val="en-GB"/>
        </w:rPr>
        <w:t>mall and medium-size</w:t>
      </w:r>
      <w:r w:rsidRPr="007E36A9">
        <w:rPr>
          <w:bCs/>
          <w:szCs w:val="24"/>
          <w:lang w:val="en-GB"/>
        </w:rPr>
        <w:t>d enterprises</w:t>
      </w:r>
      <w:r w:rsidR="005E0DDF" w:rsidRPr="007E36A9">
        <w:rPr>
          <w:bCs/>
          <w:szCs w:val="24"/>
          <w:lang w:val="en-GB"/>
        </w:rPr>
        <w:t xml:space="preserve"> either</w:t>
      </w:r>
      <w:r w:rsidRPr="007E36A9">
        <w:rPr>
          <w:lang w:val="en-GB"/>
        </w:rPr>
        <w:t xml:space="preserve">, in particular in states where </w:t>
      </w:r>
      <w:r w:rsidRPr="007E36A9">
        <w:rPr>
          <w:bCs/>
          <w:lang w:val="en-GB"/>
        </w:rPr>
        <w:t xml:space="preserve">labour costs are </w:t>
      </w:r>
      <w:r w:rsidR="00AC684C" w:rsidRPr="007E36A9">
        <w:rPr>
          <w:bCs/>
          <w:lang w:val="en-GB"/>
        </w:rPr>
        <w:t>lower</w:t>
      </w:r>
      <w:r w:rsidRPr="007E36A9">
        <w:rPr>
          <w:bCs/>
          <w:lang w:val="en-GB"/>
        </w:rPr>
        <w:t>.</w:t>
      </w:r>
      <w:r w:rsidR="005A53C9" w:rsidRPr="00B74771">
        <w:rPr>
          <w:lang w:val="en-US"/>
        </w:rPr>
        <w:t xml:space="preserve"> </w:t>
      </w:r>
      <w:r w:rsidR="00AC684C" w:rsidRPr="007E36A9">
        <w:rPr>
          <w:lang w:val="en-GB"/>
        </w:rPr>
        <w:t>Moreover,</w:t>
      </w:r>
      <w:r w:rsidRPr="007E36A9">
        <w:rPr>
          <w:lang w:val="en-GB"/>
        </w:rPr>
        <w:t xml:space="preserve"> </w:t>
      </w:r>
      <w:r w:rsidR="00AC684C" w:rsidRPr="007E36A9">
        <w:rPr>
          <w:lang w:val="en-GB"/>
        </w:rPr>
        <w:t>it</w:t>
      </w:r>
      <w:r w:rsidRPr="007E36A9">
        <w:rPr>
          <w:lang w:val="en-GB"/>
        </w:rPr>
        <w:t xml:space="preserve"> did not provide detailed data </w:t>
      </w:r>
      <w:r w:rsidR="00F84E3D" w:rsidRPr="007E36A9">
        <w:rPr>
          <w:lang w:val="en-GB"/>
        </w:rPr>
        <w:t xml:space="preserve">on </w:t>
      </w:r>
      <w:r w:rsidR="00D674F9" w:rsidRPr="007E36A9">
        <w:rPr>
          <w:lang w:val="en-GB"/>
        </w:rPr>
        <w:t xml:space="preserve">the </w:t>
      </w:r>
      <w:r w:rsidR="00F84E3D" w:rsidRPr="007E36A9">
        <w:rPr>
          <w:lang w:val="en-GB"/>
        </w:rPr>
        <w:t xml:space="preserve">costs </w:t>
      </w:r>
      <w:r w:rsidR="00D674F9" w:rsidRPr="007E36A9">
        <w:rPr>
          <w:lang w:val="en-GB"/>
        </w:rPr>
        <w:t>to be borne by undertakings in connection with the new rules for determining remuneration.</w:t>
      </w:r>
    </w:p>
    <w:p w:rsidR="00074F6B" w:rsidRPr="00B74771" w:rsidRDefault="00AC684C" w:rsidP="00BE4F8F">
      <w:pPr>
        <w:numPr>
          <w:ilvl w:val="0"/>
          <w:numId w:val="15"/>
        </w:numPr>
        <w:jc w:val="both"/>
        <w:rPr>
          <w:lang w:val="en-US"/>
        </w:rPr>
      </w:pPr>
      <w:r w:rsidRPr="007E36A9">
        <w:rPr>
          <w:lang w:val="en-GB"/>
        </w:rPr>
        <w:t>The FEUAC</w:t>
      </w:r>
      <w:r w:rsidR="00D674F9" w:rsidRPr="007E36A9">
        <w:rPr>
          <w:lang w:val="en-GB"/>
        </w:rPr>
        <w:t xml:space="preserve"> does not share the opinion that the proposed Directive will contribute to </w:t>
      </w:r>
      <w:r w:rsidR="00C57D45" w:rsidRPr="007E36A9">
        <w:rPr>
          <w:lang w:val="en-GB"/>
        </w:rPr>
        <w:t>a</w:t>
      </w:r>
      <w:r w:rsidR="00D674F9" w:rsidRPr="007E36A9">
        <w:rPr>
          <w:lang w:val="en-GB"/>
        </w:rPr>
        <w:t xml:space="preserve"> greater transparency of regulations and make it easier for undertakings that post workers </w:t>
      </w:r>
      <w:r w:rsidR="00D674F9" w:rsidRPr="007E36A9">
        <w:rPr>
          <w:bCs/>
          <w:lang w:val="en-GB"/>
        </w:rPr>
        <w:t>to apply them.</w:t>
      </w:r>
      <w:r w:rsidR="000E7E68" w:rsidRPr="00B74771">
        <w:rPr>
          <w:lang w:val="en-US"/>
        </w:rPr>
        <w:t xml:space="preserve"> </w:t>
      </w:r>
      <w:r w:rsidR="006E25EB" w:rsidRPr="007E36A9">
        <w:rPr>
          <w:lang w:val="en-GB"/>
        </w:rPr>
        <w:t xml:space="preserve">In </w:t>
      </w:r>
      <w:r w:rsidR="00C57D45" w:rsidRPr="007E36A9">
        <w:rPr>
          <w:lang w:val="en-GB"/>
        </w:rPr>
        <w:t>the</w:t>
      </w:r>
      <w:r w:rsidR="006E25EB" w:rsidRPr="007E36A9">
        <w:rPr>
          <w:lang w:val="en-GB"/>
        </w:rPr>
        <w:t xml:space="preserve"> opinion </w:t>
      </w:r>
      <w:r w:rsidR="00C57D45" w:rsidRPr="007E36A9">
        <w:rPr>
          <w:lang w:val="en-GB"/>
        </w:rPr>
        <w:t>of the FEUAC</w:t>
      </w:r>
      <w:r w:rsidR="005E0DDF" w:rsidRPr="007E36A9">
        <w:rPr>
          <w:lang w:val="en-GB"/>
        </w:rPr>
        <w:t>,</w:t>
      </w:r>
      <w:r w:rsidR="00C57D45" w:rsidRPr="007E36A9">
        <w:rPr>
          <w:lang w:val="en-GB"/>
        </w:rPr>
        <w:t xml:space="preserve"> </w:t>
      </w:r>
      <w:r w:rsidR="006E25EB" w:rsidRPr="007E36A9">
        <w:rPr>
          <w:lang w:val="en-GB"/>
        </w:rPr>
        <w:t xml:space="preserve">it is more likely to further complicate the </w:t>
      </w:r>
      <w:r w:rsidR="006E25EB" w:rsidRPr="007E36A9">
        <w:rPr>
          <w:szCs w:val="24"/>
          <w:lang w:val="en-GB"/>
        </w:rPr>
        <w:t xml:space="preserve">existing rules as </w:t>
      </w:r>
      <w:r w:rsidR="006E25EB" w:rsidRPr="007E36A9">
        <w:rPr>
          <w:bCs/>
          <w:lang w:val="en-GB"/>
        </w:rPr>
        <w:t xml:space="preserve">different </w:t>
      </w:r>
      <w:r w:rsidR="00C57D45" w:rsidRPr="007E36A9">
        <w:rPr>
          <w:bCs/>
          <w:lang w:val="en-GB"/>
        </w:rPr>
        <w:t xml:space="preserve">legal </w:t>
      </w:r>
      <w:r w:rsidR="006E25EB" w:rsidRPr="007E36A9">
        <w:rPr>
          <w:bCs/>
          <w:lang w:val="en-GB"/>
        </w:rPr>
        <w:t>systems will need to be applied in the case of postings lasting more than 24 months</w:t>
      </w:r>
      <w:r w:rsidR="006E25EB" w:rsidRPr="007E36A9">
        <w:rPr>
          <w:szCs w:val="24"/>
          <w:lang w:val="en-GB"/>
        </w:rPr>
        <w:t>.</w:t>
      </w:r>
      <w:r w:rsidR="00385F0E" w:rsidRPr="00B74771">
        <w:rPr>
          <w:lang w:val="en-US"/>
        </w:rPr>
        <w:t xml:space="preserve"> </w:t>
      </w:r>
      <w:r w:rsidR="00C57D45" w:rsidRPr="007E36A9">
        <w:rPr>
          <w:szCs w:val="24"/>
          <w:lang w:val="en-GB"/>
        </w:rPr>
        <w:t>The FEUAC</w:t>
      </w:r>
      <w:r w:rsidR="00A96645" w:rsidRPr="007E36A9">
        <w:rPr>
          <w:szCs w:val="24"/>
          <w:lang w:val="en-GB"/>
        </w:rPr>
        <w:t xml:space="preserve"> also wishes to point out that </w:t>
      </w:r>
      <w:r w:rsidR="00A96645" w:rsidRPr="007E36A9">
        <w:rPr>
          <w:lang w:val="en-GB"/>
        </w:rPr>
        <w:t xml:space="preserve">mandatory application of the host country law </w:t>
      </w:r>
      <w:r w:rsidR="00C57D45" w:rsidRPr="007E36A9">
        <w:rPr>
          <w:lang w:val="en-GB"/>
        </w:rPr>
        <w:t>is contrary to</w:t>
      </w:r>
      <w:r w:rsidR="00A96645" w:rsidRPr="007E36A9">
        <w:rPr>
          <w:bCs/>
          <w:szCs w:val="24"/>
          <w:lang w:val="en-GB"/>
        </w:rPr>
        <w:t xml:space="preserve"> the </w:t>
      </w:r>
      <w:r w:rsidR="00A96645" w:rsidRPr="007E36A9">
        <w:rPr>
          <w:lang w:val="en-GB"/>
        </w:rPr>
        <w:t xml:space="preserve">rules </w:t>
      </w:r>
      <w:r w:rsidR="00A96645" w:rsidRPr="007E36A9">
        <w:rPr>
          <w:bCs/>
          <w:lang w:val="en-GB"/>
        </w:rPr>
        <w:t>for choosing the applicable law</w:t>
      </w:r>
      <w:r w:rsidR="00A96645" w:rsidRPr="007E36A9">
        <w:rPr>
          <w:lang w:val="en-GB"/>
        </w:rPr>
        <w:t xml:space="preserve">, laid down in </w:t>
      </w:r>
      <w:r w:rsidR="00A96645" w:rsidRPr="007E36A9">
        <w:rPr>
          <w:szCs w:val="24"/>
          <w:lang w:val="en-GB"/>
        </w:rPr>
        <w:t xml:space="preserve">Regulation (EC) no 593/2008 of the European Parliament and of the Council </w:t>
      </w:r>
      <w:r w:rsidR="00A96645" w:rsidRPr="007E36A9">
        <w:rPr>
          <w:lang w:val="en-GB"/>
        </w:rPr>
        <w:t xml:space="preserve">on the law applicable to contractual obligations </w:t>
      </w:r>
      <w:r w:rsidR="006E25EB" w:rsidRPr="007E36A9">
        <w:rPr>
          <w:lang w:val="en-GB"/>
        </w:rPr>
        <w:t>(Rome I).</w:t>
      </w:r>
    </w:p>
    <w:sectPr w:rsidR="00074F6B" w:rsidRPr="00B74771" w:rsidSect="00425250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23B470CB"/>
    <w:multiLevelType w:val="hybridMultilevel"/>
    <w:tmpl w:val="67E4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1912"/>
    <w:multiLevelType w:val="hybridMultilevel"/>
    <w:tmpl w:val="F2BEF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>
    <w:nsid w:val="550157FC"/>
    <w:multiLevelType w:val="hybridMultilevel"/>
    <w:tmpl w:val="AB08F5B2"/>
    <w:lvl w:ilvl="0" w:tplc="43687408">
      <w:start w:val="1"/>
      <w:numFmt w:val="upperRoman"/>
      <w:lvlText w:val="%1."/>
      <w:lvlJc w:val="left"/>
      <w:pPr>
        <w:tabs>
          <w:tab w:val="num" w:pos="1395"/>
        </w:tabs>
        <w:ind w:left="1395" w:hanging="855"/>
      </w:pPr>
      <w:rPr>
        <w:rFonts w:ascii="TimesNewRoman" w:hAnsi="TimesNewRoman" w:cs="TimesNewRoman" w:hint="default"/>
      </w:rPr>
    </w:lvl>
    <w:lvl w:ilvl="1" w:tplc="2FFAE07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70360D90"/>
    <w:multiLevelType w:val="hybridMultilevel"/>
    <w:tmpl w:val="2E305D3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8"/>
  </w:num>
  <w:num w:numId="6">
    <w:abstractNumId w:val="6"/>
  </w:num>
  <w:num w:numId="7">
    <w:abstractNumId w:val="8"/>
  </w:num>
  <w:num w:numId="8">
    <w:abstractNumId w:val="6"/>
  </w:num>
  <w:num w:numId="9">
    <w:abstractNumId w:val="8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10686E"/>
    <w:rsid w:val="00060AD2"/>
    <w:rsid w:val="00074F6B"/>
    <w:rsid w:val="00095E6F"/>
    <w:rsid w:val="000B312B"/>
    <w:rsid w:val="000E7E68"/>
    <w:rsid w:val="0010686E"/>
    <w:rsid w:val="00117D4E"/>
    <w:rsid w:val="0015616E"/>
    <w:rsid w:val="00172435"/>
    <w:rsid w:val="001A6E5C"/>
    <w:rsid w:val="00276C52"/>
    <w:rsid w:val="00295D31"/>
    <w:rsid w:val="00297BA3"/>
    <w:rsid w:val="002B0CC3"/>
    <w:rsid w:val="002E007D"/>
    <w:rsid w:val="00301CA8"/>
    <w:rsid w:val="00365358"/>
    <w:rsid w:val="00367CCB"/>
    <w:rsid w:val="00372A50"/>
    <w:rsid w:val="00385F0E"/>
    <w:rsid w:val="003A388F"/>
    <w:rsid w:val="003B4874"/>
    <w:rsid w:val="003D24EC"/>
    <w:rsid w:val="00425250"/>
    <w:rsid w:val="004B2B67"/>
    <w:rsid w:val="004B6FD7"/>
    <w:rsid w:val="00512DBE"/>
    <w:rsid w:val="00541683"/>
    <w:rsid w:val="005469F4"/>
    <w:rsid w:val="00570A02"/>
    <w:rsid w:val="00596C43"/>
    <w:rsid w:val="005A53C9"/>
    <w:rsid w:val="005E0DDF"/>
    <w:rsid w:val="005E155A"/>
    <w:rsid w:val="006130B0"/>
    <w:rsid w:val="00641B49"/>
    <w:rsid w:val="006530DB"/>
    <w:rsid w:val="006C3FCF"/>
    <w:rsid w:val="006E25EB"/>
    <w:rsid w:val="007774CE"/>
    <w:rsid w:val="007C2B60"/>
    <w:rsid w:val="007C5025"/>
    <w:rsid w:val="007E36A9"/>
    <w:rsid w:val="007E3AAE"/>
    <w:rsid w:val="007E4526"/>
    <w:rsid w:val="00817C6C"/>
    <w:rsid w:val="008E0393"/>
    <w:rsid w:val="00930144"/>
    <w:rsid w:val="00930702"/>
    <w:rsid w:val="009844B8"/>
    <w:rsid w:val="009B150D"/>
    <w:rsid w:val="009B3259"/>
    <w:rsid w:val="00A33376"/>
    <w:rsid w:val="00A374AA"/>
    <w:rsid w:val="00A439FD"/>
    <w:rsid w:val="00A470D5"/>
    <w:rsid w:val="00A96645"/>
    <w:rsid w:val="00AC684C"/>
    <w:rsid w:val="00AD5FE5"/>
    <w:rsid w:val="00B468E0"/>
    <w:rsid w:val="00B601C4"/>
    <w:rsid w:val="00B74771"/>
    <w:rsid w:val="00BA0E40"/>
    <w:rsid w:val="00BE4F8F"/>
    <w:rsid w:val="00BF13D7"/>
    <w:rsid w:val="00C37274"/>
    <w:rsid w:val="00C57D45"/>
    <w:rsid w:val="00C70890"/>
    <w:rsid w:val="00CB5A85"/>
    <w:rsid w:val="00CD29D5"/>
    <w:rsid w:val="00D00776"/>
    <w:rsid w:val="00D20517"/>
    <w:rsid w:val="00D62618"/>
    <w:rsid w:val="00D63F98"/>
    <w:rsid w:val="00D674F9"/>
    <w:rsid w:val="00D95025"/>
    <w:rsid w:val="00DA073C"/>
    <w:rsid w:val="00DA675E"/>
    <w:rsid w:val="00DA7068"/>
    <w:rsid w:val="00DB1B07"/>
    <w:rsid w:val="00E05F07"/>
    <w:rsid w:val="00E12260"/>
    <w:rsid w:val="00E72BC6"/>
    <w:rsid w:val="00E75682"/>
    <w:rsid w:val="00E8496F"/>
    <w:rsid w:val="00F4279A"/>
    <w:rsid w:val="00F84E3D"/>
    <w:rsid w:val="00FB74BE"/>
    <w:rsid w:val="00FD6C70"/>
    <w:rsid w:val="00FD7BAE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686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425250"/>
    <w:pPr>
      <w:spacing w:after="600"/>
      <w:ind w:left="5245"/>
    </w:pPr>
  </w:style>
  <w:style w:type="paragraph" w:customStyle="1" w:styleId="Podpis-A7">
    <w:name w:val="Podpis-A7"/>
    <w:basedOn w:val="Normalny"/>
    <w:rsid w:val="0042525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425250"/>
    <w:pPr>
      <w:ind w:left="357" w:hanging="357"/>
      <w:jc w:val="both"/>
    </w:pPr>
  </w:style>
  <w:style w:type="paragraph" w:customStyle="1" w:styleId="ppkt">
    <w:name w:val="ppkt"/>
    <w:basedOn w:val="Normalny"/>
    <w:rsid w:val="00425250"/>
    <w:pPr>
      <w:ind w:left="782" w:hanging="425"/>
      <w:jc w:val="both"/>
    </w:pPr>
  </w:style>
  <w:style w:type="paragraph" w:customStyle="1" w:styleId="akapit">
    <w:name w:val="akapit"/>
    <w:basedOn w:val="Normalny"/>
    <w:rsid w:val="00425250"/>
    <w:pPr>
      <w:ind w:firstLine="851"/>
      <w:jc w:val="both"/>
    </w:pPr>
  </w:style>
  <w:style w:type="paragraph" w:customStyle="1" w:styleId="art">
    <w:name w:val="art"/>
    <w:basedOn w:val="Normalny"/>
    <w:rsid w:val="0042525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425250"/>
    <w:pPr>
      <w:numPr>
        <w:numId w:val="11"/>
      </w:numPr>
    </w:pPr>
  </w:style>
  <w:style w:type="paragraph" w:customStyle="1" w:styleId="Senatorowie">
    <w:name w:val="Senatorowie"/>
    <w:basedOn w:val="Normalny"/>
    <w:rsid w:val="00425250"/>
  </w:style>
  <w:style w:type="paragraph" w:styleId="Tekstdymka">
    <w:name w:val="Balloon Text"/>
    <w:basedOn w:val="Normalny"/>
    <w:semiHidden/>
    <w:rsid w:val="007C5025"/>
    <w:rPr>
      <w:rFonts w:ascii="Tahoma" w:hAnsi="Tahoma" w:cs="Tahoma"/>
      <w:sz w:val="16"/>
      <w:szCs w:val="16"/>
    </w:rPr>
  </w:style>
  <w:style w:type="paragraph" w:customStyle="1" w:styleId="druk-stanard">
    <w:name w:val="druk-stanard"/>
    <w:rsid w:val="00930702"/>
    <w:rPr>
      <w:sz w:val="24"/>
    </w:rPr>
  </w:style>
  <w:style w:type="paragraph" w:customStyle="1" w:styleId="WfPopup">
    <w:name w:val="WfPopup"/>
    <w:link w:val="WfPopupZnak"/>
    <w:rsid w:val="00276C52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6"/>
    </w:rPr>
  </w:style>
  <w:style w:type="character" w:customStyle="1" w:styleId="WfPopupZnak">
    <w:name w:val="WfPopup Znak"/>
    <w:basedOn w:val="Domylnaczcionkaakapitu"/>
    <w:link w:val="WfPopup"/>
    <w:rsid w:val="00276C52"/>
    <w:rPr>
      <w:rFonts w:ascii="Lucida Sans Unicode" w:hAnsi="Lucida Sans Unicode" w:cs="Lucida Sans Unicode"/>
      <w:noProof/>
      <w:sz w:val="18"/>
      <w:szCs w:val="26"/>
      <w:shd w:val="clear" w:color="auto" w:fill="FFF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686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425250"/>
    <w:pPr>
      <w:spacing w:after="600"/>
      <w:ind w:left="5245"/>
    </w:pPr>
  </w:style>
  <w:style w:type="paragraph" w:customStyle="1" w:styleId="Podpis-A7">
    <w:name w:val="Podpis-A7"/>
    <w:basedOn w:val="Normalny"/>
    <w:rsid w:val="0042525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425250"/>
    <w:pPr>
      <w:ind w:left="357" w:hanging="357"/>
      <w:jc w:val="both"/>
    </w:pPr>
  </w:style>
  <w:style w:type="paragraph" w:customStyle="1" w:styleId="ppkt">
    <w:name w:val="ppkt"/>
    <w:basedOn w:val="Normalny"/>
    <w:rsid w:val="00425250"/>
    <w:pPr>
      <w:ind w:left="782" w:hanging="425"/>
      <w:jc w:val="both"/>
    </w:pPr>
  </w:style>
  <w:style w:type="paragraph" w:customStyle="1" w:styleId="akapit">
    <w:name w:val="akapit"/>
    <w:basedOn w:val="Normalny"/>
    <w:rsid w:val="00425250"/>
    <w:pPr>
      <w:ind w:firstLine="851"/>
      <w:jc w:val="both"/>
    </w:pPr>
  </w:style>
  <w:style w:type="paragraph" w:customStyle="1" w:styleId="art">
    <w:name w:val="art"/>
    <w:basedOn w:val="Normalny"/>
    <w:rsid w:val="0042525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425250"/>
    <w:pPr>
      <w:numPr>
        <w:numId w:val="11"/>
      </w:numPr>
    </w:pPr>
  </w:style>
  <w:style w:type="paragraph" w:customStyle="1" w:styleId="Senatorowie">
    <w:name w:val="Senatorowie"/>
    <w:basedOn w:val="Normalny"/>
    <w:rsid w:val="00425250"/>
  </w:style>
  <w:style w:type="paragraph" w:styleId="Tekstdymka">
    <w:name w:val="Balloon Text"/>
    <w:basedOn w:val="Normalny"/>
    <w:semiHidden/>
    <w:rsid w:val="007C5025"/>
    <w:rPr>
      <w:rFonts w:ascii="Tahoma" w:hAnsi="Tahoma" w:cs="Tahoma"/>
      <w:sz w:val="16"/>
      <w:szCs w:val="16"/>
    </w:rPr>
  </w:style>
  <w:style w:type="paragraph" w:customStyle="1" w:styleId="druk-stanard">
    <w:name w:val="druk-stanard"/>
    <w:rsid w:val="00930702"/>
    <w:rPr>
      <w:sz w:val="24"/>
    </w:rPr>
  </w:style>
  <w:style w:type="paragraph" w:customStyle="1" w:styleId="WfPopup">
    <w:name w:val="WfPopup"/>
    <w:link w:val="WfPopupZnak"/>
    <w:rsid w:val="00276C52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6"/>
    </w:rPr>
  </w:style>
  <w:style w:type="character" w:customStyle="1" w:styleId="WfPopupZnak">
    <w:name w:val="WfPopup Znak"/>
    <w:basedOn w:val="Domylnaczcionkaakapitu"/>
    <w:link w:val="WfPopup"/>
    <w:rsid w:val="00276C52"/>
    <w:rPr>
      <w:rFonts w:ascii="Lucida Sans Unicode" w:hAnsi="Lucida Sans Unicode" w:cs="Lucida Sans Unicode"/>
      <w:noProof/>
      <w:sz w:val="18"/>
      <w:szCs w:val="26"/>
      <w:shd w:val="clear" w:color="auto" w:fill="FFF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8792D0E</Template>
  <TotalTime>1</TotalTime>
  <Pages>1</Pages>
  <Words>547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Kancelaria Senatu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u</dc:creator>
  <cp:lastModifiedBy>ks</cp:lastModifiedBy>
  <cp:revision>2</cp:revision>
  <cp:lastPrinted>2016-04-15T11:36:00Z</cp:lastPrinted>
  <dcterms:created xsi:type="dcterms:W3CDTF">2016-04-15T11:44:00Z</dcterms:created>
  <dcterms:modified xsi:type="dcterms:W3CDTF">2016-04-15T11:44:00Z</dcterms:modified>
</cp:coreProperties>
</file>