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alt="38736ED06A3D422896B095010879DE2B" style="width:450.75pt;height:361.5pt">
            <v:imagedata r:id="rId7" o:title=""/>
          </v:shape>
        </w:pict>
      </w:r>
    </w:p>
    <w:bookmarkEnd w:id="0"/>
    <w:p>
      <w:pPr>
        <w:rPr>
          <w:noProof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>
      <w:pPr>
        <w:tabs>
          <w:tab w:val="left" w:pos="7560"/>
        </w:tabs>
        <w:spacing w:after="0" w:line="240" w:lineRule="auto"/>
        <w:jc w:val="both"/>
        <w:rPr>
          <w:rFonts w:ascii="Times New Roman" w:eastAsia="Times New Roman" w:hAnsi="Times New Roman"/>
          <w:b/>
          <w:noProof/>
          <w:sz w:val="80"/>
          <w:szCs w:val="80"/>
          <w:lang w:val="en-GB" w:eastAsia="de-DE"/>
        </w:rPr>
      </w:pPr>
      <w:bookmarkStart w:id="1" w:name="_GoBack"/>
      <w:bookmarkEnd w:id="1"/>
      <w:r>
        <w:rPr>
          <w:rFonts w:ascii="Times New Roman" w:eastAsia="Times New Roman" w:hAnsi="Times New Roman"/>
          <w:b/>
          <w:noProof/>
          <w:sz w:val="80"/>
          <w:szCs w:val="80"/>
          <w:lang w:val="en-GB" w:eastAsia="de-DE"/>
        </w:rPr>
        <w:lastRenderedPageBreak/>
        <w:t>DOCUMENTS</w:t>
      </w:r>
    </w:p>
    <w:tbl>
      <w:tblPr>
        <w:tblW w:w="1104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FF"/>
        <w:tblLook w:val="01E0" w:firstRow="1" w:lastRow="1" w:firstColumn="1" w:lastColumn="1" w:noHBand="0" w:noVBand="0"/>
      </w:tblPr>
      <w:tblGrid>
        <w:gridCol w:w="11040"/>
      </w:tblGrid>
      <w:tr>
        <w:tc>
          <w:tcPr>
            <w:tcW w:w="11040" w:type="dxa"/>
            <w:shd w:val="clear" w:color="auto" w:fill="0000FF"/>
          </w:tcPr>
          <w:p>
            <w:pPr>
              <w:tabs>
                <w:tab w:val="left" w:pos="1800"/>
                <w:tab w:val="left" w:pos="2250"/>
                <w:tab w:val="left" w:pos="75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000FF"/>
                <w:sz w:val="24"/>
                <w:szCs w:val="24"/>
                <w:lang w:val="en-GB" w:eastAsia="de-DE"/>
              </w:rPr>
            </w:pPr>
            <w:r>
              <w:rPr>
                <w:rFonts w:ascii="Times New Roman" w:eastAsia="Times New Roman" w:hAnsi="Times New Roman"/>
                <w:noProof/>
                <w:color w:val="0000FF"/>
                <w:sz w:val="24"/>
                <w:szCs w:val="24"/>
                <w:lang w:val="en-GB" w:eastAsia="de-DE"/>
              </w:rPr>
              <w:tab/>
            </w:r>
            <w:r>
              <w:rPr>
                <w:rFonts w:ascii="Times New Roman" w:eastAsia="Times New Roman" w:hAnsi="Times New Roman"/>
                <w:noProof/>
                <w:color w:val="0000FF"/>
                <w:sz w:val="24"/>
                <w:szCs w:val="24"/>
                <w:lang w:val="en-GB" w:eastAsia="de-DE"/>
              </w:rPr>
              <w:tab/>
            </w:r>
          </w:p>
        </w:tc>
      </w:tr>
    </w:tbl>
    <w:p>
      <w:pPr>
        <w:spacing w:after="0" w:line="240" w:lineRule="auto"/>
        <w:ind w:right="972"/>
        <w:rPr>
          <w:rFonts w:ascii="Times New Roman" w:eastAsia="Times New Roman" w:hAnsi="Times New Roman"/>
          <w:b/>
          <w:noProof/>
          <w:sz w:val="44"/>
          <w:szCs w:val="44"/>
          <w:lang w:val="en-GB" w:eastAsia="de-DE"/>
        </w:rPr>
      </w:pPr>
      <w:r>
        <w:rPr>
          <w:rFonts w:ascii="Times New Roman" w:eastAsia="Times New Roman" w:hAnsi="Times New Roman"/>
          <w:b/>
          <w:noProof/>
          <w:sz w:val="44"/>
          <w:szCs w:val="44"/>
          <w:lang w:val="en-GB" w:eastAsia="de-DE"/>
        </w:rPr>
        <w:t>DRAFT General Budget</w:t>
      </w:r>
      <w:r>
        <w:rPr>
          <w:rFonts w:ascii="Times New Roman" w:eastAsia="Times New Roman" w:hAnsi="Times New Roman"/>
          <w:b/>
          <w:noProof/>
          <w:sz w:val="44"/>
          <w:szCs w:val="44"/>
          <w:lang w:val="en-GB" w:eastAsia="de-DE"/>
        </w:rPr>
        <w:br/>
        <w:t>of the European Union</w:t>
      </w:r>
      <w:r>
        <w:rPr>
          <w:rFonts w:ascii="Times New Roman" w:eastAsia="Times New Roman" w:hAnsi="Times New Roman"/>
          <w:b/>
          <w:noProof/>
          <w:sz w:val="44"/>
          <w:szCs w:val="44"/>
          <w:lang w:val="en-GB" w:eastAsia="de-DE"/>
        </w:rPr>
        <w:br/>
        <w:t>for the financial year 2017</w:t>
      </w:r>
    </w:p>
    <w:p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44"/>
          <w:szCs w:val="44"/>
          <w:lang w:val="en-GB" w:eastAsia="de-DE"/>
        </w:rPr>
      </w:pPr>
    </w:p>
    <w:p>
      <w:pPr>
        <w:spacing w:after="0" w:line="360" w:lineRule="auto"/>
        <w:jc w:val="both"/>
        <w:rPr>
          <w:rFonts w:ascii="Times New Roman" w:eastAsia="Times New Roman" w:hAnsi="Times New Roman"/>
          <w:b/>
          <w:noProof/>
          <w:sz w:val="44"/>
          <w:szCs w:val="44"/>
          <w:lang w:val="en-GB" w:eastAsia="de-DE"/>
        </w:rPr>
      </w:pPr>
    </w:p>
    <w:p>
      <w:pPr>
        <w:spacing w:after="0" w:line="360" w:lineRule="auto"/>
        <w:ind w:right="1512"/>
        <w:jc w:val="both"/>
        <w:rPr>
          <w:rFonts w:ascii="Times New Roman" w:eastAsia="Times New Roman" w:hAnsi="Times New Roman"/>
          <w:noProof/>
          <w:sz w:val="28"/>
          <w:szCs w:val="28"/>
          <w:lang w:val="en-GB" w:eastAsia="de-DE"/>
        </w:rPr>
      </w:pPr>
      <w:r>
        <w:rPr>
          <w:rFonts w:ascii="Times New Roman" w:eastAsia="Times New Roman" w:hAnsi="Times New Roman"/>
          <w:noProof/>
          <w:sz w:val="28"/>
          <w:szCs w:val="28"/>
          <w:lang w:val="en-GB" w:eastAsia="de-DE"/>
        </w:rPr>
        <w:t xml:space="preserve">— </w:t>
      </w:r>
      <w:r>
        <w:rPr>
          <w:rFonts w:ascii="Times New Roman" w:eastAsia="Times New Roman" w:hAnsi="Times New Roman"/>
          <w:noProof/>
          <w:sz w:val="28"/>
          <w:szCs w:val="28"/>
          <w:lang w:val="en-GB" w:eastAsia="de-DE"/>
        </w:rPr>
        <w:tab/>
        <w:t>General introduction</w:t>
      </w:r>
    </w:p>
    <w:p>
      <w:pPr>
        <w:spacing w:after="0" w:line="360" w:lineRule="auto"/>
        <w:ind w:right="1512"/>
        <w:jc w:val="both"/>
        <w:rPr>
          <w:rFonts w:ascii="Times New Roman" w:eastAsia="Times New Roman" w:hAnsi="Times New Roman"/>
          <w:noProof/>
          <w:sz w:val="28"/>
          <w:szCs w:val="28"/>
          <w:lang w:val="en-GB" w:eastAsia="de-DE"/>
        </w:rPr>
      </w:pPr>
      <w:r>
        <w:rPr>
          <w:rFonts w:ascii="Times New Roman" w:eastAsia="Times New Roman" w:hAnsi="Times New Roman"/>
          <w:noProof/>
          <w:sz w:val="28"/>
          <w:szCs w:val="28"/>
          <w:lang w:val="en-GB" w:eastAsia="de-DE"/>
        </w:rPr>
        <w:t xml:space="preserve">— </w:t>
      </w:r>
      <w:r>
        <w:rPr>
          <w:rFonts w:ascii="Times New Roman" w:eastAsia="Times New Roman" w:hAnsi="Times New Roman"/>
          <w:noProof/>
          <w:sz w:val="28"/>
          <w:szCs w:val="28"/>
          <w:lang w:val="en-GB" w:eastAsia="de-DE"/>
        </w:rPr>
        <w:tab/>
        <w:t>General statement of revenue</w:t>
      </w:r>
    </w:p>
    <w:p>
      <w:pPr>
        <w:spacing w:after="0" w:line="360" w:lineRule="auto"/>
        <w:ind w:right="1512"/>
        <w:jc w:val="both"/>
        <w:rPr>
          <w:rFonts w:ascii="Times New Roman" w:eastAsia="Times New Roman" w:hAnsi="Times New Roman"/>
          <w:noProof/>
          <w:sz w:val="28"/>
          <w:szCs w:val="28"/>
          <w:lang w:val="en-GB" w:eastAsia="de-DE"/>
        </w:rPr>
      </w:pPr>
      <w:r>
        <w:rPr>
          <w:rFonts w:ascii="Times New Roman" w:eastAsia="Times New Roman" w:hAnsi="Times New Roman"/>
          <w:noProof/>
          <w:sz w:val="28"/>
          <w:szCs w:val="28"/>
          <w:lang w:val="en-GB" w:eastAsia="de-DE"/>
        </w:rPr>
        <w:t xml:space="preserve">— </w:t>
      </w:r>
      <w:r>
        <w:rPr>
          <w:rFonts w:ascii="Times New Roman" w:eastAsia="Times New Roman" w:hAnsi="Times New Roman"/>
          <w:noProof/>
          <w:sz w:val="28"/>
          <w:szCs w:val="28"/>
          <w:lang w:val="en-GB" w:eastAsia="de-DE"/>
        </w:rPr>
        <w:tab/>
        <w:t xml:space="preserve">General statement of revenue and expenditure by section: </w:t>
      </w:r>
    </w:p>
    <w:p>
      <w:pPr>
        <w:spacing w:after="0" w:line="360" w:lineRule="auto"/>
        <w:ind w:right="1512"/>
        <w:jc w:val="both"/>
        <w:rPr>
          <w:rFonts w:ascii="Times New Roman" w:eastAsia="Times New Roman" w:hAnsi="Times New Roman"/>
          <w:noProof/>
          <w:sz w:val="28"/>
          <w:szCs w:val="28"/>
          <w:lang w:val="en-GB" w:eastAsia="de-DE"/>
        </w:rPr>
      </w:pPr>
      <w:r>
        <w:rPr>
          <w:rFonts w:ascii="Times New Roman" w:eastAsia="Times New Roman" w:hAnsi="Times New Roman"/>
          <w:noProof/>
          <w:sz w:val="28"/>
          <w:szCs w:val="28"/>
          <w:lang w:val="en-GB" w:eastAsia="de-DE"/>
        </w:rPr>
        <w:tab/>
        <w:t xml:space="preserve">— </w:t>
      </w:r>
      <w:r>
        <w:rPr>
          <w:rFonts w:ascii="Times New Roman" w:eastAsia="Times New Roman" w:hAnsi="Times New Roman"/>
          <w:noProof/>
          <w:sz w:val="28"/>
          <w:szCs w:val="28"/>
          <w:lang w:val="en-GB" w:eastAsia="de-DE"/>
        </w:rPr>
        <w:tab/>
        <w:t>Section 1:   European Parliament</w:t>
      </w:r>
    </w:p>
    <w:p>
      <w:pPr>
        <w:spacing w:after="0" w:line="360" w:lineRule="auto"/>
        <w:ind w:right="1512" w:firstLine="708"/>
        <w:jc w:val="both"/>
        <w:rPr>
          <w:rFonts w:ascii="Times New Roman" w:eastAsia="Times New Roman" w:hAnsi="Times New Roman"/>
          <w:noProof/>
          <w:sz w:val="28"/>
          <w:szCs w:val="28"/>
          <w:lang w:val="en-GB" w:eastAsia="de-DE"/>
        </w:rPr>
      </w:pPr>
      <w:r>
        <w:rPr>
          <w:rFonts w:ascii="Times New Roman" w:eastAsia="Times New Roman" w:hAnsi="Times New Roman"/>
          <w:noProof/>
          <w:sz w:val="28"/>
          <w:szCs w:val="28"/>
          <w:lang w:val="en-GB" w:eastAsia="de-DE"/>
        </w:rPr>
        <w:t xml:space="preserve">—  </w:t>
      </w:r>
      <w:r>
        <w:rPr>
          <w:rFonts w:ascii="Times New Roman" w:eastAsia="Times New Roman" w:hAnsi="Times New Roman"/>
          <w:noProof/>
          <w:sz w:val="28"/>
          <w:szCs w:val="28"/>
          <w:lang w:val="en-GB" w:eastAsia="de-DE"/>
        </w:rPr>
        <w:tab/>
        <w:t>Section 2:   European Council and Council</w:t>
      </w:r>
    </w:p>
    <w:p>
      <w:pPr>
        <w:spacing w:after="0" w:line="360" w:lineRule="auto"/>
        <w:ind w:right="1512"/>
        <w:jc w:val="both"/>
        <w:rPr>
          <w:rFonts w:ascii="Times New Roman" w:eastAsia="Times New Roman" w:hAnsi="Times New Roman"/>
          <w:noProof/>
          <w:sz w:val="28"/>
          <w:szCs w:val="28"/>
          <w:lang w:val="en-GB" w:eastAsia="de-DE"/>
        </w:rPr>
      </w:pPr>
      <w:r>
        <w:rPr>
          <w:rFonts w:ascii="Times New Roman" w:eastAsia="Times New Roman" w:hAnsi="Times New Roman"/>
          <w:noProof/>
          <w:sz w:val="28"/>
          <w:szCs w:val="28"/>
          <w:lang w:val="en-GB" w:eastAsia="de-DE"/>
        </w:rPr>
        <w:t xml:space="preserve"> </w:t>
      </w:r>
      <w:r>
        <w:rPr>
          <w:rFonts w:ascii="Times New Roman" w:eastAsia="Times New Roman" w:hAnsi="Times New Roman"/>
          <w:noProof/>
          <w:sz w:val="28"/>
          <w:szCs w:val="28"/>
          <w:lang w:val="en-GB" w:eastAsia="de-DE"/>
        </w:rPr>
        <w:tab/>
        <w:t xml:space="preserve">—  </w:t>
      </w:r>
      <w:r>
        <w:rPr>
          <w:rFonts w:ascii="Times New Roman" w:eastAsia="Times New Roman" w:hAnsi="Times New Roman"/>
          <w:noProof/>
          <w:sz w:val="28"/>
          <w:szCs w:val="28"/>
          <w:lang w:val="en-GB" w:eastAsia="de-DE"/>
        </w:rPr>
        <w:tab/>
        <w:t>Section 3:   Commission</w:t>
      </w:r>
    </w:p>
    <w:p>
      <w:pPr>
        <w:spacing w:after="0" w:line="360" w:lineRule="auto"/>
        <w:ind w:right="1512" w:firstLine="708"/>
        <w:jc w:val="both"/>
        <w:rPr>
          <w:rFonts w:ascii="Times New Roman" w:eastAsia="Times New Roman" w:hAnsi="Times New Roman"/>
          <w:noProof/>
          <w:sz w:val="28"/>
          <w:szCs w:val="28"/>
          <w:lang w:val="en-GB" w:eastAsia="de-DE"/>
        </w:rPr>
      </w:pPr>
      <w:r>
        <w:rPr>
          <w:rFonts w:ascii="Times New Roman" w:eastAsia="Times New Roman" w:hAnsi="Times New Roman"/>
          <w:noProof/>
          <w:sz w:val="28"/>
          <w:szCs w:val="28"/>
          <w:lang w:val="en-GB" w:eastAsia="de-DE"/>
        </w:rPr>
        <w:t xml:space="preserve">—  </w:t>
      </w:r>
      <w:r>
        <w:rPr>
          <w:rFonts w:ascii="Times New Roman" w:eastAsia="Times New Roman" w:hAnsi="Times New Roman"/>
          <w:noProof/>
          <w:sz w:val="28"/>
          <w:szCs w:val="28"/>
          <w:lang w:val="en-GB" w:eastAsia="de-DE"/>
        </w:rPr>
        <w:tab/>
        <w:t>Section 4:   Court of Justice of the European Union</w:t>
      </w:r>
    </w:p>
    <w:p>
      <w:pPr>
        <w:spacing w:after="0" w:line="360" w:lineRule="auto"/>
        <w:ind w:right="1512"/>
        <w:jc w:val="both"/>
        <w:rPr>
          <w:rFonts w:ascii="Times New Roman" w:eastAsia="Times New Roman" w:hAnsi="Times New Roman"/>
          <w:noProof/>
          <w:sz w:val="28"/>
          <w:szCs w:val="28"/>
          <w:lang w:val="en-GB" w:eastAsia="de-DE"/>
        </w:rPr>
      </w:pPr>
      <w:r>
        <w:rPr>
          <w:rFonts w:ascii="Times New Roman" w:eastAsia="Times New Roman" w:hAnsi="Times New Roman"/>
          <w:noProof/>
          <w:sz w:val="28"/>
          <w:szCs w:val="28"/>
          <w:lang w:val="en-GB" w:eastAsia="de-DE"/>
        </w:rPr>
        <w:t xml:space="preserve"> </w:t>
      </w:r>
      <w:r>
        <w:rPr>
          <w:rFonts w:ascii="Times New Roman" w:eastAsia="Times New Roman" w:hAnsi="Times New Roman"/>
          <w:noProof/>
          <w:sz w:val="28"/>
          <w:szCs w:val="28"/>
          <w:lang w:val="en-GB" w:eastAsia="de-DE"/>
        </w:rPr>
        <w:tab/>
        <w:t xml:space="preserve">—  </w:t>
      </w:r>
      <w:r>
        <w:rPr>
          <w:rFonts w:ascii="Times New Roman" w:eastAsia="Times New Roman" w:hAnsi="Times New Roman"/>
          <w:noProof/>
          <w:sz w:val="28"/>
          <w:szCs w:val="28"/>
          <w:lang w:val="en-GB" w:eastAsia="de-DE"/>
        </w:rPr>
        <w:tab/>
        <w:t>Section 5:   Court of Auditors</w:t>
      </w:r>
    </w:p>
    <w:p>
      <w:pPr>
        <w:spacing w:after="0" w:line="360" w:lineRule="auto"/>
        <w:ind w:right="1134" w:firstLine="708"/>
        <w:jc w:val="both"/>
        <w:rPr>
          <w:rFonts w:ascii="Times New Roman" w:eastAsia="Times New Roman" w:hAnsi="Times New Roman"/>
          <w:noProof/>
          <w:sz w:val="28"/>
          <w:szCs w:val="28"/>
          <w:lang w:val="en-GB" w:eastAsia="de-DE"/>
        </w:rPr>
      </w:pPr>
      <w:r>
        <w:rPr>
          <w:rFonts w:ascii="Times New Roman" w:eastAsia="Times New Roman" w:hAnsi="Times New Roman"/>
          <w:noProof/>
          <w:sz w:val="28"/>
          <w:szCs w:val="28"/>
          <w:lang w:val="en-GB" w:eastAsia="de-DE"/>
        </w:rPr>
        <w:t xml:space="preserve">—  </w:t>
      </w:r>
      <w:r>
        <w:rPr>
          <w:rFonts w:ascii="Times New Roman" w:eastAsia="Times New Roman" w:hAnsi="Times New Roman"/>
          <w:noProof/>
          <w:sz w:val="28"/>
          <w:szCs w:val="28"/>
          <w:lang w:val="en-GB" w:eastAsia="de-DE"/>
        </w:rPr>
        <w:tab/>
        <w:t>Section 6:   European Economic and Social Committee</w:t>
      </w:r>
    </w:p>
    <w:p>
      <w:pPr>
        <w:spacing w:after="0" w:line="360" w:lineRule="auto"/>
        <w:ind w:right="1512"/>
        <w:jc w:val="both"/>
        <w:rPr>
          <w:rFonts w:ascii="Times New Roman" w:eastAsia="Times New Roman" w:hAnsi="Times New Roman"/>
          <w:noProof/>
          <w:sz w:val="28"/>
          <w:szCs w:val="28"/>
          <w:lang w:val="en-GB" w:eastAsia="de-DE"/>
        </w:rPr>
      </w:pPr>
      <w:r>
        <w:rPr>
          <w:rFonts w:ascii="Times New Roman" w:eastAsia="Times New Roman" w:hAnsi="Times New Roman"/>
          <w:noProof/>
          <w:sz w:val="28"/>
          <w:szCs w:val="28"/>
          <w:lang w:val="en-GB" w:eastAsia="de-DE"/>
        </w:rPr>
        <w:t xml:space="preserve"> </w:t>
      </w:r>
      <w:r>
        <w:rPr>
          <w:rFonts w:ascii="Times New Roman" w:eastAsia="Times New Roman" w:hAnsi="Times New Roman"/>
          <w:noProof/>
          <w:sz w:val="28"/>
          <w:szCs w:val="28"/>
          <w:lang w:val="en-GB" w:eastAsia="de-DE"/>
        </w:rPr>
        <w:tab/>
        <w:t xml:space="preserve">—  </w:t>
      </w:r>
      <w:r>
        <w:rPr>
          <w:rFonts w:ascii="Times New Roman" w:eastAsia="Times New Roman" w:hAnsi="Times New Roman"/>
          <w:noProof/>
          <w:sz w:val="28"/>
          <w:szCs w:val="28"/>
          <w:lang w:val="en-GB" w:eastAsia="de-DE"/>
        </w:rPr>
        <w:tab/>
        <w:t>Section 7:   Committee of the Regions</w:t>
      </w:r>
    </w:p>
    <w:p>
      <w:pPr>
        <w:spacing w:after="0" w:line="360" w:lineRule="auto"/>
        <w:ind w:right="1512" w:firstLine="708"/>
        <w:jc w:val="both"/>
        <w:rPr>
          <w:rFonts w:ascii="Times New Roman" w:eastAsia="Times New Roman" w:hAnsi="Times New Roman"/>
          <w:noProof/>
          <w:sz w:val="28"/>
          <w:szCs w:val="28"/>
          <w:lang w:val="en-GB" w:eastAsia="de-DE"/>
        </w:rPr>
      </w:pPr>
      <w:r>
        <w:rPr>
          <w:rFonts w:ascii="Times New Roman" w:eastAsia="Times New Roman" w:hAnsi="Times New Roman"/>
          <w:noProof/>
          <w:sz w:val="28"/>
          <w:szCs w:val="28"/>
          <w:lang w:val="en-GB" w:eastAsia="de-DE"/>
        </w:rPr>
        <w:t xml:space="preserve">—  </w:t>
      </w:r>
      <w:r>
        <w:rPr>
          <w:rFonts w:ascii="Times New Roman" w:eastAsia="Times New Roman" w:hAnsi="Times New Roman"/>
          <w:noProof/>
          <w:sz w:val="28"/>
          <w:szCs w:val="28"/>
          <w:lang w:val="en-GB" w:eastAsia="de-DE"/>
        </w:rPr>
        <w:tab/>
        <w:t>Section 8:   European Ombudsman</w:t>
      </w:r>
    </w:p>
    <w:p>
      <w:pPr>
        <w:spacing w:after="0" w:line="360" w:lineRule="auto"/>
        <w:ind w:right="1512"/>
        <w:jc w:val="both"/>
        <w:rPr>
          <w:rFonts w:ascii="Times New Roman" w:eastAsia="Times New Roman" w:hAnsi="Times New Roman"/>
          <w:noProof/>
          <w:sz w:val="28"/>
          <w:szCs w:val="28"/>
          <w:lang w:val="en-GB" w:eastAsia="de-DE"/>
        </w:rPr>
      </w:pPr>
      <w:r>
        <w:rPr>
          <w:rFonts w:ascii="Times New Roman" w:eastAsia="Times New Roman" w:hAnsi="Times New Roman"/>
          <w:noProof/>
          <w:sz w:val="28"/>
          <w:szCs w:val="28"/>
          <w:lang w:val="en-GB" w:eastAsia="de-DE"/>
        </w:rPr>
        <w:t xml:space="preserve"> </w:t>
      </w:r>
      <w:r>
        <w:rPr>
          <w:rFonts w:ascii="Times New Roman" w:eastAsia="Times New Roman" w:hAnsi="Times New Roman"/>
          <w:noProof/>
          <w:sz w:val="28"/>
          <w:szCs w:val="28"/>
          <w:lang w:val="en-GB" w:eastAsia="de-DE"/>
        </w:rPr>
        <w:tab/>
        <w:t xml:space="preserve">—  </w:t>
      </w:r>
      <w:r>
        <w:rPr>
          <w:rFonts w:ascii="Times New Roman" w:eastAsia="Times New Roman" w:hAnsi="Times New Roman"/>
          <w:noProof/>
          <w:sz w:val="28"/>
          <w:szCs w:val="28"/>
          <w:lang w:val="en-GB" w:eastAsia="de-DE"/>
        </w:rPr>
        <w:tab/>
        <w:t>Section 9:   European Data Protection Supervisor</w:t>
      </w:r>
    </w:p>
    <w:p>
      <w:pPr>
        <w:spacing w:after="0" w:line="360" w:lineRule="auto"/>
        <w:ind w:right="1512"/>
        <w:jc w:val="both"/>
        <w:rPr>
          <w:rFonts w:ascii="Times New Roman" w:eastAsia="Times New Roman" w:hAnsi="Times New Roman"/>
          <w:noProof/>
          <w:sz w:val="28"/>
          <w:szCs w:val="28"/>
          <w:lang w:eastAsia="de-DE"/>
        </w:rPr>
      </w:pPr>
      <w:r>
        <w:rPr>
          <w:rFonts w:ascii="Times New Roman" w:eastAsia="Times New Roman" w:hAnsi="Times New Roman"/>
          <w:noProof/>
          <w:sz w:val="28"/>
          <w:szCs w:val="28"/>
          <w:lang w:val="en-GB" w:eastAsia="de-DE"/>
        </w:rPr>
        <w:t xml:space="preserve"> </w:t>
      </w:r>
      <w:r>
        <w:rPr>
          <w:rFonts w:ascii="Times New Roman" w:eastAsia="Times New Roman" w:hAnsi="Times New Roman"/>
          <w:noProof/>
          <w:sz w:val="28"/>
          <w:szCs w:val="28"/>
          <w:lang w:val="en-GB" w:eastAsia="de-DE"/>
        </w:rPr>
        <w:tab/>
      </w:r>
      <w:r>
        <w:rPr>
          <w:rFonts w:ascii="Times New Roman" w:eastAsia="Times New Roman" w:hAnsi="Times New Roman"/>
          <w:noProof/>
          <w:sz w:val="28"/>
          <w:szCs w:val="28"/>
          <w:lang w:eastAsia="de-DE"/>
        </w:rPr>
        <w:t xml:space="preserve">—  </w:t>
      </w:r>
      <w:r>
        <w:rPr>
          <w:rFonts w:ascii="Times New Roman" w:eastAsia="Times New Roman" w:hAnsi="Times New Roman"/>
          <w:noProof/>
          <w:sz w:val="28"/>
          <w:szCs w:val="28"/>
          <w:lang w:eastAsia="de-DE"/>
        </w:rPr>
        <w:tab/>
        <w:t xml:space="preserve">Section 10: </w:t>
      </w:r>
      <w:r>
        <w:rPr>
          <w:rFonts w:ascii="Times New Roman" w:eastAsia="Times New Roman" w:hAnsi="Times New Roman"/>
          <w:noProof/>
          <w:sz w:val="28"/>
          <w:szCs w:val="28"/>
          <w:lang w:val="en-GB" w:eastAsia="de-DE"/>
        </w:rPr>
        <w:t>European</w:t>
      </w:r>
      <w:r>
        <w:rPr>
          <w:rFonts w:ascii="Times New Roman" w:eastAsia="Times New Roman" w:hAnsi="Times New Roman"/>
          <w:noProof/>
          <w:sz w:val="28"/>
          <w:szCs w:val="28"/>
          <w:lang w:eastAsia="de-DE"/>
        </w:rPr>
        <w:t xml:space="preserve"> </w:t>
      </w:r>
      <w:r>
        <w:rPr>
          <w:rFonts w:ascii="Times New Roman" w:eastAsia="Times New Roman" w:hAnsi="Times New Roman"/>
          <w:noProof/>
          <w:sz w:val="28"/>
          <w:szCs w:val="28"/>
          <w:lang w:val="en-GB" w:eastAsia="de-DE"/>
        </w:rPr>
        <w:t>External</w:t>
      </w:r>
      <w:r>
        <w:rPr>
          <w:rFonts w:ascii="Times New Roman" w:eastAsia="Times New Roman" w:hAnsi="Times New Roman"/>
          <w:noProof/>
          <w:sz w:val="28"/>
          <w:szCs w:val="28"/>
          <w:lang w:eastAsia="de-DE"/>
        </w:rPr>
        <w:t xml:space="preserve"> Action Service </w:t>
      </w:r>
    </w:p>
    <w:p>
      <w:pPr>
        <w:spacing w:after="0" w:line="360" w:lineRule="auto"/>
        <w:ind w:right="1512"/>
        <w:jc w:val="both"/>
        <w:rPr>
          <w:rFonts w:ascii="Times New Roman" w:eastAsia="Times New Roman" w:hAnsi="Times New Roman"/>
          <w:noProof/>
          <w:sz w:val="28"/>
          <w:szCs w:val="28"/>
          <w:lang w:eastAsia="de-DE"/>
        </w:rPr>
      </w:pPr>
    </w:p>
    <w:p>
      <w:pPr>
        <w:spacing w:after="0" w:line="360" w:lineRule="auto"/>
        <w:ind w:right="1512"/>
        <w:jc w:val="both"/>
        <w:rPr>
          <w:rFonts w:ascii="Times New Roman" w:eastAsia="Times New Roman" w:hAnsi="Times New Roman"/>
          <w:noProof/>
          <w:sz w:val="24"/>
          <w:szCs w:val="24"/>
          <w:lang w:eastAsia="de-DE"/>
        </w:rPr>
      </w:pPr>
      <w:hyperlink r:id="rId14" w:history="1">
        <w:r>
          <w:rPr>
            <w:rStyle w:val="Hyperlink"/>
            <w:rFonts w:ascii="Times New Roman" w:eastAsia="Times New Roman" w:hAnsi="Times New Roman"/>
            <w:noProof/>
            <w:sz w:val="24"/>
            <w:szCs w:val="24"/>
            <w:lang w:eastAsia="de-DE"/>
          </w:rPr>
          <w:t>http://eur-lex.europa.eu/budget/www/index-en.htm</w:t>
        </w:r>
      </w:hyperlink>
    </w:p>
    <w:p>
      <w:pPr>
        <w:tabs>
          <w:tab w:val="left" w:pos="7560"/>
          <w:tab w:val="right" w:pos="9000"/>
        </w:tabs>
        <w:spacing w:after="0" w:line="240" w:lineRule="auto"/>
        <w:ind w:right="23"/>
        <w:jc w:val="right"/>
        <w:rPr>
          <w:rFonts w:ascii="Times New Roman" w:eastAsia="Times New Roman" w:hAnsi="Times New Roman"/>
          <w:noProof/>
          <w:lang w:eastAsia="de-DE"/>
        </w:rPr>
      </w:pPr>
    </w:p>
    <w:tbl>
      <w:tblPr>
        <w:tblW w:w="1104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FF"/>
        <w:tblLook w:val="01E0" w:firstRow="1" w:lastRow="1" w:firstColumn="1" w:lastColumn="1" w:noHBand="0" w:noVBand="0"/>
      </w:tblPr>
      <w:tblGrid>
        <w:gridCol w:w="11040"/>
      </w:tblGrid>
      <w:tr>
        <w:tc>
          <w:tcPr>
            <w:tcW w:w="11040" w:type="dxa"/>
            <w:shd w:val="clear" w:color="auto" w:fill="0000FF"/>
          </w:tcPr>
          <w:p>
            <w:pPr>
              <w:tabs>
                <w:tab w:val="left" w:pos="75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32"/>
                <w:szCs w:val="32"/>
                <w:lang w:eastAsia="de-DE"/>
              </w:rPr>
            </w:pPr>
          </w:p>
          <w:p>
            <w:pPr>
              <w:tabs>
                <w:tab w:val="left" w:pos="75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32"/>
                <w:szCs w:val="32"/>
                <w:lang w:eastAsia="de-DE"/>
              </w:rPr>
            </w:pPr>
          </w:p>
          <w:p>
            <w:pPr>
              <w:tabs>
                <w:tab w:val="left" w:pos="75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32"/>
                <w:szCs w:val="32"/>
                <w:lang w:eastAsia="de-DE"/>
              </w:rPr>
            </w:pPr>
          </w:p>
          <w:p>
            <w:pPr>
              <w:tabs>
                <w:tab w:val="left" w:pos="75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32"/>
                <w:szCs w:val="32"/>
                <w:lang w:eastAsia="de-DE"/>
              </w:rPr>
            </w:pPr>
          </w:p>
          <w:p>
            <w:pPr>
              <w:tabs>
                <w:tab w:val="left" w:pos="75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32"/>
                <w:szCs w:val="32"/>
                <w:lang w:eastAsia="de-DE"/>
              </w:rPr>
            </w:pPr>
          </w:p>
        </w:tc>
      </w:tr>
    </w:tbl>
    <w:p>
      <w:pPr>
        <w:rPr>
          <w:noProof/>
        </w:rPr>
      </w:pPr>
    </w:p>
    <w:sectPr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EN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EN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revisionView w:markup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ocStatus" w:val="Green"/>
    <w:docVar w:name="LW_CONFIDENCE" w:val=" "/>
    <w:docVar w:name="LW_CONST_RESTREINT_UE" w:val="RESTREINT UE"/>
    <w:docVar w:name="LW_CORRIGENDUM" w:val="&lt;UNUSED&gt;"/>
    <w:docVar w:name="LW_COVERPAGE_GUID" w:val="38736ED06A3D422896B095010879DE2B"/>
    <w:docVar w:name="LW_CROSSREFERENCE" w:val="&lt;UNUSED&gt;"/>
    <w:docVar w:name="LW_DocType" w:val="NORMAL"/>
    <w:docVar w:name="LW_EMISSION" w:val="18.7.2016"/>
    <w:docVar w:name="LW_EMISSION_ISODATE" w:val="2016-07-18"/>
    <w:docVar w:name="LW_EMISSION_LOCATION" w:val="BRX"/>
    <w:docVar w:name="LW_EMISSION_PREFIX" w:val="Brussels, "/>
    <w:docVar w:name="LW_EMISSION_SUFFIX" w:val=" "/>
    <w:docVar w:name="LW_ID_DOCTYPE_NONLW" w:val="CP-035"/>
    <w:docVar w:name="LW_LANGUE" w:val="EN"/>
    <w:docVar w:name="LW_MARKING" w:val="&lt;UNUSED&gt;"/>
    <w:docVar w:name="LW_NOM.INST" w:val="EUROPEAN COMMISSION"/>
    <w:docVar w:name="LW_NOM.INST_JOINTDOC" w:val="&lt;EMPTY&gt;"/>
    <w:docVar w:name="LW_PART_NBR" w:val="1"/>
    <w:docVar w:name="LW_PART_NBR_TOTAL" w:val="1"/>
    <w:docVar w:name="LW_REF.II.NEW.CP" w:val="&lt;UNUSED&gt;"/>
    <w:docVar w:name="LW_REF.II.NEW.CP_NUMBER" w:val="&lt;UNUSED&gt;"/>
    <w:docVar w:name="LW_REF.II.NEW.CP_YEAR" w:val="2016"/>
    <w:docVar w:name="LW_REF.INST.NEW" w:val="COM"/>
    <w:docVar w:name="LW_REF.INST.NEW_ADOPTED" w:val="final"/>
    <w:docVar w:name="LW_REF.INST.NEW_TEXT" w:val="(2016) 300"/>
    <w:docVar w:name="LW_REF.INTERNE" w:val="&lt;UNUSED&gt;"/>
    <w:docVar w:name="LW_SOUS.TITRE.OBJ.CP" w:val="&lt;UNUSED&gt;"/>
    <w:docVar w:name="LW_SUPERTITRE" w:val="&lt;UNUSED&gt;"/>
    <w:docVar w:name="LW_TITRE.OBJ.CP" w:val="- General Introduction_x000b_- General statement of revenue_x000b_- General statement of revenue and expenditure by section"/>
    <w:docVar w:name="LW_TYPE.DOC.CP" w:val="DRAFT General Budget_x000b_of the European Union_x000b_for the financial year 2017_x000b_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fr-BE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/>
      <w:sz w:val="24"/>
      <w:szCs w:val="20"/>
      <w:lang w:val="en-GB" w:eastAsia="en-GB"/>
    </w:rPr>
  </w:style>
  <w:style w:type="character" w:customStyle="1" w:styleId="FooterCoverPageChar">
    <w:name w:val="Footer Cover Page Char"/>
    <w:link w:val="FooterCoverPage"/>
    <w:rPr>
      <w:rFonts w:ascii="Times New Roman" w:hAnsi="Times New Roman"/>
      <w:sz w:val="24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/>
      <w:sz w:val="24"/>
      <w:szCs w:val="20"/>
      <w:lang w:val="en-GB" w:eastAsia="en-GB"/>
    </w:rPr>
  </w:style>
  <w:style w:type="character" w:customStyle="1" w:styleId="HeaderCoverPageChar">
    <w:name w:val="Header Cover Page Char"/>
    <w:link w:val="HeaderCoverPage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fr-BE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/>
      <w:sz w:val="24"/>
      <w:szCs w:val="20"/>
      <w:lang w:val="en-GB" w:eastAsia="en-GB"/>
    </w:rPr>
  </w:style>
  <w:style w:type="character" w:customStyle="1" w:styleId="FooterCoverPageChar">
    <w:name w:val="Footer Cover Page Char"/>
    <w:link w:val="FooterCoverPage"/>
    <w:rPr>
      <w:rFonts w:ascii="Times New Roman" w:hAnsi="Times New Roman"/>
      <w:sz w:val="24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/>
      <w:sz w:val="24"/>
      <w:szCs w:val="20"/>
      <w:lang w:val="en-GB" w:eastAsia="en-GB"/>
    </w:rPr>
  </w:style>
  <w:style w:type="character" w:customStyle="1" w:styleId="HeaderCoverPageChar">
    <w:name w:val="Header Cover Page Char"/>
    <w:link w:val="HeaderCoverPage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microsoft.com/office/2007/relationships/stylesWithEffects" Target="stylesWithEffect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eur-lex.europa.eu/budget/www/index-en.ht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103</Words>
  <Characters>676</Characters>
  <Application>Microsoft Office Word</Application>
  <DocSecurity>0</DocSecurity>
  <Lines>37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757</CharactersWithSpaces>
  <SharedDoc>false</SharedDoc>
  <HLinks>
    <vt:vector size="6" baseType="variant">
      <vt:variant>
        <vt:i4>5046279</vt:i4>
      </vt:variant>
      <vt:variant>
        <vt:i4>0</vt:i4>
      </vt:variant>
      <vt:variant>
        <vt:i4>0</vt:i4>
      </vt:variant>
      <vt:variant>
        <vt:i4>5</vt:i4>
      </vt:variant>
      <vt:variant>
        <vt:lpwstr>http://eur-lex.europa.eu/budget/www/index-en.htm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DIGIT/A3</cp:lastModifiedBy>
  <cp:revision>18</cp:revision>
  <cp:lastPrinted>2014-05-21T15:05:00Z</cp:lastPrinted>
  <dcterms:created xsi:type="dcterms:W3CDTF">2015-05-20T11:07:00Z</dcterms:created>
  <dcterms:modified xsi:type="dcterms:W3CDTF">2016-07-18T08:53:00Z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 </vt:lpwstr>
  </property>
  <property fmtid="{D5CDD505-2E9C-101B-9397-08002B2CF9AE}" pid="3" name="DocStatus">
    <vt:lpwstr>Green</vt:lpwstr>
  </property>
  <property fmtid="{D5CDD505-2E9C-101B-9397-08002B2CF9AE}" pid="4" name="Part">
    <vt:lpwstr>1</vt:lpwstr>
  </property>
  <property fmtid="{D5CDD505-2E9C-101B-9397-08002B2CF9AE}" pid="5" name="Total parts">
    <vt:lpwstr>1</vt:lpwstr>
  </property>
</Properties>
</file>