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B58944906C164B16951A2E61A18FD7F5" style="width:450.8pt;height:361.9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80"/>
          <w:szCs w:val="80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80"/>
        </w:rPr>
        <w:lastRenderedPageBreak/>
        <w:t>DOKUMENTY</w:t>
      </w: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>
        <w:tc>
          <w:tcPr>
            <w:tcW w:w="11040" w:type="dxa"/>
            <w:shd w:val="clear" w:color="auto" w:fill="0000FF"/>
          </w:tcPr>
          <w:p>
            <w:pPr>
              <w:tabs>
                <w:tab w:val="left" w:pos="1800"/>
                <w:tab w:val="left" w:pos="2250"/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</w:tc>
      </w:tr>
    </w:tbl>
    <w:p>
      <w:pPr>
        <w:spacing w:after="0" w:line="240" w:lineRule="auto"/>
        <w:ind w:right="972"/>
        <w:rPr>
          <w:rFonts w:ascii="Times New Roman" w:eastAsia="Times New Roman" w:hAnsi="Times New Roman"/>
          <w:b/>
          <w:noProof/>
          <w:sz w:val="44"/>
          <w:szCs w:val="44"/>
        </w:rPr>
      </w:pPr>
      <w:r>
        <w:rPr>
          <w:rFonts w:ascii="Times New Roman" w:hAnsi="Times New Roman"/>
          <w:b/>
          <w:noProof/>
          <w:sz w:val="44"/>
        </w:rPr>
        <w:t>NÁVRH všeobecného rozpočtu</w:t>
      </w:r>
      <w:r>
        <w:rPr>
          <w:rFonts w:ascii="Times New Roman" w:eastAsia="Times New Roman" w:hAnsi="Times New Roman"/>
          <w:b/>
          <w:noProof/>
          <w:sz w:val="44"/>
          <w:szCs w:val="44"/>
        </w:rPr>
        <w:br/>
      </w:r>
      <w:r>
        <w:rPr>
          <w:rFonts w:ascii="Times New Roman" w:hAnsi="Times New Roman"/>
          <w:b/>
          <w:noProof/>
          <w:sz w:val="44"/>
        </w:rPr>
        <w:t>Európskej Únie</w:t>
      </w:r>
      <w:r>
        <w:rPr>
          <w:rFonts w:ascii="Times New Roman" w:eastAsia="Times New Roman" w:hAnsi="Times New Roman"/>
          <w:b/>
          <w:noProof/>
          <w:sz w:val="44"/>
          <w:szCs w:val="44"/>
        </w:rPr>
        <w:br/>
      </w:r>
      <w:r>
        <w:rPr>
          <w:rFonts w:ascii="Times New Roman" w:hAnsi="Times New Roman"/>
          <w:b/>
          <w:noProof/>
          <w:sz w:val="44"/>
        </w:rPr>
        <w:t>na rozpočtový rok 2017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44"/>
          <w:szCs w:val="44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sz w:val="44"/>
          <w:szCs w:val="44"/>
        </w:rPr>
      </w:pP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Všeobecný úvod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Všeobecný výkaz príjmov</w:t>
      </w:r>
    </w:p>
    <w:p>
      <w:pPr>
        <w:spacing w:after="0" w:line="360" w:lineRule="auto"/>
        <w:ind w:right="1512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–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Všeobecný výkaz príjmov a výdavkov podľa oddielov: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Oddiel 1:   Európsky parlament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Oddiel 2:   Európska rada a Rada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Oddiel 3:   Komisia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Oddiel 4:   Súdny dvor Európskej únie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Oddiel 5:   Dvor audítorov</w:t>
      </w:r>
    </w:p>
    <w:p>
      <w:pPr>
        <w:spacing w:after="0" w:line="360" w:lineRule="auto"/>
        <w:ind w:right="1134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Oddiel 6:   Európsky hospodársky a sociálny výbor</w:t>
      </w: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Oddiel 7:   Výbor regiónov</w:t>
      </w:r>
    </w:p>
    <w:p>
      <w:pPr>
        <w:spacing w:after="0" w:line="360" w:lineRule="auto"/>
        <w:ind w:right="1512"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Oddiel 8:   Európsky ombudsman</w:t>
      </w:r>
    </w:p>
    <w:p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Oddiel 9:   Európsky dozorný úradník pre ochranu údajov</w:t>
      </w:r>
    </w:p>
    <w:p>
      <w:pPr>
        <w:spacing w:after="0" w:line="360" w:lineRule="auto"/>
        <w:ind w:right="1512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–</w:t>
      </w:r>
      <w:r>
        <w:rPr>
          <w:noProof/>
        </w:rPr>
        <w:tab/>
      </w:r>
      <w:r>
        <w:rPr>
          <w:rFonts w:ascii="Times New Roman" w:hAnsi="Times New Roman"/>
          <w:noProof/>
          <w:sz w:val="28"/>
        </w:rPr>
        <w:t>Oddiel 10: Európska služba pre vonkajšiu činnosť</w:t>
      </w:r>
    </w:p>
    <w:p>
      <w:pPr>
        <w:spacing w:after="0" w:line="240" w:lineRule="auto"/>
        <w:ind w:right="1514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>
      <w:pPr>
        <w:spacing w:after="0" w:line="360" w:lineRule="auto"/>
        <w:ind w:right="1512"/>
        <w:jc w:val="both"/>
        <w:rPr>
          <w:rFonts w:ascii="Times New Roman" w:eastAsia="Times New Roman" w:hAnsi="Times New Roman"/>
          <w:noProof/>
          <w:sz w:val="24"/>
          <w:szCs w:val="24"/>
        </w:rPr>
      </w:pPr>
      <w:hyperlink r:id="rId14">
        <w:r>
          <w:rPr>
            <w:rStyle w:val="Hyperlink"/>
            <w:rFonts w:ascii="Times New Roman" w:hAnsi="Times New Roman"/>
            <w:noProof/>
            <w:sz w:val="24"/>
          </w:rPr>
          <w:t>http://eur-lex.europa.eu/budget/www/index-sk.htm</w:t>
        </w:r>
      </w:hyperlink>
    </w:p>
    <w:p>
      <w:pPr>
        <w:tabs>
          <w:tab w:val="left" w:pos="7560"/>
          <w:tab w:val="right" w:pos="9000"/>
        </w:tabs>
        <w:spacing w:after="0" w:line="240" w:lineRule="auto"/>
        <w:ind w:right="23"/>
        <w:jc w:val="right"/>
        <w:rPr>
          <w:rFonts w:ascii="Times New Roman" w:eastAsia="Times New Roman" w:hAnsi="Times New Roman"/>
          <w:noProof/>
        </w:rPr>
      </w:pP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040"/>
      </w:tblGrid>
      <w:tr>
        <w:tc>
          <w:tcPr>
            <w:tcW w:w="11040" w:type="dxa"/>
            <w:shd w:val="clear" w:color="auto" w:fill="0000FF"/>
          </w:tcPr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  <w:p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</w:p>
        </w:tc>
      </w:tr>
    </w:tbl>
    <w:p>
      <w:pPr>
        <w:spacing w:after="0" w:line="240" w:lineRule="auto"/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CONFIDENCE" w:val=" "/>
    <w:docVar w:name="LW_CONST_RESTREINT_UE" w:val="RESTREINT UE"/>
    <w:docVar w:name="LW_CORRIGENDUM" w:val="&lt;UNUSED&gt;"/>
    <w:docVar w:name="LW_COVERPAGE_GUID" w:val="B58944906C164B16951A2E61A18FD7F5"/>
    <w:docVar w:name="LW_CROSSREFERENCE" w:val="&lt;UNUSED&gt;"/>
    <w:docVar w:name="LW_DocType" w:val="NORMAL"/>
    <w:docVar w:name="LW_EMISSION" w:val="18. 7. 2016"/>
    <w:docVar w:name="LW_EMISSION_ISODATE" w:val="2016-07-18"/>
    <w:docVar w:name="LW_EMISSION_LOCATION" w:val="BRX"/>
    <w:docVar w:name="LW_EMISSION_PREFIX" w:val="V Bruseli"/>
    <w:docVar w:name="LW_EMISSION_SUFFIX" w:val=" "/>
    <w:docVar w:name="LW_ID_DOCTYPE_NONLW" w:val="CP-035"/>
    <w:docVar w:name="LW_LANGUE" w:val="SK"/>
    <w:docVar w:name="LW_MARKING" w:val="&lt;UNUSED&gt;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6"/>
    <w:docVar w:name="LW_REF.INST.NEW" w:val="COM"/>
    <w:docVar w:name="LW_REF.INST.NEW_ADOPTED" w:val="final"/>
    <w:docVar w:name="LW_REF.INST.NEW_TEXT" w:val="(2016) 300"/>
    <w:docVar w:name="LW_REF.INTERNE" w:val="&lt;UNUSED&gt;"/>
    <w:docVar w:name="LW_SOUS.TITRE.OBJ.CP" w:val="&lt;UNUSED&gt;"/>
    <w:docVar w:name="LW_SUPERTITRE" w:val="&lt;UNUSED&gt;"/>
    <w:docVar w:name="LW_TITRE.OBJ.CP" w:val="\u8211? V\u353?eobecný úvod_x000b_\u8211? V\u353?eobecný výkaz príjmov_x000b_\u8211? V\u353?eobecný výkaz príjmov a výdavkov pod\u318?a oddielov"/>
    <w:docVar w:name="LW_TYPE.DOC.CP" w:val="NÁVRH v\u353?eobecného rozpo\u269?tu_x000b_Európskej únie_x000b_na rozpo\u269?tový rok 2017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  <w:szCs w:val="20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  <w:szCs w:val="20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eur-lex.europa.eu/budget/www/index-sk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93</Words>
  <Characters>609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680</CharactersWithSpaces>
  <SharedDoc>false</SharedDoc>
  <HLinks>
    <vt:vector size="6" baseType="variant"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http://eur-lex.europa.eu/budget/www/index-en.htm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20</cp:revision>
  <cp:lastPrinted>2014-05-21T15:05:00Z</cp:lastPrinted>
  <dcterms:created xsi:type="dcterms:W3CDTF">2015-05-20T11:07:00Z</dcterms:created>
  <dcterms:modified xsi:type="dcterms:W3CDTF">2016-07-18T08:53:00Z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ocStatus">
    <vt:lpwstr>Green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</Properties>
</file>