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7C" w:rsidRDefault="007E6C80">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9DCF6648B6149799B3F585F5CFD940D" style="width:450.6pt;height:379.85pt">
            <v:imagedata r:id="rId9" o:title=""/>
          </v:shape>
        </w:pict>
      </w:r>
    </w:p>
    <w:p w:rsidR="00A6487C" w:rsidRDefault="00A6487C">
      <w:pPr>
        <w:pStyle w:val="Pagedecouverture"/>
        <w:rPr>
          <w:noProof/>
        </w:rPr>
        <w:sectPr w:rsidR="00A6487C">
          <w:footerReference w:type="default" r:id="rId10"/>
          <w:pgSz w:w="11907" w:h="16839"/>
          <w:pgMar w:top="1134" w:right="1417" w:bottom="1134" w:left="1417" w:header="709" w:footer="709" w:gutter="0"/>
          <w:pgNumType w:start="1"/>
          <w:cols w:space="720"/>
          <w:docGrid w:linePitch="360"/>
        </w:sectPr>
      </w:pPr>
    </w:p>
    <w:p w:rsidR="00A6487C" w:rsidRDefault="007E6C80">
      <w:pPr>
        <w:pStyle w:val="Exposdesmotifstitre"/>
        <w:rPr>
          <w:noProof/>
        </w:rPr>
      </w:pPr>
      <w:r>
        <w:rPr>
          <w:noProof/>
        </w:rPr>
        <w:lastRenderedPageBreak/>
        <w:t>DÔVODOVÁ SPRÁVA</w:t>
      </w:r>
    </w:p>
    <w:p w:rsidR="00A6487C" w:rsidRDefault="007E6C80">
      <w:pPr>
        <w:pStyle w:val="ManualHeading1"/>
        <w:rPr>
          <w:noProof/>
        </w:rPr>
      </w:pPr>
      <w:r>
        <w:rPr>
          <w:noProof/>
        </w:rPr>
        <w:t>1.</w:t>
      </w:r>
      <w:r>
        <w:rPr>
          <w:noProof/>
        </w:rPr>
        <w:tab/>
        <w:t>KONTEXT NÁVRHU</w:t>
      </w:r>
    </w:p>
    <w:p w:rsidR="00A6487C" w:rsidRDefault="007E6C80">
      <w:pPr>
        <w:pStyle w:val="Text1"/>
        <w:ind w:left="0"/>
        <w:rPr>
          <w:noProof/>
        </w:rPr>
      </w:pPr>
      <w:r>
        <w:rPr>
          <w:noProof/>
        </w:rPr>
        <w:t xml:space="preserve">Táto dôvodová správa sa týka legislatívneho návrhu nariadenia, ktorým </w:t>
      </w:r>
      <w:r>
        <w:rPr>
          <w:noProof/>
        </w:rPr>
        <w:t>sa mení nariadenie Európskeho parlamentu a Rady (EÚ) č. 230/2014 z 11. marca 2014, ktorým sa ustanovuje nástroj na podporu stability a mieru.</w:t>
      </w:r>
    </w:p>
    <w:p w:rsidR="00A6487C" w:rsidRDefault="007E6C80">
      <w:pPr>
        <w:pStyle w:val="Text1"/>
        <w:ind w:left="0"/>
        <w:rPr>
          <w:noProof/>
        </w:rPr>
      </w:pPr>
      <w:r>
        <w:rPr>
          <w:noProof/>
        </w:rPr>
        <w:t>Cieľom legislatívneho návrhu je vloženie nového článku do hlavy II nariadenia (EÚ) č. 230/2014, aby sa rozšírila p</w:t>
      </w:r>
      <w:r>
        <w:rPr>
          <w:noProof/>
        </w:rPr>
        <w:t xml:space="preserve">omoc Únie za výnimočných okolností určená na použitie pri budovaní kapacít vojenských aktérov v partnerských krajinách s cieľom prispieť k trvalo udržateľnému rozvoju a najmä dosiahnuť mierové a inkluzívne spoločnosti. </w:t>
      </w:r>
    </w:p>
    <w:p w:rsidR="00A6487C" w:rsidRDefault="007E6C80">
      <w:pPr>
        <w:pStyle w:val="ManualHeading2"/>
        <w:rPr>
          <w:rFonts w:eastAsia="Arial Unicode MS"/>
          <w:noProof/>
        </w:rPr>
      </w:pPr>
      <w:r>
        <w:rPr>
          <w:noProof/>
          <w:color w:val="000000"/>
          <w:u w:color="000000"/>
          <w:bdr w:val="nil"/>
        </w:rPr>
        <w:t>•</w:t>
      </w:r>
      <w:r>
        <w:rPr>
          <w:noProof/>
        </w:rPr>
        <w:tab/>
        <w:t>Dôvody a ciele návrhu</w:t>
      </w:r>
    </w:p>
    <w:p w:rsidR="00A6487C" w:rsidRDefault="007E6C80">
      <w:pPr>
        <w:spacing w:after="240"/>
        <w:rPr>
          <w:noProof/>
        </w:rPr>
      </w:pPr>
      <w:r>
        <w:rPr>
          <w:noProof/>
        </w:rPr>
        <w:t xml:space="preserve">Vzťah medzi </w:t>
      </w:r>
      <w:r>
        <w:rPr>
          <w:noProof/>
        </w:rPr>
        <w:t>bezpečnosťou a rozvojom bol uznaný tak na európskej, ako aj na medzinárodnej úrovni</w:t>
      </w:r>
      <w:r>
        <w:rPr>
          <w:rStyle w:val="FootnoteReference"/>
          <w:noProof/>
        </w:rPr>
        <w:footnoteReference w:id="2"/>
      </w:r>
      <w:r>
        <w:rPr>
          <w:noProof/>
        </w:rPr>
        <w:t>. Európsky konsenzus o rozvoji z roku 2005 už uznal túto súvislosť, ktorá je rozhodujúca na maximalizáciu účinnosti vonkajšej činnosti EÚ. Podporovanie bezpečnostných systé</w:t>
      </w:r>
      <w:r>
        <w:rPr>
          <w:noProof/>
        </w:rPr>
        <w:t>mov partnerských krajín ako súčasť širšieho reformného procesu, aby poskytovali efektívnu a zodpovednú bezpečnosť štátu a jednotlivcom, prispieva k plneniu cieľov EÚ v oblasti inkluzívneho a trvalo udržateľného rozvoja, budovania štátu a právneho štátu. Ľu</w:t>
      </w:r>
      <w:r>
        <w:rPr>
          <w:noProof/>
        </w:rPr>
        <w:t>dská bezpečnosť zahŕňa prístup zameraný na ľudí, multisektorový prístup, komplexný prístup, kontextový prístup a prístup orientovaný na prevenciu. To platí najmä v prípade, keď je jasné, že bez bezpečnosti je prístup k najviac ohrozeným ľuďom, ktorí zostal</w:t>
      </w:r>
      <w:r>
        <w:rPr>
          <w:noProof/>
        </w:rPr>
        <w:t>i v prostrediach konfliktu, obmedzený a účinné výsledky buď humanitárnej, alebo rozvojovej práce sú menej pravdepodobné.</w:t>
      </w:r>
    </w:p>
    <w:p w:rsidR="00A6487C" w:rsidRDefault="007E6C80">
      <w:pPr>
        <w:spacing w:after="240"/>
        <w:rPr>
          <w:noProof/>
        </w:rPr>
      </w:pPr>
      <w:r>
        <w:rPr>
          <w:noProof/>
        </w:rPr>
        <w:t>Prijatím programu Organizácie Spojených národov (OSN) pre trvalo udržateľný rozvoj do roku 2030</w:t>
      </w:r>
      <w:r>
        <w:rPr>
          <w:rStyle w:val="FootnoteReference"/>
          <w:noProof/>
        </w:rPr>
        <w:footnoteReference w:id="3"/>
      </w:r>
      <w:r>
        <w:rPr>
          <w:noProof/>
        </w:rPr>
        <w:t xml:space="preserve"> a jeho cieľa trvalo udržateľného rozvo</w:t>
      </w:r>
      <w:r>
        <w:rPr>
          <w:noProof/>
        </w:rPr>
        <w:t>ja</w:t>
      </w:r>
      <w:r>
        <w:rPr>
          <w:rStyle w:val="FootnoteReference"/>
          <w:noProof/>
        </w:rPr>
        <w:footnoteReference w:id="4"/>
      </w:r>
      <w:r>
        <w:rPr>
          <w:noProof/>
        </w:rPr>
        <w:t xml:space="preserve"> č. 16 o „mieri a spravodlivosti“ sa zdôrazňuje význam podpory mierových a inkluzívnych spoločností, zabezpečenia prístupu k spravodlivosti pre všetkých a budovania účinných a zodpovedných inštitúcií na všetkých úrovniach. Cieľom trvalo udržateľného roz</w:t>
      </w:r>
      <w:r>
        <w:rPr>
          <w:noProof/>
        </w:rPr>
        <w:t>voja č. 16 sa zdôrazňuje potreba posilniť príslušné národné inštitúcie, a to aj prostredníctvom medzinárodnej spolupráce pri budovaní kapacít na všetkých úrovniach. Najmä v nestabilných a konfliktom postihnutých štátoch pomôže nasmerovanie investícií v súl</w:t>
      </w:r>
      <w:r>
        <w:rPr>
          <w:noProof/>
        </w:rPr>
        <w:t>ade so zásadami účinnosti rozvoja riešiť základné príčiny konfliktov a nestability. EÚ podporuje „Novú dohodu o angažovanosti v nestabilných štátoch“</w:t>
      </w:r>
      <w:r>
        <w:rPr>
          <w:rStyle w:val="FootnoteReference"/>
          <w:noProof/>
        </w:rPr>
        <w:footnoteReference w:id="5"/>
      </w:r>
      <w:r>
        <w:rPr>
          <w:noProof/>
        </w:rPr>
        <w:t xml:space="preserve"> a dôraz kladie na spojitosť medzi bezpečnosťou a rozvojom. </w:t>
      </w:r>
    </w:p>
    <w:p w:rsidR="00A6487C" w:rsidRDefault="007E6C80">
      <w:pPr>
        <w:spacing w:after="240"/>
        <w:rPr>
          <w:noProof/>
        </w:rPr>
      </w:pPr>
      <w:r>
        <w:rPr>
          <w:noProof/>
        </w:rPr>
        <w:t>Revidované smernice OECD/DAC pre výkazníctvo</w:t>
      </w:r>
      <w:r>
        <w:rPr>
          <w:rStyle w:val="FootnoteReference"/>
          <w:noProof/>
        </w:rPr>
        <w:footnoteReference w:id="6"/>
      </w:r>
      <w:r>
        <w:rPr>
          <w:noProof/>
        </w:rPr>
        <w:t xml:space="preserve"> oficiálnej rozvojovej pomoci (ODA) v oblasti mieru a bezpečnosti poskytujú väčšiu prehľadnosť a ďalej rozširujú rozsah pravidiel ODA v sektore bezpečnosti. Zachovávajú niekoľko záruk, predovšetkým zásadne civilný charakter ODA, hoci vo výnimočných a jasne</w:t>
      </w:r>
      <w:r>
        <w:rPr>
          <w:noProof/>
        </w:rPr>
        <w:t xml:space="preserve"> vymedzených situáciách môže byť pomoc armáde uznaná ako ODA. </w:t>
      </w:r>
    </w:p>
    <w:p w:rsidR="00A6487C" w:rsidRDefault="007E6C80">
      <w:pPr>
        <w:pBdr>
          <w:top w:val="nil"/>
          <w:left w:val="nil"/>
          <w:bottom w:val="nil"/>
          <w:right w:val="nil"/>
          <w:between w:val="nil"/>
          <w:bar w:val="nil"/>
        </w:pBdr>
        <w:spacing w:before="0" w:after="240"/>
        <w:rPr>
          <w:rFonts w:eastAsia="Arial Unicode MS"/>
          <w:noProof/>
        </w:rPr>
      </w:pPr>
      <w:r>
        <w:rPr>
          <w:noProof/>
        </w:rPr>
        <w:lastRenderedPageBreak/>
        <w:t xml:space="preserve">V spoločnom oznámení o budovaní kapacít na podporu bezpečnosti a rozvoja [JOIN(2015) 17 final] sa skúmalo, ako by sa mohla zlepšiť podpora EÚ na pomoc pri budovaní kapacít partnerov, a tým </w:t>
      </w:r>
      <w:r>
        <w:rPr>
          <w:noProof/>
        </w:rPr>
        <w:t>prispieť k stabilite, bezpečnosti a rozvoju. V uvedenom oznámení sa identifikovali nedostatky v schopnosti EÚ podporovať budovanie kapacít partnerov v sektore bezpečnosti, bez ohľadu na množstvo akcií, ktoré sú už podporované, vrátane účinnej civilnej sprá</w:t>
      </w:r>
      <w:r>
        <w:rPr>
          <w:noProof/>
        </w:rPr>
        <w:t>vy a civilného dohľadu nad bezpečnostným systémom. V spoločnom oznámení sa dospelo k záveru, že „v súčasnosti neexistuje žiadny rozpočtový nástroj EÚ určený na zabezpečenie komplexného financovania budovania kapacít v oblasti bezpečnosti v partnerských kra</w:t>
      </w:r>
      <w:r>
        <w:rPr>
          <w:noProof/>
        </w:rPr>
        <w:t>jinách, najmä ich vojenskej zložky“</w:t>
      </w:r>
      <w:r>
        <w:rPr>
          <w:rStyle w:val="FootnoteReference"/>
          <w:noProof/>
        </w:rPr>
        <w:footnoteReference w:id="7"/>
      </w:r>
      <w:r>
        <w:rPr>
          <w:noProof/>
        </w:rPr>
        <w:t xml:space="preserve">. </w:t>
      </w:r>
    </w:p>
    <w:p w:rsidR="00A6487C" w:rsidRDefault="007E6C80">
      <w:pPr>
        <w:pBdr>
          <w:top w:val="nil"/>
          <w:left w:val="nil"/>
          <w:bottom w:val="nil"/>
          <w:right w:val="nil"/>
          <w:between w:val="nil"/>
          <w:bar w:val="nil"/>
        </w:pBdr>
        <w:spacing w:before="0" w:after="240"/>
        <w:rPr>
          <w:rFonts w:eastAsia="Arial Unicode MS"/>
          <w:noProof/>
        </w:rPr>
      </w:pPr>
      <w:r>
        <w:rPr>
          <w:noProof/>
        </w:rPr>
        <w:t>Neriešenie nevyhnutných operačných potrieb partnerov bráni dosiahnutiu základných cieľov rozvoja, t. j. podporovať podmienky pre mier a bezpečnosť ľudí. Zlepšenie fungovania vojenských aktérov a posilnenie ich riadeni</w:t>
      </w:r>
      <w:r>
        <w:rPr>
          <w:noProof/>
        </w:rPr>
        <w:t>a, najmä v nestabilných situáciách a v krajinách, ktoré sa zotavujú z konfliktu, prispieva k mieru, bezpečnosti ľudí a stabilite, a tým aj k dosiahnutiu cieľov v oblasti trvalo udržateľného rozvoja. Neschopnosť financovať budovanie kapacít v sektore bezpeč</w:t>
      </w:r>
      <w:r>
        <w:rPr>
          <w:noProof/>
        </w:rPr>
        <w:t xml:space="preserve">nosti (vybavenie aj odbornú prípravu) má dosah na schopnosť partnerov uspokojovať svoje rozvojové potreby. </w:t>
      </w:r>
    </w:p>
    <w:p w:rsidR="00A6487C" w:rsidRDefault="007E6C80">
      <w:pPr>
        <w:pBdr>
          <w:top w:val="nil"/>
          <w:left w:val="nil"/>
          <w:bottom w:val="nil"/>
          <w:right w:val="nil"/>
          <w:between w:val="nil"/>
          <w:bar w:val="nil"/>
        </w:pBdr>
        <w:spacing w:before="0" w:after="240"/>
        <w:rPr>
          <w:rFonts w:eastAsia="Arial Unicode MS"/>
          <w:noProof/>
        </w:rPr>
      </w:pPr>
      <w:r>
        <w:rPr>
          <w:noProof/>
        </w:rPr>
        <w:t>Osobitným cieľom tohto návrhu je: i) prispieť k zlepšeniu schopnosti partnerských krajín predchádzať krízam a zvládať ich vlastnými silami; ii) pris</w:t>
      </w:r>
      <w:r>
        <w:rPr>
          <w:noProof/>
        </w:rPr>
        <w:t>pieť k zlepšeniu účinnosti rozvojových opatrení Únie spoluprácou so všetkými aktérmi zodpovednými za bezpečnosť vrátane armády tým, že EÚ čo najskôr flexibilne a komplexne poskytne budovanie kapacít na podporu bezpečnosti a rozvoja; a iii) prispieť k zabez</w:t>
      </w:r>
      <w:r>
        <w:rPr>
          <w:noProof/>
        </w:rPr>
        <w:t>pečeniu rešpektovania právneho štátu, dobrej správy vecí verejných, ako aj zvýšenej civilnej kontroly a dohľadu nad armádou v tretích krajinách.</w:t>
      </w:r>
    </w:p>
    <w:p w:rsidR="00A6487C" w:rsidRDefault="007E6C80">
      <w:pPr>
        <w:pStyle w:val="ManualHeading2"/>
        <w:rPr>
          <w:rFonts w:eastAsia="Arial Unicode MS"/>
          <w:noProof/>
        </w:rPr>
      </w:pPr>
      <w:r>
        <w:rPr>
          <w:noProof/>
          <w:color w:val="000000"/>
          <w:u w:color="000000"/>
          <w:bdr w:val="nil"/>
        </w:rPr>
        <w:t>•</w:t>
      </w:r>
      <w:r>
        <w:rPr>
          <w:noProof/>
        </w:rPr>
        <w:tab/>
        <w:t>Súlad s ostatnými politikami Únie</w:t>
      </w:r>
    </w:p>
    <w:p w:rsidR="00A6487C" w:rsidRDefault="007E6C80">
      <w:pPr>
        <w:pStyle w:val="Text1"/>
        <w:ind w:left="0"/>
        <w:rPr>
          <w:noProof/>
        </w:rPr>
      </w:pPr>
      <w:r>
        <w:rPr>
          <w:noProof/>
        </w:rPr>
        <w:t>Táto iniciatíva je v súlade s cieľom spojiť nástroje EÚ na účely riešenia h</w:t>
      </w:r>
      <w:r>
        <w:rPr>
          <w:noProof/>
        </w:rPr>
        <w:t>lavných problémov, ako sa uvádza v spoločnom oznámení „</w:t>
      </w:r>
      <w:r>
        <w:rPr>
          <w:i/>
          <w:noProof/>
        </w:rPr>
        <w:t>Komplexný prístup EÚ k vonkajším konfliktom a krízam“</w:t>
      </w:r>
      <w:r>
        <w:rPr>
          <w:rStyle w:val="FootnoteReference"/>
          <w:noProof/>
        </w:rPr>
        <w:footnoteReference w:id="8"/>
      </w:r>
      <w:r>
        <w:rPr>
          <w:noProof/>
        </w:rPr>
        <w:t xml:space="preserve"> a v následných záveroch Rady</w:t>
      </w:r>
      <w:r>
        <w:rPr>
          <w:rStyle w:val="FootnoteReference"/>
          <w:noProof/>
        </w:rPr>
        <w:footnoteReference w:id="9"/>
      </w:r>
      <w:r>
        <w:rPr>
          <w:noProof/>
        </w:rPr>
        <w:t xml:space="preserve">. </w:t>
      </w:r>
    </w:p>
    <w:p w:rsidR="00A6487C" w:rsidRDefault="007E6C80">
      <w:pPr>
        <w:pStyle w:val="Default"/>
        <w:spacing w:after="240"/>
        <w:jc w:val="both"/>
        <w:rPr>
          <w:noProof/>
          <w:color w:val="auto"/>
          <w:lang w:val="sk-SK"/>
        </w:rPr>
      </w:pPr>
      <w:r>
        <w:rPr>
          <w:noProof/>
          <w:lang w:val="sk-SK"/>
        </w:rPr>
        <w:t xml:space="preserve">Pokiaľ ide o spoločnú zahraničnú a bezpečnostnú politiku (SZBP) Únie, </w:t>
      </w:r>
      <w:r>
        <w:rPr>
          <w:noProof/>
          <w:color w:val="auto"/>
          <w:lang w:val="sk-SK"/>
        </w:rPr>
        <w:t xml:space="preserve">základným prvkom v rámci komplexného </w:t>
      </w:r>
      <w:r>
        <w:rPr>
          <w:noProof/>
          <w:color w:val="auto"/>
          <w:lang w:val="sk-SK"/>
        </w:rPr>
        <w:t>prístupu EÚ ku krízovému riadeniu v tretích krajinách sú civilné aj vojenské misie a operácie (a najmä výcvikové misie) spoločnej bezpečnostnej a obrannej politiky (SBOP)</w:t>
      </w:r>
      <w:r>
        <w:rPr>
          <w:rStyle w:val="FootnoteReference"/>
          <w:noProof/>
          <w:lang w:val="sk-SK"/>
        </w:rPr>
        <w:footnoteReference w:id="10"/>
      </w:r>
      <w:r>
        <w:rPr>
          <w:noProof/>
          <w:color w:val="auto"/>
          <w:lang w:val="sk-SK"/>
        </w:rPr>
        <w:t>, ktoré predstavujú výcvikový pilier budovania kapacít na podporu bezpečnosti a rozvo</w:t>
      </w:r>
      <w:r>
        <w:rPr>
          <w:noProof/>
          <w:color w:val="auto"/>
          <w:lang w:val="sk-SK"/>
        </w:rPr>
        <w:t xml:space="preserve">ja tak obranného, ako aj civilného bezpečnostného personálu. </w:t>
      </w:r>
    </w:p>
    <w:p w:rsidR="00A6487C" w:rsidRDefault="007E6C80">
      <w:pPr>
        <w:pStyle w:val="Default"/>
        <w:spacing w:after="240"/>
        <w:jc w:val="both"/>
        <w:rPr>
          <w:noProof/>
          <w:color w:val="auto"/>
          <w:lang w:val="sk-SK"/>
        </w:rPr>
      </w:pPr>
      <w:r>
        <w:rPr>
          <w:noProof/>
          <w:color w:val="auto"/>
          <w:lang w:val="sk-SK"/>
        </w:rPr>
        <w:t>Zdroje na vojenské operácie EÚ v rámci SBOP sú financované zúčastnenými členskými štátmi EÚ a prostredníctvom mechanizmu Athena</w:t>
      </w:r>
      <w:r>
        <w:rPr>
          <w:rStyle w:val="FootnoteReference"/>
          <w:noProof/>
          <w:lang w:val="sk-SK"/>
        </w:rPr>
        <w:footnoteReference w:id="11"/>
      </w:r>
      <w:r>
        <w:rPr>
          <w:noProof/>
          <w:color w:val="auto"/>
          <w:lang w:val="sk-SK"/>
        </w:rPr>
        <w:t>, ktorý je určený na správu financovania spoločných nákladov súvis</w:t>
      </w:r>
      <w:r>
        <w:rPr>
          <w:noProof/>
          <w:color w:val="auto"/>
          <w:lang w:val="sk-SK"/>
        </w:rPr>
        <w:t xml:space="preserve">iacich s vojenskými operáciami EÚ v rámci SBOP. Tieto náklady sa týkajú okrem iného vytvorenia a prevádzky ústredia, infraštruktúry, logistiky a podpory </w:t>
      </w:r>
      <w:r>
        <w:rPr>
          <w:noProof/>
          <w:color w:val="auto"/>
          <w:lang w:val="sk-SK"/>
        </w:rPr>
        <w:lastRenderedPageBreak/>
        <w:t>misií, ale nie nákladov, ktoré vznikli partnerskej krajine podporovanej prostredníctvom misie alebo ope</w:t>
      </w:r>
      <w:r>
        <w:rPr>
          <w:noProof/>
          <w:color w:val="auto"/>
          <w:lang w:val="sk-SK"/>
        </w:rPr>
        <w:t>rácie.</w:t>
      </w:r>
    </w:p>
    <w:p w:rsidR="00A6487C" w:rsidRDefault="007E6C80">
      <w:pPr>
        <w:autoSpaceDE w:val="0"/>
        <w:autoSpaceDN w:val="0"/>
        <w:adjustRightInd w:val="0"/>
        <w:spacing w:after="240"/>
        <w:rPr>
          <w:noProof/>
        </w:rPr>
      </w:pPr>
      <w:r>
        <w:rPr>
          <w:noProof/>
        </w:rPr>
        <w:t>Mimo všeobecného rozpočtu Únie poskytuje Európsky rozvojový fond (ERF) finančné zdroje na vykonávanie politiky rozvojovej spolupráce EÚ s africkými, karibskými a tichomorskými (AKT) štátmi v rámci dohody o partnerstve z Cotonou</w:t>
      </w:r>
      <w:r>
        <w:rPr>
          <w:rStyle w:val="FootnoteReference"/>
          <w:noProof/>
        </w:rPr>
        <w:footnoteReference w:id="12"/>
      </w:r>
      <w:r>
        <w:rPr>
          <w:noProof/>
        </w:rPr>
        <w:t>. Mierový nástroj pre</w:t>
      </w:r>
      <w:r>
        <w:rPr>
          <w:noProof/>
        </w:rPr>
        <w:t xml:space="preserve"> Afriku</w:t>
      </w:r>
      <w:r>
        <w:rPr>
          <w:rStyle w:val="FootnoteReference"/>
          <w:noProof/>
        </w:rPr>
        <w:footnoteReference w:id="13"/>
      </w:r>
      <w:r>
        <w:rPr>
          <w:noProof/>
        </w:rPr>
        <w:t xml:space="preserve"> bol zriadený v roku 2003 v rámci ERF a je v súčasnosti najďalekosiahlejším nástrojom na riešenie spojitosti medzi bezpečnosťou a rozvojom, a to aj poskytovaním podpory pre vojenské činnosti. Napriek tomu mierový nástroj pre Afriku podlieha viacerý</w:t>
      </w:r>
      <w:r>
        <w:rPr>
          <w:noProof/>
        </w:rPr>
        <w:t>m obmedzeniam, a to najmä jeho geografickým a výlučne regionálnym pokrytím, čo bráni globálnemu využívaniu tohto nástroja na vnútroštátnej úrovni.</w:t>
      </w:r>
    </w:p>
    <w:p w:rsidR="00A6487C" w:rsidRDefault="007E6C80">
      <w:pPr>
        <w:pStyle w:val="ManualHeading1"/>
        <w:rPr>
          <w:noProof/>
        </w:rPr>
      </w:pPr>
      <w:r>
        <w:rPr>
          <w:noProof/>
        </w:rPr>
        <w:t>2.</w:t>
      </w:r>
      <w:r>
        <w:rPr>
          <w:noProof/>
        </w:rPr>
        <w:tab/>
        <w:t>PRÁVNY ZÁKLAD, SUBSIDIARITA A PROPORCIONALITA</w:t>
      </w:r>
    </w:p>
    <w:p w:rsidR="00A6487C" w:rsidRDefault="007E6C80">
      <w:pPr>
        <w:pStyle w:val="ManualHeading2"/>
        <w:rPr>
          <w:rFonts w:eastAsia="Arial Unicode MS"/>
          <w:noProof/>
          <w:u w:color="000000"/>
          <w:bdr w:val="nil"/>
        </w:rPr>
      </w:pPr>
      <w:r>
        <w:rPr>
          <w:noProof/>
        </w:rPr>
        <w:t>•</w:t>
      </w:r>
      <w:r>
        <w:rPr>
          <w:noProof/>
        </w:rPr>
        <w:tab/>
        <w:t>Právny základ</w:t>
      </w:r>
    </w:p>
    <w:p w:rsidR="00A6487C" w:rsidRDefault="007E6C80">
      <w:pPr>
        <w:pStyle w:val="Text1"/>
        <w:ind w:left="0"/>
        <w:rPr>
          <w:noProof/>
        </w:rPr>
      </w:pPr>
      <w:r>
        <w:rPr>
          <w:noProof/>
        </w:rPr>
        <w:t>Právnym základom pre tento legislatívny návr</w:t>
      </w:r>
      <w:r>
        <w:rPr>
          <w:noProof/>
        </w:rPr>
        <w:t xml:space="preserve">h je článok 209 ods. 1 a článok 212 ods. 2 ZFEÚ. </w:t>
      </w:r>
    </w:p>
    <w:p w:rsidR="00A6487C" w:rsidRDefault="007E6C80">
      <w:pPr>
        <w:spacing w:after="240"/>
        <w:rPr>
          <w:noProof/>
        </w:rPr>
      </w:pPr>
      <w:r>
        <w:rPr>
          <w:noProof/>
        </w:rPr>
        <w:t>Vzhľadom na široký rozsah rozvojovej spolupráce</w:t>
      </w:r>
      <w:r>
        <w:rPr>
          <w:rStyle w:val="FootnoteReference"/>
          <w:noProof/>
        </w:rPr>
        <w:footnoteReference w:id="14"/>
      </w:r>
      <w:r>
        <w:rPr>
          <w:noProof/>
        </w:rPr>
        <w:t xml:space="preserve"> financovanie budovania kapacít, (odbornej prípravy a podpory v oblasti vybavenia) v sektore bezpečnosti podľa článkov 209 a 212 ZFEÚ nie je samo o sebe vylúč</w:t>
      </w:r>
      <w:r>
        <w:rPr>
          <w:noProof/>
        </w:rPr>
        <w:t>ené len z dôvodu vojenskej povahy príjemcu</w:t>
      </w:r>
      <w:r>
        <w:rPr>
          <w:rStyle w:val="FootnoteReference"/>
          <w:noProof/>
        </w:rPr>
        <w:footnoteReference w:id="15"/>
      </w:r>
      <w:r>
        <w:rPr>
          <w:noProof/>
        </w:rPr>
        <w:t>. Berúc do úvahy ciele rozvojovej spolupráce Únie, t. j. prispievať k dosiahnutiu trvalo udržateľného rozvoja rozvojových krajín, financovanie armády je možné za výnimočných okolností (pozri tiež podrobné vysvetle</w:t>
      </w:r>
      <w:r>
        <w:rPr>
          <w:noProof/>
        </w:rPr>
        <w:t xml:space="preserve">nia v bode 5 nižšie). </w:t>
      </w:r>
    </w:p>
    <w:p w:rsidR="00A6487C" w:rsidRDefault="007E6C80">
      <w:pPr>
        <w:pStyle w:val="ManualHeading2"/>
        <w:rPr>
          <w:rFonts w:eastAsia="Arial Unicode MS"/>
          <w:noProof/>
          <w:u w:color="000000"/>
          <w:bdr w:val="nil"/>
        </w:rPr>
      </w:pPr>
      <w:r>
        <w:rPr>
          <w:noProof/>
        </w:rPr>
        <w:t>•</w:t>
      </w:r>
      <w:r>
        <w:rPr>
          <w:noProof/>
        </w:rPr>
        <w:tab/>
        <w:t>Subsidiarita a proporcionalita</w:t>
      </w:r>
    </w:p>
    <w:p w:rsidR="00A6487C" w:rsidRDefault="007E6C80">
      <w:pPr>
        <w:pStyle w:val="Text1"/>
        <w:ind w:left="0"/>
        <w:rPr>
          <w:noProof/>
        </w:rPr>
      </w:pPr>
      <w:r>
        <w:rPr>
          <w:noProof/>
        </w:rPr>
        <w:t>Navrhované nariadenie je v súlade so zásadou subsidiarity a zásadou proporcionality stanovenými v článku 5 ZEÚ.</w:t>
      </w:r>
    </w:p>
    <w:p w:rsidR="00A6487C" w:rsidRDefault="007E6C80">
      <w:pPr>
        <w:pStyle w:val="Text1"/>
        <w:ind w:left="0"/>
        <w:rPr>
          <w:noProof/>
        </w:rPr>
      </w:pPr>
      <w:r>
        <w:rPr>
          <w:noProof/>
        </w:rPr>
        <w:t>Opatrenia na úrovni EÚ sú potrebné a oprávnené na základe cieľov stanovených v zmluve a </w:t>
      </w:r>
      <w:r>
        <w:rPr>
          <w:noProof/>
        </w:rPr>
        <w:t>na základe zásady subsidiarity. Komplexná a flexibilná podpora EÚ pre sektor bezpečnosti by bola pridanou hodnotou umožňujúcou krátkodobé a dlhodobé opatrenia na zapojenie všetkých aktérov zodpovedných za bezpečnosť v krajine a umožnila by lepšiu koordinác</w:t>
      </w:r>
      <w:r>
        <w:rPr>
          <w:noProof/>
        </w:rPr>
        <w:t>iu takejto podpory. Bezpečnosť a stabilita sa môžu lepšie dosiahnuť opatreniami na úrovni EÚ, ktoré môžu pôsobiť ako hnacia sila pre účinnejšie medzinárodné úsilie zamerané na bezpečnosť a rozvoj.</w:t>
      </w:r>
    </w:p>
    <w:p w:rsidR="00A6487C" w:rsidRDefault="007E6C80">
      <w:pPr>
        <w:pStyle w:val="ManualHeading2"/>
        <w:rPr>
          <w:rFonts w:eastAsia="Arial Unicode MS"/>
          <w:noProof/>
          <w:u w:color="000000"/>
          <w:bdr w:val="nil"/>
        </w:rPr>
      </w:pPr>
      <w:r>
        <w:rPr>
          <w:noProof/>
        </w:rPr>
        <w:lastRenderedPageBreak/>
        <w:t>•</w:t>
      </w:r>
      <w:r>
        <w:rPr>
          <w:noProof/>
        </w:rPr>
        <w:tab/>
        <w:t>Výber nástroja</w:t>
      </w:r>
    </w:p>
    <w:p w:rsidR="00A6487C" w:rsidRDefault="007E6C80">
      <w:pPr>
        <w:pBdr>
          <w:top w:val="nil"/>
          <w:left w:val="nil"/>
          <w:bottom w:val="nil"/>
          <w:right w:val="nil"/>
          <w:between w:val="nil"/>
          <w:bar w:val="nil"/>
        </w:pBdr>
        <w:spacing w:before="0" w:after="240"/>
        <w:rPr>
          <w:rFonts w:eastAsia="Arial Unicode MS"/>
          <w:noProof/>
        </w:rPr>
      </w:pPr>
      <w:r>
        <w:rPr>
          <w:noProof/>
        </w:rPr>
        <w:t>Navrhovaný legislatívny návrh má právnu fo</w:t>
      </w:r>
      <w:r>
        <w:rPr>
          <w:noProof/>
        </w:rPr>
        <w:t xml:space="preserve">rmu nariadenia, ktorým sa mení existujúci právny akt. </w:t>
      </w:r>
    </w:p>
    <w:p w:rsidR="00A6487C" w:rsidRDefault="007E6C80">
      <w:pPr>
        <w:pStyle w:val="ManualHeading1"/>
        <w:rPr>
          <w:noProof/>
        </w:rPr>
      </w:pPr>
      <w:r>
        <w:rPr>
          <w:noProof/>
        </w:rPr>
        <w:t>3.</w:t>
      </w:r>
      <w:r>
        <w:rPr>
          <w:noProof/>
        </w:rPr>
        <w:tab/>
        <w:t>VÝSLEDKY HODNOTENÍ EX-POST, KONZULTÁCIÍ SO ZAINTERESOVANÝMI STRANAMI A POSÚDENÍ VPLYVU</w:t>
      </w:r>
    </w:p>
    <w:p w:rsidR="00A6487C" w:rsidRDefault="007E6C80">
      <w:pPr>
        <w:pStyle w:val="ManualHeading2"/>
        <w:rPr>
          <w:rFonts w:eastAsia="Arial Unicode MS"/>
          <w:noProof/>
          <w:u w:color="000000"/>
          <w:bdr w:val="nil"/>
        </w:rPr>
      </w:pPr>
      <w:r>
        <w:rPr>
          <w:noProof/>
        </w:rPr>
        <w:t>•</w:t>
      </w:r>
      <w:r>
        <w:rPr>
          <w:noProof/>
        </w:rPr>
        <w:tab/>
        <w:t>Konzultácie so zainteresovanými stranami</w:t>
      </w:r>
    </w:p>
    <w:p w:rsidR="00A6487C" w:rsidRDefault="007E6C80">
      <w:pPr>
        <w:rPr>
          <w:noProof/>
        </w:rPr>
      </w:pPr>
      <w:r>
        <w:rPr>
          <w:noProof/>
        </w:rPr>
        <w:t xml:space="preserve">Verejné online konzultácie s cieľom zhromaždiť názory verejnosti sa </w:t>
      </w:r>
      <w:r>
        <w:rPr>
          <w:noProof/>
        </w:rPr>
        <w:t>začali 1. apríla a skončili 27. mája 2016. Spolu bolo doručených 78 odpovedí, väčšina od súkromných osôb. Niekoľko členských štátov (Česká republika, Fínsko, Francúzsko, Nemecko, Taliansko, Luxembursko, Holandsko, Portugalsko a Španielsko) poskytlo svoj pr</w:t>
      </w:r>
      <w:r>
        <w:rPr>
          <w:noProof/>
        </w:rPr>
        <w:t>íspevok k iniciatíve vo forme neoficiálneho dokumentu vydaného 15. apríla 2016.</w:t>
      </w:r>
    </w:p>
    <w:p w:rsidR="00A6487C" w:rsidRDefault="007E6C80">
      <w:pPr>
        <w:rPr>
          <w:noProof/>
        </w:rPr>
      </w:pPr>
      <w:r>
        <w:rPr>
          <w:noProof/>
        </w:rPr>
        <w:t>Celkovo sa v odpovediach preukázala veľká podpora troch hlavných zásad, ktoré sú základom iniciatívy, a to: i) efektívny, legitímny a zodpovedný sektor bezpečnosti v partnerský</w:t>
      </w:r>
      <w:r>
        <w:rPr>
          <w:noProof/>
        </w:rPr>
        <w:t>ch krajinách by mohol prispieť k mieru, bezpečnosti ľudí a trvalo udržateľnému rozvoju; ii) spojitosť medzi bezpečnosťou a rozvojom by sa mala lepšie integrovať do stratégií podpory EÚ s cieľom lepšie prispievať k trvalo udržateľnému rozvoju v partnerských</w:t>
      </w:r>
      <w:r>
        <w:rPr>
          <w:noProof/>
        </w:rPr>
        <w:t xml:space="preserve"> krajinách; a iii) posilnenie správy vojenských aktérov najmä v nestabilných krajinách a krajinách zotavujúcich sa z konfliktu by mohlo viesť k stabilite a dosiahnutiu cieľov trvalo udržateľného rozvoja.</w:t>
      </w:r>
    </w:p>
    <w:p w:rsidR="00A6487C" w:rsidRDefault="007E6C80">
      <w:pPr>
        <w:pStyle w:val="ManualHeading2"/>
        <w:rPr>
          <w:rFonts w:eastAsia="Arial Unicode MS"/>
          <w:noProof/>
          <w:u w:color="000000"/>
          <w:bdr w:val="nil"/>
        </w:rPr>
      </w:pPr>
      <w:r>
        <w:rPr>
          <w:noProof/>
        </w:rPr>
        <w:t>•</w:t>
      </w:r>
      <w:r>
        <w:rPr>
          <w:noProof/>
        </w:rPr>
        <w:tab/>
        <w:t>Posúdenie vplyvu</w:t>
      </w:r>
    </w:p>
    <w:p w:rsidR="00A6487C" w:rsidRDefault="007E6C80">
      <w:pPr>
        <w:pStyle w:val="Text1"/>
        <w:ind w:left="0"/>
        <w:rPr>
          <w:noProof/>
        </w:rPr>
      </w:pPr>
      <w:r>
        <w:rPr>
          <w:noProof/>
        </w:rPr>
        <w:t>K navrhovanému legislatívnemu náv</w:t>
      </w:r>
      <w:r>
        <w:rPr>
          <w:noProof/>
        </w:rPr>
        <w:t>rhu je pripojené posúdenie vplyvu. V správe o posúdení vplyvu sa skúmajú rôzne politické možnosti dosiahnutia konkrétnych cieľov a posudzujú sa možnosti mimo rámca a v rámci všeobecného rozpočtu Únie.</w:t>
      </w:r>
    </w:p>
    <w:p w:rsidR="00A6487C" w:rsidRDefault="007E6C80">
      <w:pPr>
        <w:pStyle w:val="Text1"/>
        <w:ind w:left="0"/>
        <w:rPr>
          <w:noProof/>
        </w:rPr>
      </w:pPr>
      <w:r>
        <w:rPr>
          <w:noProof/>
        </w:rPr>
        <w:t>V posúdení vplyvu sa dospelo k záveru, že zmena nástroj</w:t>
      </w:r>
      <w:r>
        <w:rPr>
          <w:noProof/>
        </w:rPr>
        <w:t>a na podporu stability a mieru vzhľadom na ciele, časový rozvrh, geografické pokrytie a flexibilitu jeho realizácie ako krízového nástroja by bola najvhodnejšou a najúčinnejšou krátkodobou možnosťou. V posúdení vplyvu sa tiež uvádza, že komplexná realizáci</w:t>
      </w:r>
      <w:r>
        <w:rPr>
          <w:noProof/>
        </w:rPr>
        <w:t xml:space="preserve">a iniciatívy budovania kapacít na podporu bezpečnosti a rozvoja (t. j. vrátane podpory armády na obranné účely) by si vyžadovala kombináciu rozpočtového nástroja (pre úlohy týkajúce sa rozvoja) s iným, možno mimorozpočtovým mechanizmom. </w:t>
      </w:r>
    </w:p>
    <w:p w:rsidR="00A6487C" w:rsidRDefault="007E6C80">
      <w:pPr>
        <w:pStyle w:val="ManualHeading2"/>
        <w:rPr>
          <w:rFonts w:eastAsia="Arial Unicode MS"/>
          <w:noProof/>
          <w:u w:color="000000"/>
          <w:bdr w:val="nil"/>
        </w:rPr>
      </w:pPr>
      <w:r>
        <w:rPr>
          <w:noProof/>
        </w:rPr>
        <w:tab/>
        <w:t>Základné práva</w:t>
      </w:r>
    </w:p>
    <w:p w:rsidR="00A6487C" w:rsidRDefault="007E6C80">
      <w:pPr>
        <w:pBdr>
          <w:top w:val="nil"/>
          <w:left w:val="nil"/>
          <w:bottom w:val="nil"/>
          <w:right w:val="nil"/>
          <w:between w:val="nil"/>
          <w:bar w:val="nil"/>
        </w:pBdr>
        <w:spacing w:before="0" w:after="240"/>
        <w:rPr>
          <w:rFonts w:eastAsia="Arial Unicode MS"/>
          <w:noProof/>
        </w:rPr>
      </w:pPr>
      <w:r>
        <w:rPr>
          <w:noProof/>
        </w:rPr>
        <w:t>Le</w:t>
      </w:r>
      <w:r>
        <w:rPr>
          <w:noProof/>
        </w:rPr>
        <w:t>gislatívny návrh zabezpečí, aby sa opatrenia pomoci na základe nových ustanovení v súvislosti s budovaním kapacít na podporu bezpečnosti a rozvoja vykonávali v súlade s medzinárodným právom vrátane medzinárodného humanitárneho práva. Komisia bude monitorov</w:t>
      </w:r>
      <w:r>
        <w:rPr>
          <w:noProof/>
        </w:rPr>
        <w:t>ať vykonávanie týchto opatrení pomoci s cieľom zabezpečiť dodržiavanie povinností v oblasti ľudských práv.</w:t>
      </w:r>
    </w:p>
    <w:p w:rsidR="00A6487C" w:rsidRDefault="007E6C80">
      <w:pPr>
        <w:pStyle w:val="ManualHeading1"/>
        <w:rPr>
          <w:noProof/>
        </w:rPr>
      </w:pPr>
      <w:r>
        <w:rPr>
          <w:noProof/>
        </w:rPr>
        <w:t>4.</w:t>
      </w:r>
      <w:r>
        <w:rPr>
          <w:noProof/>
        </w:rPr>
        <w:tab/>
        <w:t>VPLYV NA ROZPOČET</w:t>
      </w:r>
    </w:p>
    <w:p w:rsidR="00A6487C" w:rsidRDefault="007E6C80">
      <w:pPr>
        <w:autoSpaceDE w:val="0"/>
        <w:autoSpaceDN w:val="0"/>
        <w:adjustRightInd w:val="0"/>
        <w:spacing w:before="0" w:after="0"/>
        <w:rPr>
          <w:rFonts w:eastAsia="Arial Unicode MS"/>
          <w:noProof/>
        </w:rPr>
      </w:pPr>
      <w:r>
        <w:rPr>
          <w:noProof/>
        </w:rPr>
        <w:t>Pokiaľ ide o náklady, bude potrebný rozpočet vo výške 100 000 000 EUR na obdobie rokov 2017 – 2020. Táto iniciatíva sa bude fina</w:t>
      </w:r>
      <w:r>
        <w:rPr>
          <w:noProof/>
        </w:rPr>
        <w:t xml:space="preserve">ncovať presunutím rozpočtových prostriedkov </w:t>
      </w:r>
      <w:r>
        <w:rPr>
          <w:noProof/>
        </w:rPr>
        <w:lastRenderedPageBreak/>
        <w:t>v rámci okruhu IV všeobecného rozpočtu Únie. Nemobilizovali by sa žiadne dodatočné zdroje. Vykonávanie sa bude riadiť nariadením (EÚ) č. 236/2014</w:t>
      </w:r>
      <w:r>
        <w:rPr>
          <w:rStyle w:val="FootnoteReference"/>
          <w:noProof/>
        </w:rPr>
        <w:footnoteReference w:id="16"/>
      </w:r>
      <w:r>
        <w:rPr>
          <w:noProof/>
        </w:rPr>
        <w:t>.</w:t>
      </w:r>
    </w:p>
    <w:p w:rsidR="00A6487C" w:rsidRDefault="007E6C80">
      <w:pPr>
        <w:pStyle w:val="ManualHeading1"/>
        <w:rPr>
          <w:noProof/>
        </w:rPr>
      </w:pPr>
      <w:r>
        <w:rPr>
          <w:noProof/>
        </w:rPr>
        <w:t>5.</w:t>
      </w:r>
      <w:r>
        <w:rPr>
          <w:noProof/>
        </w:rPr>
        <w:tab/>
        <w:t>INÉ PRVKY</w:t>
      </w:r>
    </w:p>
    <w:p w:rsidR="00A6487C" w:rsidRDefault="007E6C80">
      <w:pPr>
        <w:pStyle w:val="ManualHeading2"/>
        <w:rPr>
          <w:rFonts w:eastAsia="Arial Unicode MS"/>
          <w:noProof/>
          <w:u w:color="000000"/>
          <w:bdr w:val="nil"/>
        </w:rPr>
      </w:pPr>
      <w:r>
        <w:rPr>
          <w:noProof/>
        </w:rPr>
        <w:t>•</w:t>
      </w:r>
      <w:r>
        <w:rPr>
          <w:noProof/>
        </w:rPr>
        <w:tab/>
        <w:t>Plány vykonávania a spôsob monitorovania, hodnote</w:t>
      </w:r>
      <w:r>
        <w:rPr>
          <w:noProof/>
        </w:rPr>
        <w:t>nia a podávania správ</w:t>
      </w:r>
    </w:p>
    <w:p w:rsidR="00A6487C" w:rsidRDefault="007E6C80">
      <w:pPr>
        <w:rPr>
          <w:noProof/>
        </w:rPr>
      </w:pPr>
      <w:r>
        <w:rPr>
          <w:noProof/>
        </w:rPr>
        <w:t>Postupy monitorovania a hodnotenia sú stanovené v článkoch 12 a 13 nariadenia (EÚ) č. 236/2014, ktoré sa uplatňuje na všetky nástroje financovania vonkajšej činnosti EÚ vrátane nástroja na podporu stability a mieru, ktorý je uprednost</w:t>
      </w:r>
      <w:r>
        <w:rPr>
          <w:noProof/>
        </w:rPr>
        <w:t>ňovanou možnosťou. V uvedenom nariadení sú stanovené aj spôsoby podávania správ.</w:t>
      </w:r>
    </w:p>
    <w:p w:rsidR="00A6487C" w:rsidRDefault="007E6C80">
      <w:pPr>
        <w:pStyle w:val="ManualHeading2"/>
        <w:rPr>
          <w:rFonts w:eastAsia="Arial Unicode MS"/>
          <w:noProof/>
          <w:u w:color="000000"/>
          <w:bdr w:val="nil"/>
        </w:rPr>
      </w:pPr>
      <w:r>
        <w:rPr>
          <w:noProof/>
        </w:rPr>
        <w:t>•</w:t>
      </w:r>
      <w:r>
        <w:rPr>
          <w:noProof/>
        </w:rPr>
        <w:tab/>
        <w:t>Podrobné vysvetlenie konkrétnych ustanovení návrhu</w:t>
      </w:r>
    </w:p>
    <w:p w:rsidR="00A6487C" w:rsidRDefault="007E6C80">
      <w:pPr>
        <w:pStyle w:val="Text1"/>
        <w:ind w:left="0"/>
        <w:rPr>
          <w:noProof/>
        </w:rPr>
      </w:pPr>
      <w:r>
        <w:rPr>
          <w:noProof/>
        </w:rPr>
        <w:t xml:space="preserve">V tejto časti je uvedený podrobný komentár ilustrujúci hlavné ustanovenia zavádzané navrhovaným nariadením, ktorým sa má </w:t>
      </w:r>
      <w:r>
        <w:rPr>
          <w:noProof/>
        </w:rPr>
        <w:t>zmeniť nariadenie (EÚ) č. 230/2014, ktorým sa ustanovuje nástroj na podporu stability a mieru.</w:t>
      </w:r>
    </w:p>
    <w:p w:rsidR="00A6487C" w:rsidRDefault="007E6C80">
      <w:pPr>
        <w:pStyle w:val="Point1"/>
        <w:rPr>
          <w:noProof/>
        </w:rPr>
      </w:pPr>
      <w:r>
        <w:rPr>
          <w:noProof/>
        </w:rPr>
        <w:t>1.</w:t>
      </w:r>
      <w:r>
        <w:rPr>
          <w:noProof/>
        </w:rPr>
        <w:tab/>
        <w:t>Predmet úpravy a ciele (Hlava I Všeobecné ustanovenia, článok 1)</w:t>
      </w:r>
    </w:p>
    <w:p w:rsidR="00A6487C" w:rsidRDefault="007E6C80">
      <w:pPr>
        <w:pStyle w:val="Text1"/>
        <w:ind w:left="0"/>
        <w:rPr>
          <w:noProof/>
        </w:rPr>
      </w:pPr>
      <w:r>
        <w:rPr>
          <w:noProof/>
        </w:rPr>
        <w:t>Účelom zmeny v článku 1 ods. 2 je zahrnúť pomoc pre aktérov zodpovedných za bezpečnosť vrátan</w:t>
      </w:r>
      <w:r>
        <w:rPr>
          <w:noProof/>
        </w:rPr>
        <w:t>e vojenských aktérov do rozsahu pôsobnosti tohto nariadenia. Pomoc možno poskytovať za výnimočných okolností uvedených ďalej (pozri bod 2) v kontexte širšieho procesu reformy sektora bezpečnosti a/alebo v rámci budovania kapacít na podporu bezpečnosti a ro</w:t>
      </w:r>
      <w:r>
        <w:rPr>
          <w:noProof/>
        </w:rPr>
        <w:t>zvoja v súlade so všeobecným cieľom dosiahnutia trvalo udržateľného rozvoja.</w:t>
      </w:r>
    </w:p>
    <w:p w:rsidR="00A6487C" w:rsidRDefault="007E6C80">
      <w:pPr>
        <w:pStyle w:val="Point1"/>
        <w:rPr>
          <w:noProof/>
        </w:rPr>
      </w:pPr>
      <w:r>
        <w:rPr>
          <w:noProof/>
        </w:rPr>
        <w:t>2.</w:t>
      </w:r>
      <w:r>
        <w:rPr>
          <w:noProof/>
        </w:rPr>
        <w:tab/>
        <w:t>Budovanie kapacít na podporu bezpečnosti a rozvoja (Hlava II Typy pomoci Únie, článok 3a)</w:t>
      </w:r>
    </w:p>
    <w:p w:rsidR="00A6487C" w:rsidRDefault="007E6C80">
      <w:pPr>
        <w:pStyle w:val="Text1"/>
        <w:ind w:left="0"/>
        <w:rPr>
          <w:noProof/>
        </w:rPr>
      </w:pPr>
      <w:r>
        <w:rPr>
          <w:noProof/>
        </w:rPr>
        <w:t xml:space="preserve">V navrhovanom článku 3a sa v </w:t>
      </w:r>
      <w:r>
        <w:rPr>
          <w:noProof/>
          <w:u w:val="single"/>
        </w:rPr>
        <w:t>odseku 1</w:t>
      </w:r>
      <w:r>
        <w:rPr>
          <w:noProof/>
        </w:rPr>
        <w:t xml:space="preserve"> stanovuje, že pomoc Únie je možné využiť na budo</w:t>
      </w:r>
      <w:r>
        <w:rPr>
          <w:noProof/>
        </w:rPr>
        <w:t>vanie kapacít vojenských aktérov v partnerských krajinách za výnimočných okolností s cieľom prispieť k trvalo udržateľnému rozvoju a najmä k dosiahnutiu stabilných, mierových a inkluzívnych spoločností. Dosiahnutie stabilných, mierových a inkluzívnych spol</w:t>
      </w:r>
      <w:r>
        <w:rPr>
          <w:noProof/>
        </w:rPr>
        <w:t>očností nepriamo poukazuje na cieľ trvalo udržateľného rozvoja č. 16 o „mieri a spravodlivosti“, v ktorom sa zdôrazňuje význam podpory mierových a inkluzívnych spoločností, poskytovanie prístupu k spravodlivosti pre všetkých a budovanie účinných a zodpoved</w:t>
      </w:r>
      <w:r>
        <w:rPr>
          <w:noProof/>
        </w:rPr>
        <w:t>ných inštitúcií na všetkých úrovniach. V cieli trvalo udržateľného rozvoja č. 16 sa zdôrazňuje potreba posilniť príslušné národné inštitúcie, a to aj prostredníctvom medzinárodnej spolupráce pri budovaní kapacít na všetkých úrovniach, najmä v rozvojových k</w:t>
      </w:r>
      <w:r>
        <w:rPr>
          <w:noProof/>
        </w:rPr>
        <w:t xml:space="preserve">rajinách, s cieľom okrem iného predchádzať násiliu a bojovať proti terorizmu a trestnej činnosti. Výnimočné okolnosti uvedené v odseku 1 sú ďalej vymedzené v odseku 3 nového článku 3a. </w:t>
      </w:r>
    </w:p>
    <w:p w:rsidR="00A6487C" w:rsidRDefault="007E6C80">
      <w:pPr>
        <w:pStyle w:val="Text1"/>
        <w:ind w:left="0"/>
        <w:rPr>
          <w:noProof/>
        </w:rPr>
      </w:pPr>
      <w:r>
        <w:rPr>
          <w:noProof/>
        </w:rPr>
        <w:t xml:space="preserve">V </w:t>
      </w:r>
      <w:r>
        <w:rPr>
          <w:noProof/>
          <w:u w:val="single"/>
        </w:rPr>
        <w:t>odseku 2</w:t>
      </w:r>
      <w:r>
        <w:rPr>
          <w:noProof/>
        </w:rPr>
        <w:t xml:space="preserve"> článku 3a sú uvedené typy činností, ktoré sa môžu podporova</w:t>
      </w:r>
      <w:r>
        <w:rPr>
          <w:noProof/>
        </w:rPr>
        <w:t>ť, t. j.: programy budovania kapacít na podporu bezpečnosti a rozvoja vrátane odbornej prípravy, mentorstva a poradenstva, ako aj zabezpečenie vybavenia, zlepšenie infraštruktúry a poskytovanie iných služieb.</w:t>
      </w:r>
    </w:p>
    <w:p w:rsidR="00A6487C" w:rsidRDefault="007E6C80">
      <w:pPr>
        <w:pStyle w:val="Text1"/>
        <w:ind w:left="0"/>
        <w:rPr>
          <w:noProof/>
        </w:rPr>
      </w:pPr>
      <w:r>
        <w:rPr>
          <w:noProof/>
        </w:rPr>
        <w:t xml:space="preserve">V </w:t>
      </w:r>
      <w:r>
        <w:rPr>
          <w:noProof/>
          <w:u w:val="single"/>
        </w:rPr>
        <w:t>odseku 3</w:t>
      </w:r>
      <w:r>
        <w:rPr>
          <w:noProof/>
        </w:rPr>
        <w:t xml:space="preserve"> článku 3a sa ďalej opisujú výnimočné</w:t>
      </w:r>
      <w:r>
        <w:rPr>
          <w:noProof/>
        </w:rPr>
        <w:t xml:space="preserve"> okolnosti uvedené v odseku 1, za ktorých sa pomoc poskytuje. Odsek 3 písm. a) a b) sa majú čítať súhrnne. V odseku 3 písm. a) sa vyžaduje, aby vojenskí aktéri boli financovaní, len ak požiadavky na primerané dosiahnutie </w:t>
      </w:r>
      <w:r>
        <w:rPr>
          <w:noProof/>
        </w:rPr>
        <w:lastRenderedPageBreak/>
        <w:t>cieľov Únie podľa nariadenia (EÚ) č</w:t>
      </w:r>
      <w:r>
        <w:rPr>
          <w:noProof/>
        </w:rPr>
        <w:t>. 230/2014 nie je možné splniť obrátením sa na nevojenských aktérov a predpoklad dosiahnutia stabilných, mierových a inkluzívnych spoločností sa odmietne z dôvodu vážneho ohrozenia existencie fungujúcich štátnych inštitúcií alebo štátne inštitúcie už nezvl</w:t>
      </w:r>
      <w:r>
        <w:rPr>
          <w:noProof/>
        </w:rPr>
        <w:t>ádajú toto vážne ohrozenie (napr. zlyhali). V odseku 3 písm. b) sa vyžaduje, aby existoval konsenzus medzi medzinárodným spoločenstvom a/alebo Úniou a príslušnou krajinou, že sektor bezpečnosti a najmä armáda sú kľúčové pre stabilitu, mier a rozvoj obzvláš</w:t>
      </w:r>
      <w:r>
        <w:rPr>
          <w:noProof/>
        </w:rPr>
        <w:t>ť v krízových a nestabilných situáciách. Môže mať formu rezolúcie Bezpečnostnej rady OSN alebo programového dokumentu, ktorý bol dohodnutý medzi Úniou a ďalšími medzinárodnými partnermi (napr. dohoda pre Somálsko), alebo sa Únia zapojí na základe hlavy V Z</w:t>
      </w:r>
      <w:r>
        <w:rPr>
          <w:noProof/>
        </w:rPr>
        <w:t>EÚ.</w:t>
      </w:r>
    </w:p>
    <w:p w:rsidR="00A6487C" w:rsidRDefault="007E6C80">
      <w:pPr>
        <w:pStyle w:val="Text1"/>
        <w:ind w:left="0"/>
        <w:rPr>
          <w:noProof/>
        </w:rPr>
      </w:pPr>
      <w:r>
        <w:rPr>
          <w:noProof/>
        </w:rPr>
        <w:t xml:space="preserve">V </w:t>
      </w:r>
      <w:r>
        <w:rPr>
          <w:noProof/>
          <w:u w:val="single"/>
        </w:rPr>
        <w:t>odseku 4</w:t>
      </w:r>
      <w:r>
        <w:rPr>
          <w:noProof/>
        </w:rPr>
        <w:t xml:space="preserve"> článku 3a sú uvedené obmedzenia pomoci Únie podľa tohto nového článku. Pomoc je vylúčená v prípade: opakovaných vojenských výdavkov, verejného obstarávania zbraní a munície, ako aj odbornej prípravy, ktorá je určená výhradne na podporu bojaschopnosti ozbr</w:t>
      </w:r>
      <w:r>
        <w:rPr>
          <w:noProof/>
        </w:rPr>
        <w:t>ojených síl.</w:t>
      </w:r>
    </w:p>
    <w:p w:rsidR="00A6487C" w:rsidRDefault="007E6C80">
      <w:pPr>
        <w:pStyle w:val="Text1"/>
        <w:ind w:left="0"/>
        <w:rPr>
          <w:noProof/>
        </w:rPr>
      </w:pPr>
      <w:r>
        <w:rPr>
          <w:noProof/>
          <w:u w:val="single"/>
        </w:rPr>
        <w:t>Odsek 5</w:t>
      </w:r>
      <w:r>
        <w:rPr>
          <w:noProof/>
        </w:rPr>
        <w:t xml:space="preserve"> článku 3a obsahuje všeobecné zásady, ktoré sa musia uplatniť pri formovaní pomoci podľa tohto článku, a to: zodpovednosť zo strany partnerskej krajiny; potreba rozvíjať prvky a osvedčené postupy potrebné na zabezpečenie trvalej udržate</w:t>
      </w:r>
      <w:r>
        <w:rPr>
          <w:noProof/>
        </w:rPr>
        <w:t>ľnosti v strednodobom a dlhodobom horizonte, rovnako ako podporovať právny štát a zavedené zásady medzinárodného práva.</w:t>
      </w:r>
    </w:p>
    <w:p w:rsidR="00A6487C" w:rsidRDefault="007E6C80">
      <w:pPr>
        <w:pStyle w:val="Text1"/>
        <w:ind w:left="0"/>
        <w:rPr>
          <w:noProof/>
        </w:rPr>
      </w:pPr>
      <w:r>
        <w:rPr>
          <w:noProof/>
        </w:rPr>
        <w:t xml:space="preserve">V </w:t>
      </w:r>
      <w:r>
        <w:rPr>
          <w:noProof/>
          <w:u w:val="single"/>
        </w:rPr>
        <w:t>odseku 6</w:t>
      </w:r>
      <w:r>
        <w:rPr>
          <w:noProof/>
        </w:rPr>
        <w:t xml:space="preserve"> článku 3a sa napokon vyžaduje zavedenie posudzovania rizík, postupov monitorovania a hodnotenia v súvislosti s opatreniami po</w:t>
      </w:r>
      <w:r>
        <w:rPr>
          <w:noProof/>
        </w:rPr>
        <w:t>moci podľa tohto nového článku.</w:t>
      </w:r>
    </w:p>
    <w:p w:rsidR="00A6487C" w:rsidRDefault="007E6C80">
      <w:pPr>
        <w:pStyle w:val="Point1"/>
        <w:rPr>
          <w:noProof/>
        </w:rPr>
      </w:pPr>
      <w:r>
        <w:rPr>
          <w:noProof/>
        </w:rPr>
        <w:t>3.</w:t>
      </w:r>
      <w:r>
        <w:rPr>
          <w:noProof/>
        </w:rPr>
        <w:tab/>
        <w:t>Opatrenia výnimočnej pomoci a programy dočasnej reakcie (Hlava III Programovanie a vykonávanie, článok 7)</w:t>
      </w:r>
    </w:p>
    <w:p w:rsidR="00A6487C" w:rsidRDefault="007E6C80">
      <w:pPr>
        <w:pStyle w:val="Text1"/>
        <w:ind w:left="0"/>
        <w:rPr>
          <w:noProof/>
        </w:rPr>
      </w:pPr>
      <w:r>
        <w:rPr>
          <w:noProof/>
        </w:rPr>
        <w:t>Článok 7 ods. 1 sa mení tak, aby obsahoval krížový odkaz na nový článok 3a, v ktorom sa spresňuje, že pomoc Únie po</w:t>
      </w:r>
      <w:r>
        <w:rPr>
          <w:noProof/>
        </w:rPr>
        <w:t>dľa nového článku 3a sa môže poskytnúť prostredníctvom opatrení výnimočnej pomoci a programov dočasnej reakcie.</w:t>
      </w:r>
    </w:p>
    <w:p w:rsidR="00A6487C" w:rsidRDefault="007E6C80">
      <w:pPr>
        <w:pStyle w:val="Point1"/>
        <w:rPr>
          <w:noProof/>
        </w:rPr>
      </w:pPr>
      <w:r>
        <w:rPr>
          <w:noProof/>
        </w:rPr>
        <w:t>4.</w:t>
      </w:r>
      <w:r>
        <w:rPr>
          <w:noProof/>
        </w:rPr>
        <w:tab/>
        <w:t>Tematické strategické dokumenty a viacročné orientačné programy (Hlava III Programovanie a vykonávanie, článok 8)</w:t>
      </w:r>
    </w:p>
    <w:p w:rsidR="00A6487C" w:rsidRDefault="007E6C80">
      <w:pPr>
        <w:pStyle w:val="Text1"/>
        <w:ind w:left="0"/>
        <w:rPr>
          <w:noProof/>
        </w:rPr>
      </w:pPr>
      <w:r>
        <w:rPr>
          <w:noProof/>
        </w:rPr>
        <w:t>Článok 8 ods. 1 sa mení tak</w:t>
      </w:r>
      <w:r>
        <w:rPr>
          <w:noProof/>
        </w:rPr>
        <w:t>, aby obsahoval krížový odkaz na nový článok 3a, v ktorom sa spresňuje, že pomoc Únie podľa nového článku 3a sa môže poskytnúť prostredníctvom tematických strategických dokumentov.</w:t>
      </w:r>
    </w:p>
    <w:p w:rsidR="00A6487C" w:rsidRDefault="007E6C80">
      <w:pPr>
        <w:pStyle w:val="Point1"/>
        <w:rPr>
          <w:noProof/>
        </w:rPr>
      </w:pPr>
      <w:r>
        <w:rPr>
          <w:noProof/>
        </w:rPr>
        <w:t>5.</w:t>
      </w:r>
      <w:r>
        <w:rPr>
          <w:noProof/>
        </w:rPr>
        <w:tab/>
        <w:t>Ľudské práva (Hlava III Programovanie a vykonávanie, článok 10)</w:t>
      </w:r>
    </w:p>
    <w:p w:rsidR="00A6487C" w:rsidRDefault="007E6C80">
      <w:pPr>
        <w:pStyle w:val="Text1"/>
        <w:ind w:left="0"/>
        <w:rPr>
          <w:noProof/>
        </w:rPr>
      </w:pPr>
      <w:r>
        <w:rPr>
          <w:noProof/>
        </w:rPr>
        <w:t>Článok 1</w:t>
      </w:r>
      <w:r>
        <w:rPr>
          <w:noProof/>
        </w:rPr>
        <w:t>0 ods. 1 sa mení s cieľom rozšíriť povinnosť vykonávať opatrenia pomoci v súlade s medzinárodným právom vrátane medzinárodného humanitárneho práva na opatrenia pomoci, ktoré sa týkajú budovania kapacít na podporu bezpečnosti a rozvoja podľa nového navrhova</w:t>
      </w:r>
      <w:r>
        <w:rPr>
          <w:noProof/>
        </w:rPr>
        <w:t>ného článku 3a.</w:t>
      </w:r>
    </w:p>
    <w:p w:rsidR="00A6487C" w:rsidRDefault="007E6C80">
      <w:pPr>
        <w:pStyle w:val="Point1"/>
        <w:rPr>
          <w:noProof/>
        </w:rPr>
      </w:pPr>
      <w:r>
        <w:rPr>
          <w:noProof/>
        </w:rPr>
        <w:t>6.</w:t>
      </w:r>
      <w:r>
        <w:rPr>
          <w:noProof/>
        </w:rPr>
        <w:tab/>
        <w:t>Finančné krytie (Hlava IV Záverečné ustanovenia, článok 13)</w:t>
      </w:r>
    </w:p>
    <w:p w:rsidR="00A6487C" w:rsidRDefault="007E6C80">
      <w:pPr>
        <w:pStyle w:val="Text1"/>
        <w:ind w:left="0"/>
        <w:rPr>
          <w:noProof/>
        </w:rPr>
      </w:pPr>
      <w:r>
        <w:rPr>
          <w:noProof/>
        </w:rPr>
        <w:t>V článku 13 ods. 1 sa finančné krytie na vykonávanie nariadenia zvyšuje o 100 000 000 EUR, takže finančné krytie nástroja na podporu stability a mieru je 2 438 719 000 EUR. Poki</w:t>
      </w:r>
      <w:r>
        <w:rPr>
          <w:noProof/>
        </w:rPr>
        <w:t xml:space="preserve">aľ ide o rozdelenie ustanovené v článku 13 ods. 3, ostáva nedotknuté s cieľom umožniť, aby sa činnosti súvisiace s budovaním kapacít na podporu bezpečnosti a rozvoja konali podľa rôznych článkov a financovali podľa rôznych rozpočtových riadkov. </w:t>
      </w:r>
    </w:p>
    <w:p w:rsidR="00A6487C" w:rsidRDefault="00A6487C">
      <w:pPr>
        <w:pBdr>
          <w:top w:val="nil"/>
          <w:left w:val="nil"/>
          <w:bottom w:val="nil"/>
          <w:right w:val="nil"/>
          <w:between w:val="nil"/>
          <w:bar w:val="nil"/>
        </w:pBdr>
        <w:spacing w:before="0" w:after="240"/>
        <w:rPr>
          <w:noProof/>
        </w:rPr>
      </w:pPr>
    </w:p>
    <w:p w:rsidR="00A6487C" w:rsidRDefault="00A6487C">
      <w:pPr>
        <w:rPr>
          <w:noProof/>
        </w:rPr>
        <w:sectPr w:rsidR="00A6487C">
          <w:footerReference w:type="default" r:id="rId11"/>
          <w:footerReference w:type="first" r:id="rId12"/>
          <w:pgSz w:w="11907" w:h="16839"/>
          <w:pgMar w:top="1134" w:right="1417" w:bottom="1134" w:left="1417" w:header="709" w:footer="709" w:gutter="0"/>
          <w:cols w:space="708"/>
          <w:docGrid w:linePitch="360"/>
        </w:sectPr>
      </w:pPr>
    </w:p>
    <w:p w:rsidR="00A6487C" w:rsidRDefault="007E6C80">
      <w:pPr>
        <w:pStyle w:val="Rfrenceinterinstitutionnelle"/>
        <w:rPr>
          <w:noProof/>
        </w:rPr>
      </w:pPr>
      <w:r>
        <w:rPr>
          <w:noProof/>
        </w:rPr>
        <w:lastRenderedPageBreak/>
        <w:t>2016/0207 (COD)</w:t>
      </w:r>
    </w:p>
    <w:p w:rsidR="00A6487C" w:rsidRDefault="007E6C80">
      <w:pPr>
        <w:pStyle w:val="Statut"/>
        <w:rPr>
          <w:noProof/>
        </w:rPr>
      </w:pPr>
      <w:r>
        <w:rPr>
          <w:noProof/>
        </w:rPr>
        <w:t>Návrh</w:t>
      </w:r>
    </w:p>
    <w:p w:rsidR="00A6487C" w:rsidRDefault="007E6C80">
      <w:pPr>
        <w:pStyle w:val="Typedudocument"/>
        <w:rPr>
          <w:noProof/>
        </w:rPr>
      </w:pPr>
      <w:r>
        <w:rPr>
          <w:noProof/>
        </w:rPr>
        <w:t>NARIADENIE EURÓPSKEHO PARLAMENTU A RADY,</w:t>
      </w:r>
    </w:p>
    <w:p w:rsidR="00A6487C" w:rsidRDefault="007E6C80">
      <w:pPr>
        <w:pStyle w:val="Titreobjet"/>
        <w:rPr>
          <w:noProof/>
        </w:rPr>
      </w:pPr>
      <w:r>
        <w:rPr>
          <w:noProof/>
        </w:rPr>
        <w:t xml:space="preserve">ktorým sa mení nariadenie Európskeho parlamentu a Rady (EÚ) č. 230/2014 z 11. marca 2014, ktorým sa </w:t>
      </w:r>
      <w:r>
        <w:rPr>
          <w:noProof/>
        </w:rPr>
        <w:t>ustanovuje nástroj na podporu stability a mieru</w:t>
      </w:r>
    </w:p>
    <w:p w:rsidR="00A6487C" w:rsidRDefault="007E6C80">
      <w:pPr>
        <w:pStyle w:val="Institutionquiagit"/>
        <w:rPr>
          <w:noProof/>
        </w:rPr>
      </w:pPr>
      <w:r>
        <w:rPr>
          <w:noProof/>
        </w:rPr>
        <w:t>EURÓPSKY PARLAMENT A RADA EURÓPSKEJ ÚNIE,</w:t>
      </w:r>
    </w:p>
    <w:p w:rsidR="00A6487C" w:rsidRDefault="007E6C80">
      <w:pPr>
        <w:rPr>
          <w:noProof/>
        </w:rPr>
      </w:pPr>
      <w:r>
        <w:rPr>
          <w:noProof/>
        </w:rPr>
        <w:t>so zreteľom na Zmluvu o fungovaní Európskej únie, a najmä na jej článok 209 ods. 1 a článok 212 ods. 2,</w:t>
      </w:r>
    </w:p>
    <w:p w:rsidR="00A6487C" w:rsidRDefault="007E6C80">
      <w:pPr>
        <w:rPr>
          <w:noProof/>
        </w:rPr>
      </w:pPr>
      <w:r>
        <w:rPr>
          <w:noProof/>
        </w:rPr>
        <w:t>so zreteľom na návrh Európskej komisie,</w:t>
      </w:r>
    </w:p>
    <w:p w:rsidR="00A6487C" w:rsidRDefault="007E6C80">
      <w:pPr>
        <w:rPr>
          <w:noProof/>
        </w:rPr>
      </w:pPr>
      <w:r>
        <w:rPr>
          <w:noProof/>
        </w:rPr>
        <w:t xml:space="preserve">po postúpení návrhu </w:t>
      </w:r>
      <w:r>
        <w:rPr>
          <w:noProof/>
        </w:rPr>
        <w:t>legislatívneho aktu národným parlamentom,</w:t>
      </w:r>
    </w:p>
    <w:p w:rsidR="00A6487C" w:rsidRDefault="007E6C80">
      <w:pPr>
        <w:rPr>
          <w:noProof/>
        </w:rPr>
      </w:pPr>
      <w:r>
        <w:rPr>
          <w:noProof/>
        </w:rPr>
        <w:t>konajúc v súlade s riadnym legislatívnym postupom,</w:t>
      </w:r>
    </w:p>
    <w:p w:rsidR="00A6487C" w:rsidRDefault="007E6C80">
      <w:pPr>
        <w:rPr>
          <w:noProof/>
        </w:rPr>
      </w:pPr>
      <w:r>
        <w:rPr>
          <w:noProof/>
        </w:rPr>
        <w:t>keďže:</w:t>
      </w:r>
    </w:p>
    <w:p w:rsidR="00A6487C" w:rsidRDefault="007E6C80">
      <w:pPr>
        <w:pStyle w:val="ManualConsidrant"/>
        <w:rPr>
          <w:noProof/>
        </w:rPr>
      </w:pPr>
      <w:r>
        <w:t>(1)</w:t>
      </w:r>
      <w:r>
        <w:tab/>
      </w:r>
      <w:r>
        <w:rPr>
          <w:noProof/>
        </w:rPr>
        <w:t>Európsky konsenzus o rozvoji z roku 2005 uznáva spojitosť medzi bezpečnosťou a rozvojom</w:t>
      </w:r>
      <w:r>
        <w:rPr>
          <w:rStyle w:val="FootnoteReference"/>
          <w:noProof/>
        </w:rPr>
        <w:footnoteReference w:id="17"/>
      </w:r>
      <w:r>
        <w:rPr>
          <w:noProof/>
        </w:rPr>
        <w:t xml:space="preserve">. </w:t>
      </w:r>
    </w:p>
    <w:p w:rsidR="00A6487C" w:rsidRDefault="007E6C80">
      <w:pPr>
        <w:pStyle w:val="ManualConsidrant"/>
        <w:rPr>
          <w:noProof/>
        </w:rPr>
      </w:pPr>
      <w:r>
        <w:t>(2)</w:t>
      </w:r>
      <w:r>
        <w:tab/>
      </w:r>
      <w:r>
        <w:rPr>
          <w:noProof/>
        </w:rPr>
        <w:t>V programe trvalo udržateľného rozvoja do roku 2030, ktor</w:t>
      </w:r>
      <w:r>
        <w:rPr>
          <w:noProof/>
        </w:rPr>
        <w:t>ý v septembri 2015 prijala Organizácia Spojených národov, sa zdôrazňuje význam podporovania mierových a inkluzívnych spoločností jednak ako cieľa trvalo udržateľného rozvoja č. 16, jednak na dosiahnutie iných výsledkov rozvojovej politiky. V cieli trvalo u</w:t>
      </w:r>
      <w:r>
        <w:rPr>
          <w:noProof/>
        </w:rPr>
        <w:t>držateľného rozvoja č. 16.a sa výslovne žiada „posilniť príslušné národné inštitúcie, a to aj prostredníctvom medzinárodnej spolupráce pri budovaní kapacít na všetkých úrovniach, najmä v rozvojových krajinách, s cieľom predchádzať násiliu a bojovať proti t</w:t>
      </w:r>
      <w:r>
        <w:rPr>
          <w:noProof/>
        </w:rPr>
        <w:t>erorizmu a trestnej činnosti“</w:t>
      </w:r>
      <w:r>
        <w:rPr>
          <w:rStyle w:val="FootnoteReference"/>
          <w:noProof/>
        </w:rPr>
        <w:footnoteReference w:id="18"/>
      </w:r>
      <w:r>
        <w:rPr>
          <w:noProof/>
        </w:rPr>
        <w:t>.</w:t>
      </w:r>
    </w:p>
    <w:p w:rsidR="00A6487C" w:rsidRDefault="007E6C80">
      <w:pPr>
        <w:pStyle w:val="ManualConsidrant"/>
        <w:rPr>
          <w:noProof/>
        </w:rPr>
      </w:pPr>
      <w:r>
        <w:t>(3)</w:t>
      </w:r>
      <w:r>
        <w:tab/>
      </w:r>
      <w:r>
        <w:rPr>
          <w:noProof/>
        </w:rPr>
        <w:t>Podporovanie aktérov sektora bezpečnosti v tretích krajinách vrátane armády za výnimočných okolností je v kontexte predchádzania konfliktom, krízového riadenia alebo stabilizácie nevyhnutné na zabezpečenie vhodných podmi</w:t>
      </w:r>
      <w:r>
        <w:rPr>
          <w:noProof/>
        </w:rPr>
        <w:t>enok na odstraňovanie chudoby a na rozvoj. Tieto opatrenia sú obzvlášť potrebné na zabezpečenie ochrany civilného obyvateľstva v oblastiach postihnutých konfliktom, krízami alebo nestabilitou. Dobrá správa vecí verejných a účinná demokratická kontrola a ci</w:t>
      </w:r>
      <w:r>
        <w:rPr>
          <w:noProof/>
        </w:rPr>
        <w:t>vilný dohľad nad bezpečnostným systémom vrátane armády, ako aj dodržiavanie ľudských práv a zásad právneho štátu sú nevyhnutné atribúty riadne fungujúceho štátu v akomkoľvek kontexte a mali by sa podporovať prostredníctvom širšej podpory reforiem sektora b</w:t>
      </w:r>
      <w:r>
        <w:rPr>
          <w:noProof/>
        </w:rPr>
        <w:t xml:space="preserve">ezpečnosti tretím krajinám. </w:t>
      </w:r>
    </w:p>
    <w:p w:rsidR="00A6487C" w:rsidRDefault="007E6C80">
      <w:pPr>
        <w:pStyle w:val="ManualConsidrant"/>
        <w:rPr>
          <w:noProof/>
        </w:rPr>
      </w:pPr>
      <w:r>
        <w:t>(4)</w:t>
      </w:r>
      <w:r>
        <w:tab/>
      </w:r>
      <w:r>
        <w:rPr>
          <w:noProof/>
        </w:rPr>
        <w:t xml:space="preserve">V záveroch Európskej rady z 19. a 20. decembra 2013 sa zdôrazňuje význam podpory partnerských krajín a regionálnych organizácií prostredníctvom poskytovania odbornej </w:t>
      </w:r>
      <w:r>
        <w:rPr>
          <w:noProof/>
        </w:rPr>
        <w:lastRenderedPageBreak/>
        <w:t xml:space="preserve">prípravy, poradenstva, vybavenia a prípadne zdrojov, aby </w:t>
      </w:r>
      <w:r>
        <w:rPr>
          <w:noProof/>
        </w:rPr>
        <w:t xml:space="preserve">mohli čoraz viac sami predchádzať krízam alebo krízy zvládať. </w:t>
      </w:r>
    </w:p>
    <w:p w:rsidR="00A6487C" w:rsidRDefault="007E6C80">
      <w:pPr>
        <w:pStyle w:val="ManualConsidrant"/>
        <w:rPr>
          <w:noProof/>
        </w:rPr>
      </w:pPr>
      <w:r>
        <w:t>(5)</w:t>
      </w:r>
      <w:r>
        <w:tab/>
      </w:r>
      <w:r>
        <w:rPr>
          <w:noProof/>
        </w:rPr>
        <w:t>V spoločnom oznámení s názvom „Budovanie kapacít na podporu bezpečnosti a rozvoja – umožnenie partnerom predchádzať krízam a zvládať ich“ Komisia a vysoká predstaviteľka Únie pre zahraničné</w:t>
      </w:r>
      <w:r>
        <w:rPr>
          <w:noProof/>
        </w:rPr>
        <w:t xml:space="preserve"> veci a bezpečnostnú politiku zdôraznili potrebu stabilných a bezpečných spoločností s cieľom dosiahnuť rozvojové ciele</w:t>
      </w:r>
      <w:r>
        <w:rPr>
          <w:rStyle w:val="FootnoteReference"/>
          <w:noProof/>
        </w:rPr>
        <w:footnoteReference w:id="19"/>
      </w:r>
      <w:r>
        <w:rPr>
          <w:noProof/>
        </w:rPr>
        <w:t xml:space="preserve">. </w:t>
      </w:r>
    </w:p>
    <w:p w:rsidR="00A6487C" w:rsidRDefault="007E6C80">
      <w:pPr>
        <w:pStyle w:val="ManualConsidrant"/>
        <w:rPr>
          <w:noProof/>
        </w:rPr>
      </w:pPr>
      <w:r>
        <w:t>(6)</w:t>
      </w:r>
      <w:r>
        <w:tab/>
      </w:r>
      <w:r>
        <w:rPr>
          <w:noProof/>
        </w:rPr>
        <w:t>V záveroch Rady o spoločnej bezpečnostnej a obrannej politike (SBOP) z 18. mája 2015 sa vyžaduje, aby sa preskúmali možnosti zvýš</w:t>
      </w:r>
      <w:r>
        <w:rPr>
          <w:noProof/>
        </w:rPr>
        <w:t>enia súdržnosti a koordinácie medzi opatreniami EÚ v oblasti bezpečnosti a rozvoja, ako aj zlepšenia budovania kapacít na podporu bezpečnosti a rozvoja, najmä čo sa týka finančných nástrojov</w:t>
      </w:r>
      <w:r>
        <w:rPr>
          <w:rStyle w:val="FootnoteReference"/>
          <w:noProof/>
        </w:rPr>
        <w:footnoteReference w:id="20"/>
      </w:r>
      <w:r>
        <w:rPr>
          <w:noProof/>
        </w:rPr>
        <w:t>. Obsahujú tiež výzvu, aby sa vypracoval strategický rámec platný</w:t>
      </w:r>
      <w:r>
        <w:rPr>
          <w:noProof/>
        </w:rPr>
        <w:t xml:space="preserve"> pre celú EÚ pre reformu sektora bezpečnosti, ktorou by sa spojili SBOP a všetky ostatné príslušné nástroje spoločnej zahraničnej a bezpečnostnej politiky (SZBP), ako aj nástroje rozvojovej spolupráce a aktéri z oblasti slobody, bezpečnosti a spravodlivost</w:t>
      </w:r>
      <w:r>
        <w:rPr>
          <w:noProof/>
        </w:rPr>
        <w:t xml:space="preserve">i. </w:t>
      </w:r>
    </w:p>
    <w:p w:rsidR="00A6487C" w:rsidRDefault="007E6C80">
      <w:pPr>
        <w:pStyle w:val="ManualConsidrant"/>
        <w:rPr>
          <w:noProof/>
        </w:rPr>
      </w:pPr>
      <w:r>
        <w:t>(7)</w:t>
      </w:r>
      <w:r>
        <w:tab/>
      </w:r>
      <w:r>
        <w:rPr>
          <w:noProof/>
        </w:rPr>
        <w:t xml:space="preserve">Nariadenie (EÚ) č. 230/2014 by sa preto malo zodpovedajúcim spôsobom zmeniť, </w:t>
      </w:r>
    </w:p>
    <w:p w:rsidR="00A6487C" w:rsidRDefault="007E6C80">
      <w:pPr>
        <w:pStyle w:val="Formuledadoption"/>
        <w:rPr>
          <w:noProof/>
        </w:rPr>
      </w:pPr>
      <w:r>
        <w:rPr>
          <w:noProof/>
        </w:rPr>
        <w:t>PRIJALI TOTO NARIADENIE:</w:t>
      </w:r>
    </w:p>
    <w:p w:rsidR="00A6487C" w:rsidRDefault="007E6C80">
      <w:pPr>
        <w:pStyle w:val="Titrearticle"/>
        <w:rPr>
          <w:noProof/>
        </w:rPr>
      </w:pPr>
      <w:r>
        <w:rPr>
          <w:noProof/>
        </w:rPr>
        <w:t>Článok 1</w:t>
      </w:r>
    </w:p>
    <w:p w:rsidR="00A6487C" w:rsidRDefault="007E6C80">
      <w:pPr>
        <w:rPr>
          <w:noProof/>
          <w:szCs w:val="24"/>
        </w:rPr>
      </w:pPr>
      <w:r>
        <w:rPr>
          <w:noProof/>
        </w:rPr>
        <w:t>Nariadenie (EÚ) č. 230/2014 sa mení takto:</w:t>
      </w:r>
    </w:p>
    <w:p w:rsidR="00A6487C" w:rsidRDefault="007E6C80">
      <w:pPr>
        <w:pStyle w:val="Point0"/>
        <w:rPr>
          <w:noProof/>
          <w:szCs w:val="24"/>
        </w:rPr>
      </w:pPr>
      <w:r>
        <w:rPr>
          <w:noProof/>
        </w:rPr>
        <w:t>1. V článku 1 ods. 2 sa dopĺňa tento pododsek:</w:t>
      </w:r>
    </w:p>
    <w:p w:rsidR="00A6487C" w:rsidRDefault="007E6C80">
      <w:pPr>
        <w:spacing w:before="150" w:after="0"/>
        <w:rPr>
          <w:rFonts w:eastAsia="Times New Roman"/>
          <w:b/>
          <w:bCs/>
          <w:noProof/>
          <w:szCs w:val="24"/>
        </w:rPr>
      </w:pPr>
      <w:r>
        <w:rPr>
          <w:rStyle w:val="Strong"/>
          <w:b w:val="0"/>
          <w:noProof/>
        </w:rPr>
        <w:t>„Ak sa pomoc Únie poskytuje aktérom sektora be</w:t>
      </w:r>
      <w:r>
        <w:rPr>
          <w:rStyle w:val="Strong"/>
          <w:b w:val="0"/>
          <w:noProof/>
        </w:rPr>
        <w:t>zpečnosti, môže zahŕňať aj vojenských aktérov za výnimočných okolností, ako je stanovené v článku 3a, najmä v kontexte širšieho procesu reformy sektora bezpečnosti a/alebo budovania kapacít na podporu bezpečnosti a rozvoja v tretích krajinách v súlade so v</w:t>
      </w:r>
      <w:r>
        <w:rPr>
          <w:rStyle w:val="Strong"/>
          <w:b w:val="0"/>
          <w:noProof/>
        </w:rPr>
        <w:t>šeobecným cieľom dosiahnutia trvalo udržateľného rozvoja.“</w:t>
      </w:r>
    </w:p>
    <w:p w:rsidR="00A6487C" w:rsidRDefault="007E6C80">
      <w:pPr>
        <w:pStyle w:val="Point0"/>
        <w:rPr>
          <w:noProof/>
          <w:szCs w:val="24"/>
        </w:rPr>
      </w:pPr>
      <w:r>
        <w:rPr>
          <w:noProof/>
        </w:rPr>
        <w:t>2. Vkladá sa tento článok 3a:</w:t>
      </w:r>
    </w:p>
    <w:p w:rsidR="00A6487C" w:rsidRDefault="007E6C80">
      <w:pPr>
        <w:spacing w:before="150" w:after="0"/>
        <w:rPr>
          <w:rFonts w:eastAsia="Times New Roman"/>
          <w:noProof/>
          <w:szCs w:val="24"/>
        </w:rPr>
      </w:pPr>
      <w:r>
        <w:rPr>
          <w:i/>
          <w:noProof/>
        </w:rPr>
        <w:t>„Článok 3a</w:t>
      </w:r>
      <w:r>
        <w:rPr>
          <w:noProof/>
        </w:rPr>
        <w:t xml:space="preserve"> </w:t>
      </w:r>
    </w:p>
    <w:p w:rsidR="00A6487C" w:rsidRDefault="007E6C80">
      <w:pPr>
        <w:spacing w:before="150" w:after="0"/>
        <w:rPr>
          <w:rFonts w:eastAsia="Times New Roman"/>
          <w:bCs/>
          <w:noProof/>
          <w:szCs w:val="24"/>
        </w:rPr>
      </w:pPr>
      <w:r>
        <w:rPr>
          <w:noProof/>
        </w:rPr>
        <w:t xml:space="preserve">Budovanie kapacít na podporu bezpečnosti a rozvoja </w:t>
      </w:r>
    </w:p>
    <w:p w:rsidR="00A6487C" w:rsidRDefault="007E6C80">
      <w:pPr>
        <w:spacing w:before="150" w:after="0"/>
        <w:rPr>
          <w:rFonts w:eastAsia="Times New Roman"/>
          <w:bCs/>
          <w:noProof/>
          <w:szCs w:val="24"/>
        </w:rPr>
      </w:pPr>
      <w:r>
        <w:rPr>
          <w:noProof/>
        </w:rPr>
        <w:t>1.</w:t>
      </w:r>
      <w:r>
        <w:rPr>
          <w:noProof/>
        </w:rPr>
        <w:tab/>
        <w:t>S cieľom prispieť k trvalo udržateľnému rozvoju a najmä k dosiahnutiu stabilných, mierových a inkluz</w:t>
      </w:r>
      <w:r>
        <w:rPr>
          <w:noProof/>
        </w:rPr>
        <w:t xml:space="preserve">ívnych spoločností sa pomoc Únie podľa tohto nariadenia môže použiť na budovanie kapacít vojenských aktérov v partnerských krajinách, a to za výnimočných okolností uvedených v odseku 3 tohto článku. </w:t>
      </w:r>
    </w:p>
    <w:p w:rsidR="00A6487C" w:rsidRDefault="007E6C80">
      <w:pPr>
        <w:spacing w:before="150" w:after="0"/>
        <w:rPr>
          <w:rFonts w:eastAsia="Times New Roman"/>
          <w:bCs/>
          <w:noProof/>
          <w:szCs w:val="24"/>
        </w:rPr>
      </w:pPr>
      <w:r>
        <w:rPr>
          <w:noProof/>
        </w:rPr>
        <w:t>2.</w:t>
      </w:r>
      <w:r>
        <w:rPr>
          <w:noProof/>
        </w:rPr>
        <w:tab/>
        <w:t>Pomoc sa môže vzťahovať najmä na poskytovanie program</w:t>
      </w:r>
      <w:r>
        <w:rPr>
          <w:noProof/>
        </w:rPr>
        <w:t>ov budovania kapacít na podporu bezpečnosti a rozvoja vrátane odbornej prípravy, mentorstva a poradenstva, ako aj poskytovanie vybavenia, zlepšenie infraštruktúry a poskytovanie iných služieb.</w:t>
      </w:r>
    </w:p>
    <w:p w:rsidR="00A6487C" w:rsidRDefault="007E6C80">
      <w:pPr>
        <w:spacing w:before="150" w:after="0"/>
        <w:rPr>
          <w:rFonts w:eastAsia="Times New Roman"/>
          <w:bCs/>
          <w:noProof/>
          <w:szCs w:val="24"/>
        </w:rPr>
      </w:pPr>
      <w:r>
        <w:rPr>
          <w:noProof/>
        </w:rPr>
        <w:t>3.</w:t>
      </w:r>
      <w:r>
        <w:rPr>
          <w:noProof/>
        </w:rPr>
        <w:tab/>
        <w:t>Pomoc podľa tohto článku sa poskytne len:</w:t>
      </w:r>
    </w:p>
    <w:p w:rsidR="00A6487C" w:rsidRDefault="007E6C80">
      <w:pPr>
        <w:spacing w:before="150" w:after="0"/>
        <w:rPr>
          <w:rFonts w:eastAsia="Times New Roman"/>
          <w:bCs/>
          <w:noProof/>
          <w:szCs w:val="24"/>
        </w:rPr>
      </w:pPr>
      <w:r>
        <w:rPr>
          <w:noProof/>
        </w:rPr>
        <w:t>a) ak požiadavky n</w:t>
      </w:r>
      <w:r>
        <w:rPr>
          <w:noProof/>
        </w:rPr>
        <w:t xml:space="preserve">a primerané dosiahnutie cieľov Únie podľa tohto nariadenia nie je možné splniť obrátením sa na nevojenských aktérov a predpoklad dosiahnutia stabilných, mierových a inkluzívnych spoločností sa odmietne z dôvodu vážneho ohrozenia existencie fungujúcich </w:t>
      </w:r>
      <w:r>
        <w:rPr>
          <w:noProof/>
        </w:rPr>
        <w:lastRenderedPageBreak/>
        <w:t>štát</w:t>
      </w:r>
      <w:r>
        <w:rPr>
          <w:noProof/>
        </w:rPr>
        <w:t>nych inštitúcií, ako aj ochrany ľudských práv a základných slobôd, alebo z toho dôvodu, že štátne inštitúcie už nezvládajú toto vážne ohrozenie; a</w:t>
      </w:r>
    </w:p>
    <w:p w:rsidR="00A6487C" w:rsidRDefault="007E6C80">
      <w:pPr>
        <w:spacing w:before="150" w:after="0"/>
        <w:rPr>
          <w:rFonts w:eastAsia="Times New Roman"/>
          <w:bCs/>
          <w:noProof/>
          <w:szCs w:val="24"/>
        </w:rPr>
      </w:pPr>
      <w:r>
        <w:rPr>
          <w:noProof/>
        </w:rPr>
        <w:t>b) ak sa príslušná krajina a medzinárodné spoločenstvo a/alebo Európska únia zhodnú na tom, že sektor bezpečn</w:t>
      </w:r>
      <w:r>
        <w:rPr>
          <w:noProof/>
        </w:rPr>
        <w:t xml:space="preserve">osti a najmä armáda sú kľúčové pre stabilitu, mier a rozvoj, obzvlášť v krízových a nestabilných súvislostiach a situáciách. </w:t>
      </w:r>
    </w:p>
    <w:p w:rsidR="00A6487C" w:rsidRDefault="007E6C80">
      <w:pPr>
        <w:spacing w:before="150" w:after="0"/>
        <w:rPr>
          <w:rFonts w:eastAsia="Times New Roman"/>
          <w:bCs/>
          <w:noProof/>
          <w:szCs w:val="24"/>
        </w:rPr>
      </w:pPr>
      <w:r>
        <w:rPr>
          <w:noProof/>
        </w:rPr>
        <w:t>4.</w:t>
      </w:r>
      <w:r>
        <w:rPr>
          <w:noProof/>
        </w:rPr>
        <w:tab/>
        <w:t>Pomoc Únie sa nesmie použiť na financovanie:</w:t>
      </w:r>
    </w:p>
    <w:p w:rsidR="00A6487C" w:rsidRDefault="007E6C80">
      <w:pPr>
        <w:spacing w:before="150" w:after="0"/>
        <w:rPr>
          <w:rFonts w:eastAsia="Times New Roman"/>
          <w:bCs/>
          <w:noProof/>
          <w:szCs w:val="24"/>
        </w:rPr>
      </w:pPr>
      <w:r>
        <w:rPr>
          <w:noProof/>
        </w:rPr>
        <w:t>a) opakovaných vojenských výdavkov;</w:t>
      </w:r>
    </w:p>
    <w:p w:rsidR="00A6487C" w:rsidRDefault="007E6C80">
      <w:pPr>
        <w:spacing w:before="150" w:after="0"/>
        <w:rPr>
          <w:rFonts w:eastAsia="Times New Roman"/>
          <w:bCs/>
          <w:noProof/>
          <w:szCs w:val="24"/>
        </w:rPr>
      </w:pPr>
      <w:r>
        <w:rPr>
          <w:noProof/>
        </w:rPr>
        <w:t>b) obstarávania zbraní a munície;</w:t>
      </w:r>
    </w:p>
    <w:p w:rsidR="00A6487C" w:rsidRDefault="007E6C80">
      <w:pPr>
        <w:spacing w:before="150" w:after="0"/>
        <w:ind w:left="720" w:hanging="720"/>
        <w:rPr>
          <w:rFonts w:eastAsia="Times New Roman"/>
          <w:bCs/>
          <w:noProof/>
          <w:szCs w:val="24"/>
        </w:rPr>
      </w:pPr>
      <w:r>
        <w:rPr>
          <w:noProof/>
        </w:rPr>
        <w:t xml:space="preserve">c) odbornej </w:t>
      </w:r>
      <w:r>
        <w:rPr>
          <w:noProof/>
        </w:rPr>
        <w:t>prípravy, ktorá je výlučne určená na prispievanie k bojaschopnosti ozbrojených síl.</w:t>
      </w:r>
    </w:p>
    <w:p w:rsidR="00A6487C" w:rsidRDefault="007E6C80">
      <w:pPr>
        <w:spacing w:before="150" w:after="0"/>
        <w:rPr>
          <w:rFonts w:eastAsia="Times New Roman"/>
          <w:bCs/>
          <w:noProof/>
          <w:szCs w:val="24"/>
        </w:rPr>
      </w:pPr>
      <w:r>
        <w:rPr>
          <w:noProof/>
        </w:rPr>
        <w:t>5.</w:t>
      </w:r>
      <w:r>
        <w:rPr>
          <w:noProof/>
        </w:rPr>
        <w:tab/>
        <w:t>Pri navrhovaní a vykonávaní opatrení podľa tohto článku Komisia podporuje zodpovednosť zo strany partnerskej krajiny. Vyvinie tiež nevyhnutné prvky a osvedčené postupy p</w:t>
      </w:r>
      <w:r>
        <w:rPr>
          <w:noProof/>
        </w:rPr>
        <w:t xml:space="preserve">otrebné na zabezpečenie trvalej udržateľnosti v strednodobom a dlhodobom horizonte a podporí právny štát a zavedené zásady medzinárodného práva. </w:t>
      </w:r>
    </w:p>
    <w:p w:rsidR="00A6487C" w:rsidRDefault="007E6C80">
      <w:pPr>
        <w:spacing w:before="150" w:after="0"/>
        <w:rPr>
          <w:rFonts w:eastAsia="Times New Roman"/>
          <w:bCs/>
          <w:noProof/>
          <w:szCs w:val="24"/>
        </w:rPr>
      </w:pPr>
      <w:r>
        <w:rPr>
          <w:noProof/>
        </w:rPr>
        <w:t>6.</w:t>
      </w:r>
      <w:r>
        <w:rPr>
          <w:noProof/>
        </w:rPr>
        <w:tab/>
        <w:t>Komisia vypracúva vhodné posúdenie rizík, postupov monitorovania a hodnotenia opatrení podľa tohto článku.“</w:t>
      </w:r>
    </w:p>
    <w:p w:rsidR="00A6487C" w:rsidRDefault="007E6C80">
      <w:pPr>
        <w:pStyle w:val="Point0"/>
        <w:rPr>
          <w:noProof/>
        </w:rPr>
      </w:pPr>
      <w:r>
        <w:rPr>
          <w:noProof/>
        </w:rPr>
        <w:t>3.</w:t>
      </w:r>
      <w:r>
        <w:rPr>
          <w:noProof/>
        </w:rPr>
        <w:tab/>
        <w:t>V článku 7 sa odsek 1 nahrádza takto:</w:t>
      </w:r>
    </w:p>
    <w:p w:rsidR="00A6487C" w:rsidRDefault="007E6C80">
      <w:pPr>
        <w:rPr>
          <w:noProof/>
        </w:rPr>
      </w:pPr>
      <w:r>
        <w:rPr>
          <w:noProof/>
        </w:rPr>
        <w:t>„1. Pomoc Únie podľa článku 3 a prípadne článku 3a sa poskytuje prostredníctvom opatrení výnimočnej pomoci a programov dočasnej reakcie.“</w:t>
      </w:r>
    </w:p>
    <w:p w:rsidR="00A6487C" w:rsidRDefault="007E6C80">
      <w:pPr>
        <w:pStyle w:val="Point0"/>
        <w:rPr>
          <w:noProof/>
        </w:rPr>
      </w:pPr>
      <w:r>
        <w:rPr>
          <w:noProof/>
        </w:rPr>
        <w:t>V článku 8 sa odsek 1 nahrádza takto:</w:t>
      </w:r>
    </w:p>
    <w:p w:rsidR="00A6487C" w:rsidRDefault="007E6C80">
      <w:pPr>
        <w:rPr>
          <w:noProof/>
        </w:rPr>
      </w:pPr>
      <w:r>
        <w:rPr>
          <w:noProof/>
        </w:rPr>
        <w:t>„1. Tematické strategické dokumenty tv</w:t>
      </w:r>
      <w:r>
        <w:rPr>
          <w:noProof/>
        </w:rPr>
        <w:t>oria všeobecný základ vykonávania pomoci podľa článkov 4 a 5 a prípadne článku 3a. Tematické strategické dokumenty vytvárajú rámec spolupráce medzi Úniou a príslušnými partnerskými krajinami alebo regiónmi.“</w:t>
      </w:r>
    </w:p>
    <w:p w:rsidR="00A6487C" w:rsidRDefault="007E6C80">
      <w:pPr>
        <w:pStyle w:val="Point0"/>
        <w:rPr>
          <w:noProof/>
          <w:szCs w:val="24"/>
        </w:rPr>
      </w:pPr>
      <w:r>
        <w:rPr>
          <w:noProof/>
        </w:rPr>
        <w:t>4.</w:t>
      </w:r>
      <w:r>
        <w:rPr>
          <w:noProof/>
        </w:rPr>
        <w:tab/>
        <w:t>V článku 10 sa odsek 1 nahrádza takto:</w:t>
      </w:r>
    </w:p>
    <w:p w:rsidR="00A6487C" w:rsidRDefault="007E6C80">
      <w:pPr>
        <w:spacing w:before="150" w:after="0"/>
        <w:rPr>
          <w:noProof/>
          <w:szCs w:val="24"/>
        </w:rPr>
      </w:pPr>
      <w:r>
        <w:rPr>
          <w:noProof/>
        </w:rPr>
        <w:t>„1. Ko</w:t>
      </w:r>
      <w:r>
        <w:rPr>
          <w:noProof/>
        </w:rPr>
        <w:t xml:space="preserve">misia zabezpečuje, aby sa opatrenia prijaté podľa tohto nariadenia, ktoré sa týkajú boja proti terorizmu a organizovanej trestnej činnosti, ako aj opatrenia, na ktoré sa vzťahuje článok 3a, vykonávali v súlade s medzinárodným právom vrátane medzinárodného </w:t>
      </w:r>
      <w:r>
        <w:rPr>
          <w:noProof/>
        </w:rPr>
        <w:t>humanitárneho práva.“</w:t>
      </w:r>
    </w:p>
    <w:p w:rsidR="00A6487C" w:rsidRDefault="007E6C80">
      <w:pPr>
        <w:pStyle w:val="Point0"/>
        <w:rPr>
          <w:noProof/>
        </w:rPr>
      </w:pPr>
      <w:r>
        <w:rPr>
          <w:noProof/>
        </w:rPr>
        <w:t>5.</w:t>
      </w:r>
      <w:r>
        <w:rPr>
          <w:noProof/>
        </w:rPr>
        <w:tab/>
        <w:t xml:space="preserve">V článku 13 ods. 1 </w:t>
      </w:r>
    </w:p>
    <w:p w:rsidR="00A6487C" w:rsidRDefault="007E6C80">
      <w:pPr>
        <w:rPr>
          <w:noProof/>
        </w:rPr>
      </w:pPr>
      <w:r>
        <w:rPr>
          <w:noProof/>
        </w:rPr>
        <w:t xml:space="preserve">sa číslo „2 338 719 000“ nahrádza číslom „2 438 719 000“. </w:t>
      </w:r>
    </w:p>
    <w:p w:rsidR="00A6487C" w:rsidRDefault="007E6C80">
      <w:pPr>
        <w:pStyle w:val="Titrearticle"/>
        <w:rPr>
          <w:noProof/>
        </w:rPr>
      </w:pPr>
      <w:r>
        <w:rPr>
          <w:noProof/>
        </w:rPr>
        <w:t>Článok 2</w:t>
      </w:r>
    </w:p>
    <w:p w:rsidR="00A6487C" w:rsidRDefault="007E6C80">
      <w:pPr>
        <w:rPr>
          <w:noProof/>
        </w:rPr>
      </w:pPr>
      <w:r>
        <w:rPr>
          <w:noProof/>
        </w:rPr>
        <w:t xml:space="preserve">Toto nariadenie nadobúda účinnosť dňom nasledujúcim po jeho uverejnení v </w:t>
      </w:r>
      <w:r>
        <w:rPr>
          <w:i/>
          <w:noProof/>
        </w:rPr>
        <w:t>Úradnom vestníku Európskej Únie</w:t>
      </w:r>
      <w:r>
        <w:rPr>
          <w:noProof/>
        </w:rPr>
        <w:t>.</w:t>
      </w:r>
    </w:p>
    <w:p w:rsidR="00A6487C" w:rsidRDefault="007E6C80">
      <w:pPr>
        <w:pStyle w:val="Applicationdirecte"/>
        <w:keepNext/>
        <w:keepLines/>
        <w:rPr>
          <w:noProof/>
        </w:rPr>
      </w:pPr>
      <w:r>
        <w:rPr>
          <w:noProof/>
        </w:rPr>
        <w:lastRenderedPageBreak/>
        <w:t>Toto nariadenie je záväzné v celom ro</w:t>
      </w:r>
      <w:r>
        <w:rPr>
          <w:noProof/>
        </w:rPr>
        <w:t>zsahu a priamo uplatniteľné vo všetkých členských štátoch.</w:t>
      </w:r>
    </w:p>
    <w:p w:rsidR="00A6487C" w:rsidRDefault="007E6C80">
      <w:pPr>
        <w:pStyle w:val="Fait"/>
        <w:rPr>
          <w:noProof/>
        </w:rPr>
      </w:pPr>
      <w:r>
        <w:rPr>
          <w:noProof/>
        </w:rPr>
        <w:t>V Štrasburgu</w:t>
      </w:r>
    </w:p>
    <w:p w:rsidR="00A6487C" w:rsidRDefault="007E6C80">
      <w:pPr>
        <w:pStyle w:val="Institutionquisigne"/>
        <w:rPr>
          <w:noProof/>
        </w:rPr>
      </w:pPr>
      <w:r>
        <w:rPr>
          <w:noProof/>
        </w:rPr>
        <w:t>Za Európsky parlament</w:t>
      </w:r>
      <w:r>
        <w:rPr>
          <w:noProof/>
        </w:rPr>
        <w:tab/>
        <w:t>Za Radu</w:t>
      </w:r>
    </w:p>
    <w:p w:rsidR="00A6487C" w:rsidRDefault="007E6C80">
      <w:pPr>
        <w:pStyle w:val="Personnequisigne"/>
        <w:rPr>
          <w:noProof/>
        </w:rPr>
      </w:pPr>
      <w:r>
        <w:rPr>
          <w:noProof/>
        </w:rPr>
        <w:t>predseda</w:t>
      </w:r>
      <w:r>
        <w:rPr>
          <w:noProof/>
        </w:rPr>
        <w:tab/>
        <w:t>predseda</w:t>
      </w:r>
    </w:p>
    <w:p w:rsidR="007E6C80" w:rsidRDefault="007E6C80">
      <w:pPr>
        <w:pStyle w:val="Fichefinanciretitre"/>
        <w:rPr>
          <w:noProof/>
        </w:rPr>
        <w:sectPr w:rsidR="007E6C80">
          <w:pgSz w:w="11907" w:h="16840" w:code="9"/>
          <w:pgMar w:top="1134" w:right="1418" w:bottom="1134" w:left="1418" w:header="709" w:footer="709" w:gutter="0"/>
          <w:cols w:space="720"/>
          <w:docGrid w:linePitch="360"/>
        </w:sectPr>
      </w:pPr>
    </w:p>
    <w:p w:rsidR="00A6487C" w:rsidRDefault="007E6C80">
      <w:pPr>
        <w:pStyle w:val="Fichefinanciretitre"/>
        <w:rPr>
          <w:noProof/>
        </w:rPr>
      </w:pPr>
      <w:r>
        <w:rPr>
          <w:noProof/>
        </w:rPr>
        <w:lastRenderedPageBreak/>
        <w:t>LEGISLATÍVNY FINANČNÝ VÝKAZ</w:t>
      </w:r>
    </w:p>
    <w:p w:rsidR="00A6487C" w:rsidRDefault="007E6C80">
      <w:pPr>
        <w:pStyle w:val="ManualHeading1"/>
        <w:rPr>
          <w:noProof/>
        </w:rPr>
      </w:pPr>
      <w:r>
        <w:rPr>
          <w:noProof/>
        </w:rPr>
        <w:t>1.</w:t>
      </w:r>
      <w:r>
        <w:rPr>
          <w:noProof/>
        </w:rPr>
        <w:tab/>
        <w:t xml:space="preserve">RÁMEC NÁVRHU/INICIATÍVY </w:t>
      </w:r>
    </w:p>
    <w:p w:rsidR="00A6487C" w:rsidRDefault="007E6C80">
      <w:pPr>
        <w:pStyle w:val="ManualHeading2"/>
        <w:rPr>
          <w:b w:val="0"/>
          <w:noProof/>
        </w:rPr>
      </w:pPr>
      <w:r>
        <w:rPr>
          <w:noProof/>
        </w:rPr>
        <w:tab/>
      </w:r>
      <w:r>
        <w:rPr>
          <w:b w:val="0"/>
          <w:noProof/>
        </w:rPr>
        <w:t>1.1.</w:t>
      </w:r>
      <w:r>
        <w:rPr>
          <w:noProof/>
        </w:rPr>
        <w:tab/>
      </w:r>
      <w:r>
        <w:rPr>
          <w:b w:val="0"/>
          <w:noProof/>
        </w:rPr>
        <w:t xml:space="preserve">Názov návrhu/iniciatívy </w:t>
      </w:r>
    </w:p>
    <w:p w:rsidR="00A6487C" w:rsidRDefault="007E6C80">
      <w:pPr>
        <w:pStyle w:val="ManualHeading2"/>
        <w:rPr>
          <w:b w:val="0"/>
          <w:noProof/>
        </w:rPr>
      </w:pPr>
      <w:r>
        <w:rPr>
          <w:noProof/>
        </w:rPr>
        <w:tab/>
      </w:r>
      <w:r>
        <w:rPr>
          <w:b w:val="0"/>
          <w:noProof/>
        </w:rPr>
        <w:t>1.2.</w:t>
      </w:r>
      <w:r>
        <w:rPr>
          <w:noProof/>
        </w:rPr>
        <w:tab/>
      </w:r>
      <w:r>
        <w:rPr>
          <w:b w:val="0"/>
          <w:noProof/>
        </w:rPr>
        <w:t>Príslušné oblasti politiky v rámci ABM/ABB</w:t>
      </w:r>
    </w:p>
    <w:p w:rsidR="00A6487C" w:rsidRDefault="007E6C80">
      <w:pPr>
        <w:pStyle w:val="ManualHeading2"/>
        <w:rPr>
          <w:b w:val="0"/>
          <w:noProof/>
        </w:rPr>
      </w:pPr>
      <w:r>
        <w:rPr>
          <w:noProof/>
        </w:rPr>
        <w:tab/>
      </w:r>
      <w:r>
        <w:rPr>
          <w:b w:val="0"/>
          <w:noProof/>
        </w:rPr>
        <w:t>1.3.</w:t>
      </w:r>
      <w:r>
        <w:rPr>
          <w:noProof/>
        </w:rPr>
        <w:tab/>
      </w:r>
      <w:r>
        <w:rPr>
          <w:b w:val="0"/>
          <w:noProof/>
        </w:rPr>
        <w:t xml:space="preserve">Druh návrhu/iniciatívy </w:t>
      </w:r>
    </w:p>
    <w:p w:rsidR="00A6487C" w:rsidRDefault="007E6C80">
      <w:pPr>
        <w:pStyle w:val="ManualHeading2"/>
        <w:rPr>
          <w:b w:val="0"/>
          <w:noProof/>
        </w:rPr>
      </w:pPr>
      <w:r>
        <w:rPr>
          <w:noProof/>
        </w:rPr>
        <w:tab/>
      </w:r>
      <w:r>
        <w:rPr>
          <w:b w:val="0"/>
          <w:noProof/>
        </w:rPr>
        <w:t>1.4.</w:t>
      </w:r>
      <w:r>
        <w:rPr>
          <w:noProof/>
        </w:rPr>
        <w:tab/>
      </w:r>
      <w:r>
        <w:rPr>
          <w:b w:val="0"/>
          <w:noProof/>
        </w:rPr>
        <w:t xml:space="preserve">Ciele </w:t>
      </w:r>
    </w:p>
    <w:p w:rsidR="00A6487C" w:rsidRDefault="007E6C80">
      <w:pPr>
        <w:pStyle w:val="ManualHeading2"/>
        <w:rPr>
          <w:b w:val="0"/>
          <w:noProof/>
        </w:rPr>
      </w:pPr>
      <w:r>
        <w:rPr>
          <w:noProof/>
        </w:rPr>
        <w:tab/>
      </w:r>
      <w:r>
        <w:rPr>
          <w:b w:val="0"/>
          <w:noProof/>
        </w:rPr>
        <w:t>1.5.</w:t>
      </w:r>
      <w:r>
        <w:rPr>
          <w:noProof/>
        </w:rPr>
        <w:tab/>
      </w:r>
      <w:r>
        <w:rPr>
          <w:b w:val="0"/>
          <w:noProof/>
        </w:rPr>
        <w:t xml:space="preserve">Dôvody návrhu/iniciatívy </w:t>
      </w:r>
    </w:p>
    <w:p w:rsidR="00A6487C" w:rsidRDefault="007E6C80">
      <w:pPr>
        <w:pStyle w:val="ManualHeading2"/>
        <w:rPr>
          <w:b w:val="0"/>
          <w:noProof/>
        </w:rPr>
      </w:pPr>
      <w:r>
        <w:rPr>
          <w:noProof/>
        </w:rPr>
        <w:tab/>
      </w:r>
      <w:r>
        <w:rPr>
          <w:b w:val="0"/>
          <w:noProof/>
        </w:rPr>
        <w:t>1.6.</w:t>
      </w:r>
      <w:r>
        <w:rPr>
          <w:noProof/>
        </w:rPr>
        <w:tab/>
      </w:r>
      <w:r>
        <w:rPr>
          <w:b w:val="0"/>
          <w:noProof/>
        </w:rPr>
        <w:t xml:space="preserve">Trvanie a finančný vplyv </w:t>
      </w:r>
    </w:p>
    <w:p w:rsidR="00A6487C" w:rsidRDefault="007E6C80">
      <w:pPr>
        <w:pStyle w:val="ManualHeading2"/>
        <w:rPr>
          <w:b w:val="0"/>
          <w:noProof/>
        </w:rPr>
      </w:pPr>
      <w:r>
        <w:rPr>
          <w:noProof/>
        </w:rPr>
        <w:tab/>
      </w:r>
      <w:r>
        <w:rPr>
          <w:b w:val="0"/>
          <w:noProof/>
        </w:rPr>
        <w:t>1.7.</w:t>
      </w:r>
      <w:r>
        <w:rPr>
          <w:noProof/>
        </w:rPr>
        <w:tab/>
      </w:r>
      <w:r>
        <w:rPr>
          <w:b w:val="0"/>
          <w:noProof/>
        </w:rPr>
        <w:t xml:space="preserve">Plánovaný spôsob hospodárenia </w:t>
      </w:r>
    </w:p>
    <w:p w:rsidR="00A6487C" w:rsidRDefault="007E6C80">
      <w:pPr>
        <w:pStyle w:val="ManualHeading1"/>
        <w:rPr>
          <w:noProof/>
        </w:rPr>
      </w:pPr>
      <w:r>
        <w:rPr>
          <w:noProof/>
        </w:rPr>
        <w:t>2.</w:t>
      </w:r>
      <w:r>
        <w:rPr>
          <w:noProof/>
        </w:rPr>
        <w:tab/>
        <w:t xml:space="preserve">OPATRENIA V OBLASTI RIADENIA </w:t>
      </w:r>
    </w:p>
    <w:p w:rsidR="00A6487C" w:rsidRDefault="007E6C80">
      <w:pPr>
        <w:pStyle w:val="ManualHeading2"/>
        <w:rPr>
          <w:b w:val="0"/>
          <w:noProof/>
        </w:rPr>
      </w:pPr>
      <w:r>
        <w:rPr>
          <w:noProof/>
        </w:rPr>
        <w:tab/>
      </w:r>
      <w:r>
        <w:rPr>
          <w:b w:val="0"/>
          <w:noProof/>
        </w:rPr>
        <w:t>2.1.</w:t>
      </w:r>
      <w:r>
        <w:rPr>
          <w:noProof/>
        </w:rPr>
        <w:tab/>
      </w:r>
      <w:r>
        <w:rPr>
          <w:b w:val="0"/>
          <w:noProof/>
        </w:rPr>
        <w:t xml:space="preserve">Pravidlá monitorovania a podávania správ </w:t>
      </w:r>
    </w:p>
    <w:p w:rsidR="00A6487C" w:rsidRDefault="007E6C80">
      <w:pPr>
        <w:pStyle w:val="ManualHeading2"/>
        <w:rPr>
          <w:b w:val="0"/>
          <w:noProof/>
        </w:rPr>
      </w:pPr>
      <w:r>
        <w:rPr>
          <w:noProof/>
        </w:rPr>
        <w:tab/>
      </w:r>
      <w:r>
        <w:rPr>
          <w:b w:val="0"/>
          <w:noProof/>
        </w:rPr>
        <w:t>2.2.</w:t>
      </w:r>
      <w:r>
        <w:rPr>
          <w:noProof/>
        </w:rPr>
        <w:tab/>
      </w:r>
      <w:r>
        <w:rPr>
          <w:b w:val="0"/>
          <w:noProof/>
        </w:rPr>
        <w:t xml:space="preserve">Systémy riadenia a kontroly </w:t>
      </w:r>
    </w:p>
    <w:p w:rsidR="00A6487C" w:rsidRDefault="007E6C80">
      <w:pPr>
        <w:pStyle w:val="ManualHeading2"/>
        <w:rPr>
          <w:b w:val="0"/>
          <w:noProof/>
        </w:rPr>
      </w:pPr>
      <w:r>
        <w:rPr>
          <w:noProof/>
        </w:rPr>
        <w:tab/>
      </w:r>
      <w:r>
        <w:rPr>
          <w:b w:val="0"/>
          <w:noProof/>
        </w:rPr>
        <w:t>2.3.</w:t>
      </w:r>
      <w:r>
        <w:rPr>
          <w:noProof/>
        </w:rPr>
        <w:tab/>
      </w:r>
      <w:r>
        <w:rPr>
          <w:b w:val="0"/>
          <w:noProof/>
        </w:rPr>
        <w:t xml:space="preserve">Opatrenia na predchádzanie podvodom a nezrovnalostiam </w:t>
      </w:r>
    </w:p>
    <w:p w:rsidR="00A6487C" w:rsidRDefault="007E6C80">
      <w:pPr>
        <w:pStyle w:val="ManualHeading1"/>
        <w:rPr>
          <w:noProof/>
        </w:rPr>
      </w:pPr>
      <w:r>
        <w:rPr>
          <w:noProof/>
        </w:rPr>
        <w:t>3.</w:t>
      </w:r>
      <w:r>
        <w:rPr>
          <w:noProof/>
        </w:rPr>
        <w:tab/>
        <w:t xml:space="preserve">ODHADOVANÝ FINANČNÝ VPLYV NÁVRHU/INICIATÍVY </w:t>
      </w:r>
    </w:p>
    <w:p w:rsidR="00A6487C" w:rsidRDefault="007E6C80">
      <w:pPr>
        <w:pStyle w:val="ManualHeading2"/>
        <w:rPr>
          <w:b w:val="0"/>
          <w:noProof/>
        </w:rPr>
      </w:pPr>
      <w:r>
        <w:rPr>
          <w:noProof/>
        </w:rPr>
        <w:tab/>
      </w:r>
      <w:r>
        <w:rPr>
          <w:b w:val="0"/>
          <w:noProof/>
        </w:rPr>
        <w:t>3.1.</w:t>
      </w:r>
      <w:r>
        <w:rPr>
          <w:noProof/>
        </w:rPr>
        <w:tab/>
      </w:r>
      <w:r>
        <w:rPr>
          <w:b w:val="0"/>
          <w:noProof/>
        </w:rPr>
        <w:t xml:space="preserve">Príslušné okruhy viacročného finančného rámca a rozpočtové riadky výdavkov </w:t>
      </w:r>
    </w:p>
    <w:p w:rsidR="00A6487C" w:rsidRDefault="007E6C80">
      <w:pPr>
        <w:pStyle w:val="ManualHeading2"/>
        <w:rPr>
          <w:noProof/>
        </w:rPr>
      </w:pPr>
      <w:r>
        <w:rPr>
          <w:noProof/>
        </w:rPr>
        <w:tab/>
      </w:r>
      <w:r>
        <w:rPr>
          <w:b w:val="0"/>
          <w:noProof/>
        </w:rPr>
        <w:t>3.2.</w:t>
      </w:r>
      <w:r>
        <w:rPr>
          <w:noProof/>
        </w:rPr>
        <w:tab/>
      </w:r>
      <w:r>
        <w:rPr>
          <w:b w:val="0"/>
          <w:noProof/>
        </w:rPr>
        <w:t>Odhadovaný vplyv na výdavky</w:t>
      </w:r>
      <w:r>
        <w:rPr>
          <w:noProof/>
        </w:rPr>
        <w:t xml:space="preserve"> </w:t>
      </w:r>
    </w:p>
    <w:p w:rsidR="00A6487C" w:rsidRDefault="007E6C80">
      <w:pPr>
        <w:pStyle w:val="ManualHeading3"/>
        <w:rPr>
          <w:noProof/>
        </w:rPr>
      </w:pPr>
      <w:r>
        <w:rPr>
          <w:noProof/>
        </w:rPr>
        <w:tab/>
      </w:r>
      <w:r>
        <w:rPr>
          <w:noProof/>
        </w:rPr>
        <w:t>3.2.1.</w:t>
      </w:r>
      <w:r>
        <w:rPr>
          <w:noProof/>
        </w:rPr>
        <w:tab/>
        <w:t xml:space="preserve">Zhrnutie odhadovaného vplyvu na výdavky </w:t>
      </w:r>
    </w:p>
    <w:p w:rsidR="00A6487C" w:rsidRDefault="007E6C80">
      <w:pPr>
        <w:pStyle w:val="ManualHeading3"/>
        <w:rPr>
          <w:noProof/>
        </w:rPr>
      </w:pPr>
      <w:r>
        <w:rPr>
          <w:noProof/>
        </w:rPr>
        <w:tab/>
        <w:t>3.2.2.</w:t>
      </w:r>
      <w:r>
        <w:rPr>
          <w:noProof/>
        </w:rPr>
        <w:tab/>
        <w:t xml:space="preserve">Odhadovaný vplyv na operačné rozpočtové prostriedky </w:t>
      </w:r>
    </w:p>
    <w:p w:rsidR="00A6487C" w:rsidRDefault="007E6C80">
      <w:pPr>
        <w:pStyle w:val="ManualHeading3"/>
        <w:rPr>
          <w:noProof/>
        </w:rPr>
      </w:pPr>
      <w:r>
        <w:rPr>
          <w:noProof/>
        </w:rPr>
        <w:tab/>
        <w:t>3.2.3.</w:t>
      </w:r>
      <w:r>
        <w:rPr>
          <w:noProof/>
        </w:rPr>
        <w:tab/>
        <w:t>Odhadovaný vplyv na administratívne rozpočtové prostriedky</w:t>
      </w:r>
    </w:p>
    <w:p w:rsidR="00A6487C" w:rsidRDefault="007E6C80">
      <w:pPr>
        <w:pStyle w:val="ManualHeading3"/>
        <w:rPr>
          <w:noProof/>
        </w:rPr>
      </w:pPr>
      <w:r>
        <w:rPr>
          <w:noProof/>
        </w:rPr>
        <w:tab/>
        <w:t>3.2.4.</w:t>
      </w:r>
      <w:r>
        <w:rPr>
          <w:noProof/>
        </w:rPr>
        <w:tab/>
        <w:t>Súlad s platným viacročným finančným rámcom</w:t>
      </w:r>
    </w:p>
    <w:p w:rsidR="00A6487C" w:rsidRDefault="007E6C80">
      <w:pPr>
        <w:pStyle w:val="ManualHeading3"/>
        <w:rPr>
          <w:noProof/>
        </w:rPr>
      </w:pPr>
      <w:r>
        <w:rPr>
          <w:noProof/>
        </w:rPr>
        <w:tab/>
        <w:t>3.2.5.</w:t>
      </w:r>
      <w:r>
        <w:rPr>
          <w:noProof/>
        </w:rPr>
        <w:tab/>
        <w:t>Príspevky od tretích</w:t>
      </w:r>
      <w:r>
        <w:rPr>
          <w:noProof/>
        </w:rPr>
        <w:t xml:space="preserve"> strán </w:t>
      </w:r>
    </w:p>
    <w:p w:rsidR="00A6487C" w:rsidRDefault="007E6C80">
      <w:pPr>
        <w:pStyle w:val="ManualHeading2"/>
        <w:jc w:val="left"/>
        <w:rPr>
          <w:b w:val="0"/>
          <w:noProof/>
        </w:rPr>
        <w:sectPr w:rsidR="00A6487C">
          <w:pgSz w:w="11907" w:h="16840" w:code="9"/>
          <w:pgMar w:top="1134" w:right="1418" w:bottom="1134" w:left="1418" w:header="709" w:footer="709" w:gutter="0"/>
          <w:cols w:space="720"/>
          <w:docGrid w:linePitch="360"/>
        </w:sectPr>
      </w:pPr>
      <w:r>
        <w:rPr>
          <w:noProof/>
        </w:rPr>
        <w:tab/>
      </w:r>
      <w:r>
        <w:rPr>
          <w:b w:val="0"/>
          <w:noProof/>
        </w:rPr>
        <w:t>3.3.</w:t>
      </w:r>
      <w:r>
        <w:rPr>
          <w:noProof/>
        </w:rPr>
        <w:tab/>
      </w:r>
      <w:r>
        <w:rPr>
          <w:b w:val="0"/>
          <w:noProof/>
        </w:rPr>
        <w:t>Odhadovaný vplyv na príjmy</w:t>
      </w:r>
    </w:p>
    <w:p w:rsidR="00A6487C" w:rsidRDefault="007E6C80">
      <w:pPr>
        <w:jc w:val="center"/>
        <w:rPr>
          <w:b/>
          <w:noProof/>
        </w:rPr>
      </w:pPr>
      <w:r>
        <w:rPr>
          <w:b/>
          <w:noProof/>
        </w:rPr>
        <w:lastRenderedPageBreak/>
        <w:t>LEGISLATÍVNY FINANČNÝ VÝKAZ</w:t>
      </w:r>
    </w:p>
    <w:p w:rsidR="00A6487C" w:rsidRDefault="007E6C80">
      <w:pPr>
        <w:pStyle w:val="ManualHeading1"/>
        <w:rPr>
          <w:noProof/>
        </w:rPr>
      </w:pPr>
      <w:r>
        <w:t>1.</w:t>
      </w:r>
      <w:r>
        <w:tab/>
      </w:r>
      <w:r>
        <w:rPr>
          <w:noProof/>
        </w:rPr>
        <w:t xml:space="preserve">RÁMEC NÁVRHU/INICIATÍVY </w:t>
      </w:r>
    </w:p>
    <w:p w:rsidR="00A6487C" w:rsidRDefault="007E6C80">
      <w:pPr>
        <w:pStyle w:val="ManualHeading2"/>
        <w:rPr>
          <w:noProof/>
        </w:rPr>
      </w:pPr>
      <w:r>
        <w:t>1.1.</w:t>
      </w:r>
      <w:r>
        <w:tab/>
      </w:r>
      <w:r>
        <w:rPr>
          <w:noProof/>
        </w:rPr>
        <w:t xml:space="preserve">Názov návrhu/iniciatívy </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NARIADENIE EURÓPSKEHO PARLAMENTU A RADY,</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ktorým sa mení nariadenie Európskeho parlamentu a Rady (EÚ) č. 230/</w:t>
      </w:r>
      <w:r>
        <w:rPr>
          <w:noProof/>
        </w:rPr>
        <w:t xml:space="preserve">2014, </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ktorým sa ustanovuje nástroj na podporu stability a mieru</w:t>
      </w:r>
    </w:p>
    <w:p w:rsidR="00A6487C" w:rsidRDefault="007E6C80">
      <w:pPr>
        <w:pStyle w:val="ManualHeading2"/>
        <w:rPr>
          <w:noProof/>
          <w:szCs w:val="24"/>
        </w:rPr>
      </w:pPr>
      <w:r>
        <w:t>1.2.</w:t>
      </w:r>
      <w:r>
        <w:tab/>
      </w:r>
      <w:r>
        <w:rPr>
          <w:noProof/>
        </w:rPr>
        <w:t>Príslušné oblasti politiky v rámci ABM/ABB</w:t>
      </w:r>
      <w:r>
        <w:rPr>
          <w:rStyle w:val="FootnoteReference"/>
          <w:noProof/>
        </w:rPr>
        <w:footnoteReference w:id="21"/>
      </w:r>
      <w:r>
        <w:rPr>
          <w:i/>
          <w:noProof/>
        </w:rPr>
        <w:t xml:space="preserve"> </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Ide o dve oblasti politiky:</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Hlava 19: Nástroje zahraničnej politiky</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xml:space="preserve">Činnosť 19 02: Nástroj na podporu stability a mieru – Reakcia na krízu, predchádzanie konfliktom, budovanie mieru a pripravenosť na krízu </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Hlava 21: Medzinárodná spolupráca a rozvoj</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Činnosť 21 05: Nástroj na podporu stability a mieru – Globálne, nadregioná</w:t>
      </w:r>
      <w:r>
        <w:rPr>
          <w:noProof/>
        </w:rPr>
        <w:t>lne a vznikajúce hrozby</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xml:space="preserve">Názvy týchto rozpočtových kapitol zodpovedajú súčasnej štruktúre finančných nástrojov na roky 2014 – 2020. Navrhuje sa zachovať tie isté činnosti a hlavy. </w:t>
      </w:r>
    </w:p>
    <w:p w:rsidR="00A6487C" w:rsidRDefault="00A6487C">
      <w:pPr>
        <w:pStyle w:val="Text1"/>
        <w:pBdr>
          <w:top w:val="single" w:sz="4" w:space="1" w:color="auto"/>
          <w:left w:val="single" w:sz="4" w:space="4" w:color="auto"/>
          <w:bottom w:val="single" w:sz="4" w:space="1" w:color="auto"/>
          <w:right w:val="single" w:sz="4" w:space="4" w:color="auto"/>
        </w:pBdr>
        <w:rPr>
          <w:noProof/>
        </w:rPr>
      </w:pPr>
    </w:p>
    <w:p w:rsidR="00A6487C" w:rsidRDefault="007E6C80">
      <w:pPr>
        <w:pStyle w:val="ManualHeading2"/>
        <w:rPr>
          <w:bCs/>
          <w:noProof/>
          <w:szCs w:val="24"/>
        </w:rPr>
      </w:pPr>
      <w:r>
        <w:t>1.3.</w:t>
      </w:r>
      <w:r>
        <w:tab/>
      </w:r>
      <w:r>
        <w:rPr>
          <w:noProof/>
        </w:rPr>
        <w:t xml:space="preserve">Druh návrhu/iniciatívy </w:t>
      </w:r>
    </w:p>
    <w:p w:rsidR="00A6487C" w:rsidRDefault="007E6C80">
      <w:pPr>
        <w:pStyle w:val="Text1"/>
        <w:rPr>
          <w:b/>
          <w:noProof/>
          <w:sz w:val="22"/>
        </w:rPr>
      </w:pPr>
      <w:r>
        <w:rPr>
          <w:noProof/>
          <w:sz w:val="22"/>
        </w:rPr>
        <w:t>X</w:t>
      </w:r>
      <w:r>
        <w:rPr>
          <w:noProof/>
          <w:sz w:val="22"/>
        </w:rPr>
        <w:sym w:font="Wingdings" w:char="F0A8"/>
      </w:r>
      <w:r>
        <w:rPr>
          <w:b/>
          <w:i/>
          <w:noProof/>
          <w:sz w:val="22"/>
        </w:rPr>
        <w:t xml:space="preserve"> </w:t>
      </w:r>
      <w:r>
        <w:rPr>
          <w:noProof/>
        </w:rPr>
        <w:t xml:space="preserve">Návrh/iniciatíva sa týka </w:t>
      </w:r>
      <w:r>
        <w:rPr>
          <w:b/>
          <w:noProof/>
        </w:rPr>
        <w:t>novej akcie</w:t>
      </w:r>
      <w:r>
        <w:rPr>
          <w:noProof/>
        </w:rPr>
        <w:t>.</w:t>
      </w:r>
      <w:r>
        <w:rPr>
          <w:b/>
          <w:noProof/>
          <w:sz w:val="22"/>
        </w:rPr>
        <w:t xml:space="preserve"> </w:t>
      </w:r>
    </w:p>
    <w:p w:rsidR="00A6487C" w:rsidRDefault="007E6C80">
      <w:pPr>
        <w:pStyle w:val="Text1"/>
        <w:rPr>
          <w:noProof/>
          <w:sz w:val="22"/>
        </w:rPr>
      </w:pPr>
      <w:r>
        <w:rPr>
          <w:noProof/>
          <w:sz w:val="22"/>
        </w:rPr>
        <w:sym w:font="Wingdings" w:char="F0A8"/>
      </w:r>
      <w:r>
        <w:rPr>
          <w:i/>
          <w:noProof/>
          <w:sz w:val="22"/>
        </w:rPr>
        <w:t xml:space="preserve"> </w:t>
      </w:r>
      <w:r>
        <w:rPr>
          <w:noProof/>
        </w:rPr>
        <w:t xml:space="preserve">Návrh/iniciatíva sa týka </w:t>
      </w:r>
      <w:r>
        <w:rPr>
          <w:b/>
          <w:noProof/>
        </w:rPr>
        <w:t>novej akcie, ktorá nadväzuje na pilotný projekt/prípravnú akciu</w:t>
      </w:r>
      <w:r>
        <w:rPr>
          <w:rStyle w:val="FootnoteReference"/>
          <w:b/>
          <w:noProof/>
        </w:rPr>
        <w:footnoteReference w:id="22"/>
      </w:r>
      <w:r>
        <w:rPr>
          <w:noProof/>
        </w:rPr>
        <w:t>.</w:t>
      </w:r>
      <w:r>
        <w:rPr>
          <w:noProof/>
          <w:sz w:val="22"/>
        </w:rPr>
        <w:t xml:space="preserve"> </w:t>
      </w:r>
    </w:p>
    <w:p w:rsidR="00A6487C" w:rsidRDefault="007E6C80">
      <w:pPr>
        <w:pStyle w:val="Text1"/>
        <w:rPr>
          <w:noProof/>
          <w:sz w:val="22"/>
        </w:rPr>
      </w:pPr>
      <w:r>
        <w:rPr>
          <w:noProof/>
          <w:sz w:val="22"/>
        </w:rPr>
        <w:sym w:font="Wingdings" w:char="F0A8"/>
      </w:r>
      <w:r>
        <w:rPr>
          <w:i/>
          <w:noProof/>
          <w:sz w:val="22"/>
        </w:rPr>
        <w:t xml:space="preserve"> </w:t>
      </w:r>
      <w:r>
        <w:rPr>
          <w:noProof/>
        </w:rPr>
        <w:t xml:space="preserve">Návrh/iniciatíva sa týka </w:t>
      </w:r>
      <w:r>
        <w:rPr>
          <w:b/>
          <w:noProof/>
        </w:rPr>
        <w:t>predĺženia trvania existujúcej akcie</w:t>
      </w:r>
      <w:r>
        <w:rPr>
          <w:noProof/>
        </w:rPr>
        <w:t>.</w:t>
      </w:r>
      <w:r>
        <w:rPr>
          <w:noProof/>
          <w:sz w:val="22"/>
        </w:rPr>
        <w:t xml:space="preserve"> </w:t>
      </w:r>
    </w:p>
    <w:p w:rsidR="00A6487C" w:rsidRDefault="007E6C80">
      <w:pPr>
        <w:pStyle w:val="Text1"/>
        <w:rPr>
          <w:noProof/>
        </w:rPr>
      </w:pPr>
      <w:r>
        <w:rPr>
          <w:noProof/>
          <w:sz w:val="22"/>
        </w:rPr>
        <w:sym w:font="Wingdings" w:char="F0A8"/>
      </w:r>
      <w:r>
        <w:rPr>
          <w:i/>
          <w:noProof/>
          <w:sz w:val="22"/>
        </w:rPr>
        <w:t xml:space="preserve"> </w:t>
      </w:r>
      <w:r>
        <w:rPr>
          <w:noProof/>
        </w:rPr>
        <w:t xml:space="preserve">Návrh/iniciatíva sa týka </w:t>
      </w:r>
      <w:r>
        <w:rPr>
          <w:b/>
          <w:noProof/>
        </w:rPr>
        <w:t>akcie presmerovanej na novú akciu</w:t>
      </w:r>
      <w:r>
        <w:rPr>
          <w:noProof/>
        </w:rPr>
        <w:t xml:space="preserve">. </w:t>
      </w:r>
    </w:p>
    <w:p w:rsidR="00A6487C" w:rsidRDefault="007E6C80">
      <w:pPr>
        <w:pStyle w:val="ManualHeading2"/>
        <w:rPr>
          <w:bCs/>
          <w:noProof/>
          <w:szCs w:val="24"/>
        </w:rPr>
      </w:pPr>
      <w:r>
        <w:t>1.4.</w:t>
      </w:r>
      <w:r>
        <w:tab/>
      </w:r>
      <w:r>
        <w:rPr>
          <w:noProof/>
        </w:rPr>
        <w:t>Cieľ/ciele</w:t>
      </w:r>
    </w:p>
    <w:p w:rsidR="00A6487C" w:rsidRDefault="007E6C80">
      <w:pPr>
        <w:pStyle w:val="ManualHeading3"/>
        <w:rPr>
          <w:noProof/>
        </w:rPr>
      </w:pPr>
      <w:r>
        <w:t>1.4.1.</w:t>
      </w:r>
      <w:r>
        <w:tab/>
      </w:r>
      <w:r>
        <w:rPr>
          <w:noProof/>
        </w:rPr>
        <w:t>Viacročné st</w:t>
      </w:r>
      <w:r>
        <w:rPr>
          <w:noProof/>
        </w:rPr>
        <w:t xml:space="preserve">rategické ciele Komisie, ktoré sú predmetom návrhu/iniciatívy </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Návrh sa zameriava na strategický cieľ 9 – EÚ ako silnejší globálny aktér – v rámci priorít politických usmernení predsedu Junckera</w:t>
      </w:r>
      <w:r>
        <w:rPr>
          <w:rStyle w:val="FootnoteReference"/>
          <w:noProof/>
        </w:rPr>
        <w:footnoteReference w:id="23"/>
      </w:r>
      <w:r>
        <w:rPr>
          <w:noProof/>
        </w:rPr>
        <w:t xml:space="preserve"> . Konkrétnejšie sa snaží riešiť potrebu EÚ týkajúcu sa silne</w:t>
      </w:r>
      <w:r>
        <w:rPr>
          <w:noProof/>
        </w:rPr>
        <w:t>jšej Európy, pokiaľ ide o zahraničnú politiku s cieľom lepšie prispieť k podpore rozvoja a zabezpečeniu mieru a prosperity vo svete.</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Preto bol v prílohe I k pracovnému programu Komisie na rok 2016 prijatému 27. októbra 2015</w:t>
      </w:r>
      <w:r>
        <w:rPr>
          <w:rStyle w:val="FootnoteReference"/>
          <w:noProof/>
        </w:rPr>
        <w:footnoteReference w:id="24"/>
      </w:r>
      <w:r>
        <w:rPr>
          <w:noProof/>
        </w:rPr>
        <w:t xml:space="preserve"> zahrnutý „prípadný nový špecial</w:t>
      </w:r>
      <w:r>
        <w:rPr>
          <w:noProof/>
        </w:rPr>
        <w:t>izovaný nástroj zameraný na budovanie kapacít na podporu bezpečnosti a rozvoja v tretích krajinách“ (bod č. 21).</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xml:space="preserve">Všeobecné ciele tejto iniciatívy sú stanovené v článku 21 Zmluvy o Európskej únii (ZEÚ) a článku 208 Zmluvy o fungovaní Európskej únie (ZFEÚ), </w:t>
      </w:r>
      <w:r>
        <w:rPr>
          <w:noProof/>
        </w:rPr>
        <w:t>najmä:</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lastRenderedPageBreak/>
        <w:t>– prispieť k zachovávaniu mieru, predchádzať konfliktom a posilňovať medzinárodnú bezpečnosť v súlade s cieľmi a zásadami Charty Organizácie Spojených národov;</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podporovať trvalo udržateľný hospodársky, sociálny a environmentálny rozvoj rozvojových</w:t>
      </w:r>
      <w:r>
        <w:rPr>
          <w:noProof/>
        </w:rPr>
        <w:t xml:space="preserve"> krajín s hlavným cieľom odstrániť chudobu, pri súčasnom dodržiavaní záväzkov a zohľadnení cieľov schválených v rámci Organizácie Spojených národov a iných príslušných medzinárodných organizácií.</w:t>
      </w:r>
    </w:p>
    <w:p w:rsidR="00A6487C" w:rsidRDefault="007E6C80">
      <w:pPr>
        <w:pStyle w:val="ManualHeading3"/>
        <w:rPr>
          <w:bCs/>
          <w:noProof/>
          <w:szCs w:val="24"/>
        </w:rPr>
      </w:pPr>
      <w:r>
        <w:t>1.4.2.</w:t>
      </w:r>
      <w:r>
        <w:tab/>
      </w:r>
      <w:r>
        <w:rPr>
          <w:noProof/>
        </w:rPr>
        <w:t xml:space="preserve">Konkrétne ciele a príslušné činnosti v rámci ABM/ABB </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Iniciatíva budovania kapacít na podporu bezpečnosti a rozvoja sa bude realizovať v rámci existujúceho nariadenia o nástroji na podporu stability a mieru (EÚ) č. 230/2014 a ako taká prispeje k dosiahnutiu cieľov stanovených v článku 1 ods. 1, ktorým je pos</w:t>
      </w:r>
      <w:r>
        <w:rPr>
          <w:noProof/>
        </w:rPr>
        <w:t xml:space="preserve">kytovať „priamu podporu vonkajším politikám Únie zvýšením účinnosti a súdržnosti opatrení Únie v oblasti reakcie na krízu, predchádzania konfliktom, budovania mieru a pripravenosti na krízy, a pri riešení globálnych a nadregionálnych hrozieb“. </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Konkrétnejš</w:t>
      </w:r>
      <w:r>
        <w:rPr>
          <w:noProof/>
        </w:rPr>
        <w:t>ie cieľom tohto návrhu bude:</w:t>
      </w:r>
    </w:p>
    <w:p w:rsidR="00A6487C" w:rsidRDefault="007E6C80">
      <w:pPr>
        <w:pStyle w:val="Bullet1"/>
        <w:numPr>
          <w:ilvl w:val="0"/>
          <w:numId w:val="13"/>
        </w:numPr>
        <w:rPr>
          <w:noProof/>
        </w:rPr>
      </w:pPr>
      <w:r>
        <w:rPr>
          <w:noProof/>
        </w:rPr>
        <w:t>prispievať k zlepšeniu schopnosti partnerských krajín predchádzať krízam a zvládať ich vlastnými silami;</w:t>
      </w:r>
    </w:p>
    <w:p w:rsidR="00A6487C" w:rsidRDefault="007E6C80">
      <w:pPr>
        <w:pStyle w:val="Bullet1"/>
        <w:numPr>
          <w:ilvl w:val="0"/>
          <w:numId w:val="15"/>
        </w:numPr>
        <w:rPr>
          <w:noProof/>
        </w:rPr>
      </w:pPr>
      <w:r>
        <w:rPr>
          <w:noProof/>
        </w:rPr>
        <w:t>prispievať k zlepšovaniu účinnosti opatrení Únie v oblasti rozvoja spoluprácou so všetkými aktérmi zodpovednými za bezpečnosť vrátane armády, a to prostredníctvom čo najvčasnejšieho, pružného a komplexného budovania kapacít na podporu bezpečnosti a rozvoja</w:t>
      </w:r>
      <w:r>
        <w:rPr>
          <w:noProof/>
        </w:rPr>
        <w:t xml:space="preserve"> zo strany EÚ; </w:t>
      </w:r>
    </w:p>
    <w:p w:rsidR="00A6487C" w:rsidRDefault="007E6C80">
      <w:pPr>
        <w:pStyle w:val="Bullet1"/>
        <w:numPr>
          <w:ilvl w:val="0"/>
          <w:numId w:val="15"/>
        </w:numPr>
        <w:rPr>
          <w:noProof/>
        </w:rPr>
      </w:pPr>
      <w:r>
        <w:rPr>
          <w:noProof/>
        </w:rPr>
        <w:t>prispievať k zabezpečeniu rešpektovania právneho štátu, dobrej správy vecí verejných, ako aj posilnenej civilnej kontroly a dohľadu nad armádou v tretích krajinách.</w:t>
      </w:r>
    </w:p>
    <w:p w:rsidR="00A6487C" w:rsidRDefault="007E6C80">
      <w:pPr>
        <w:pStyle w:val="Text1"/>
        <w:pBdr>
          <w:top w:val="single" w:sz="4" w:space="1" w:color="auto"/>
          <w:left w:val="single" w:sz="4" w:space="4" w:color="auto"/>
          <w:bottom w:val="single" w:sz="4" w:space="1" w:color="auto"/>
          <w:right w:val="single" w:sz="4" w:space="4" w:color="auto"/>
        </w:pBdr>
        <w:rPr>
          <w:noProof/>
          <w:u w:val="single"/>
        </w:rPr>
      </w:pPr>
      <w:r>
        <w:rPr>
          <w:noProof/>
          <w:u w:val="single"/>
        </w:rPr>
        <w:t>Príslušné činnosti v rámci ABM/ABB:</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xml:space="preserve">Činnosť 19 02: Nástroj na podporu </w:t>
      </w:r>
      <w:r>
        <w:rPr>
          <w:noProof/>
        </w:rPr>
        <w:t>stability a mieru – Reakcia na krízu, predchádzanie konfliktom, budovanie mieru a pripravenosť na krízy</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xml:space="preserve">Činnosť 21 05: Nástroj na podporu stability a mieru – Globálne, nadregionálne a vznikajúce hrozby </w:t>
      </w:r>
    </w:p>
    <w:p w:rsidR="00A6487C" w:rsidRDefault="007E6C80">
      <w:pPr>
        <w:pStyle w:val="ManualHeading3"/>
        <w:rPr>
          <w:noProof/>
          <w:sz w:val="20"/>
        </w:rPr>
      </w:pPr>
      <w:r>
        <w:t>1.4.3.</w:t>
      </w:r>
      <w:r>
        <w:tab/>
      </w:r>
      <w:r>
        <w:rPr>
          <w:noProof/>
        </w:rPr>
        <w:t>Očakávané výsledky a vplyv</w:t>
      </w:r>
    </w:p>
    <w:p w:rsidR="00A6487C" w:rsidRDefault="007E6C80">
      <w:pPr>
        <w:pStyle w:val="Text1"/>
        <w:rPr>
          <w:i/>
          <w:noProof/>
          <w:sz w:val="20"/>
        </w:rPr>
      </w:pPr>
      <w:r>
        <w:rPr>
          <w:i/>
          <w:noProof/>
          <w:sz w:val="20"/>
        </w:rPr>
        <w:t>Uveďte, aký vplyv b</w:t>
      </w:r>
      <w:r>
        <w:rPr>
          <w:i/>
          <w:noProof/>
          <w:sz w:val="20"/>
        </w:rPr>
        <w:t>y mal mať návrh/iniciatíva na príjemcov/cieľové skupiny.</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Lepšia schopnosť partnerských krajín predchádzať krízam a zvládať ich vlastnými silami.</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xml:space="preserve"> Lepšia účinnosť všetkých aktérov v sektore bezpečnosti partnerských krajín, aby konali na podporu väčšej bezpe</w:t>
      </w:r>
      <w:r>
        <w:rPr>
          <w:noProof/>
        </w:rPr>
        <w:t>čnosti ľudí v nestabilných štátoch alebo oblastiach náchylných na krízu či oblastiach po skončení konfliktu.</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xml:space="preserve"> Dôslednejšie dodržiavanie právneho štátu, dobrá správa vecí verejných, ako aj zvýšenie civilnej kontroly a dohľadu nad armádou v tretích krajinách</w:t>
      </w:r>
      <w:r>
        <w:rPr>
          <w:noProof/>
        </w:rPr>
        <w:t>.</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xml:space="preserve">Stabilnejšie a bezpečnejšie spoločnosti sú predpokladom trvalo udržateľného rozvoja a zvýšeného blahobytu, čím sa znižujú tlaky súvisiace s nestabilitou a konfliktom. V príslušných krajinách by mal byť významný očakávaný dlhodobý hospodársky a rozvojový </w:t>
      </w:r>
      <w:r>
        <w:rPr>
          <w:noProof/>
        </w:rPr>
        <w:t>vplyv tejto iniciatívy.</w:t>
      </w:r>
    </w:p>
    <w:p w:rsidR="00A6487C" w:rsidRDefault="007E6C80">
      <w:pPr>
        <w:pStyle w:val="ManualHeading3"/>
        <w:rPr>
          <w:bCs/>
          <w:noProof/>
          <w:szCs w:val="24"/>
        </w:rPr>
      </w:pPr>
      <w:r>
        <w:lastRenderedPageBreak/>
        <w:t>1.4.4.</w:t>
      </w:r>
      <w:r>
        <w:tab/>
      </w:r>
      <w:r>
        <w:rPr>
          <w:noProof/>
        </w:rPr>
        <w:t xml:space="preserve">Ukazovatele výsledkov a vplyvu </w:t>
      </w:r>
    </w:p>
    <w:p w:rsidR="00A6487C" w:rsidRDefault="007E6C80">
      <w:pPr>
        <w:pStyle w:val="Text1"/>
        <w:rPr>
          <w:i/>
          <w:noProof/>
          <w:sz w:val="20"/>
        </w:rPr>
      </w:pPr>
      <w:r>
        <w:rPr>
          <w:i/>
          <w:noProof/>
          <w:sz w:val="20"/>
        </w:rPr>
        <w:t>Uveďte ukazovatele, pomocou ktorých je možné sledovať uskutočňovanie návrhu/iniciatívy.</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Na príprave nových ukazovateľov výsledkov a vplyvu sa pracuje. Možno bude vhodný široký všeobecný ukazova</w:t>
      </w:r>
      <w:r>
        <w:rPr>
          <w:noProof/>
        </w:rPr>
        <w:t>teľ úrovne bezpečnosti (právo na život bez strachu), ľudí žijúcich v nestabilných štátoch alebo v oblastiach náchylných na krízu či v oblastiach po skončení konfliktu.</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S cieľom zohľadniť nové ukazovatele sa doplní príslušné programové vyhlásenie k nástroju</w:t>
      </w:r>
      <w:r>
        <w:rPr>
          <w:noProof/>
        </w:rPr>
        <w:t xml:space="preserve"> na podporu stability a mieru.</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xml:space="preserve">Jednotlivé opatrenia sa musia týkať osobitných cieľov. Opatrenia sa budú merať aj na základe ukazovateľov špecifických pre projekt. </w:t>
      </w:r>
    </w:p>
    <w:p w:rsidR="00A6487C" w:rsidRDefault="007E6C80">
      <w:pPr>
        <w:pStyle w:val="ManualHeading2"/>
        <w:rPr>
          <w:bCs/>
          <w:noProof/>
          <w:szCs w:val="24"/>
        </w:rPr>
      </w:pPr>
      <w:r>
        <w:t>1.5.</w:t>
      </w:r>
      <w:r>
        <w:tab/>
      </w:r>
      <w:r>
        <w:rPr>
          <w:noProof/>
        </w:rPr>
        <w:t xml:space="preserve">Dôvody návrhu/iniciatívy </w:t>
      </w:r>
    </w:p>
    <w:p w:rsidR="00A6487C" w:rsidRDefault="007E6C80">
      <w:pPr>
        <w:pStyle w:val="ManualHeading3"/>
        <w:rPr>
          <w:noProof/>
        </w:rPr>
      </w:pPr>
      <w:r>
        <w:t>1.5.1.</w:t>
      </w:r>
      <w:r>
        <w:tab/>
      </w:r>
      <w:r>
        <w:rPr>
          <w:noProof/>
        </w:rPr>
        <w:t>Požiadavka/požiadavky, ktoré sa majú splniť v krátkodo</w:t>
      </w:r>
      <w:r>
        <w:rPr>
          <w:noProof/>
        </w:rPr>
        <w:t xml:space="preserve">bom alebo dlhodobom horizonte </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Tento návrh nadväzuje na spoločné oznámenie Európskej komisie a vysokej predstaviteľky Únie pre zahraničné veci a bezpečnostnú politiku s názvom „Budovanie kapacít na podporu bezpečnosti a rozvoja“ z 28. apríla 2015 [JOIN(201</w:t>
      </w:r>
      <w:r>
        <w:rPr>
          <w:noProof/>
        </w:rPr>
        <w:t>5) 17] a na závery Rady pre zahraničné veci (útvar obrany) z 18. mája 2015, v ktorých sa vyžaduje návrh na komplexnú a flexibilnú podporu pri budovaní kapacít (odborná príprava a vybavenie) vojenských aktérov v tretích krajinách v záujme dosahovania politi</w:t>
      </w:r>
      <w:r>
        <w:rPr>
          <w:noProof/>
        </w:rPr>
        <w:t>ckých cieľov EÚ v oblasti rozvojovej spolupráce.</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V spoločnom oznámení sa zdôrazňuje, že zlepšenie fungovania aktérov zodpovedných za bezpečnosť vrátane vojenských síl prostredníctvom budovania kapacít na podporu bezpečnosti a rozvoja, ako aj posilnenie ich</w:t>
      </w:r>
      <w:r>
        <w:rPr>
          <w:noProof/>
        </w:rPr>
        <w:t xml:space="preserve"> riadenia, najmä v nestabilných krajinách a v krajinách zotavujúcich sa z konfliktu, prispieva k mieru, bezpečnosti ľudí a stabilite, a tým k dosiahnutiu cieľov trvalo udržateľného rozvoja. Vyslovuje sa v ňom aj podpora úsilia EÚ, pri súčasnom identifikova</w:t>
      </w:r>
      <w:r>
        <w:rPr>
          <w:noProof/>
        </w:rPr>
        <w:t>ní nedostatkov, začleniť predchádzanie konfliktom v nestabilných a na konflikty náchylných krajinách do schopnosti EÚ podporovať budovanie kapacít partnerov v sektore bezpečnosti.</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Európska rada vo svojich záveroch z 25. a 26. júna 2015 pripomína potrebu, a</w:t>
      </w:r>
      <w:r>
        <w:rPr>
          <w:noProof/>
        </w:rPr>
        <w:t>by „sa posilnilo postavenie a schopnosti partnerov pri predchádzaní krízam a ich zvládaní, a to aj prostredníctvom konkrétnych projektov budovania kapacít s flexibilnou geografickou pôsobnosťou“ a opakuje predchádzajúce závery Európskej rady z 19. a 20. de</w:t>
      </w:r>
      <w:r>
        <w:rPr>
          <w:noProof/>
        </w:rPr>
        <w:t xml:space="preserve">cembra 2013, v ktorých zdôrazňuje „význam podpory partnerských krajín a regionálnych organizácií prostredníctvom poskytovania odbornej prípravy, poradenstva, vybavenia a prípadne zdrojov, aby mohli čoraz viac sami predchádzať krízam alebo krízy zvládať“. </w:t>
      </w:r>
    </w:p>
    <w:p w:rsidR="00A6487C" w:rsidRDefault="007E6C80">
      <w:pPr>
        <w:pStyle w:val="ManualHeading3"/>
        <w:rPr>
          <w:bCs/>
          <w:noProof/>
          <w:szCs w:val="24"/>
        </w:rPr>
      </w:pPr>
      <w:r>
        <w:t>1.5.2.</w:t>
      </w:r>
      <w:r>
        <w:tab/>
      </w:r>
      <w:r>
        <w:rPr>
          <w:noProof/>
        </w:rPr>
        <w:t>Prínos zapojenia Európskej únie</w:t>
      </w:r>
    </w:p>
    <w:p w:rsidR="00A6487C" w:rsidRDefault="007E6C80">
      <w:pPr>
        <w:pStyle w:val="Text1"/>
        <w:pBdr>
          <w:top w:val="single" w:sz="4" w:space="1" w:color="auto"/>
          <w:left w:val="single" w:sz="4" w:space="0" w:color="auto"/>
          <w:bottom w:val="single" w:sz="4" w:space="1" w:color="auto"/>
          <w:right w:val="single" w:sz="4" w:space="4" w:color="auto"/>
        </w:pBdr>
        <w:rPr>
          <w:noProof/>
          <w:szCs w:val="24"/>
        </w:rPr>
      </w:pPr>
      <w:r>
        <w:rPr>
          <w:noProof/>
        </w:rPr>
        <w:t xml:space="preserve">Opatrenia na úrovni EÚ sú potrebné a oprávnené na základe cieľov stanovených v zmluve, najmä v článku 21 ZEÚ a na základe zásady subsidiarity. Komplexná a pružná podpora budovania kapacít pre bezpečnosť a rozvoj na </w:t>
      </w:r>
      <w:r>
        <w:rPr>
          <w:noProof/>
        </w:rPr>
        <w:t>úrovni EÚ by bola prínosná tým, že by umožnila v prípade krátkodobých a dlhodobých opatrení zapojenie všetkých aktérov zodpovedných za bezpečnosť v krajine a umožnila by lepšiu koordináciu takejto podpory.</w:t>
      </w:r>
    </w:p>
    <w:p w:rsidR="00A6487C" w:rsidRDefault="007E6C80">
      <w:pPr>
        <w:pStyle w:val="Text1"/>
        <w:pBdr>
          <w:top w:val="single" w:sz="4" w:space="1" w:color="auto"/>
          <w:left w:val="single" w:sz="4" w:space="0" w:color="auto"/>
          <w:bottom w:val="single" w:sz="4" w:space="1" w:color="auto"/>
          <w:right w:val="single" w:sz="4" w:space="4" w:color="auto"/>
        </w:pBdr>
        <w:rPr>
          <w:noProof/>
          <w:szCs w:val="24"/>
        </w:rPr>
      </w:pPr>
      <w:r>
        <w:rPr>
          <w:noProof/>
        </w:rPr>
        <w:lastRenderedPageBreak/>
        <w:t>Bezpečnosť a stabilita sa môžu lepšie dosiahnuť op</w:t>
      </w:r>
      <w:r>
        <w:rPr>
          <w:noProof/>
        </w:rPr>
        <w:t>atreniami na úrovni EÚ, ktoré môžu pôsobiť ako hnacia sila pre účinnejšie medzinárodné úsilie zamerané na bezpečnosť a rozvoj. Politický cieľ zaistenia bezpečnosti EÚ nie je možné dosiahnuť bez účinného zapojenia partnerov z krajín, ktoré nie sú členmi EÚ,</w:t>
      </w:r>
      <w:r>
        <w:rPr>
          <w:noProof/>
        </w:rPr>
        <w:t xml:space="preserve"> a medzinárodných organizácií. </w:t>
      </w:r>
    </w:p>
    <w:p w:rsidR="00A6487C" w:rsidRDefault="007E6C80">
      <w:pPr>
        <w:pStyle w:val="Text1"/>
        <w:pBdr>
          <w:top w:val="single" w:sz="4" w:space="1" w:color="auto"/>
          <w:left w:val="single" w:sz="4" w:space="0" w:color="auto"/>
          <w:bottom w:val="single" w:sz="4" w:space="1" w:color="auto"/>
          <w:right w:val="single" w:sz="4" w:space="4" w:color="auto"/>
        </w:pBdr>
        <w:rPr>
          <w:noProof/>
          <w:szCs w:val="24"/>
        </w:rPr>
      </w:pPr>
      <w:r>
        <w:rPr>
          <w:noProof/>
        </w:rPr>
        <w:t>Operácie Únie a členských štátov sa vzájomne dopĺňajú a posilňujú v súlade s článkom 212 ods. 1 ZFEÚ. Pri prevencii a riadení konfliktov a ich príčin zohrávajú úlohu EÚ a jej členské štáty prostredníctvom komplexného prístup</w:t>
      </w:r>
      <w:r>
        <w:rPr>
          <w:noProof/>
        </w:rPr>
        <w:t>u.</w:t>
      </w:r>
    </w:p>
    <w:p w:rsidR="00A6487C" w:rsidRDefault="00A6487C">
      <w:pPr>
        <w:pStyle w:val="Text1"/>
        <w:pBdr>
          <w:top w:val="single" w:sz="4" w:space="1" w:color="auto"/>
          <w:left w:val="single" w:sz="4" w:space="0" w:color="auto"/>
          <w:bottom w:val="single" w:sz="4" w:space="1" w:color="auto"/>
          <w:right w:val="single" w:sz="4" w:space="4" w:color="auto"/>
        </w:pBdr>
        <w:rPr>
          <w:noProof/>
          <w:szCs w:val="24"/>
        </w:rPr>
      </w:pPr>
    </w:p>
    <w:p w:rsidR="00A6487C" w:rsidRDefault="007E6C80">
      <w:pPr>
        <w:pStyle w:val="ManualHeading3"/>
        <w:rPr>
          <w:bCs/>
          <w:noProof/>
          <w:szCs w:val="24"/>
        </w:rPr>
      </w:pPr>
      <w:r>
        <w:t>1.5.3.</w:t>
      </w:r>
      <w:r>
        <w:tab/>
      </w:r>
      <w:r>
        <w:rPr>
          <w:noProof/>
        </w:rPr>
        <w:t>Poznatky získané z podobných skúseností v minulosti</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Budúci pokrok v znižovaní chudoby a dlhodobejší prospech trvalo udržateľného rozvoja v kontexte dosiahnutia cieľa trvalo udržateľného rozvoja č. 16 – mier, spravodlivosť a silné inštitúcie – bu</w:t>
      </w:r>
      <w:r>
        <w:rPr>
          <w:noProof/>
        </w:rPr>
        <w:t xml:space="preserve">dú vo veľkej miere závisieť od schopnosti efektívne riešiť základné príčiny nestability a najmä nedostatočnej bezpečnosti. </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xml:space="preserve">Značná časť programov vonkajšej pomoci financovaných z nástrojov EÚ v oblasti rozvoja a technickej spolupráce už rieši bezpečnostné </w:t>
      </w:r>
      <w:r>
        <w:rPr>
          <w:noProof/>
        </w:rPr>
        <w:t>a rozvojové problémy prostredníctvom rozličných kanálov a rôznych nástrojov. Partneri z tretích krajín, ktorí hľadajú podporu pre budovanie kapacít na podporu bezpečnosti a rozvoja vrátane odbornej prípravy alebo vybavenia však nie sú vždy schopní ju prija</w:t>
      </w:r>
      <w:r>
        <w:rPr>
          <w:noProof/>
        </w:rPr>
        <w:t xml:space="preserve">ť, keďže súčasné nástroje EÚ nie sú zamerané na pružné splnenie tejto potreby. </w:t>
      </w:r>
    </w:p>
    <w:p w:rsidR="00A6487C" w:rsidRDefault="007E6C80">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V spoločnom oznámení sa identifikuje nedostatok v súbore nástrojov EÚ, ktorý sa týka podporovania vojenských aktérov partnerských krajín pri poskytovaní potrebnej stability na </w:t>
      </w:r>
      <w:r>
        <w:rPr>
          <w:noProof/>
        </w:rPr>
        <w:t>umožnenie rozvojových činností.</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Tento nedostatok ovplyvňuje účinnosť a trvalú udržateľnosť vonkajšej činnosti Únie vrátane jej politiky v oblasti rozvoja. V globálne sa zhoršujúcom bezpečnostnom prostredí obmedzenia súčasného súboru nástrojov vonkajšej čin</w:t>
      </w:r>
      <w:r>
        <w:rPr>
          <w:noProof/>
        </w:rPr>
        <w:t>nosti EÚ brzdia jej možnosť komplexne riešiť problém, zlepšiť spoluprácu, a tak účinne prispievať k úsiliu v oblasti rozvoja.</w:t>
      </w:r>
    </w:p>
    <w:p w:rsidR="00A6487C" w:rsidRDefault="007E6C80">
      <w:pPr>
        <w:pStyle w:val="ManualHeading3"/>
        <w:rPr>
          <w:bCs/>
          <w:noProof/>
          <w:szCs w:val="24"/>
        </w:rPr>
      </w:pPr>
      <w:r>
        <w:t>1.5.4.</w:t>
      </w:r>
      <w:r>
        <w:tab/>
      </w:r>
      <w:r>
        <w:rPr>
          <w:noProof/>
        </w:rPr>
        <w:t>Zlučiteľnosť a možná synergia s inými vhodnými finančnými nástrojmi</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xml:space="preserve">Touto iniciatívou sa zabezpečí: </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xml:space="preserve">a) súlad s ďalšími opatreniami EÚ (vrátane akcií SZBP) ako súčasť širšieho komplexného prístupu EÚ k vonkajším konfliktom a krízam; </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b) konzistentnosť, koordinácia a komplementárnosť rôznych krátkodobých a dlhodobých kapacít a nástrojov založených na spolo</w:t>
      </w:r>
      <w:r>
        <w:rPr>
          <w:noProof/>
        </w:rPr>
        <w:t xml:space="preserve">čnej strategickej vízii. </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xml:space="preserve">Rôzne opatrenia v rámci navrhovanej iniciatívy by mali byť navrhnuté v súlade s novým rámcom reformy sektora bezpečnosti (SSR) v celej EÚ vrátane zásad monitorovania a hodnotenia a osobitného rámca na riadenie rizík. V programoch </w:t>
      </w:r>
      <w:r>
        <w:rPr>
          <w:noProof/>
        </w:rPr>
        <w:t>by sa muselo stanoviť, do akej miery sú v súlade so stratégiami príslušnej krajiny EÚ alebo regionálnymi stratégiami, a museli by sa navrhnúť a naplánovať tak, aby sa zabezpečila účasť všetkých príslušných aktérov EÚ.</w:t>
      </w:r>
    </w:p>
    <w:p w:rsidR="00A6487C" w:rsidRDefault="007E6C80">
      <w:pPr>
        <w:pStyle w:val="ManualHeading2"/>
        <w:rPr>
          <w:bCs/>
          <w:noProof/>
          <w:szCs w:val="24"/>
        </w:rPr>
      </w:pPr>
      <w:r>
        <w:rPr>
          <w:noProof/>
        </w:rPr>
        <w:br w:type="page"/>
      </w:r>
      <w:r>
        <w:lastRenderedPageBreak/>
        <w:t>1.6.</w:t>
      </w:r>
      <w:r>
        <w:tab/>
      </w:r>
      <w:r>
        <w:rPr>
          <w:noProof/>
        </w:rPr>
        <w:t xml:space="preserve">Trvanie a finančný vplyv </w:t>
      </w:r>
    </w:p>
    <w:p w:rsidR="00A6487C" w:rsidRDefault="007E6C80">
      <w:pPr>
        <w:pStyle w:val="Text1"/>
        <w:rPr>
          <w:noProof/>
        </w:rPr>
      </w:pPr>
      <w:r>
        <w:rPr>
          <w:noProof/>
        </w:rPr>
        <w:t>X</w:t>
      </w:r>
      <w:r>
        <w:rPr>
          <w:noProof/>
        </w:rPr>
        <w:sym w:font="Wingdings" w:char="F0A8"/>
      </w:r>
      <w:r>
        <w:rPr>
          <w:b/>
          <w:i/>
          <w:noProof/>
        </w:rPr>
        <w:t xml:space="preserve"> </w:t>
      </w:r>
      <w:r>
        <w:rPr>
          <w:noProof/>
        </w:rPr>
        <w:t>Náv</w:t>
      </w:r>
      <w:r>
        <w:rPr>
          <w:noProof/>
        </w:rPr>
        <w:t xml:space="preserve">rh/iniciatíva s </w:t>
      </w:r>
      <w:r>
        <w:rPr>
          <w:b/>
          <w:noProof/>
        </w:rPr>
        <w:t xml:space="preserve">obmedzeným trvaním </w:t>
      </w:r>
    </w:p>
    <w:p w:rsidR="00A6487C" w:rsidRDefault="007E6C80">
      <w:pPr>
        <w:pStyle w:val="ListDash2"/>
        <w:rPr>
          <w:noProof/>
        </w:rPr>
      </w:pPr>
      <w:r>
        <w:rPr>
          <w:noProof/>
        </w:rPr>
        <w:t>X</w:t>
      </w:r>
      <w:r>
        <w:rPr>
          <w:noProof/>
        </w:rPr>
        <w:sym w:font="Wingdings" w:char="F0A8"/>
      </w:r>
      <w:r>
        <w:rPr>
          <w:noProof/>
        </w:rPr>
        <w:t xml:space="preserve"> Návrh/iniciatíva je v platnosti od 1. 1. 2017 do 31. 12. 2020. </w:t>
      </w:r>
    </w:p>
    <w:p w:rsidR="00A6487C" w:rsidRDefault="007E6C80">
      <w:pPr>
        <w:pStyle w:val="ListDash2"/>
        <w:rPr>
          <w:noProof/>
        </w:rPr>
      </w:pPr>
      <w:r>
        <w:rPr>
          <w:noProof/>
        </w:rPr>
        <w:sym w:font="Wingdings" w:char="F0A8"/>
      </w:r>
      <w:r>
        <w:rPr>
          <w:noProof/>
        </w:rPr>
        <w:tab/>
        <w:t>Finančný vplyv trvá od roku 2017 do roku 2020.</w:t>
      </w:r>
    </w:p>
    <w:p w:rsidR="00A6487C" w:rsidRDefault="007E6C80">
      <w:pPr>
        <w:pStyle w:val="Text1"/>
        <w:rPr>
          <w:noProof/>
        </w:rPr>
      </w:pPr>
      <w:r>
        <w:rPr>
          <w:noProof/>
        </w:rPr>
        <w:sym w:font="Wingdings" w:char="F0A8"/>
      </w:r>
      <w:r>
        <w:rPr>
          <w:b/>
          <w:i/>
          <w:noProof/>
        </w:rPr>
        <w:t xml:space="preserve"> </w:t>
      </w:r>
      <w:r>
        <w:rPr>
          <w:noProof/>
        </w:rPr>
        <w:t xml:space="preserve">Návrh/iniciatíva s </w:t>
      </w:r>
      <w:r>
        <w:rPr>
          <w:b/>
          <w:noProof/>
        </w:rPr>
        <w:t>neobmedzeným trvaním</w:t>
      </w:r>
    </w:p>
    <w:p w:rsidR="00A6487C" w:rsidRDefault="007E6C80">
      <w:pPr>
        <w:pStyle w:val="ListDash1"/>
        <w:rPr>
          <w:noProof/>
        </w:rPr>
      </w:pPr>
      <w:r>
        <w:rPr>
          <w:noProof/>
        </w:rPr>
        <w:t>Počiatočná fáza vykonávania bude trvať od RRRR do RRRR</w:t>
      </w:r>
    </w:p>
    <w:p w:rsidR="00A6487C" w:rsidRDefault="007E6C80">
      <w:pPr>
        <w:pStyle w:val="ListDash1"/>
        <w:rPr>
          <w:noProof/>
        </w:rPr>
      </w:pPr>
      <w:r>
        <w:rPr>
          <w:noProof/>
        </w:rPr>
        <w:t>a potom</w:t>
      </w:r>
      <w:r>
        <w:rPr>
          <w:noProof/>
        </w:rPr>
        <w:t xml:space="preserve"> bude vykonávanie pokračovať v plnom rozsahu.</w:t>
      </w:r>
    </w:p>
    <w:p w:rsidR="00A6487C" w:rsidRDefault="007E6C80">
      <w:pPr>
        <w:pStyle w:val="ManualHeading2"/>
        <w:rPr>
          <w:bCs/>
          <w:noProof/>
          <w:szCs w:val="24"/>
        </w:rPr>
      </w:pPr>
      <w:r>
        <w:t>1.7.</w:t>
      </w:r>
      <w:r>
        <w:tab/>
      </w:r>
      <w:r>
        <w:rPr>
          <w:noProof/>
        </w:rPr>
        <w:t>Plánovaný spôsob/plánované spôsoby hospodárenia</w:t>
      </w:r>
      <w:r>
        <w:rPr>
          <w:rStyle w:val="FootnoteReference"/>
          <w:noProof/>
        </w:rPr>
        <w:footnoteReference w:id="25"/>
      </w:r>
      <w:r>
        <w:rPr>
          <w:rStyle w:val="FootnoteReference"/>
          <w:noProof/>
        </w:rPr>
        <w:t xml:space="preserve"> </w:t>
      </w:r>
    </w:p>
    <w:p w:rsidR="00A6487C" w:rsidRDefault="007E6C80">
      <w:pPr>
        <w:pStyle w:val="Text1"/>
        <w:rPr>
          <w:noProof/>
        </w:rPr>
      </w:pPr>
      <w:r>
        <w:rPr>
          <w:noProof/>
        </w:rPr>
        <w:t>X</w:t>
      </w:r>
      <w:r>
        <w:rPr>
          <w:noProof/>
        </w:rPr>
        <w:sym w:font="Wingdings" w:char="F0A8"/>
      </w:r>
      <w:r>
        <w:rPr>
          <w:i/>
          <w:noProof/>
        </w:rPr>
        <w:t xml:space="preserve"> </w:t>
      </w:r>
      <w:r>
        <w:rPr>
          <w:b/>
          <w:noProof/>
        </w:rPr>
        <w:t>Priame hospodárenie</w:t>
      </w:r>
      <w:r>
        <w:rPr>
          <w:noProof/>
        </w:rPr>
        <w:t xml:space="preserve"> na úrovni Komisie</w:t>
      </w:r>
    </w:p>
    <w:p w:rsidR="00A6487C" w:rsidRDefault="007E6C80">
      <w:pPr>
        <w:pStyle w:val="ListDash2"/>
        <w:rPr>
          <w:rFonts w:cs="EUAlbertina"/>
          <w:noProof/>
        </w:rPr>
      </w:pPr>
      <w:r>
        <w:rPr>
          <w:noProof/>
        </w:rPr>
        <w:t>X</w:t>
      </w:r>
      <w:r>
        <w:rPr>
          <w:noProof/>
        </w:rPr>
        <w:sym w:font="Wingdings" w:char="F0A8"/>
      </w:r>
      <w:r>
        <w:rPr>
          <w:noProof/>
        </w:rPr>
        <w:t xml:space="preserve"> prostredníctvom jej útvarov vrátane zamestnancov v delegáciách Únie, </w:t>
      </w:r>
    </w:p>
    <w:p w:rsidR="00A6487C" w:rsidRDefault="007E6C80">
      <w:pPr>
        <w:pStyle w:val="ListDash2"/>
        <w:rPr>
          <w:noProof/>
        </w:rPr>
      </w:pPr>
      <w:r>
        <w:rPr>
          <w:noProof/>
        </w:rPr>
        <w:sym w:font="Wingdings" w:char="F0A8"/>
      </w:r>
      <w:r>
        <w:rPr>
          <w:noProof/>
        </w:rPr>
        <w:tab/>
        <w:t xml:space="preserve">prostredníctvom výkonných agentúr. </w:t>
      </w:r>
    </w:p>
    <w:p w:rsidR="00A6487C" w:rsidRDefault="007E6C80">
      <w:pPr>
        <w:pStyle w:val="Text1"/>
        <w:rPr>
          <w:noProof/>
        </w:rPr>
      </w:pPr>
      <w:r>
        <w:rPr>
          <w:noProof/>
        </w:rPr>
        <w:sym w:font="Wingdings" w:char="F0A8"/>
      </w:r>
      <w:r>
        <w:rPr>
          <w:b/>
          <w:i/>
          <w:noProof/>
        </w:rPr>
        <w:t xml:space="preserve"> </w:t>
      </w:r>
      <w:r>
        <w:rPr>
          <w:b/>
          <w:noProof/>
        </w:rPr>
        <w:t>Z</w:t>
      </w:r>
      <w:r>
        <w:rPr>
          <w:b/>
          <w:noProof/>
        </w:rPr>
        <w:t xml:space="preserve">dieľané hospodárenie </w:t>
      </w:r>
      <w:r>
        <w:rPr>
          <w:noProof/>
        </w:rPr>
        <w:t xml:space="preserve">s členskými štátmi </w:t>
      </w:r>
    </w:p>
    <w:p w:rsidR="00A6487C" w:rsidRDefault="007E6C80">
      <w:pPr>
        <w:pStyle w:val="Text1"/>
        <w:rPr>
          <w:noProof/>
        </w:rPr>
      </w:pPr>
      <w:r>
        <w:rPr>
          <w:noProof/>
        </w:rPr>
        <w:t>X</w:t>
      </w:r>
      <w:r>
        <w:rPr>
          <w:noProof/>
        </w:rPr>
        <w:sym w:font="Wingdings" w:char="F0A8"/>
      </w:r>
      <w:r>
        <w:rPr>
          <w:i/>
          <w:noProof/>
        </w:rPr>
        <w:t xml:space="preserve"> </w:t>
      </w:r>
      <w:r>
        <w:rPr>
          <w:b/>
          <w:noProof/>
        </w:rPr>
        <w:t>Nepriame hospodárenie</w:t>
      </w:r>
      <w:r>
        <w:rPr>
          <w:noProof/>
        </w:rPr>
        <w:t xml:space="preserve"> so zverením úloh súvisiacich s plnením rozpočtu:</w:t>
      </w:r>
    </w:p>
    <w:p w:rsidR="00A6487C" w:rsidRDefault="007E6C80">
      <w:pPr>
        <w:pStyle w:val="ListDash2"/>
        <w:rPr>
          <w:noProof/>
        </w:rPr>
      </w:pPr>
      <w:r>
        <w:rPr>
          <w:noProof/>
        </w:rPr>
        <w:sym w:font="Wingdings" w:char="F0A8"/>
      </w:r>
      <w:r>
        <w:rPr>
          <w:noProof/>
        </w:rPr>
        <w:t xml:space="preserve"> tretím krajinám alebo orgánom, ktoré tieto krajiny určili,</w:t>
      </w:r>
    </w:p>
    <w:p w:rsidR="00A6487C" w:rsidRDefault="007E6C80">
      <w:pPr>
        <w:pStyle w:val="ListDash2"/>
        <w:rPr>
          <w:noProof/>
        </w:rPr>
      </w:pPr>
      <w:r>
        <w:rPr>
          <w:noProof/>
        </w:rPr>
        <w:t>X</w:t>
      </w:r>
      <w:r>
        <w:rPr>
          <w:noProof/>
        </w:rPr>
        <w:sym w:font="Wingdings" w:char="F0A8"/>
      </w:r>
      <w:r>
        <w:rPr>
          <w:noProof/>
        </w:rPr>
        <w:t xml:space="preserve"> medzinárodným organizáciám a ich agentúram (uveďte),</w:t>
      </w:r>
    </w:p>
    <w:p w:rsidR="00A6487C" w:rsidRDefault="007E6C80">
      <w:pPr>
        <w:pStyle w:val="ListDash2"/>
        <w:rPr>
          <w:noProof/>
        </w:rPr>
      </w:pPr>
      <w:r>
        <w:rPr>
          <w:noProof/>
        </w:rPr>
        <w:sym w:font="Wingdings" w:char="F0A8"/>
      </w:r>
      <w:r>
        <w:rPr>
          <w:noProof/>
        </w:rPr>
        <w:t>Európskej investičnej b</w:t>
      </w:r>
      <w:r>
        <w:rPr>
          <w:noProof/>
        </w:rPr>
        <w:t>anke (EIB) a Európskemu investičnému fondu,</w:t>
      </w:r>
    </w:p>
    <w:p w:rsidR="00A6487C" w:rsidRDefault="007E6C80">
      <w:pPr>
        <w:pStyle w:val="ListDash2"/>
        <w:rPr>
          <w:noProof/>
        </w:rPr>
      </w:pPr>
      <w:r>
        <w:rPr>
          <w:noProof/>
        </w:rPr>
        <w:sym w:font="Wingdings" w:char="F0A8"/>
      </w:r>
      <w:r>
        <w:rPr>
          <w:noProof/>
        </w:rPr>
        <w:t xml:space="preserve"> orgánom uvedeným v článkoch 208 a 209 nariadenia o rozpočtových pravidlách,</w:t>
      </w:r>
    </w:p>
    <w:p w:rsidR="00A6487C" w:rsidRDefault="007E6C80">
      <w:pPr>
        <w:pStyle w:val="ListDash2"/>
        <w:rPr>
          <w:noProof/>
        </w:rPr>
      </w:pPr>
      <w:r>
        <w:rPr>
          <w:noProof/>
        </w:rPr>
        <w:t>X</w:t>
      </w:r>
      <w:r>
        <w:rPr>
          <w:noProof/>
        </w:rPr>
        <w:sym w:font="Wingdings" w:char="F0A8"/>
      </w:r>
      <w:r>
        <w:rPr>
          <w:noProof/>
        </w:rPr>
        <w:t xml:space="preserve"> verejnoprávnym subjektom,</w:t>
      </w:r>
    </w:p>
    <w:p w:rsidR="00A6487C" w:rsidRDefault="007E6C80">
      <w:pPr>
        <w:pStyle w:val="ListDash2"/>
        <w:rPr>
          <w:noProof/>
        </w:rPr>
      </w:pPr>
      <w:r>
        <w:rPr>
          <w:noProof/>
        </w:rPr>
        <w:t>X</w:t>
      </w:r>
      <w:r>
        <w:rPr>
          <w:noProof/>
        </w:rPr>
        <w:sym w:font="Wingdings" w:char="F0A8"/>
      </w:r>
      <w:r>
        <w:rPr>
          <w:noProof/>
        </w:rPr>
        <w:t xml:space="preserve"> súkromnoprávnym subjektom povereným vykonávaním verejnej služby, pokiaľ tieto subjekty poskytujú dostatočné finančné záruky,</w:t>
      </w:r>
    </w:p>
    <w:p w:rsidR="00A6487C" w:rsidRDefault="007E6C80">
      <w:pPr>
        <w:pStyle w:val="ListDash2"/>
        <w:rPr>
          <w:noProof/>
        </w:rPr>
      </w:pPr>
      <w:r>
        <w:rPr>
          <w:noProof/>
        </w:rPr>
        <w:sym w:font="Wingdings" w:char="F0A8"/>
      </w:r>
      <w:r>
        <w:rPr>
          <w:noProof/>
        </w:rPr>
        <w:t xml:space="preserve"> súkromnoprávnym subjektom spravovaným právom členského štátu, ktoré sú poverené vykonávaním verejno-súkromného partnerstva a kto</w:t>
      </w:r>
      <w:r>
        <w:rPr>
          <w:noProof/>
        </w:rPr>
        <w:t>ré poskytujú dostatočné finančné záruky,</w:t>
      </w:r>
    </w:p>
    <w:p w:rsidR="00A6487C" w:rsidRDefault="007E6C80">
      <w:pPr>
        <w:pStyle w:val="ListDash2"/>
        <w:rPr>
          <w:noProof/>
        </w:rPr>
      </w:pPr>
      <w:r>
        <w:rPr>
          <w:noProof/>
        </w:rPr>
        <w:t>X</w:t>
      </w:r>
      <w:r>
        <w:rPr>
          <w:noProof/>
        </w:rPr>
        <w:sym w:font="Wingdings" w:char="F0A8"/>
      </w:r>
      <w:r>
        <w:rPr>
          <w:noProof/>
        </w:rPr>
        <w:t xml:space="preserve"> osobám povereným vykonávaním osobitných činností v oblasti SZBP podľa hlavy V Zmluvy o Európskej únii a určeným v príslušnom základnom akte.</w:t>
      </w:r>
    </w:p>
    <w:p w:rsidR="00A6487C" w:rsidRDefault="007E6C80">
      <w:pPr>
        <w:pStyle w:val="ListDash2"/>
        <w:rPr>
          <w:i/>
          <w:noProof/>
          <w:sz w:val="18"/>
          <w:u w:val="single"/>
        </w:rPr>
      </w:pPr>
      <w:r>
        <w:rPr>
          <w:i/>
          <w:noProof/>
          <w:sz w:val="18"/>
        </w:rPr>
        <w:t>V prípade viacerých spôsobov hospodárenia uveďte v oddiele „Poznámky“ p</w:t>
      </w:r>
      <w:r>
        <w:rPr>
          <w:i/>
          <w:noProof/>
          <w:sz w:val="18"/>
        </w:rPr>
        <w:t>resnejšie vysvetlenie.</w:t>
      </w:r>
    </w:p>
    <w:p w:rsidR="00A6487C" w:rsidRDefault="007E6C80">
      <w:pPr>
        <w:rPr>
          <w:noProof/>
        </w:rPr>
      </w:pPr>
      <w:r>
        <w:rPr>
          <w:noProof/>
        </w:rPr>
        <w:t xml:space="preserve">Poznámky </w:t>
      </w:r>
    </w:p>
    <w:p w:rsidR="00A6487C" w:rsidRDefault="007E6C80">
      <w:pPr>
        <w:pBdr>
          <w:top w:val="single" w:sz="4" w:space="1" w:color="auto"/>
          <w:left w:val="single" w:sz="4" w:space="4" w:color="auto"/>
          <w:bottom w:val="single" w:sz="4" w:space="1" w:color="auto"/>
          <w:right w:val="single" w:sz="4" w:space="4" w:color="auto"/>
        </w:pBdr>
        <w:jc w:val="left"/>
        <w:rPr>
          <w:noProof/>
          <w:szCs w:val="24"/>
        </w:rPr>
        <w:sectPr w:rsidR="00A6487C">
          <w:pgSz w:w="11907" w:h="16840" w:code="9"/>
          <w:pgMar w:top="1134" w:right="1418" w:bottom="1134" w:left="1418" w:header="709" w:footer="709" w:gutter="0"/>
          <w:cols w:space="708"/>
          <w:docGrid w:linePitch="360"/>
        </w:sectPr>
      </w:pPr>
      <w:r>
        <w:rPr>
          <w:noProof/>
        </w:rPr>
        <w:t>Budú sa uplatňovať pravidlá hospodárenia stanovené v spoločnom vykonávacom nariadení Európskeho parlamentu a Rady (EÚ) č. 236/2014 z 11. marca 2014, ktorým sa ustanovujú spoločné pravidlá a postupy pr</w:t>
      </w:r>
      <w:r>
        <w:rPr>
          <w:noProof/>
        </w:rPr>
        <w:t>e vykonávanie nástrojov Únie na financovanie vonkajšej činnosti.</w:t>
      </w:r>
    </w:p>
    <w:p w:rsidR="00A6487C" w:rsidRDefault="007E6C80">
      <w:pPr>
        <w:pStyle w:val="ManualHeading1"/>
        <w:rPr>
          <w:bCs/>
          <w:noProof/>
          <w:szCs w:val="24"/>
        </w:rPr>
      </w:pPr>
      <w:r>
        <w:lastRenderedPageBreak/>
        <w:t>2.</w:t>
      </w:r>
      <w:r>
        <w:tab/>
      </w:r>
      <w:r>
        <w:rPr>
          <w:noProof/>
        </w:rPr>
        <w:t xml:space="preserve">OPATRENIA V OBLASTI RIADENIA </w:t>
      </w:r>
    </w:p>
    <w:p w:rsidR="00A6487C" w:rsidRDefault="007E6C80">
      <w:pPr>
        <w:pStyle w:val="ManualHeading2"/>
        <w:rPr>
          <w:noProof/>
        </w:rPr>
      </w:pPr>
      <w:r>
        <w:t>2.1.</w:t>
      </w:r>
      <w:r>
        <w:tab/>
      </w:r>
      <w:r>
        <w:rPr>
          <w:noProof/>
        </w:rPr>
        <w:t xml:space="preserve">Pravidlá monitorovania a podávania správ </w:t>
      </w:r>
    </w:p>
    <w:p w:rsidR="00A6487C" w:rsidRDefault="007E6C80">
      <w:pPr>
        <w:pStyle w:val="Text1"/>
        <w:rPr>
          <w:i/>
          <w:noProof/>
          <w:sz w:val="20"/>
          <w:u w:val="single"/>
        </w:rPr>
      </w:pPr>
      <w:r>
        <w:rPr>
          <w:i/>
          <w:noProof/>
          <w:sz w:val="20"/>
        </w:rPr>
        <w:t>Uveďte časový interval a podmienky.</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Delegácie EÚ a útvary Komisie budú neustále monitorovať vykonávanie projektov budovania kapacít na podporu bezpečnosti a rozvoja s vojenskými aktérmi, a to aj prostredníctvom návštev v teréne, poskytovaním cenných informácií o pokroku alebo nedostatku pokr</w:t>
      </w:r>
      <w:r>
        <w:rPr>
          <w:noProof/>
        </w:rPr>
        <w:t xml:space="preserve">oku vzhľadom na stanovené ciele, pričom pomôžu identifikovať/predvídať potenciálne problémy s cieľom prijať nápravné opatrenia. </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Posúdenia a hodnotenia výkonnosti programov budovania kapacít na podporu bezpečnosti a rozvoja sa môžu zadávať aj externým nezá</w:t>
      </w:r>
      <w:r>
        <w:rPr>
          <w:noProof/>
        </w:rPr>
        <w:t>vislým expertom. Tieto posudky a hodnotenia, či už interné alebo externé, prispejú k zodpovednosti a zlepšeniu pokračujúcich zásahov; prinesú ponaučenia zo skúseností pre budúce politiky a opatrenia použitím medzinárodne uznávaných hodnotiacich kritérií OE</w:t>
      </w:r>
      <w:r>
        <w:rPr>
          <w:noProof/>
        </w:rPr>
        <w:t>CD-DAC vrátane (možného) vplyvu.</w:t>
      </w:r>
    </w:p>
    <w:p w:rsidR="00A6487C" w:rsidRDefault="007E6C80">
      <w:pPr>
        <w:pStyle w:val="ManualHeading2"/>
        <w:rPr>
          <w:bCs/>
          <w:noProof/>
          <w:szCs w:val="24"/>
        </w:rPr>
      </w:pPr>
      <w:r>
        <w:t>2.2.</w:t>
      </w:r>
      <w:r>
        <w:tab/>
      </w:r>
      <w:r>
        <w:rPr>
          <w:noProof/>
        </w:rPr>
        <w:t xml:space="preserve">Systém riadenia a kontroly </w:t>
      </w:r>
    </w:p>
    <w:p w:rsidR="00A6487C" w:rsidRDefault="007E6C80">
      <w:pPr>
        <w:pStyle w:val="ManualHeading3"/>
        <w:rPr>
          <w:noProof/>
        </w:rPr>
      </w:pPr>
      <w:r>
        <w:t>2.2.1.</w:t>
      </w:r>
      <w:r>
        <w:tab/>
      </w:r>
      <w:r>
        <w:rPr>
          <w:noProof/>
        </w:rPr>
        <w:t xml:space="preserve">Zistené riziko/riziká </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Rizikové prostredie:</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Podpora vojenských aktérov v krajinách postihnutých konfliktom predstavuje širokú škálu rizík (kontextových, programových, reputačných a in</w:t>
      </w:r>
      <w:r>
        <w:rPr>
          <w:noProof/>
        </w:rPr>
        <w:t>štitucionálnych), ktoré môžu mať negatívny vplyv na účinnosť a trvalú udržateľnosť podpory budovania kapacít na podporu bezpečnosti a rozvoja. Počas navrhovania a realizácie sa musí prostredníctvom dôkladného monitorovania venovať osobitná pozornosť možném</w:t>
      </w:r>
      <w:r>
        <w:rPr>
          <w:noProof/>
        </w:rPr>
        <w:t>u zneužitiu poskytnutého vybavenia, ktoré by v krajnej núdzi mohli použiť miestne sily na účely závažného porušovania ľudských práv a/alebo by mohli byť presunuté nepriateľským aktérom (napr. neštátnym ozbrojeným skupinám, ktoré sa vybavenia zmocnia). Urči</w:t>
      </w:r>
      <w:r>
        <w:rPr>
          <w:noProof/>
        </w:rPr>
        <w:t>té záruky proti zneužitiu pomoci ponúka vylúčenie smrtiaceho vybavenia; nesmrtiace vojenské vybavenie by však mohlo byť zneužité z pohľadu medzinárodného humanitárneho práva.</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Zmiernenie rizík:</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Opatrenia budovania kapacít na podporu bezpečnosti a rozvoja vy</w:t>
      </w:r>
      <w:r>
        <w:rPr>
          <w:noProof/>
        </w:rPr>
        <w:t xml:space="preserve">lúčia financovanie zbraní a munície, čím sa obmedzia riziká spojené s možným zneužitím vybavenia. </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Okrem toho s cieľom zmierniť prípadné riziká a v súlade so spoločným oznámením, v ktorom sa vyzýva na vypracovanie metodiky riadenia rizík v súvislosti s pod</w:t>
      </w:r>
      <w:r>
        <w:rPr>
          <w:noProof/>
        </w:rPr>
        <w:t>porou EÚ určenou pre sektor bezpečnosti partnerských krajín alebo organizácií, bude osobitné posudzovanie rizík povinné pre všetky programy budovania kapacít na podporu bezpečnosti a rozvoja, ktoré sú určené na spoluprácu s armádou tretích partnerských kra</w:t>
      </w:r>
      <w:r>
        <w:rPr>
          <w:noProof/>
        </w:rPr>
        <w:t>jín. Riziká sa budú nepretržite monitorovať aj počas realizácie projektov.</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Osobitné spôsoby posudzovania rizík a monitorovania sa vypracúvajú v kontexte politického rámca reformy sektora bezpečnosti.</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Cennými príspevkami k tomuto procesu budú poznatky získa</w:t>
      </w:r>
      <w:r>
        <w:rPr>
          <w:noProof/>
        </w:rPr>
        <w:t>né zo skúseností, čo sa týka rámcov riadenia rizík v súvislosti s rozpočtovou podporou, ako aj nových postupov využitia ukazovateľov výkonnosti misií SBOP.</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lastRenderedPageBreak/>
        <w:t>Spôsoby osobitného posudzovania rizík uplatniteľné na budovanie kapacít na podporu bezpečnosti a roz</w:t>
      </w:r>
      <w:r>
        <w:rPr>
          <w:noProof/>
        </w:rPr>
        <w:t xml:space="preserve">voja môžu okrem iného zahŕňať: </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xml:space="preserve"> – posúdenie rizika konfliktov [na základe štrukturálnych nástrojov posudzovania rizík, napríklad GCRI (Celosvetový index rizika konfliktov), ktorý vyvinulo JRC] a </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xml:space="preserve"> – rámce analýzy konfliktov na rozvoj spoločného chápania a</w:t>
      </w:r>
      <w:r>
        <w:rPr>
          <w:noProof/>
        </w:rPr>
        <w:t xml:space="preserve"> pravidelného monitorovania situácie aktérmi v humanitárnej, rozvojovej a bezpečnostnej oblasti. </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Záväzok zabezpečiť transparentnosť a vplyv výdavkov na mier a bezpečnosť a sledovanie jeho prínosu na dosiahnutie cieľa trvalo udržateľného rozvoja č. 16 môžu</w:t>
      </w:r>
      <w:r>
        <w:rPr>
          <w:noProof/>
        </w:rPr>
        <w:t xml:space="preserve"> niektoré zainteresované strany vnímať ako riziko „sekuritizácie rozvoja“.</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xml:space="preserve">V rámci uvedených opatrení na zmiernenie rizika by podpora EÚ na budovanie kapacít bezpečnosti a rozvoja mala byť založená aj na kontextovej analýze/konflikte a mala by byť citlivá </w:t>
      </w:r>
      <w:r>
        <w:rPr>
          <w:noProof/>
        </w:rPr>
        <w:t>na konflikt (analýza konkrétneho kontextu). Hlavnou základnou zásadou v prípade budovania kapacít na podporu bezpečnosti a rozvoja bude „neškodiť“. Hĺbková analýza politickej a bezpečnostnej situácie v príslušnej krajine a možných súvisiacich rizík by sa m</w:t>
      </w:r>
      <w:r>
        <w:rPr>
          <w:noProof/>
        </w:rPr>
        <w:t>ala vykonať včas s cieľom stanoviť schopnosť Únie pomáhať, t. j. predísť zneužitiu podpory. Do vykonávania príslušných posudzovaní budú zapojené delegácie EÚ. Tieto posúdenia sa budú okrem iného vzťahovať na vplyv na zdroje so zreteľom na úsilie iných akté</w:t>
      </w:r>
      <w:r>
        <w:rPr>
          <w:noProof/>
        </w:rPr>
        <w:t>rov; plánovanú pomoc vynakladanú na budovanie kapacít; posúdenie konkrétnych potrieb krajiny, ako aj cieľov a kritérií na monitorovanie pokroku. Súčasťou tejto kontextovej analýzy by boli ďalšie dôležité aspekty, ako sú miestna zodpovednosť zo strany partn</w:t>
      </w:r>
      <w:r>
        <w:rPr>
          <w:noProof/>
        </w:rPr>
        <w:t>erskej krajiny, absorpčná kapacita a trvalá udržateľnosť v strednodobom a dlhodobom horizonte, ako aj prepojenie s dlhodobejšími širšie zameranými programami SSR v sektore správy.</w:t>
      </w:r>
    </w:p>
    <w:p w:rsidR="00A6487C" w:rsidRDefault="007E6C80">
      <w:pPr>
        <w:pStyle w:val="ManualHeading3"/>
        <w:rPr>
          <w:bCs/>
          <w:noProof/>
          <w:szCs w:val="24"/>
        </w:rPr>
      </w:pPr>
      <w:r>
        <w:t>2.2.2.</w:t>
      </w:r>
      <w:r>
        <w:tab/>
      </w:r>
      <w:r>
        <w:rPr>
          <w:noProof/>
        </w:rPr>
        <w:t>Údaje o zavedenom systéme vnútornej kontroly</w:t>
      </w:r>
    </w:p>
    <w:p w:rsidR="00A6487C" w:rsidRDefault="007E6C80">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Štruktúra vnútornej </w:t>
      </w:r>
      <w:r>
        <w:rPr>
          <w:noProof/>
          <w:u w:val="single"/>
        </w:rPr>
        <w:t>kontroly FPI/DEVCO</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Postup vnútornej kontroly/riadenia FPI/DEVCO je navrhnutý tak, aby poskytoval primeranú istotu, pokiaľ ide o riadne finančné hospodárenie operácií útvaru, spoľahlivosti jeho finančného výkazníctva a súladu s príslušným legislatívnym a pr</w:t>
      </w:r>
      <w:r>
        <w:rPr>
          <w:noProof/>
        </w:rPr>
        <w:t>ocedurálnym rámcom.</w:t>
      </w:r>
    </w:p>
    <w:p w:rsidR="00A6487C" w:rsidRDefault="007E6C80">
      <w:pPr>
        <w:pStyle w:val="Text1"/>
        <w:pBdr>
          <w:top w:val="single" w:sz="4" w:space="1" w:color="auto"/>
          <w:left w:val="single" w:sz="4" w:space="4" w:color="auto"/>
          <w:bottom w:val="single" w:sz="4" w:space="1" w:color="auto"/>
          <w:right w:val="single" w:sz="4" w:space="4" w:color="auto"/>
        </w:pBdr>
        <w:rPr>
          <w:noProof/>
          <w:u w:val="single"/>
        </w:rPr>
      </w:pPr>
      <w:r>
        <w:rPr>
          <w:noProof/>
          <w:u w:val="single"/>
        </w:rPr>
        <w:t>Účinnosť, efektívnosť a hospodárnosť</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S cieľom zabezpečiť, aby sa dodržiavali zásady riadneho finančného hospodárenia (a s cieľom zmierniť vysokú mieru rizika vo svojom prostredí vonkajšej pomoci) bude FPI/DEVCO okrem všetkých prvkov pos</w:t>
      </w:r>
      <w:r>
        <w:rPr>
          <w:noProof/>
        </w:rPr>
        <w:t>tupu strategického plánovania a programovania Komisie, prostredia vnútorného auditu a požiadaviek zásad vnútornej kontroly Komisie naďalej prispôsobovať svoje kontrolné prostredie, čo zahŕňa:</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decentralizované riadenie projektov delegáciami EÚ v teréne, a</w:t>
      </w:r>
      <w:r>
        <w:rPr>
          <w:noProof/>
        </w:rPr>
        <w:t>k je to vhodné;</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jasný a formalizovaný reťazec finančnej zodpovednosti ( od povoľujúceho úradníka vymenovaného delegovaním) prostredníctvom subdelegovania právomocí na vedúceho útvaru alebo vedúceho delegácie;</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pravidelné podávanie správ delegácií EÚ úst</w:t>
      </w:r>
      <w:r>
        <w:rPr>
          <w:noProof/>
        </w:rPr>
        <w:t>rediu (správy o riadení vonkajšej pomoci za DEVCO a správy povoľujúceho úradníka vymenovaného subdelegovaním za FPI) vrátane ročného vyhlásenia o vierohodnosti, ktoré predkladá vedúci delegácie;</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lastRenderedPageBreak/>
        <w:t>– zabezpečenie rozsiahleho programu odbornej prípravy pre zam</w:t>
      </w:r>
      <w:r>
        <w:rPr>
          <w:noProof/>
        </w:rPr>
        <w:t>estnancov tak na ústredí, ako aj v delegáciách EÚ;</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významnú podporu a usmerňovanie zo strany ústredia/delegácie EÚ;</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pravidelné „overovacie/kontrolné“ pracovné návštevy „decentralizovaných“ delegácií EÚ;</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xml:space="preserve">– metodiku riadenia projektového a programového cyklu vrátane: </w:t>
      </w:r>
    </w:p>
    <w:p w:rsidR="00A6487C" w:rsidRDefault="007E6C80">
      <w:pPr>
        <w:pStyle w:val="Text1"/>
        <w:pBdr>
          <w:top w:val="single" w:sz="4" w:space="1" w:color="auto"/>
          <w:left w:val="single" w:sz="4" w:space="4" w:color="auto"/>
          <w:bottom w:val="single" w:sz="4" w:space="1" w:color="auto"/>
          <w:right w:val="single" w:sz="4" w:space="4" w:color="auto"/>
        </w:pBdr>
        <w:ind w:left="851" w:hanging="1"/>
        <w:rPr>
          <w:noProof/>
        </w:rPr>
      </w:pPr>
      <w:r>
        <w:rPr>
          <w:noProof/>
        </w:rPr>
        <w:tab/>
        <w:t xml:space="preserve">a) ak je to vhodné, nástrojov na podporu kvality pre návrh zásahu, spôsobu jeho vykonania, mechanizmu financovania, systému riadenia, posúdenia a výberu realizujúcich partnerov; </w:t>
      </w:r>
    </w:p>
    <w:p w:rsidR="00A6487C" w:rsidRDefault="007E6C80">
      <w:pPr>
        <w:pStyle w:val="Text1"/>
        <w:pBdr>
          <w:top w:val="single" w:sz="4" w:space="1" w:color="auto"/>
          <w:left w:val="single" w:sz="4" w:space="4" w:color="auto"/>
          <w:bottom w:val="single" w:sz="4" w:space="1" w:color="auto"/>
          <w:right w:val="single" w:sz="4" w:space="4" w:color="auto"/>
        </w:pBdr>
        <w:ind w:left="851" w:hanging="1"/>
        <w:rPr>
          <w:noProof/>
        </w:rPr>
      </w:pPr>
      <w:r>
        <w:rPr>
          <w:noProof/>
        </w:rPr>
        <w:tab/>
        <w:t>b) nástrojo</w:t>
      </w:r>
      <w:r>
        <w:rPr>
          <w:noProof/>
        </w:rPr>
        <w:t>v riadenia programu a projektu, monitorovania a podávania správ na účinnú realizáciu vrátane pravidelného externého monitorovania projektov na mieste;</w:t>
      </w:r>
    </w:p>
    <w:p w:rsidR="00A6487C" w:rsidRDefault="007E6C80">
      <w:pPr>
        <w:pStyle w:val="Text1"/>
        <w:pBdr>
          <w:top w:val="single" w:sz="4" w:space="1" w:color="auto"/>
          <w:left w:val="single" w:sz="4" w:space="4" w:color="auto"/>
          <w:bottom w:val="single" w:sz="4" w:space="1" w:color="auto"/>
          <w:right w:val="single" w:sz="4" w:space="4" w:color="auto"/>
        </w:pBdr>
        <w:ind w:left="851" w:hanging="1"/>
        <w:rPr>
          <w:noProof/>
        </w:rPr>
      </w:pPr>
      <w:r>
        <w:rPr>
          <w:noProof/>
        </w:rPr>
        <w:tab/>
        <w:t>c) prvkov hodnotenia a auditu.</w:t>
      </w:r>
    </w:p>
    <w:p w:rsidR="00A6487C" w:rsidRDefault="007E6C80">
      <w:pPr>
        <w:pStyle w:val="Text1"/>
        <w:pBdr>
          <w:top w:val="single" w:sz="4" w:space="1" w:color="auto"/>
          <w:left w:val="single" w:sz="4" w:space="4" w:color="auto"/>
          <w:bottom w:val="single" w:sz="4" w:space="1" w:color="auto"/>
          <w:right w:val="single" w:sz="4" w:space="4" w:color="auto"/>
        </w:pBdr>
        <w:rPr>
          <w:noProof/>
          <w:u w:val="single"/>
        </w:rPr>
      </w:pPr>
      <w:r>
        <w:rPr>
          <w:noProof/>
          <w:u w:val="single"/>
        </w:rPr>
        <w:t>Finančné výkazníctvo a účtovníctvo</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FPI/DEVCO sa bude naďalej usilovať o s</w:t>
      </w:r>
      <w:r>
        <w:rPr>
          <w:noProof/>
        </w:rPr>
        <w:t>plnenie najvyšších štandardov účtovníctva a finančného výkazníctva použitím systému akruálneho účtovníctva Komisie (ABAC), ako aj osobitných nástrojov vonkajšej pomoci.</w:t>
      </w:r>
    </w:p>
    <w:p w:rsidR="00A6487C" w:rsidRDefault="007E6C80">
      <w:pPr>
        <w:pStyle w:val="ManualHeading3"/>
        <w:rPr>
          <w:noProof/>
        </w:rPr>
      </w:pPr>
      <w:r>
        <w:t>2.2.3.</w:t>
      </w:r>
      <w:r>
        <w:tab/>
      </w:r>
      <w:r>
        <w:rPr>
          <w:noProof/>
        </w:rPr>
        <w:t xml:space="preserve">Odhad nákladov a prínosov kontrol a posúdenie očakávanej úrovne rizika chyby </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Ci</w:t>
      </w:r>
      <w:r>
        <w:rPr>
          <w:noProof/>
        </w:rPr>
        <w:t>eľom kritéria súladu pri tomto nástroji je zachovať historickú úroveň rizika nesúladu (mieru chybovosti) pre portfólio FPI/DEVCO, ktorá je zostatkovou „čistou“ úrovňou výskytu chýb (na viacročnom základe po vykonaní všetkých plánovaných kontrol a opráv uza</w:t>
      </w:r>
      <w:r>
        <w:rPr>
          <w:noProof/>
        </w:rPr>
        <w:t xml:space="preserve">tvorených zmlúv), na úrovni nižšej ako 2 %. </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xml:space="preserve">Z toho spravidla vyplýva odhadovaný rozsah výskytu chýb 2 – 5 % vzhľadom na ročnú náhodnú vzorku transakcií, ktorú vyberá Európsky dvor audítorov na účely ročného vyhlásenia o vierohodnosti (DAS). </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 xml:space="preserve">FPI/DEVCO to </w:t>
      </w:r>
      <w:r>
        <w:rPr>
          <w:noProof/>
        </w:rPr>
        <w:t>považuje za najnižšie riziko nesúladu, ktoré je možné dosiahnuť v súvislosti s veľmi rizikovým prostredím a vzhľadom na administratívnu záťaž a nevyhnutnú efektívnosť nákladov na kontroly súladu.</w:t>
      </w:r>
    </w:p>
    <w:p w:rsidR="00A6487C" w:rsidRDefault="007E6C80">
      <w:pPr>
        <w:pStyle w:val="ManualHeading2"/>
        <w:rPr>
          <w:bCs/>
          <w:noProof/>
          <w:szCs w:val="24"/>
        </w:rPr>
      </w:pPr>
      <w:r>
        <w:t>2.3.</w:t>
      </w:r>
      <w:r>
        <w:tab/>
      </w:r>
      <w:r>
        <w:rPr>
          <w:noProof/>
        </w:rPr>
        <w:t xml:space="preserve">Opatrenia na predchádzanie podvodom a nezrovnalostiam </w:t>
      </w:r>
    </w:p>
    <w:p w:rsidR="00A6487C" w:rsidRDefault="007E6C80">
      <w:pPr>
        <w:pStyle w:val="Text1"/>
        <w:rPr>
          <w:i/>
          <w:noProof/>
          <w:sz w:val="20"/>
        </w:rPr>
      </w:pPr>
      <w:r>
        <w:rPr>
          <w:i/>
          <w:noProof/>
          <w:sz w:val="20"/>
        </w:rPr>
        <w:t>Uveďte existujúce a plánované preventívne a ochranné opatrenia.</w:t>
      </w:r>
    </w:p>
    <w:p w:rsidR="00A6487C" w:rsidRDefault="007E6C80">
      <w:pPr>
        <w:pStyle w:val="Text1"/>
        <w:pBdr>
          <w:top w:val="single" w:sz="4" w:space="1" w:color="auto"/>
          <w:left w:val="single" w:sz="4" w:space="20" w:color="auto"/>
          <w:bottom w:val="single" w:sz="4" w:space="1" w:color="auto"/>
          <w:right w:val="single" w:sz="4" w:space="4" w:color="auto"/>
        </w:pBdr>
        <w:ind w:left="1210"/>
        <w:rPr>
          <w:noProof/>
          <w:u w:val="single"/>
        </w:rPr>
      </w:pPr>
      <w:r>
        <w:rPr>
          <w:noProof/>
          <w:u w:val="single"/>
        </w:rPr>
        <w:t>Preventívne opatrenia v prípade nezrovnalostí</w:t>
      </w:r>
    </w:p>
    <w:p w:rsidR="00A6487C" w:rsidRDefault="007E6C80">
      <w:pPr>
        <w:pStyle w:val="Text1"/>
        <w:pBdr>
          <w:top w:val="single" w:sz="4" w:space="1" w:color="auto"/>
          <w:left w:val="single" w:sz="4" w:space="20" w:color="auto"/>
          <w:bottom w:val="single" w:sz="4" w:space="1" w:color="auto"/>
          <w:right w:val="single" w:sz="4" w:space="4" w:color="auto"/>
        </w:pBdr>
        <w:ind w:left="1210"/>
        <w:rPr>
          <w:noProof/>
        </w:rPr>
      </w:pPr>
      <w:r>
        <w:rPr>
          <w:noProof/>
        </w:rPr>
        <w:t xml:space="preserve">Vzhľadom na rizikové prostredie budovania kapacít na podporu bezpečnosti a rozvoja je potrebné, aby systémy kontroly predvídali možné chyby súladu (nezrovnalosti) v transakciách a čo najskôr začlenili do platobného procesu vysokú úroveň kontroly v oblasti </w:t>
      </w:r>
      <w:r>
        <w:rPr>
          <w:noProof/>
        </w:rPr>
        <w:t xml:space="preserve">prevencie, zisťovania a nápravy. V praxi to znamená, že kontroly súladu, ktoré vykonáva FPI/DEVCO, sa budú väčšinou spoliehať na významné predbežné kontroly vykonané externými audítormi a zamestnancami Komisie v teréne pred konečnou realizáciou platobných </w:t>
      </w:r>
      <w:r>
        <w:rPr>
          <w:noProof/>
        </w:rPr>
        <w:t xml:space="preserve">operácií týkajúcich sa projektu (pri súčasnom vykonávaní niektorých auditov a kontrol </w:t>
      </w:r>
      <w:r>
        <w:rPr>
          <w:i/>
          <w:noProof/>
        </w:rPr>
        <w:t>ex-post</w:t>
      </w:r>
      <w:r>
        <w:rPr>
          <w:noProof/>
        </w:rPr>
        <w:t xml:space="preserve">), ktoré podstatne presahujú rámec finančných záruk požadovaných nariadením o rozpočtových pravidlách. </w:t>
      </w:r>
    </w:p>
    <w:p w:rsidR="00A6487C" w:rsidRDefault="007E6C80">
      <w:pPr>
        <w:pStyle w:val="Text1"/>
        <w:pBdr>
          <w:top w:val="single" w:sz="4" w:space="1" w:color="auto"/>
          <w:left w:val="single" w:sz="4" w:space="20" w:color="auto"/>
          <w:bottom w:val="single" w:sz="4" w:space="1" w:color="auto"/>
          <w:right w:val="single" w:sz="4" w:space="4" w:color="auto"/>
        </w:pBdr>
        <w:ind w:left="1210"/>
        <w:rPr>
          <w:noProof/>
        </w:rPr>
      </w:pPr>
      <w:r>
        <w:rPr>
          <w:noProof/>
        </w:rPr>
        <w:t>Rámec súladu FPI/DEVCO okrem iného tvoria tieto významné zl</w:t>
      </w:r>
      <w:r>
        <w:rPr>
          <w:noProof/>
        </w:rPr>
        <w:t>ožky.</w:t>
      </w:r>
    </w:p>
    <w:p w:rsidR="00A6487C" w:rsidRDefault="007E6C80">
      <w:pPr>
        <w:pStyle w:val="Text1"/>
        <w:pBdr>
          <w:top w:val="single" w:sz="4" w:space="1" w:color="auto"/>
          <w:left w:val="single" w:sz="4" w:space="20" w:color="auto"/>
          <w:bottom w:val="single" w:sz="4" w:space="1" w:color="auto"/>
          <w:right w:val="single" w:sz="4" w:space="4" w:color="auto"/>
        </w:pBdr>
        <w:ind w:left="1210"/>
        <w:rPr>
          <w:noProof/>
          <w:u w:val="single"/>
        </w:rPr>
      </w:pPr>
      <w:r>
        <w:rPr>
          <w:noProof/>
          <w:u w:val="single"/>
        </w:rPr>
        <w:t>Preventívne opatrenia v prípade podvodu</w:t>
      </w:r>
    </w:p>
    <w:p w:rsidR="00A6487C" w:rsidRDefault="007E6C80">
      <w:pPr>
        <w:pStyle w:val="Text1"/>
        <w:pBdr>
          <w:top w:val="single" w:sz="4" w:space="1" w:color="auto"/>
          <w:left w:val="single" w:sz="4" w:space="20" w:color="auto"/>
          <w:bottom w:val="single" w:sz="4" w:space="1" w:color="auto"/>
          <w:right w:val="single" w:sz="4" w:space="4" w:color="auto"/>
        </w:pBdr>
        <w:ind w:left="1210"/>
        <w:rPr>
          <w:noProof/>
        </w:rPr>
      </w:pPr>
      <w:r>
        <w:rPr>
          <w:noProof/>
        </w:rPr>
        <w:lastRenderedPageBreak/>
        <w:t>– Poskytnutie osobitných usmernení vrátane Praktickej príručky pre uzatváranie zmlúv (PRAG), sprievodcu DEVCO a súboru nástrojov finančného hospodárenia (pre realizujúcich partnerov).</w:t>
      </w:r>
    </w:p>
    <w:p w:rsidR="00A6487C" w:rsidRDefault="007E6C80">
      <w:pPr>
        <w:pStyle w:val="Text1"/>
        <w:pBdr>
          <w:top w:val="single" w:sz="4" w:space="1" w:color="auto"/>
          <w:left w:val="single" w:sz="4" w:space="20" w:color="auto"/>
          <w:bottom w:val="single" w:sz="4" w:space="1" w:color="auto"/>
          <w:right w:val="single" w:sz="4" w:space="4" w:color="auto"/>
        </w:pBdr>
        <w:ind w:left="1210"/>
        <w:rPr>
          <w:noProof/>
        </w:rPr>
      </w:pPr>
      <w:r>
        <w:rPr>
          <w:noProof/>
        </w:rPr>
        <w:t>– Povinné základné školeni</w:t>
      </w:r>
      <w:r>
        <w:rPr>
          <w:noProof/>
        </w:rPr>
        <w:t xml:space="preserve">e o prevencii a odhaľovaní podvodov pre zamestnancov v oblasti riadenia pomoci (projektových manažérov, finančných úradníkov a zamestnancov kontroly </w:t>
      </w:r>
      <w:r>
        <w:rPr>
          <w:i/>
          <w:noProof/>
        </w:rPr>
        <w:t>ex-post</w:t>
      </w:r>
      <w:r>
        <w:rPr>
          <w:noProof/>
        </w:rPr>
        <w:t xml:space="preserve"> alebo audítorov) na ústredí a v delegáciách EÚ v súlade so stratégiou boja proti podvodom v oblasti</w:t>
      </w:r>
      <w:r>
        <w:rPr>
          <w:noProof/>
        </w:rPr>
        <w:t xml:space="preserve"> vonkajších vzťahov EÚ, ako aj s osobitnými stratégiami FPI a DEVCO v oblasti boja proti podvodom. Stratégia boja proti podvodom v oblasti vonkajších vzťahov EÚ sa týka činností Európskej služby pre vonkajšiu činnosť (ESVČ) aj príslušných útvarov Komisie v</w:t>
      </w:r>
      <w:r>
        <w:rPr>
          <w:noProof/>
        </w:rPr>
        <w:t xml:space="preserve"> oblasti vonkajších vzťahov (DEVCO, FPI, NEAR) s osobitným dôrazom na činnosti, ktoré vykonávajú delegácie EÚ.</w:t>
      </w:r>
    </w:p>
    <w:p w:rsidR="00A6487C" w:rsidRDefault="007E6C80">
      <w:pPr>
        <w:pStyle w:val="Text1"/>
        <w:pBdr>
          <w:top w:val="single" w:sz="4" w:space="1" w:color="auto"/>
          <w:left w:val="single" w:sz="4" w:space="20" w:color="auto"/>
          <w:bottom w:val="single" w:sz="4" w:space="1" w:color="auto"/>
          <w:right w:val="single" w:sz="4" w:space="4" w:color="auto"/>
        </w:pBdr>
        <w:ind w:left="1210"/>
        <w:rPr>
          <w:noProof/>
        </w:rPr>
      </w:pPr>
      <w:r>
        <w:rPr>
          <w:noProof/>
        </w:rPr>
        <w:t xml:space="preserve">– Posúdenie </w:t>
      </w:r>
      <w:r>
        <w:rPr>
          <w:i/>
          <w:noProof/>
        </w:rPr>
        <w:t>ex-ante</w:t>
      </w:r>
      <w:r>
        <w:rPr>
          <w:noProof/>
        </w:rPr>
        <w:t xml:space="preserve"> na zabezpečenie uskutočňovania vhodných opatrení proti podvodom v záujme predchádzania podvodom a ich zisťovania pri hospodár</w:t>
      </w:r>
      <w:r>
        <w:rPr>
          <w:noProof/>
        </w:rPr>
        <w:t xml:space="preserve">ení s finančnými prostriedkami EÚ v rámci orgánov spravujúcich príslušné finančné prostriedky (v rámci priameho a nepriameho hospodárenia). </w:t>
      </w:r>
    </w:p>
    <w:p w:rsidR="00A6487C" w:rsidRDefault="007E6C80">
      <w:pPr>
        <w:pStyle w:val="Text1"/>
        <w:pBdr>
          <w:top w:val="single" w:sz="4" w:space="1" w:color="auto"/>
          <w:left w:val="single" w:sz="4" w:space="20" w:color="auto"/>
          <w:bottom w:val="single" w:sz="4" w:space="1" w:color="auto"/>
          <w:right w:val="single" w:sz="4" w:space="4" w:color="auto"/>
        </w:pBdr>
        <w:ind w:left="1210"/>
        <w:rPr>
          <w:noProof/>
        </w:rPr>
      </w:pPr>
      <w:r>
        <w:rPr>
          <w:noProof/>
        </w:rPr>
        <w:t xml:space="preserve">– Kontrola </w:t>
      </w:r>
      <w:r>
        <w:rPr>
          <w:i/>
          <w:noProof/>
        </w:rPr>
        <w:t>ex-ante</w:t>
      </w:r>
      <w:r>
        <w:rPr>
          <w:noProof/>
        </w:rPr>
        <w:t xml:space="preserve"> mechanizmov proti podvodom dostupných v partnerskej krajine (a/alebo v medzinárodnej organizácii</w:t>
      </w:r>
      <w:r>
        <w:rPr>
          <w:noProof/>
        </w:rPr>
        <w:t>) ako súčasť posúdenia kritéria oprávnenosti hospodárenia s verejnými financiami pre získanie rozpočtovej podpory (t. j. aktívny záväzok bojovať proti podvodom a korupcii, primerané kontrolné orgány, dostatočná justičná kapacita a účinné mechanizmy reakcií</w:t>
      </w:r>
      <w:r>
        <w:rPr>
          <w:noProof/>
        </w:rPr>
        <w:t xml:space="preserve"> a sankcií).</w:t>
      </w:r>
    </w:p>
    <w:p w:rsidR="00A6487C" w:rsidRDefault="007E6C80">
      <w:pPr>
        <w:pStyle w:val="Text1"/>
        <w:pBdr>
          <w:top w:val="single" w:sz="4" w:space="1" w:color="auto"/>
          <w:left w:val="single" w:sz="4" w:space="20" w:color="auto"/>
          <w:bottom w:val="single" w:sz="4" w:space="1" w:color="auto"/>
          <w:right w:val="single" w:sz="4" w:space="4" w:color="auto"/>
        </w:pBdr>
        <w:ind w:left="1210"/>
        <w:rPr>
          <w:noProof/>
        </w:rPr>
      </w:pPr>
      <w:r>
        <w:rPr>
          <w:noProof/>
        </w:rPr>
        <w:t>– V roku 2008 Komisia podpísala v Akkre Iniciatívu za transparentnosť poskytovania medzinárodnej pomoci (IATI), v ktorej sa dohodla na štandarde pre transparentnosť pomoci, ktorý zabezpečuje včasnejšie, podrobnejšie a pravidelnejšie údaje o to</w:t>
      </w:r>
      <w:r>
        <w:rPr>
          <w:noProof/>
        </w:rPr>
        <w:t>koch pomoci a dokumentoch. Od októbra 2011 pracuje na zavádzaní a uplatňovaní noriem IATI pre zverejňovanie informácií.</w:t>
      </w:r>
    </w:p>
    <w:p w:rsidR="00A6487C" w:rsidRDefault="007E6C80">
      <w:pPr>
        <w:pStyle w:val="Text1"/>
        <w:pBdr>
          <w:top w:val="single" w:sz="4" w:space="1" w:color="auto"/>
          <w:left w:val="single" w:sz="4" w:space="20" w:color="auto"/>
          <w:bottom w:val="single" w:sz="4" w:space="1" w:color="auto"/>
          <w:right w:val="single" w:sz="4" w:space="4" w:color="auto"/>
        </w:pBdr>
        <w:ind w:left="1210"/>
        <w:rPr>
          <w:noProof/>
        </w:rPr>
      </w:pPr>
      <w:r>
        <w:rPr>
          <w:noProof/>
        </w:rPr>
        <w:t>– Okrem toho Komisia spolupracuje s členskými štátmi EÚ na spoločnej internetovej IT aplikácii pod názvom „EU Aid Explorer“, ktorá trans</w:t>
      </w:r>
      <w:r>
        <w:rPr>
          <w:noProof/>
        </w:rPr>
        <w:t>formuje údaje o pomoci EÚ poskytované prostredníctvom databázy IATI a ostatných zdrojov na zrozumiteľné informácie o pomoci.</w:t>
      </w:r>
    </w:p>
    <w:p w:rsidR="00A6487C" w:rsidRDefault="007E6C80">
      <w:pPr>
        <w:pStyle w:val="Text1"/>
        <w:pBdr>
          <w:top w:val="single" w:sz="4" w:space="1" w:color="auto"/>
          <w:left w:val="single" w:sz="4" w:space="20" w:color="auto"/>
          <w:bottom w:val="single" w:sz="4" w:space="1" w:color="auto"/>
          <w:right w:val="single" w:sz="4" w:space="4" w:color="auto"/>
        </w:pBdr>
        <w:ind w:left="1210"/>
        <w:rPr>
          <w:noProof/>
          <w:u w:val="single"/>
        </w:rPr>
      </w:pPr>
      <w:r>
        <w:rPr>
          <w:noProof/>
        </w:rPr>
        <w:t xml:space="preserve">– V roku 2015 úrad OLAF podpísal 5 nových dohôd o administratívnej spolupráci s medzinárodnými organizáciami (Európskou bankou pre </w:t>
      </w:r>
      <w:r>
        <w:rPr>
          <w:noProof/>
        </w:rPr>
        <w:t>obnovu a rozvoj, Medziamerickou bankou, Organizáciou pre hospodársku spoluprácu a rozvoj, Svetovým potravinovým programom a Úradom OSN pre servisné zabezpečenie projektov). OLAF spolupracuje aj s rovnocennými agentúrami pre boj proti podvodom Organizácie S</w:t>
      </w:r>
      <w:r>
        <w:rPr>
          <w:noProof/>
        </w:rPr>
        <w:t xml:space="preserve">pojených národov, Svetovej banky a ďalších medzinárodných organizácií. OLAF spolupracuje aj s Europolom a Eurojustom. OLAF taktiež nepretržite alebo podľa potreby ad hoc vytvára vzťahy, ktoré sú potrebné na vyšetrovanie podvodov poškodzujúcich rozpočet EÚ </w:t>
      </w:r>
      <w:r>
        <w:rPr>
          <w:noProof/>
        </w:rPr>
        <w:t>(najmä v súvislosti s finančnými prostriedkami EÚ vynakladanými na vonkajšiu pomoc), s orgánmi krajín mimo EÚ. V roku 2015 úrad OLAF uzavrel administratívne dohody s partnerskými orgánmi v Angole, Moldavsku a Senegale.</w:t>
      </w:r>
    </w:p>
    <w:p w:rsidR="00A6487C" w:rsidRDefault="007E6C80">
      <w:pPr>
        <w:pStyle w:val="Text1"/>
        <w:pBdr>
          <w:top w:val="single" w:sz="4" w:space="1" w:color="auto"/>
          <w:left w:val="single" w:sz="4" w:space="20" w:color="auto"/>
          <w:bottom w:val="single" w:sz="4" w:space="1" w:color="auto"/>
          <w:right w:val="single" w:sz="4" w:space="4" w:color="auto"/>
        </w:pBdr>
        <w:ind w:left="1210"/>
        <w:rPr>
          <w:noProof/>
          <w:u w:val="single"/>
        </w:rPr>
      </w:pPr>
      <w:r>
        <w:rPr>
          <w:noProof/>
          <w:u w:val="single"/>
        </w:rPr>
        <w:t xml:space="preserve">Odhaľovacie a nápravné opatrenia </w:t>
      </w:r>
      <w:r>
        <w:rPr>
          <w:noProof/>
          <w:u w:val="single"/>
        </w:rPr>
        <w:t>v prípade nezrovnalostí a podvodov</w:t>
      </w:r>
    </w:p>
    <w:p w:rsidR="00A6487C" w:rsidRDefault="007E6C80">
      <w:pPr>
        <w:pStyle w:val="Text1"/>
        <w:pBdr>
          <w:top w:val="single" w:sz="4" w:space="1" w:color="auto"/>
          <w:left w:val="single" w:sz="4" w:space="20" w:color="auto"/>
          <w:bottom w:val="single" w:sz="4" w:space="1" w:color="auto"/>
          <w:right w:val="single" w:sz="4" w:space="4" w:color="auto"/>
        </w:pBdr>
        <w:ind w:left="1210"/>
        <w:rPr>
          <w:noProof/>
        </w:rPr>
      </w:pPr>
      <w:r>
        <w:rPr>
          <w:noProof/>
        </w:rPr>
        <w:t>– Externé audity a overenia (povinné aj založené na riziku) vrátane Európskeho dvora audítorov.</w:t>
      </w:r>
    </w:p>
    <w:p w:rsidR="00A6487C" w:rsidRDefault="007E6C80">
      <w:pPr>
        <w:pStyle w:val="Text1"/>
        <w:pBdr>
          <w:top w:val="single" w:sz="4" w:space="1" w:color="auto"/>
          <w:left w:val="single" w:sz="4" w:space="20" w:color="auto"/>
          <w:bottom w:val="single" w:sz="4" w:space="1" w:color="auto"/>
          <w:right w:val="single" w:sz="4" w:space="4" w:color="auto"/>
        </w:pBdr>
        <w:ind w:left="1210"/>
        <w:rPr>
          <w:noProof/>
        </w:rPr>
      </w:pPr>
      <w:r>
        <w:rPr>
          <w:noProof/>
        </w:rPr>
        <w:lastRenderedPageBreak/>
        <w:t>– Kontroly so spätnou účinnosťou (na základe rizík) a spätne vymožené prostriedky.</w:t>
      </w:r>
    </w:p>
    <w:p w:rsidR="00A6487C" w:rsidRDefault="007E6C80">
      <w:pPr>
        <w:pStyle w:val="Text1"/>
        <w:pBdr>
          <w:top w:val="single" w:sz="4" w:space="1" w:color="auto"/>
          <w:left w:val="single" w:sz="4" w:space="20" w:color="auto"/>
          <w:bottom w:val="single" w:sz="4" w:space="1" w:color="auto"/>
          <w:right w:val="single" w:sz="4" w:space="4" w:color="auto"/>
        </w:pBdr>
        <w:ind w:left="1210"/>
        <w:rPr>
          <w:noProof/>
        </w:rPr>
      </w:pPr>
      <w:r>
        <w:rPr>
          <w:noProof/>
        </w:rPr>
        <w:t>– Pozastavenie financovania EÚ v prípade z</w:t>
      </w:r>
      <w:r>
        <w:rPr>
          <w:noProof/>
        </w:rPr>
        <w:t>ávažného podvodu vrátane korupcie veľkého rozsahu, kým orgány neprijmú vhodné opatrenia s cieľom napraviť situáciu a zabrániť takýmto podvodom v budúcnosti.</w:t>
      </w:r>
    </w:p>
    <w:p w:rsidR="00A6487C" w:rsidRDefault="007E6C80">
      <w:pPr>
        <w:pStyle w:val="Text1"/>
        <w:pBdr>
          <w:top w:val="single" w:sz="4" w:space="1" w:color="auto"/>
          <w:left w:val="single" w:sz="4" w:space="20" w:color="auto"/>
          <w:bottom w:val="single" w:sz="4" w:space="1" w:color="auto"/>
          <w:right w:val="single" w:sz="4" w:space="4" w:color="auto"/>
        </w:pBdr>
        <w:ind w:left="1210"/>
        <w:rPr>
          <w:noProof/>
        </w:rPr>
      </w:pPr>
      <w:r>
        <w:rPr>
          <w:noProof/>
        </w:rPr>
        <w:t xml:space="preserve">– FPI/DEVCO bude naďalej navrhovať svoju stratégiu boja proti podvodom v súlade s novou stratégiou </w:t>
      </w:r>
      <w:r>
        <w:rPr>
          <w:noProof/>
        </w:rPr>
        <w:t>boja proti podvodom v oblasti vonkajších vzťahov EÚ („zastrešujúca stratégia boja proti podvodom“), ktorú prijala Komisia a ktorá bola schválená v roku 2013. FPI a DEVCO realizujú stratégiu so zameraním sa na tri strategické ciele:</w:t>
      </w:r>
    </w:p>
    <w:p w:rsidR="00A6487C" w:rsidRDefault="007E6C80">
      <w:pPr>
        <w:pStyle w:val="Text1"/>
        <w:pBdr>
          <w:top w:val="single" w:sz="4" w:space="1" w:color="auto"/>
          <w:left w:val="single" w:sz="4" w:space="20" w:color="auto"/>
          <w:bottom w:val="single" w:sz="4" w:space="1" w:color="auto"/>
          <w:right w:val="single" w:sz="4" w:space="4" w:color="auto"/>
        </w:pBdr>
        <w:ind w:left="1210"/>
        <w:rPr>
          <w:noProof/>
        </w:rPr>
      </w:pPr>
      <w:r>
        <w:rPr>
          <w:noProof/>
        </w:rPr>
        <w:t>– zvyšovať všeobecnú inf</w:t>
      </w:r>
      <w:r>
        <w:rPr>
          <w:noProof/>
        </w:rPr>
        <w:t>ormovanosť zamestnancov v oblasti predchádzania podvodom a ich odhaľovania, najmä prevencie a odhaľovania podvodov počas prípravy a realizácie grantov a verejného obstarávania;</w:t>
      </w:r>
    </w:p>
    <w:p w:rsidR="00A6487C" w:rsidRDefault="007E6C80">
      <w:pPr>
        <w:pStyle w:val="Text1"/>
        <w:pBdr>
          <w:top w:val="single" w:sz="4" w:space="1" w:color="auto"/>
          <w:left w:val="single" w:sz="4" w:space="20" w:color="auto"/>
          <w:bottom w:val="single" w:sz="4" w:space="1" w:color="auto"/>
          <w:right w:val="single" w:sz="4" w:space="4" w:color="auto"/>
        </w:pBdr>
        <w:ind w:left="1210"/>
        <w:rPr>
          <w:noProof/>
        </w:rPr>
      </w:pPr>
      <w:r>
        <w:rPr>
          <w:noProof/>
        </w:rPr>
        <w:t>– zlepšiť schopnosť zamestnancov FPI a DEVCO účinne bojovať proti interným a ex</w:t>
      </w:r>
      <w:r>
        <w:rPr>
          <w:noProof/>
        </w:rPr>
        <w:t>terným podvodom používaním nástrojov na boj proti podvodom;</w:t>
      </w:r>
    </w:p>
    <w:p w:rsidR="00A6487C" w:rsidRDefault="007E6C80">
      <w:pPr>
        <w:pStyle w:val="Text1"/>
        <w:pBdr>
          <w:top w:val="single" w:sz="4" w:space="1" w:color="auto"/>
          <w:left w:val="single" w:sz="4" w:space="20" w:color="auto"/>
          <w:bottom w:val="single" w:sz="4" w:space="1" w:color="auto"/>
          <w:right w:val="single" w:sz="4" w:space="4" w:color="auto"/>
        </w:pBdr>
        <w:ind w:left="1210"/>
        <w:rPr>
          <w:noProof/>
        </w:rPr>
      </w:pPr>
      <w:r>
        <w:rPr>
          <w:noProof/>
        </w:rPr>
        <w:t xml:space="preserve">– zlepšiť reakciu pri podozrení na podvod a časovú efektivitu pri vymáhaní neoprávnene vyplatených súm. </w:t>
      </w:r>
    </w:p>
    <w:p w:rsidR="00A6487C" w:rsidRDefault="00A6487C">
      <w:pPr>
        <w:rPr>
          <w:noProof/>
        </w:rPr>
        <w:sectPr w:rsidR="00A6487C">
          <w:pgSz w:w="11907" w:h="16840" w:code="9"/>
          <w:pgMar w:top="1134" w:right="1418" w:bottom="1134" w:left="1418" w:header="709" w:footer="709" w:gutter="0"/>
          <w:cols w:space="708"/>
          <w:docGrid w:linePitch="360"/>
        </w:sectPr>
      </w:pPr>
    </w:p>
    <w:p w:rsidR="00A6487C" w:rsidRDefault="007E6C80">
      <w:pPr>
        <w:pStyle w:val="ManualHeading1"/>
        <w:rPr>
          <w:bCs/>
          <w:noProof/>
          <w:szCs w:val="24"/>
        </w:rPr>
      </w:pPr>
      <w:r>
        <w:lastRenderedPageBreak/>
        <w:t>3.</w:t>
      </w:r>
      <w:r>
        <w:tab/>
      </w:r>
      <w:r>
        <w:rPr>
          <w:noProof/>
        </w:rPr>
        <w:t xml:space="preserve">ODHADOVANÝ FINANČNÝ VPLYV NÁVRHU/INICIATÍVY </w:t>
      </w:r>
    </w:p>
    <w:p w:rsidR="00A6487C" w:rsidRDefault="007E6C80">
      <w:pPr>
        <w:pStyle w:val="ManualHeading2"/>
        <w:rPr>
          <w:noProof/>
        </w:rPr>
      </w:pPr>
      <w:r>
        <w:t>3.1.</w:t>
      </w:r>
      <w:r>
        <w:tab/>
      </w:r>
      <w:r>
        <w:rPr>
          <w:noProof/>
        </w:rPr>
        <w:t>Príslušný okru</w:t>
      </w:r>
      <w:r>
        <w:rPr>
          <w:noProof/>
        </w:rPr>
        <w:t xml:space="preserve">h/príslušné okruhy viacročného finančného rámca a rozpočtové riadky výdavkov </w:t>
      </w:r>
    </w:p>
    <w:p w:rsidR="00A6487C" w:rsidRDefault="007E6C80">
      <w:pPr>
        <w:pStyle w:val="ListBullet1"/>
        <w:rPr>
          <w:noProof/>
        </w:rPr>
      </w:pPr>
      <w:r>
        <w:rPr>
          <w:noProof/>
        </w:rPr>
        <w:t xml:space="preserve">Existujúce rozpočtové riadky </w:t>
      </w:r>
    </w:p>
    <w:p w:rsidR="00A6487C" w:rsidRDefault="007E6C80">
      <w:pPr>
        <w:pStyle w:val="Text1"/>
        <w:rPr>
          <w:noProof/>
        </w:rPr>
      </w:pPr>
      <w:r>
        <w:rPr>
          <w:noProof/>
          <w:u w:val="single"/>
        </w:rPr>
        <w:t>V poradí</w:t>
      </w:r>
      <w:r>
        <w:rPr>
          <w:noProof/>
        </w:rPr>
        <w:t>, v akom za sebou nasledujú okruhy viacročného finančného rámca a rozpočtové riadky.</w:t>
      </w: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6084"/>
        <w:gridCol w:w="1418"/>
        <w:gridCol w:w="1276"/>
        <w:gridCol w:w="1275"/>
        <w:gridCol w:w="993"/>
        <w:gridCol w:w="1701"/>
      </w:tblGrid>
      <w:tr w:rsidR="00A6487C">
        <w:tc>
          <w:tcPr>
            <w:tcW w:w="1080" w:type="dxa"/>
            <w:vMerge w:val="restart"/>
            <w:vAlign w:val="center"/>
          </w:tcPr>
          <w:p w:rsidR="00A6487C" w:rsidRDefault="007E6C80">
            <w:pPr>
              <w:spacing w:before="60" w:after="60"/>
              <w:jc w:val="center"/>
              <w:rPr>
                <w:noProof/>
              </w:rPr>
            </w:pPr>
            <w:r>
              <w:rPr>
                <w:noProof/>
                <w:sz w:val="18"/>
              </w:rPr>
              <w:t>Okruh viacročného finančného rámca</w:t>
            </w:r>
          </w:p>
        </w:tc>
        <w:tc>
          <w:tcPr>
            <w:tcW w:w="6084" w:type="dxa"/>
            <w:vAlign w:val="center"/>
          </w:tcPr>
          <w:p w:rsidR="00A6487C" w:rsidRDefault="007E6C80">
            <w:pPr>
              <w:spacing w:before="60" w:after="60"/>
              <w:jc w:val="center"/>
              <w:rPr>
                <w:noProof/>
              </w:rPr>
            </w:pPr>
            <w:r>
              <w:rPr>
                <w:noProof/>
                <w:sz w:val="20"/>
              </w:rPr>
              <w:t>Rozpočtový riadok</w:t>
            </w:r>
          </w:p>
        </w:tc>
        <w:tc>
          <w:tcPr>
            <w:tcW w:w="1418" w:type="dxa"/>
            <w:vAlign w:val="center"/>
          </w:tcPr>
          <w:p w:rsidR="00A6487C" w:rsidRDefault="007E6C80">
            <w:pPr>
              <w:spacing w:before="60" w:after="60"/>
              <w:jc w:val="center"/>
              <w:rPr>
                <w:noProof/>
              </w:rPr>
            </w:pPr>
            <w:r>
              <w:rPr>
                <w:noProof/>
                <w:sz w:val="18"/>
              </w:rPr>
              <w:t xml:space="preserve">Druh </w:t>
            </w:r>
            <w:r>
              <w:rPr>
                <w:noProof/>
                <w:sz w:val="22"/>
              </w:rPr>
              <w:br/>
            </w:r>
            <w:r>
              <w:rPr>
                <w:noProof/>
                <w:sz w:val="18"/>
              </w:rPr>
              <w:t>výdavkov</w:t>
            </w:r>
          </w:p>
        </w:tc>
        <w:tc>
          <w:tcPr>
            <w:tcW w:w="5245" w:type="dxa"/>
            <w:gridSpan w:val="4"/>
            <w:vAlign w:val="center"/>
          </w:tcPr>
          <w:p w:rsidR="00A6487C" w:rsidRDefault="007E6C80">
            <w:pPr>
              <w:spacing w:before="60" w:after="60"/>
              <w:jc w:val="center"/>
              <w:rPr>
                <w:noProof/>
              </w:rPr>
            </w:pPr>
            <w:r>
              <w:rPr>
                <w:noProof/>
                <w:sz w:val="20"/>
              </w:rPr>
              <w:t xml:space="preserve">Príspevky </w:t>
            </w:r>
          </w:p>
        </w:tc>
      </w:tr>
      <w:tr w:rsidR="00A6487C">
        <w:tc>
          <w:tcPr>
            <w:tcW w:w="1080" w:type="dxa"/>
            <w:vMerge/>
            <w:vAlign w:val="center"/>
          </w:tcPr>
          <w:p w:rsidR="00A6487C" w:rsidRDefault="00A6487C">
            <w:pPr>
              <w:jc w:val="center"/>
              <w:rPr>
                <w:noProof/>
              </w:rPr>
            </w:pPr>
          </w:p>
        </w:tc>
        <w:tc>
          <w:tcPr>
            <w:tcW w:w="6084" w:type="dxa"/>
            <w:vAlign w:val="center"/>
          </w:tcPr>
          <w:p w:rsidR="00A6487C" w:rsidRDefault="007E6C80">
            <w:pPr>
              <w:rPr>
                <w:noProof/>
              </w:rPr>
            </w:pPr>
            <w:r>
              <w:rPr>
                <w:noProof/>
                <w:sz w:val="20"/>
              </w:rPr>
              <w:t xml:space="preserve">Číslo </w:t>
            </w:r>
            <w:r>
              <w:rPr>
                <w:noProof/>
                <w:sz w:val="22"/>
              </w:rPr>
              <w:br/>
            </w:r>
            <w:r>
              <w:rPr>
                <w:noProof/>
                <w:sz w:val="20"/>
              </w:rPr>
              <w:t>Názov</w:t>
            </w:r>
          </w:p>
        </w:tc>
        <w:tc>
          <w:tcPr>
            <w:tcW w:w="1418" w:type="dxa"/>
            <w:vAlign w:val="center"/>
          </w:tcPr>
          <w:p w:rsidR="00A6487C" w:rsidRDefault="007E6C80">
            <w:pPr>
              <w:jc w:val="center"/>
              <w:rPr>
                <w:noProof/>
              </w:rPr>
            </w:pPr>
            <w:r>
              <w:rPr>
                <w:noProof/>
                <w:sz w:val="18"/>
              </w:rPr>
              <w:t>DRP/NRP</w:t>
            </w:r>
            <w:r>
              <w:rPr>
                <w:rStyle w:val="FootnoteReference"/>
                <w:noProof/>
                <w:sz w:val="18"/>
              </w:rPr>
              <w:footnoteReference w:id="26"/>
            </w:r>
          </w:p>
        </w:tc>
        <w:tc>
          <w:tcPr>
            <w:tcW w:w="1276" w:type="dxa"/>
            <w:vAlign w:val="center"/>
          </w:tcPr>
          <w:p w:rsidR="00A6487C" w:rsidRDefault="007E6C80">
            <w:pPr>
              <w:jc w:val="center"/>
              <w:rPr>
                <w:noProof/>
              </w:rPr>
            </w:pPr>
            <w:r>
              <w:rPr>
                <w:noProof/>
                <w:sz w:val="18"/>
              </w:rPr>
              <w:t>krajín EZVO</w:t>
            </w:r>
            <w:r>
              <w:rPr>
                <w:rStyle w:val="FootnoteReference"/>
                <w:noProof/>
                <w:sz w:val="18"/>
              </w:rPr>
              <w:footnoteReference w:id="27"/>
            </w:r>
          </w:p>
          <w:p w:rsidR="00A6487C" w:rsidRDefault="00A6487C">
            <w:pPr>
              <w:spacing w:before="0" w:after="0"/>
              <w:jc w:val="center"/>
              <w:rPr>
                <w:b/>
                <w:noProof/>
                <w:sz w:val="18"/>
              </w:rPr>
            </w:pPr>
          </w:p>
        </w:tc>
        <w:tc>
          <w:tcPr>
            <w:tcW w:w="1275" w:type="dxa"/>
            <w:vAlign w:val="center"/>
          </w:tcPr>
          <w:p w:rsidR="00A6487C" w:rsidRDefault="007E6C80">
            <w:pPr>
              <w:jc w:val="center"/>
              <w:rPr>
                <w:noProof/>
              </w:rPr>
            </w:pPr>
            <w:r>
              <w:rPr>
                <w:noProof/>
                <w:sz w:val="18"/>
              </w:rPr>
              <w:t>kandidátskych krajín</w:t>
            </w:r>
            <w:r>
              <w:rPr>
                <w:rStyle w:val="FootnoteReference"/>
                <w:noProof/>
                <w:sz w:val="18"/>
              </w:rPr>
              <w:footnoteReference w:id="28"/>
            </w:r>
          </w:p>
          <w:p w:rsidR="00A6487C" w:rsidRDefault="00A6487C">
            <w:pPr>
              <w:spacing w:before="0" w:after="0"/>
              <w:jc w:val="center"/>
              <w:rPr>
                <w:noProof/>
                <w:sz w:val="18"/>
              </w:rPr>
            </w:pPr>
          </w:p>
        </w:tc>
        <w:tc>
          <w:tcPr>
            <w:tcW w:w="993" w:type="dxa"/>
            <w:vAlign w:val="center"/>
          </w:tcPr>
          <w:p w:rsidR="00A6487C" w:rsidRDefault="007E6C80">
            <w:pPr>
              <w:jc w:val="center"/>
              <w:rPr>
                <w:noProof/>
                <w:sz w:val="18"/>
              </w:rPr>
            </w:pPr>
            <w:r>
              <w:rPr>
                <w:noProof/>
                <w:sz w:val="18"/>
              </w:rPr>
              <w:t>tretích krajín</w:t>
            </w:r>
          </w:p>
        </w:tc>
        <w:tc>
          <w:tcPr>
            <w:tcW w:w="1701" w:type="dxa"/>
            <w:vAlign w:val="center"/>
          </w:tcPr>
          <w:p w:rsidR="00A6487C" w:rsidRDefault="007E6C80">
            <w:pPr>
              <w:jc w:val="center"/>
              <w:rPr>
                <w:noProof/>
              </w:rPr>
            </w:pPr>
            <w:r>
              <w:rPr>
                <w:noProof/>
                <w:sz w:val="16"/>
              </w:rPr>
              <w:t xml:space="preserve">v zmysle článku 21 ods. 2 písm. b) nariadenia o rozpočtových pravidlách </w:t>
            </w:r>
          </w:p>
        </w:tc>
      </w:tr>
      <w:tr w:rsidR="00A6487C">
        <w:tc>
          <w:tcPr>
            <w:tcW w:w="1080" w:type="dxa"/>
            <w:vAlign w:val="center"/>
          </w:tcPr>
          <w:p w:rsidR="00A6487C" w:rsidRDefault="007E6C80">
            <w:pPr>
              <w:jc w:val="center"/>
              <w:rPr>
                <w:noProof/>
              </w:rPr>
            </w:pPr>
            <w:r>
              <w:rPr>
                <w:noProof/>
              </w:rPr>
              <w:t>IV</w:t>
            </w:r>
          </w:p>
        </w:tc>
        <w:tc>
          <w:tcPr>
            <w:tcW w:w="6084" w:type="dxa"/>
            <w:vAlign w:val="center"/>
          </w:tcPr>
          <w:p w:rsidR="00A6487C" w:rsidRDefault="007E6C80">
            <w:pPr>
              <w:spacing w:before="60"/>
              <w:jc w:val="left"/>
              <w:rPr>
                <w:b/>
                <w:noProof/>
              </w:rPr>
            </w:pPr>
            <w:r>
              <w:rPr>
                <w:b/>
                <w:noProof/>
                <w:sz w:val="22"/>
              </w:rPr>
              <w:t xml:space="preserve">19 02 – </w:t>
            </w:r>
            <w:r>
              <w:rPr>
                <w:b/>
                <w:noProof/>
              </w:rPr>
              <w:t xml:space="preserve">Nástroj na podporu stability a mieru – Reakcia na krízu, </w:t>
            </w:r>
            <w:r>
              <w:rPr>
                <w:b/>
                <w:noProof/>
              </w:rPr>
              <w:t>predchádzanie konfliktom, budovanie mieru a pripravenosť na krízy</w:t>
            </w:r>
          </w:p>
          <w:p w:rsidR="00A6487C" w:rsidRDefault="007E6C80">
            <w:pPr>
              <w:spacing w:after="60"/>
              <w:ind w:left="720"/>
              <w:rPr>
                <w:noProof/>
              </w:rPr>
            </w:pPr>
            <w:r>
              <w:rPr>
                <w:noProof/>
              </w:rPr>
              <w:t>19 02 01 Reakcia na krízy a vznikajúce krízy</w:t>
            </w:r>
          </w:p>
          <w:p w:rsidR="00A6487C" w:rsidRDefault="007E6C80">
            <w:pPr>
              <w:spacing w:after="60"/>
              <w:ind w:left="720"/>
              <w:rPr>
                <w:noProof/>
              </w:rPr>
            </w:pPr>
            <w:r>
              <w:rPr>
                <w:noProof/>
              </w:rPr>
              <w:t>19 02 02 Podpora predchádzania konfliktom, budovania mieru a pripravenosti na krízy</w:t>
            </w:r>
          </w:p>
          <w:p w:rsidR="00A6487C" w:rsidRDefault="007E6C80">
            <w:pPr>
              <w:spacing w:after="60"/>
              <w:rPr>
                <w:b/>
                <w:noProof/>
              </w:rPr>
            </w:pPr>
            <w:r>
              <w:rPr>
                <w:b/>
                <w:noProof/>
              </w:rPr>
              <w:t xml:space="preserve">19 01 Administratívne výdavky v oblasti politiky nástrojov </w:t>
            </w:r>
            <w:r>
              <w:rPr>
                <w:b/>
                <w:noProof/>
              </w:rPr>
              <w:t>zahraničnej politiky</w:t>
            </w:r>
          </w:p>
          <w:p w:rsidR="00A6487C" w:rsidRDefault="007E6C80">
            <w:pPr>
              <w:spacing w:after="60"/>
              <w:ind w:left="732"/>
              <w:jc w:val="left"/>
              <w:rPr>
                <w:noProof/>
              </w:rPr>
            </w:pPr>
            <w:r>
              <w:rPr>
                <w:noProof/>
              </w:rPr>
              <w:t xml:space="preserve">19 01 04 01 Podporné výdavky na nástroj na podporu stability a mieru </w:t>
            </w:r>
          </w:p>
          <w:p w:rsidR="00A6487C" w:rsidRDefault="007E6C80">
            <w:pPr>
              <w:spacing w:after="60"/>
              <w:rPr>
                <w:b/>
                <w:noProof/>
              </w:rPr>
            </w:pPr>
            <w:r>
              <w:rPr>
                <w:b/>
                <w:noProof/>
              </w:rPr>
              <w:t>21 05 Nástroj na podporu stability a mieru – Globálne, nadregionálne a vznikajúce hrozby</w:t>
            </w:r>
          </w:p>
          <w:p w:rsidR="00A6487C" w:rsidRDefault="007E6C80">
            <w:pPr>
              <w:spacing w:after="60"/>
              <w:ind w:left="732"/>
              <w:rPr>
                <w:noProof/>
              </w:rPr>
            </w:pPr>
            <w:r>
              <w:rPr>
                <w:noProof/>
              </w:rPr>
              <w:lastRenderedPageBreak/>
              <w:t>21 05 01 Globálne, nadregionálne</w:t>
            </w:r>
          </w:p>
          <w:p w:rsidR="00A6487C" w:rsidRDefault="007E6C80">
            <w:pPr>
              <w:spacing w:after="60"/>
              <w:ind w:left="732"/>
              <w:rPr>
                <w:noProof/>
              </w:rPr>
            </w:pPr>
            <w:r>
              <w:rPr>
                <w:noProof/>
              </w:rPr>
              <w:t>a vznikajúce hrozby</w:t>
            </w:r>
          </w:p>
          <w:p w:rsidR="00A6487C" w:rsidRDefault="007E6C80">
            <w:pPr>
              <w:spacing w:after="60"/>
              <w:jc w:val="left"/>
              <w:rPr>
                <w:b/>
                <w:noProof/>
              </w:rPr>
            </w:pPr>
            <w:r>
              <w:rPr>
                <w:b/>
                <w:noProof/>
              </w:rPr>
              <w:t>21 01 Administratívne v</w:t>
            </w:r>
            <w:r>
              <w:rPr>
                <w:b/>
                <w:noProof/>
              </w:rPr>
              <w:t xml:space="preserve">ýdavky v oblasti politiky medzinárodnej spolupráce a rozvoja </w:t>
            </w:r>
          </w:p>
          <w:p w:rsidR="00A6487C" w:rsidRDefault="007E6C80">
            <w:pPr>
              <w:spacing w:after="60"/>
              <w:ind w:left="732"/>
              <w:rPr>
                <w:noProof/>
              </w:rPr>
            </w:pPr>
            <w:r>
              <w:rPr>
                <w:noProof/>
              </w:rPr>
              <w:t>21 01 04 04 Podporné výdavky na nástroj na podporu stability a mieru (IcSP)</w:t>
            </w:r>
          </w:p>
        </w:tc>
        <w:tc>
          <w:tcPr>
            <w:tcW w:w="1418" w:type="dxa"/>
            <w:vAlign w:val="center"/>
          </w:tcPr>
          <w:p w:rsidR="00A6487C" w:rsidRDefault="007E6C80">
            <w:pPr>
              <w:jc w:val="center"/>
              <w:rPr>
                <w:noProof/>
              </w:rPr>
            </w:pPr>
            <w:r>
              <w:rPr>
                <w:noProof/>
                <w:sz w:val="22"/>
              </w:rPr>
              <w:lastRenderedPageBreak/>
              <w:t xml:space="preserve">DRP </w:t>
            </w:r>
          </w:p>
        </w:tc>
        <w:tc>
          <w:tcPr>
            <w:tcW w:w="1276" w:type="dxa"/>
            <w:vAlign w:val="center"/>
          </w:tcPr>
          <w:p w:rsidR="00A6487C" w:rsidRDefault="007E6C80">
            <w:pPr>
              <w:jc w:val="center"/>
              <w:rPr>
                <w:noProof/>
              </w:rPr>
            </w:pPr>
            <w:r>
              <w:rPr>
                <w:noProof/>
                <w:sz w:val="22"/>
              </w:rPr>
              <w:t>NIE</w:t>
            </w:r>
          </w:p>
        </w:tc>
        <w:tc>
          <w:tcPr>
            <w:tcW w:w="1275" w:type="dxa"/>
            <w:vAlign w:val="center"/>
          </w:tcPr>
          <w:p w:rsidR="00A6487C" w:rsidRDefault="007E6C80">
            <w:pPr>
              <w:jc w:val="center"/>
              <w:rPr>
                <w:noProof/>
              </w:rPr>
            </w:pPr>
            <w:r>
              <w:rPr>
                <w:noProof/>
                <w:sz w:val="22"/>
              </w:rPr>
              <w:t>NIE</w:t>
            </w:r>
          </w:p>
        </w:tc>
        <w:tc>
          <w:tcPr>
            <w:tcW w:w="993" w:type="dxa"/>
            <w:vAlign w:val="center"/>
          </w:tcPr>
          <w:p w:rsidR="00A6487C" w:rsidRDefault="007E6C80">
            <w:pPr>
              <w:jc w:val="center"/>
              <w:rPr>
                <w:noProof/>
              </w:rPr>
            </w:pPr>
            <w:r>
              <w:rPr>
                <w:noProof/>
                <w:sz w:val="22"/>
              </w:rPr>
              <w:t>NIE</w:t>
            </w:r>
          </w:p>
        </w:tc>
        <w:tc>
          <w:tcPr>
            <w:tcW w:w="1701" w:type="dxa"/>
            <w:vAlign w:val="center"/>
          </w:tcPr>
          <w:p w:rsidR="00A6487C" w:rsidRDefault="007E6C80">
            <w:pPr>
              <w:jc w:val="center"/>
              <w:rPr>
                <w:noProof/>
              </w:rPr>
            </w:pPr>
            <w:r>
              <w:rPr>
                <w:noProof/>
                <w:sz w:val="22"/>
              </w:rPr>
              <w:t>NIE</w:t>
            </w:r>
          </w:p>
        </w:tc>
      </w:tr>
    </w:tbl>
    <w:p w:rsidR="00A6487C" w:rsidRDefault="007E6C80">
      <w:pPr>
        <w:pStyle w:val="ManualHeading2"/>
        <w:rPr>
          <w:bCs/>
          <w:noProof/>
          <w:szCs w:val="24"/>
        </w:rPr>
      </w:pPr>
      <w:r>
        <w:lastRenderedPageBreak/>
        <w:t>3.2.</w:t>
      </w:r>
      <w:r>
        <w:tab/>
      </w:r>
      <w:r>
        <w:rPr>
          <w:noProof/>
        </w:rPr>
        <w:t xml:space="preserve">Odhadovaný vplyv na výdavky </w:t>
      </w:r>
    </w:p>
    <w:p w:rsidR="00A6487C" w:rsidRDefault="007E6C80">
      <w:pPr>
        <w:pStyle w:val="ManualHeading3"/>
        <w:rPr>
          <w:noProof/>
          <w:u w:val="single"/>
        </w:rPr>
      </w:pPr>
      <w:r>
        <w:t>3.2.1.</w:t>
      </w:r>
      <w:r>
        <w:tab/>
      </w:r>
      <w:r>
        <w:rPr>
          <w:noProof/>
        </w:rPr>
        <w:t xml:space="preserve">Zhrnutie odhadovaného vplyvu na výdavky </w:t>
      </w:r>
    </w:p>
    <w:p w:rsidR="00A6487C" w:rsidRDefault="007E6C80">
      <w:pPr>
        <w:jc w:val="right"/>
        <w:rPr>
          <w:noProof/>
          <w:sz w:val="20"/>
        </w:rPr>
      </w:pPr>
      <w:r>
        <w:rPr>
          <w:noProof/>
          <w:sz w:val="20"/>
        </w:rPr>
        <w:t xml:space="preserve">v mil. EUR </w:t>
      </w:r>
      <w:r>
        <w:rPr>
          <w:noProof/>
          <w:sz w:val="20"/>
        </w:rPr>
        <w:t>(zaokrúhlené na 3 desatinné miesta)</w:t>
      </w:r>
    </w:p>
    <w:tbl>
      <w:tblPr>
        <w:tblW w:w="14520" w:type="dxa"/>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
        <w:gridCol w:w="4388"/>
        <w:gridCol w:w="136"/>
        <w:gridCol w:w="69"/>
        <w:gridCol w:w="1135"/>
        <w:gridCol w:w="76"/>
        <w:gridCol w:w="157"/>
        <w:gridCol w:w="700"/>
        <w:gridCol w:w="6"/>
        <w:gridCol w:w="709"/>
        <w:gridCol w:w="850"/>
        <w:gridCol w:w="17"/>
        <w:gridCol w:w="8"/>
        <w:gridCol w:w="713"/>
        <w:gridCol w:w="36"/>
        <w:gridCol w:w="1073"/>
        <w:gridCol w:w="91"/>
        <w:gridCol w:w="707"/>
        <w:gridCol w:w="56"/>
        <w:gridCol w:w="782"/>
        <w:gridCol w:w="36"/>
        <w:gridCol w:w="15"/>
        <w:gridCol w:w="816"/>
        <w:gridCol w:w="51"/>
        <w:gridCol w:w="1672"/>
        <w:gridCol w:w="58"/>
        <w:gridCol w:w="36"/>
        <w:gridCol w:w="15"/>
      </w:tblGrid>
      <w:tr w:rsidR="00A6487C">
        <w:trPr>
          <w:gridAfter w:val="3"/>
          <w:wAfter w:w="109" w:type="dxa"/>
          <w:jc w:val="center"/>
        </w:trPr>
        <w:tc>
          <w:tcPr>
            <w:tcW w:w="4500" w:type="dxa"/>
            <w:gridSpan w:val="2"/>
            <w:shd w:val="thinDiagStripe" w:color="C0C0C0" w:fill="auto"/>
            <w:vAlign w:val="center"/>
          </w:tcPr>
          <w:p w:rsidR="00A6487C" w:rsidRDefault="007E6C80">
            <w:pPr>
              <w:spacing w:before="60" w:after="60"/>
              <w:ind w:left="194"/>
              <w:jc w:val="center"/>
              <w:rPr>
                <w:b/>
                <w:noProof/>
              </w:rPr>
            </w:pPr>
            <w:r>
              <w:rPr>
                <w:b/>
                <w:noProof/>
                <w:sz w:val="22"/>
              </w:rPr>
              <w:t xml:space="preserve">Okruh viacročného </w:t>
            </w:r>
            <w:r>
              <w:rPr>
                <w:noProof/>
                <w:sz w:val="22"/>
              </w:rPr>
              <w:br/>
            </w:r>
            <w:r>
              <w:rPr>
                <w:b/>
                <w:noProof/>
                <w:sz w:val="22"/>
              </w:rPr>
              <w:t xml:space="preserve">finančného rámca </w:t>
            </w:r>
          </w:p>
        </w:tc>
        <w:tc>
          <w:tcPr>
            <w:tcW w:w="1340" w:type="dxa"/>
            <w:gridSpan w:val="3"/>
            <w:vAlign w:val="center"/>
          </w:tcPr>
          <w:p w:rsidR="00A6487C" w:rsidRDefault="007E6C80">
            <w:pPr>
              <w:spacing w:before="60" w:after="60"/>
              <w:jc w:val="center"/>
              <w:rPr>
                <w:noProof/>
              </w:rPr>
            </w:pPr>
            <w:r>
              <w:rPr>
                <w:noProof/>
                <w:sz w:val="22"/>
              </w:rPr>
              <w:t>Číslo</w:t>
            </w:r>
          </w:p>
        </w:tc>
        <w:tc>
          <w:tcPr>
            <w:tcW w:w="8571" w:type="dxa"/>
            <w:gridSpan w:val="20"/>
            <w:vAlign w:val="center"/>
          </w:tcPr>
          <w:p w:rsidR="00A6487C" w:rsidRDefault="007E6C80">
            <w:pPr>
              <w:spacing w:before="60" w:after="60"/>
              <w:rPr>
                <w:noProof/>
              </w:rPr>
            </w:pPr>
            <w:r>
              <w:rPr>
                <w:noProof/>
                <w:sz w:val="22"/>
              </w:rPr>
              <w:t>Okruh 4 Globálna Európa</w:t>
            </w:r>
          </w:p>
        </w:tc>
      </w:tr>
      <w:tr w:rsidR="00A6487C">
        <w:tblPrEx>
          <w:jc w:val="left"/>
        </w:tblPrEx>
        <w:trPr>
          <w:gridBefore w:val="1"/>
          <w:gridAfter w:val="1"/>
          <w:wBefore w:w="112" w:type="dxa"/>
          <w:wAfter w:w="15" w:type="dxa"/>
        </w:trPr>
        <w:tc>
          <w:tcPr>
            <w:tcW w:w="4593" w:type="dxa"/>
            <w:gridSpan w:val="3"/>
            <w:vAlign w:val="center"/>
          </w:tcPr>
          <w:p w:rsidR="00A6487C" w:rsidRDefault="007E6C80">
            <w:pPr>
              <w:ind w:left="176"/>
              <w:jc w:val="center"/>
              <w:rPr>
                <w:noProof/>
              </w:rPr>
            </w:pPr>
            <w:r>
              <w:rPr>
                <w:noProof/>
                <w:sz w:val="22"/>
              </w:rPr>
              <w:t>GR: FPI/DEVCO</w:t>
            </w:r>
          </w:p>
        </w:tc>
        <w:tc>
          <w:tcPr>
            <w:tcW w:w="1211" w:type="dxa"/>
            <w:gridSpan w:val="2"/>
          </w:tcPr>
          <w:p w:rsidR="00A6487C" w:rsidRDefault="00A6487C">
            <w:pPr>
              <w:ind w:left="176"/>
              <w:rPr>
                <w:noProof/>
                <w:sz w:val="20"/>
              </w:rPr>
            </w:pPr>
          </w:p>
        </w:tc>
        <w:tc>
          <w:tcPr>
            <w:tcW w:w="863" w:type="dxa"/>
            <w:gridSpan w:val="3"/>
          </w:tcPr>
          <w:p w:rsidR="00A6487C" w:rsidRDefault="00A6487C">
            <w:pPr>
              <w:jc w:val="center"/>
              <w:rPr>
                <w:noProof/>
                <w:sz w:val="20"/>
              </w:rPr>
            </w:pPr>
          </w:p>
        </w:tc>
        <w:tc>
          <w:tcPr>
            <w:tcW w:w="709" w:type="dxa"/>
            <w:vAlign w:val="center"/>
          </w:tcPr>
          <w:p w:rsidR="00A6487C" w:rsidRDefault="007E6C80">
            <w:pPr>
              <w:jc w:val="center"/>
              <w:rPr>
                <w:noProof/>
                <w:sz w:val="20"/>
              </w:rPr>
            </w:pPr>
            <w:r>
              <w:rPr>
                <w:noProof/>
                <w:sz w:val="20"/>
              </w:rPr>
              <w:t>Rok</w:t>
            </w:r>
            <w:r>
              <w:rPr>
                <w:noProof/>
                <w:sz w:val="22"/>
              </w:rPr>
              <w:br/>
            </w:r>
            <w:r>
              <w:rPr>
                <w:b/>
                <w:noProof/>
                <w:sz w:val="20"/>
              </w:rPr>
              <w:t>2017</w:t>
            </w:r>
            <w:r>
              <w:rPr>
                <w:rStyle w:val="FootnoteReference"/>
                <w:noProof/>
              </w:rPr>
              <w:footnoteReference w:id="29"/>
            </w:r>
          </w:p>
        </w:tc>
        <w:tc>
          <w:tcPr>
            <w:tcW w:w="850" w:type="dxa"/>
            <w:vAlign w:val="center"/>
          </w:tcPr>
          <w:p w:rsidR="00A6487C" w:rsidRDefault="007E6C80">
            <w:pPr>
              <w:jc w:val="center"/>
              <w:rPr>
                <w:noProof/>
                <w:sz w:val="20"/>
              </w:rPr>
            </w:pPr>
            <w:r>
              <w:rPr>
                <w:noProof/>
                <w:sz w:val="20"/>
              </w:rPr>
              <w:t>Rok</w:t>
            </w:r>
            <w:r>
              <w:rPr>
                <w:noProof/>
                <w:sz w:val="22"/>
              </w:rPr>
              <w:br/>
            </w:r>
            <w:r>
              <w:rPr>
                <w:noProof/>
                <w:sz w:val="20"/>
              </w:rPr>
              <w:t>2018</w:t>
            </w:r>
          </w:p>
        </w:tc>
        <w:tc>
          <w:tcPr>
            <w:tcW w:w="774" w:type="dxa"/>
            <w:gridSpan w:val="4"/>
            <w:vAlign w:val="center"/>
          </w:tcPr>
          <w:p w:rsidR="00A6487C" w:rsidRDefault="007E6C80">
            <w:pPr>
              <w:jc w:val="center"/>
              <w:rPr>
                <w:noProof/>
                <w:sz w:val="20"/>
              </w:rPr>
            </w:pPr>
            <w:r>
              <w:rPr>
                <w:noProof/>
                <w:sz w:val="20"/>
              </w:rPr>
              <w:t>Rok</w:t>
            </w:r>
            <w:r>
              <w:rPr>
                <w:noProof/>
                <w:sz w:val="22"/>
              </w:rPr>
              <w:br/>
            </w:r>
            <w:r>
              <w:rPr>
                <w:b/>
                <w:noProof/>
                <w:sz w:val="20"/>
              </w:rPr>
              <w:t>2019</w:t>
            </w:r>
          </w:p>
        </w:tc>
        <w:tc>
          <w:tcPr>
            <w:tcW w:w="1073" w:type="dxa"/>
            <w:vAlign w:val="center"/>
          </w:tcPr>
          <w:p w:rsidR="00A6487C" w:rsidRDefault="007E6C80">
            <w:pPr>
              <w:jc w:val="center"/>
              <w:rPr>
                <w:noProof/>
                <w:sz w:val="20"/>
              </w:rPr>
            </w:pPr>
            <w:r>
              <w:rPr>
                <w:noProof/>
                <w:sz w:val="20"/>
              </w:rPr>
              <w:t>Rok</w:t>
            </w:r>
            <w:r>
              <w:rPr>
                <w:noProof/>
                <w:sz w:val="22"/>
              </w:rPr>
              <w:br/>
            </w:r>
            <w:r>
              <w:rPr>
                <w:b/>
                <w:noProof/>
                <w:sz w:val="20"/>
              </w:rPr>
              <w:t>2020</w:t>
            </w:r>
          </w:p>
        </w:tc>
        <w:tc>
          <w:tcPr>
            <w:tcW w:w="2554" w:type="dxa"/>
            <w:gridSpan w:val="8"/>
            <w:vAlign w:val="center"/>
          </w:tcPr>
          <w:p w:rsidR="00A6487C" w:rsidRDefault="007E6C80">
            <w:pPr>
              <w:jc w:val="center"/>
              <w:rPr>
                <w:b/>
                <w:noProof/>
                <w:sz w:val="18"/>
              </w:rPr>
            </w:pPr>
            <w:r>
              <w:rPr>
                <w:noProof/>
                <w:sz w:val="18"/>
              </w:rPr>
              <w:t>Uveďte všetky roky, počas ktorých vplyv trvá (pozri bod 1.6)</w:t>
            </w:r>
          </w:p>
        </w:tc>
        <w:tc>
          <w:tcPr>
            <w:tcW w:w="1766" w:type="dxa"/>
            <w:gridSpan w:val="3"/>
            <w:vAlign w:val="center"/>
          </w:tcPr>
          <w:p w:rsidR="00A6487C" w:rsidRDefault="007E6C80">
            <w:pPr>
              <w:jc w:val="center"/>
              <w:rPr>
                <w:b/>
                <w:noProof/>
                <w:sz w:val="20"/>
              </w:rPr>
            </w:pPr>
            <w:r>
              <w:rPr>
                <w:b/>
                <w:noProof/>
                <w:sz w:val="20"/>
              </w:rPr>
              <w:t>SPOLU</w:t>
            </w:r>
          </w:p>
        </w:tc>
      </w:tr>
      <w:tr w:rsidR="00A6487C">
        <w:tblPrEx>
          <w:jc w:val="left"/>
        </w:tblPrEx>
        <w:trPr>
          <w:gridBefore w:val="1"/>
          <w:gridAfter w:val="1"/>
          <w:wBefore w:w="112" w:type="dxa"/>
          <w:wAfter w:w="15" w:type="dxa"/>
          <w:trHeight w:val="213"/>
        </w:trPr>
        <w:tc>
          <w:tcPr>
            <w:tcW w:w="6661" w:type="dxa"/>
            <w:gridSpan w:val="7"/>
            <w:vAlign w:val="center"/>
          </w:tcPr>
          <w:p w:rsidR="00A6487C" w:rsidRDefault="007E6C80">
            <w:pPr>
              <w:spacing w:before="20" w:after="20"/>
              <w:rPr>
                <w:noProof/>
                <w:sz w:val="21"/>
              </w:rPr>
            </w:pPr>
            <w:r>
              <w:rPr>
                <w:noProof/>
                <w:sz w:val="21"/>
              </w:rPr>
              <w:sym w:font="Wingdings" w:char="F09F"/>
            </w:r>
            <w:r>
              <w:rPr>
                <w:noProof/>
                <w:sz w:val="21"/>
              </w:rPr>
              <w:t xml:space="preserve"> Operačné rozpočtové prostriedky</w:t>
            </w:r>
          </w:p>
        </w:tc>
        <w:tc>
          <w:tcPr>
            <w:tcW w:w="715" w:type="dxa"/>
            <w:gridSpan w:val="2"/>
            <w:vAlign w:val="center"/>
          </w:tcPr>
          <w:p w:rsidR="00A6487C" w:rsidRDefault="00A6487C">
            <w:pPr>
              <w:rPr>
                <w:noProof/>
                <w:sz w:val="20"/>
              </w:rPr>
            </w:pPr>
          </w:p>
        </w:tc>
        <w:tc>
          <w:tcPr>
            <w:tcW w:w="850" w:type="dxa"/>
            <w:vAlign w:val="center"/>
          </w:tcPr>
          <w:p w:rsidR="00A6487C" w:rsidRDefault="00A6487C">
            <w:pPr>
              <w:rPr>
                <w:noProof/>
                <w:sz w:val="20"/>
              </w:rPr>
            </w:pPr>
          </w:p>
        </w:tc>
        <w:tc>
          <w:tcPr>
            <w:tcW w:w="774" w:type="dxa"/>
            <w:gridSpan w:val="4"/>
            <w:vAlign w:val="center"/>
          </w:tcPr>
          <w:p w:rsidR="00A6487C" w:rsidRDefault="00A6487C">
            <w:pPr>
              <w:rPr>
                <w:noProof/>
                <w:sz w:val="20"/>
              </w:rPr>
            </w:pPr>
          </w:p>
        </w:tc>
        <w:tc>
          <w:tcPr>
            <w:tcW w:w="1073" w:type="dxa"/>
            <w:vAlign w:val="center"/>
          </w:tcPr>
          <w:p w:rsidR="00A6487C" w:rsidRDefault="00A6487C">
            <w:pPr>
              <w:rPr>
                <w:noProof/>
                <w:sz w:val="20"/>
              </w:rPr>
            </w:pPr>
          </w:p>
        </w:tc>
        <w:tc>
          <w:tcPr>
            <w:tcW w:w="854" w:type="dxa"/>
            <w:gridSpan w:val="3"/>
            <w:vAlign w:val="center"/>
          </w:tcPr>
          <w:p w:rsidR="00A6487C" w:rsidRDefault="00A6487C">
            <w:pPr>
              <w:rPr>
                <w:noProof/>
                <w:sz w:val="20"/>
              </w:rPr>
            </w:pPr>
          </w:p>
        </w:tc>
        <w:tc>
          <w:tcPr>
            <w:tcW w:w="818" w:type="dxa"/>
            <w:gridSpan w:val="2"/>
            <w:vAlign w:val="center"/>
          </w:tcPr>
          <w:p w:rsidR="00A6487C" w:rsidRDefault="00A6487C">
            <w:pPr>
              <w:rPr>
                <w:noProof/>
                <w:sz w:val="20"/>
              </w:rPr>
            </w:pPr>
          </w:p>
        </w:tc>
        <w:tc>
          <w:tcPr>
            <w:tcW w:w="882" w:type="dxa"/>
            <w:gridSpan w:val="3"/>
            <w:vAlign w:val="center"/>
          </w:tcPr>
          <w:p w:rsidR="00A6487C" w:rsidRDefault="00A6487C">
            <w:pPr>
              <w:rPr>
                <w:b/>
                <w:noProof/>
                <w:sz w:val="20"/>
              </w:rPr>
            </w:pPr>
          </w:p>
        </w:tc>
        <w:tc>
          <w:tcPr>
            <w:tcW w:w="1766" w:type="dxa"/>
            <w:gridSpan w:val="3"/>
            <w:vAlign w:val="center"/>
          </w:tcPr>
          <w:p w:rsidR="00A6487C" w:rsidRDefault="00A6487C">
            <w:pPr>
              <w:rPr>
                <w:b/>
                <w:noProof/>
                <w:sz w:val="20"/>
              </w:rPr>
            </w:pPr>
          </w:p>
        </w:tc>
      </w:tr>
      <w:tr w:rsidR="00A6487C">
        <w:tblPrEx>
          <w:jc w:val="left"/>
        </w:tblPrEx>
        <w:trPr>
          <w:gridBefore w:val="1"/>
          <w:gridAfter w:val="2"/>
          <w:wBefore w:w="112" w:type="dxa"/>
          <w:wAfter w:w="51" w:type="dxa"/>
          <w:trHeight w:val="277"/>
        </w:trPr>
        <w:tc>
          <w:tcPr>
            <w:tcW w:w="4524" w:type="dxa"/>
            <w:gridSpan w:val="2"/>
            <w:vMerge w:val="restart"/>
            <w:vAlign w:val="center"/>
          </w:tcPr>
          <w:p w:rsidR="00A6487C" w:rsidRDefault="007E6C80">
            <w:pPr>
              <w:rPr>
                <w:noProof/>
              </w:rPr>
            </w:pPr>
            <w:r>
              <w:rPr>
                <w:noProof/>
                <w:sz w:val="20"/>
              </w:rPr>
              <w:t>Číslo rozpočtového riadka 19 02 01</w:t>
            </w:r>
          </w:p>
        </w:tc>
        <w:tc>
          <w:tcPr>
            <w:tcW w:w="1280" w:type="dxa"/>
            <w:gridSpan w:val="3"/>
            <w:vAlign w:val="center"/>
          </w:tcPr>
          <w:p w:rsidR="00A6487C" w:rsidRDefault="007E6C80">
            <w:pPr>
              <w:spacing w:before="20" w:after="20"/>
              <w:rPr>
                <w:noProof/>
                <w:sz w:val="18"/>
              </w:rPr>
            </w:pPr>
            <w:r>
              <w:rPr>
                <w:noProof/>
                <w:sz w:val="18"/>
              </w:rPr>
              <w:t>Záväzky</w:t>
            </w:r>
          </w:p>
        </w:tc>
        <w:tc>
          <w:tcPr>
            <w:tcW w:w="857" w:type="dxa"/>
            <w:gridSpan w:val="2"/>
            <w:vAlign w:val="center"/>
          </w:tcPr>
          <w:p w:rsidR="00A6487C" w:rsidRDefault="007E6C80">
            <w:pPr>
              <w:spacing w:before="20" w:after="20"/>
              <w:jc w:val="center"/>
              <w:rPr>
                <w:noProof/>
                <w:sz w:val="14"/>
              </w:rPr>
            </w:pPr>
            <w:r>
              <w:rPr>
                <w:noProof/>
                <w:sz w:val="14"/>
              </w:rPr>
              <w:t>(1)</w:t>
            </w:r>
          </w:p>
        </w:tc>
        <w:tc>
          <w:tcPr>
            <w:tcW w:w="715" w:type="dxa"/>
            <w:gridSpan w:val="2"/>
            <w:vAlign w:val="center"/>
          </w:tcPr>
          <w:p w:rsidR="00A6487C" w:rsidRDefault="007E6C80">
            <w:pPr>
              <w:spacing w:before="20" w:after="20"/>
              <w:jc w:val="right"/>
              <w:rPr>
                <w:noProof/>
                <w:sz w:val="20"/>
              </w:rPr>
            </w:pPr>
            <w:r>
              <w:rPr>
                <w:noProof/>
                <w:sz w:val="20"/>
              </w:rPr>
              <w:t>6,600</w:t>
            </w:r>
          </w:p>
        </w:tc>
        <w:tc>
          <w:tcPr>
            <w:tcW w:w="875" w:type="dxa"/>
            <w:gridSpan w:val="3"/>
            <w:vAlign w:val="center"/>
          </w:tcPr>
          <w:p w:rsidR="00A6487C" w:rsidRDefault="007E6C80">
            <w:pPr>
              <w:spacing w:before="20" w:after="20"/>
              <w:jc w:val="right"/>
              <w:rPr>
                <w:noProof/>
                <w:sz w:val="20"/>
              </w:rPr>
            </w:pPr>
            <w:r>
              <w:rPr>
                <w:noProof/>
                <w:sz w:val="20"/>
              </w:rPr>
              <w:t>20,400</w:t>
            </w:r>
          </w:p>
        </w:tc>
        <w:tc>
          <w:tcPr>
            <w:tcW w:w="713" w:type="dxa"/>
            <w:vAlign w:val="center"/>
          </w:tcPr>
          <w:p w:rsidR="00A6487C" w:rsidRDefault="007E6C80">
            <w:pPr>
              <w:spacing w:before="20" w:after="20"/>
              <w:jc w:val="right"/>
              <w:rPr>
                <w:noProof/>
                <w:sz w:val="20"/>
              </w:rPr>
            </w:pPr>
            <w:r>
              <w:rPr>
                <w:noProof/>
                <w:sz w:val="20"/>
              </w:rPr>
              <w:t>20,350</w:t>
            </w:r>
          </w:p>
        </w:tc>
        <w:tc>
          <w:tcPr>
            <w:tcW w:w="1200" w:type="dxa"/>
            <w:gridSpan w:val="3"/>
            <w:vAlign w:val="center"/>
          </w:tcPr>
          <w:p w:rsidR="00A6487C" w:rsidRDefault="007E6C80">
            <w:pPr>
              <w:spacing w:before="20" w:after="20"/>
              <w:jc w:val="right"/>
              <w:rPr>
                <w:noProof/>
                <w:sz w:val="20"/>
              </w:rPr>
            </w:pPr>
            <w:r>
              <w:rPr>
                <w:noProof/>
                <w:sz w:val="20"/>
              </w:rPr>
              <w:t>20,700</w:t>
            </w:r>
          </w:p>
        </w:tc>
        <w:tc>
          <w:tcPr>
            <w:tcW w:w="707" w:type="dxa"/>
            <w:vAlign w:val="center"/>
          </w:tcPr>
          <w:p w:rsidR="00A6487C" w:rsidRDefault="00A6487C">
            <w:pPr>
              <w:spacing w:before="20" w:after="20"/>
              <w:jc w:val="right"/>
              <w:rPr>
                <w:noProof/>
                <w:sz w:val="20"/>
              </w:rPr>
            </w:pPr>
          </w:p>
        </w:tc>
        <w:tc>
          <w:tcPr>
            <w:tcW w:w="838" w:type="dxa"/>
            <w:gridSpan w:val="2"/>
            <w:vAlign w:val="center"/>
          </w:tcPr>
          <w:p w:rsidR="00A6487C" w:rsidRDefault="00A6487C">
            <w:pPr>
              <w:spacing w:before="20" w:after="20"/>
              <w:jc w:val="right"/>
              <w:rPr>
                <w:noProof/>
                <w:sz w:val="20"/>
              </w:rPr>
            </w:pPr>
          </w:p>
        </w:tc>
        <w:tc>
          <w:tcPr>
            <w:tcW w:w="867" w:type="dxa"/>
            <w:gridSpan w:val="3"/>
            <w:vAlign w:val="center"/>
          </w:tcPr>
          <w:p w:rsidR="00A6487C" w:rsidRDefault="00A6487C">
            <w:pPr>
              <w:spacing w:before="20" w:after="20"/>
              <w:jc w:val="right"/>
              <w:rPr>
                <w:b/>
                <w:noProof/>
                <w:sz w:val="20"/>
              </w:rPr>
            </w:pPr>
          </w:p>
        </w:tc>
        <w:tc>
          <w:tcPr>
            <w:tcW w:w="1781" w:type="dxa"/>
            <w:gridSpan w:val="3"/>
            <w:vAlign w:val="center"/>
          </w:tcPr>
          <w:p w:rsidR="00A6487C" w:rsidRDefault="007E6C80">
            <w:pPr>
              <w:spacing w:before="20" w:after="20"/>
              <w:jc w:val="right"/>
              <w:rPr>
                <w:b/>
                <w:noProof/>
                <w:sz w:val="20"/>
              </w:rPr>
            </w:pPr>
            <w:r>
              <w:rPr>
                <w:b/>
                <w:noProof/>
                <w:sz w:val="20"/>
              </w:rPr>
              <w:t>68,050</w:t>
            </w:r>
          </w:p>
        </w:tc>
      </w:tr>
      <w:tr w:rsidR="00A6487C">
        <w:tblPrEx>
          <w:jc w:val="left"/>
        </w:tblPrEx>
        <w:trPr>
          <w:gridBefore w:val="1"/>
          <w:gridAfter w:val="2"/>
          <w:wBefore w:w="112" w:type="dxa"/>
          <w:wAfter w:w="51" w:type="dxa"/>
        </w:trPr>
        <w:tc>
          <w:tcPr>
            <w:tcW w:w="4524" w:type="dxa"/>
            <w:gridSpan w:val="2"/>
            <w:vMerge/>
          </w:tcPr>
          <w:p w:rsidR="00A6487C" w:rsidRDefault="00A6487C">
            <w:pPr>
              <w:jc w:val="center"/>
              <w:rPr>
                <w:noProof/>
                <w:sz w:val="20"/>
              </w:rPr>
            </w:pPr>
          </w:p>
        </w:tc>
        <w:tc>
          <w:tcPr>
            <w:tcW w:w="1280" w:type="dxa"/>
            <w:gridSpan w:val="3"/>
            <w:vAlign w:val="center"/>
          </w:tcPr>
          <w:p w:rsidR="00A6487C" w:rsidRDefault="007E6C80">
            <w:pPr>
              <w:spacing w:before="20" w:after="20"/>
              <w:rPr>
                <w:noProof/>
                <w:sz w:val="18"/>
              </w:rPr>
            </w:pPr>
            <w:r>
              <w:rPr>
                <w:noProof/>
                <w:sz w:val="18"/>
              </w:rPr>
              <w:t>Platby</w:t>
            </w:r>
          </w:p>
        </w:tc>
        <w:tc>
          <w:tcPr>
            <w:tcW w:w="857" w:type="dxa"/>
            <w:gridSpan w:val="2"/>
            <w:vAlign w:val="center"/>
          </w:tcPr>
          <w:p w:rsidR="00A6487C" w:rsidRDefault="007E6C80">
            <w:pPr>
              <w:spacing w:before="20" w:after="20"/>
              <w:jc w:val="center"/>
              <w:rPr>
                <w:noProof/>
                <w:sz w:val="14"/>
              </w:rPr>
            </w:pPr>
            <w:r>
              <w:rPr>
                <w:noProof/>
                <w:sz w:val="14"/>
              </w:rPr>
              <w:t>(2)</w:t>
            </w:r>
          </w:p>
        </w:tc>
        <w:tc>
          <w:tcPr>
            <w:tcW w:w="715" w:type="dxa"/>
            <w:gridSpan w:val="2"/>
            <w:vAlign w:val="center"/>
          </w:tcPr>
          <w:p w:rsidR="00A6487C" w:rsidRDefault="007E6C80">
            <w:pPr>
              <w:spacing w:before="20" w:after="20"/>
              <w:jc w:val="right"/>
              <w:rPr>
                <w:noProof/>
                <w:sz w:val="20"/>
              </w:rPr>
            </w:pPr>
            <w:r>
              <w:rPr>
                <w:noProof/>
                <w:sz w:val="20"/>
              </w:rPr>
              <w:t>0</w:t>
            </w:r>
          </w:p>
        </w:tc>
        <w:tc>
          <w:tcPr>
            <w:tcW w:w="875" w:type="dxa"/>
            <w:gridSpan w:val="3"/>
            <w:vAlign w:val="center"/>
          </w:tcPr>
          <w:p w:rsidR="00A6487C" w:rsidRDefault="007E6C80">
            <w:pPr>
              <w:spacing w:before="20" w:after="20"/>
              <w:jc w:val="right"/>
              <w:rPr>
                <w:noProof/>
                <w:sz w:val="20"/>
              </w:rPr>
            </w:pPr>
            <w:r>
              <w:rPr>
                <w:noProof/>
                <w:sz w:val="20"/>
              </w:rPr>
              <w:t>10,000</w:t>
            </w:r>
          </w:p>
        </w:tc>
        <w:tc>
          <w:tcPr>
            <w:tcW w:w="713" w:type="dxa"/>
            <w:vAlign w:val="center"/>
          </w:tcPr>
          <w:p w:rsidR="00A6487C" w:rsidRDefault="007E6C80">
            <w:pPr>
              <w:spacing w:before="20" w:after="20"/>
              <w:jc w:val="right"/>
              <w:rPr>
                <w:noProof/>
                <w:sz w:val="20"/>
              </w:rPr>
            </w:pPr>
            <w:r>
              <w:rPr>
                <w:noProof/>
                <w:sz w:val="20"/>
              </w:rPr>
              <w:t>15,000</w:t>
            </w:r>
          </w:p>
        </w:tc>
        <w:tc>
          <w:tcPr>
            <w:tcW w:w="1200" w:type="dxa"/>
            <w:gridSpan w:val="3"/>
            <w:vAlign w:val="center"/>
          </w:tcPr>
          <w:p w:rsidR="00A6487C" w:rsidRDefault="007E6C80">
            <w:pPr>
              <w:spacing w:before="20" w:after="20"/>
              <w:jc w:val="right"/>
              <w:rPr>
                <w:noProof/>
                <w:sz w:val="20"/>
              </w:rPr>
            </w:pPr>
            <w:r>
              <w:rPr>
                <w:noProof/>
                <w:sz w:val="20"/>
              </w:rPr>
              <w:t>20,000</w:t>
            </w:r>
          </w:p>
        </w:tc>
        <w:tc>
          <w:tcPr>
            <w:tcW w:w="707" w:type="dxa"/>
            <w:vAlign w:val="center"/>
          </w:tcPr>
          <w:p w:rsidR="00A6487C" w:rsidRDefault="00A6487C">
            <w:pPr>
              <w:spacing w:before="20" w:after="20"/>
              <w:jc w:val="right"/>
              <w:rPr>
                <w:noProof/>
                <w:sz w:val="20"/>
              </w:rPr>
            </w:pPr>
          </w:p>
        </w:tc>
        <w:tc>
          <w:tcPr>
            <w:tcW w:w="838" w:type="dxa"/>
            <w:gridSpan w:val="2"/>
            <w:vAlign w:val="center"/>
          </w:tcPr>
          <w:p w:rsidR="00A6487C" w:rsidRDefault="00A6487C">
            <w:pPr>
              <w:spacing w:before="20" w:after="20"/>
              <w:jc w:val="right"/>
              <w:rPr>
                <w:noProof/>
                <w:sz w:val="20"/>
              </w:rPr>
            </w:pPr>
          </w:p>
        </w:tc>
        <w:tc>
          <w:tcPr>
            <w:tcW w:w="867" w:type="dxa"/>
            <w:gridSpan w:val="3"/>
            <w:vAlign w:val="center"/>
          </w:tcPr>
          <w:p w:rsidR="00A6487C" w:rsidRDefault="00A6487C">
            <w:pPr>
              <w:spacing w:before="20" w:after="20"/>
              <w:jc w:val="right"/>
              <w:rPr>
                <w:b/>
                <w:noProof/>
                <w:sz w:val="20"/>
              </w:rPr>
            </w:pPr>
          </w:p>
        </w:tc>
        <w:tc>
          <w:tcPr>
            <w:tcW w:w="1781" w:type="dxa"/>
            <w:gridSpan w:val="3"/>
            <w:vAlign w:val="center"/>
          </w:tcPr>
          <w:p w:rsidR="00A6487C" w:rsidRDefault="007E6C80">
            <w:pPr>
              <w:spacing w:before="20" w:after="20"/>
              <w:jc w:val="right"/>
              <w:rPr>
                <w:b/>
                <w:noProof/>
                <w:sz w:val="20"/>
              </w:rPr>
            </w:pPr>
            <w:r>
              <w:rPr>
                <w:b/>
                <w:noProof/>
                <w:sz w:val="20"/>
              </w:rPr>
              <w:t>45,000</w:t>
            </w:r>
          </w:p>
        </w:tc>
      </w:tr>
      <w:tr w:rsidR="00A6487C">
        <w:tblPrEx>
          <w:jc w:val="left"/>
        </w:tblPrEx>
        <w:trPr>
          <w:gridBefore w:val="1"/>
          <w:gridAfter w:val="2"/>
          <w:wBefore w:w="112" w:type="dxa"/>
          <w:wAfter w:w="51" w:type="dxa"/>
        </w:trPr>
        <w:tc>
          <w:tcPr>
            <w:tcW w:w="4524" w:type="dxa"/>
            <w:gridSpan w:val="2"/>
            <w:vMerge w:val="restart"/>
            <w:vAlign w:val="center"/>
          </w:tcPr>
          <w:p w:rsidR="00A6487C" w:rsidRDefault="007E6C80">
            <w:pPr>
              <w:rPr>
                <w:noProof/>
              </w:rPr>
            </w:pPr>
            <w:r>
              <w:rPr>
                <w:noProof/>
                <w:sz w:val="20"/>
              </w:rPr>
              <w:t>Číslo rozpočtového riadka 19 02 02</w:t>
            </w:r>
          </w:p>
        </w:tc>
        <w:tc>
          <w:tcPr>
            <w:tcW w:w="1280" w:type="dxa"/>
            <w:gridSpan w:val="3"/>
            <w:vAlign w:val="center"/>
          </w:tcPr>
          <w:p w:rsidR="00A6487C" w:rsidRDefault="007E6C80">
            <w:pPr>
              <w:spacing w:before="20" w:after="20"/>
              <w:rPr>
                <w:noProof/>
                <w:sz w:val="18"/>
              </w:rPr>
            </w:pPr>
            <w:r>
              <w:rPr>
                <w:noProof/>
                <w:sz w:val="18"/>
              </w:rPr>
              <w:t>Záväzky</w:t>
            </w:r>
          </w:p>
        </w:tc>
        <w:tc>
          <w:tcPr>
            <w:tcW w:w="857" w:type="dxa"/>
            <w:gridSpan w:val="2"/>
            <w:vAlign w:val="center"/>
          </w:tcPr>
          <w:p w:rsidR="00A6487C" w:rsidRDefault="007E6C80">
            <w:pPr>
              <w:spacing w:before="20" w:after="20"/>
              <w:jc w:val="center"/>
              <w:rPr>
                <w:noProof/>
                <w:sz w:val="14"/>
              </w:rPr>
            </w:pPr>
            <w:r>
              <w:rPr>
                <w:noProof/>
                <w:sz w:val="14"/>
              </w:rPr>
              <w:t>(1a)</w:t>
            </w:r>
          </w:p>
        </w:tc>
        <w:tc>
          <w:tcPr>
            <w:tcW w:w="715" w:type="dxa"/>
            <w:gridSpan w:val="2"/>
            <w:vAlign w:val="center"/>
          </w:tcPr>
          <w:p w:rsidR="00A6487C" w:rsidRDefault="007E6C80">
            <w:pPr>
              <w:spacing w:before="20" w:after="20"/>
              <w:jc w:val="right"/>
              <w:rPr>
                <w:noProof/>
                <w:sz w:val="20"/>
              </w:rPr>
            </w:pPr>
            <w:r>
              <w:rPr>
                <w:noProof/>
                <w:sz w:val="20"/>
              </w:rPr>
              <w:t>0,608</w:t>
            </w:r>
          </w:p>
        </w:tc>
        <w:tc>
          <w:tcPr>
            <w:tcW w:w="875" w:type="dxa"/>
            <w:gridSpan w:val="3"/>
          </w:tcPr>
          <w:p w:rsidR="00A6487C" w:rsidRDefault="007E6C80">
            <w:pPr>
              <w:spacing w:before="20" w:after="20"/>
              <w:jc w:val="right"/>
              <w:rPr>
                <w:noProof/>
                <w:sz w:val="20"/>
                <w:szCs w:val="20"/>
              </w:rPr>
            </w:pPr>
            <w:r>
              <w:rPr>
                <w:noProof/>
                <w:sz w:val="20"/>
              </w:rPr>
              <w:t>2,678</w:t>
            </w:r>
          </w:p>
        </w:tc>
        <w:tc>
          <w:tcPr>
            <w:tcW w:w="713" w:type="dxa"/>
          </w:tcPr>
          <w:p w:rsidR="00A6487C" w:rsidRDefault="007E6C80">
            <w:pPr>
              <w:spacing w:before="20" w:after="20"/>
              <w:jc w:val="right"/>
              <w:rPr>
                <w:noProof/>
                <w:sz w:val="20"/>
                <w:szCs w:val="20"/>
              </w:rPr>
            </w:pPr>
            <w:r>
              <w:rPr>
                <w:noProof/>
                <w:sz w:val="20"/>
              </w:rPr>
              <w:t>2,528</w:t>
            </w:r>
          </w:p>
        </w:tc>
        <w:tc>
          <w:tcPr>
            <w:tcW w:w="1200" w:type="dxa"/>
            <w:gridSpan w:val="3"/>
          </w:tcPr>
          <w:p w:rsidR="00A6487C" w:rsidRDefault="007E6C80">
            <w:pPr>
              <w:spacing w:before="20" w:after="20"/>
              <w:jc w:val="right"/>
              <w:rPr>
                <w:noProof/>
                <w:sz w:val="20"/>
                <w:szCs w:val="20"/>
              </w:rPr>
            </w:pPr>
            <w:r>
              <w:rPr>
                <w:noProof/>
                <w:sz w:val="20"/>
              </w:rPr>
              <w:t>2,177</w:t>
            </w:r>
          </w:p>
        </w:tc>
        <w:tc>
          <w:tcPr>
            <w:tcW w:w="707" w:type="dxa"/>
            <w:vAlign w:val="center"/>
          </w:tcPr>
          <w:p w:rsidR="00A6487C" w:rsidRDefault="00A6487C">
            <w:pPr>
              <w:spacing w:before="20" w:after="20"/>
              <w:jc w:val="right"/>
              <w:rPr>
                <w:noProof/>
                <w:sz w:val="20"/>
                <w:szCs w:val="20"/>
              </w:rPr>
            </w:pPr>
          </w:p>
        </w:tc>
        <w:tc>
          <w:tcPr>
            <w:tcW w:w="838" w:type="dxa"/>
            <w:gridSpan w:val="2"/>
            <w:vAlign w:val="center"/>
          </w:tcPr>
          <w:p w:rsidR="00A6487C" w:rsidRDefault="00A6487C">
            <w:pPr>
              <w:spacing w:before="20" w:after="20"/>
              <w:jc w:val="right"/>
              <w:rPr>
                <w:noProof/>
                <w:sz w:val="20"/>
              </w:rPr>
            </w:pPr>
          </w:p>
        </w:tc>
        <w:tc>
          <w:tcPr>
            <w:tcW w:w="867" w:type="dxa"/>
            <w:gridSpan w:val="3"/>
            <w:vAlign w:val="center"/>
          </w:tcPr>
          <w:p w:rsidR="00A6487C" w:rsidRDefault="00A6487C">
            <w:pPr>
              <w:spacing w:before="20" w:after="20"/>
              <w:jc w:val="right"/>
              <w:rPr>
                <w:b/>
                <w:noProof/>
                <w:sz w:val="20"/>
              </w:rPr>
            </w:pPr>
          </w:p>
        </w:tc>
        <w:tc>
          <w:tcPr>
            <w:tcW w:w="1781" w:type="dxa"/>
            <w:gridSpan w:val="3"/>
            <w:vAlign w:val="center"/>
          </w:tcPr>
          <w:p w:rsidR="00A6487C" w:rsidRDefault="007E6C80">
            <w:pPr>
              <w:spacing w:before="20" w:after="20"/>
              <w:jc w:val="right"/>
              <w:rPr>
                <w:b/>
                <w:noProof/>
                <w:sz w:val="20"/>
              </w:rPr>
            </w:pPr>
            <w:r>
              <w:rPr>
                <w:b/>
                <w:noProof/>
                <w:sz w:val="20"/>
              </w:rPr>
              <w:t>7,990</w:t>
            </w:r>
          </w:p>
        </w:tc>
      </w:tr>
      <w:tr w:rsidR="00A6487C">
        <w:tblPrEx>
          <w:jc w:val="left"/>
        </w:tblPrEx>
        <w:trPr>
          <w:gridBefore w:val="1"/>
          <w:gridAfter w:val="2"/>
          <w:wBefore w:w="112" w:type="dxa"/>
          <w:wAfter w:w="51" w:type="dxa"/>
        </w:trPr>
        <w:tc>
          <w:tcPr>
            <w:tcW w:w="4524" w:type="dxa"/>
            <w:gridSpan w:val="2"/>
            <w:vMerge/>
          </w:tcPr>
          <w:p w:rsidR="00A6487C" w:rsidRDefault="00A6487C">
            <w:pPr>
              <w:jc w:val="center"/>
              <w:rPr>
                <w:noProof/>
                <w:sz w:val="20"/>
              </w:rPr>
            </w:pPr>
          </w:p>
        </w:tc>
        <w:tc>
          <w:tcPr>
            <w:tcW w:w="1280" w:type="dxa"/>
            <w:gridSpan w:val="3"/>
            <w:vAlign w:val="center"/>
          </w:tcPr>
          <w:p w:rsidR="00A6487C" w:rsidRDefault="007E6C80">
            <w:pPr>
              <w:spacing w:before="20" w:after="20"/>
              <w:rPr>
                <w:noProof/>
                <w:sz w:val="18"/>
              </w:rPr>
            </w:pPr>
            <w:r>
              <w:rPr>
                <w:noProof/>
                <w:sz w:val="18"/>
              </w:rPr>
              <w:t>Platby</w:t>
            </w:r>
          </w:p>
        </w:tc>
        <w:tc>
          <w:tcPr>
            <w:tcW w:w="857" w:type="dxa"/>
            <w:gridSpan w:val="2"/>
            <w:vAlign w:val="center"/>
          </w:tcPr>
          <w:p w:rsidR="00A6487C" w:rsidRDefault="007E6C80">
            <w:pPr>
              <w:spacing w:before="20" w:after="20"/>
              <w:jc w:val="center"/>
              <w:rPr>
                <w:noProof/>
                <w:sz w:val="14"/>
              </w:rPr>
            </w:pPr>
            <w:r>
              <w:rPr>
                <w:noProof/>
                <w:sz w:val="14"/>
              </w:rPr>
              <w:t>(2a)</w:t>
            </w:r>
          </w:p>
        </w:tc>
        <w:tc>
          <w:tcPr>
            <w:tcW w:w="715" w:type="dxa"/>
            <w:gridSpan w:val="2"/>
            <w:vAlign w:val="center"/>
          </w:tcPr>
          <w:p w:rsidR="00A6487C" w:rsidRDefault="007E6C80">
            <w:pPr>
              <w:spacing w:before="20" w:after="20"/>
              <w:jc w:val="right"/>
              <w:rPr>
                <w:noProof/>
                <w:sz w:val="20"/>
              </w:rPr>
            </w:pPr>
            <w:r>
              <w:rPr>
                <w:noProof/>
                <w:sz w:val="20"/>
              </w:rPr>
              <w:t>0</w:t>
            </w:r>
          </w:p>
        </w:tc>
        <w:tc>
          <w:tcPr>
            <w:tcW w:w="875" w:type="dxa"/>
            <w:gridSpan w:val="3"/>
            <w:vAlign w:val="center"/>
          </w:tcPr>
          <w:p w:rsidR="00A6487C" w:rsidRDefault="007E6C80">
            <w:pPr>
              <w:spacing w:before="20" w:after="20"/>
              <w:jc w:val="right"/>
              <w:rPr>
                <w:noProof/>
                <w:sz w:val="20"/>
                <w:szCs w:val="20"/>
              </w:rPr>
            </w:pPr>
            <w:r>
              <w:rPr>
                <w:noProof/>
                <w:sz w:val="20"/>
              </w:rPr>
              <w:t>1,000</w:t>
            </w:r>
          </w:p>
        </w:tc>
        <w:tc>
          <w:tcPr>
            <w:tcW w:w="713" w:type="dxa"/>
            <w:vAlign w:val="center"/>
          </w:tcPr>
          <w:p w:rsidR="00A6487C" w:rsidRDefault="007E6C80">
            <w:pPr>
              <w:spacing w:before="20" w:after="20"/>
              <w:jc w:val="right"/>
              <w:rPr>
                <w:noProof/>
                <w:sz w:val="20"/>
                <w:szCs w:val="20"/>
              </w:rPr>
            </w:pPr>
            <w:r>
              <w:rPr>
                <w:noProof/>
                <w:sz w:val="20"/>
              </w:rPr>
              <w:t>2,000</w:t>
            </w:r>
          </w:p>
        </w:tc>
        <w:tc>
          <w:tcPr>
            <w:tcW w:w="1200" w:type="dxa"/>
            <w:gridSpan w:val="3"/>
            <w:vAlign w:val="center"/>
          </w:tcPr>
          <w:p w:rsidR="00A6487C" w:rsidRDefault="007E6C80">
            <w:pPr>
              <w:spacing w:before="20" w:after="20"/>
              <w:jc w:val="right"/>
              <w:rPr>
                <w:noProof/>
                <w:sz w:val="20"/>
                <w:szCs w:val="20"/>
              </w:rPr>
            </w:pPr>
            <w:r>
              <w:rPr>
                <w:noProof/>
                <w:sz w:val="20"/>
              </w:rPr>
              <w:t>2,000</w:t>
            </w:r>
          </w:p>
        </w:tc>
        <w:tc>
          <w:tcPr>
            <w:tcW w:w="707" w:type="dxa"/>
            <w:vAlign w:val="center"/>
          </w:tcPr>
          <w:p w:rsidR="00A6487C" w:rsidRDefault="00A6487C">
            <w:pPr>
              <w:spacing w:before="20" w:after="20"/>
              <w:jc w:val="right"/>
              <w:rPr>
                <w:noProof/>
                <w:sz w:val="20"/>
                <w:szCs w:val="20"/>
              </w:rPr>
            </w:pPr>
          </w:p>
        </w:tc>
        <w:tc>
          <w:tcPr>
            <w:tcW w:w="838" w:type="dxa"/>
            <w:gridSpan w:val="2"/>
            <w:vAlign w:val="center"/>
          </w:tcPr>
          <w:p w:rsidR="00A6487C" w:rsidRDefault="00A6487C">
            <w:pPr>
              <w:spacing w:before="20" w:after="20"/>
              <w:jc w:val="right"/>
              <w:rPr>
                <w:noProof/>
                <w:sz w:val="20"/>
              </w:rPr>
            </w:pPr>
          </w:p>
        </w:tc>
        <w:tc>
          <w:tcPr>
            <w:tcW w:w="867" w:type="dxa"/>
            <w:gridSpan w:val="3"/>
            <w:vAlign w:val="center"/>
          </w:tcPr>
          <w:p w:rsidR="00A6487C" w:rsidRDefault="00A6487C">
            <w:pPr>
              <w:spacing w:before="20" w:after="20"/>
              <w:jc w:val="right"/>
              <w:rPr>
                <w:b/>
                <w:noProof/>
                <w:sz w:val="20"/>
              </w:rPr>
            </w:pPr>
          </w:p>
        </w:tc>
        <w:tc>
          <w:tcPr>
            <w:tcW w:w="1781" w:type="dxa"/>
            <w:gridSpan w:val="3"/>
            <w:vAlign w:val="center"/>
          </w:tcPr>
          <w:p w:rsidR="00A6487C" w:rsidRDefault="007E6C80">
            <w:pPr>
              <w:spacing w:before="20" w:after="20"/>
              <w:jc w:val="right"/>
              <w:rPr>
                <w:b/>
                <w:noProof/>
                <w:sz w:val="20"/>
              </w:rPr>
            </w:pPr>
            <w:r>
              <w:rPr>
                <w:b/>
                <w:noProof/>
                <w:sz w:val="20"/>
              </w:rPr>
              <w:t>5,000</w:t>
            </w:r>
          </w:p>
        </w:tc>
      </w:tr>
      <w:tr w:rsidR="00A6487C">
        <w:tblPrEx>
          <w:jc w:val="left"/>
        </w:tblPrEx>
        <w:trPr>
          <w:gridBefore w:val="1"/>
          <w:gridAfter w:val="2"/>
          <w:wBefore w:w="112" w:type="dxa"/>
          <w:wAfter w:w="51" w:type="dxa"/>
        </w:trPr>
        <w:tc>
          <w:tcPr>
            <w:tcW w:w="4524" w:type="dxa"/>
            <w:gridSpan w:val="2"/>
            <w:vMerge w:val="restart"/>
          </w:tcPr>
          <w:p w:rsidR="00A6487C" w:rsidRDefault="007E6C80">
            <w:pPr>
              <w:jc w:val="left"/>
              <w:rPr>
                <w:noProof/>
                <w:sz w:val="20"/>
              </w:rPr>
            </w:pPr>
            <w:r>
              <w:rPr>
                <w:noProof/>
                <w:sz w:val="20"/>
              </w:rPr>
              <w:t>Číslo rozpočtového riadka 21 05 01</w:t>
            </w:r>
          </w:p>
        </w:tc>
        <w:tc>
          <w:tcPr>
            <w:tcW w:w="1280" w:type="dxa"/>
            <w:gridSpan w:val="3"/>
            <w:vAlign w:val="center"/>
          </w:tcPr>
          <w:p w:rsidR="00A6487C" w:rsidRDefault="007E6C80">
            <w:pPr>
              <w:spacing w:before="20" w:after="20"/>
              <w:rPr>
                <w:noProof/>
                <w:sz w:val="18"/>
              </w:rPr>
            </w:pPr>
            <w:r>
              <w:rPr>
                <w:noProof/>
                <w:sz w:val="18"/>
              </w:rPr>
              <w:t>Záväzky</w:t>
            </w:r>
          </w:p>
        </w:tc>
        <w:tc>
          <w:tcPr>
            <w:tcW w:w="857" w:type="dxa"/>
            <w:gridSpan w:val="2"/>
            <w:vAlign w:val="center"/>
          </w:tcPr>
          <w:p w:rsidR="00A6487C" w:rsidRDefault="007E6C80">
            <w:pPr>
              <w:spacing w:before="20" w:after="20"/>
              <w:jc w:val="center"/>
              <w:rPr>
                <w:noProof/>
                <w:sz w:val="14"/>
              </w:rPr>
            </w:pPr>
            <w:r>
              <w:rPr>
                <w:noProof/>
                <w:sz w:val="14"/>
              </w:rPr>
              <w:t>(1b)</w:t>
            </w:r>
          </w:p>
        </w:tc>
        <w:tc>
          <w:tcPr>
            <w:tcW w:w="715" w:type="dxa"/>
            <w:gridSpan w:val="2"/>
            <w:vAlign w:val="center"/>
          </w:tcPr>
          <w:p w:rsidR="00A6487C" w:rsidRDefault="007E6C80">
            <w:pPr>
              <w:spacing w:before="20" w:after="20"/>
              <w:jc w:val="right"/>
              <w:rPr>
                <w:noProof/>
                <w:sz w:val="20"/>
              </w:rPr>
            </w:pPr>
            <w:r>
              <w:rPr>
                <w:noProof/>
                <w:sz w:val="20"/>
              </w:rPr>
              <w:t>2,150</w:t>
            </w:r>
          </w:p>
        </w:tc>
        <w:tc>
          <w:tcPr>
            <w:tcW w:w="875" w:type="dxa"/>
            <w:gridSpan w:val="3"/>
            <w:vAlign w:val="center"/>
          </w:tcPr>
          <w:p w:rsidR="00A6487C" w:rsidRDefault="007E6C80">
            <w:pPr>
              <w:spacing w:before="20" w:after="20"/>
              <w:jc w:val="right"/>
              <w:rPr>
                <w:noProof/>
                <w:sz w:val="20"/>
              </w:rPr>
            </w:pPr>
            <w:r>
              <w:rPr>
                <w:noProof/>
                <w:sz w:val="20"/>
              </w:rPr>
              <w:t>6,250</w:t>
            </w:r>
          </w:p>
        </w:tc>
        <w:tc>
          <w:tcPr>
            <w:tcW w:w="713" w:type="dxa"/>
            <w:vAlign w:val="center"/>
          </w:tcPr>
          <w:p w:rsidR="00A6487C" w:rsidRDefault="007E6C80">
            <w:pPr>
              <w:spacing w:before="20" w:after="20"/>
              <w:jc w:val="right"/>
              <w:rPr>
                <w:noProof/>
                <w:sz w:val="20"/>
              </w:rPr>
            </w:pPr>
            <w:r>
              <w:rPr>
                <w:noProof/>
                <w:sz w:val="20"/>
              </w:rPr>
              <w:t>6,300</w:t>
            </w:r>
          </w:p>
        </w:tc>
        <w:tc>
          <w:tcPr>
            <w:tcW w:w="1200" w:type="dxa"/>
            <w:gridSpan w:val="3"/>
            <w:vAlign w:val="center"/>
          </w:tcPr>
          <w:p w:rsidR="00A6487C" w:rsidRDefault="007E6C80">
            <w:pPr>
              <w:spacing w:before="20" w:after="20"/>
              <w:jc w:val="right"/>
              <w:rPr>
                <w:noProof/>
                <w:sz w:val="20"/>
              </w:rPr>
            </w:pPr>
            <w:r>
              <w:rPr>
                <w:noProof/>
                <w:sz w:val="20"/>
              </w:rPr>
              <w:t>6,300</w:t>
            </w:r>
          </w:p>
        </w:tc>
        <w:tc>
          <w:tcPr>
            <w:tcW w:w="707" w:type="dxa"/>
            <w:vAlign w:val="center"/>
          </w:tcPr>
          <w:p w:rsidR="00A6487C" w:rsidRDefault="00A6487C">
            <w:pPr>
              <w:spacing w:before="20" w:after="20"/>
              <w:jc w:val="right"/>
              <w:rPr>
                <w:noProof/>
                <w:sz w:val="20"/>
              </w:rPr>
            </w:pPr>
          </w:p>
        </w:tc>
        <w:tc>
          <w:tcPr>
            <w:tcW w:w="838" w:type="dxa"/>
            <w:gridSpan w:val="2"/>
            <w:vAlign w:val="center"/>
          </w:tcPr>
          <w:p w:rsidR="00A6487C" w:rsidRDefault="00A6487C">
            <w:pPr>
              <w:spacing w:before="20" w:after="20"/>
              <w:jc w:val="right"/>
              <w:rPr>
                <w:noProof/>
                <w:sz w:val="20"/>
              </w:rPr>
            </w:pPr>
          </w:p>
        </w:tc>
        <w:tc>
          <w:tcPr>
            <w:tcW w:w="867" w:type="dxa"/>
            <w:gridSpan w:val="3"/>
            <w:vAlign w:val="center"/>
          </w:tcPr>
          <w:p w:rsidR="00A6487C" w:rsidRDefault="00A6487C">
            <w:pPr>
              <w:spacing w:before="20" w:after="20"/>
              <w:jc w:val="right"/>
              <w:rPr>
                <w:b/>
                <w:noProof/>
                <w:sz w:val="20"/>
              </w:rPr>
            </w:pPr>
          </w:p>
        </w:tc>
        <w:tc>
          <w:tcPr>
            <w:tcW w:w="1781" w:type="dxa"/>
            <w:gridSpan w:val="3"/>
            <w:vAlign w:val="center"/>
          </w:tcPr>
          <w:p w:rsidR="00A6487C" w:rsidRDefault="007E6C80">
            <w:pPr>
              <w:spacing w:before="20" w:after="20"/>
              <w:jc w:val="right"/>
              <w:rPr>
                <w:b/>
                <w:noProof/>
                <w:sz w:val="20"/>
              </w:rPr>
            </w:pPr>
            <w:r>
              <w:rPr>
                <w:b/>
                <w:noProof/>
                <w:sz w:val="20"/>
              </w:rPr>
              <w:t>21,000</w:t>
            </w:r>
          </w:p>
        </w:tc>
      </w:tr>
      <w:tr w:rsidR="00A6487C">
        <w:tblPrEx>
          <w:jc w:val="left"/>
        </w:tblPrEx>
        <w:trPr>
          <w:gridBefore w:val="1"/>
          <w:gridAfter w:val="2"/>
          <w:wBefore w:w="112" w:type="dxa"/>
          <w:wAfter w:w="51" w:type="dxa"/>
        </w:trPr>
        <w:tc>
          <w:tcPr>
            <w:tcW w:w="4524" w:type="dxa"/>
            <w:gridSpan w:val="2"/>
            <w:vMerge/>
          </w:tcPr>
          <w:p w:rsidR="00A6487C" w:rsidRDefault="00A6487C">
            <w:pPr>
              <w:jc w:val="center"/>
              <w:rPr>
                <w:noProof/>
                <w:sz w:val="20"/>
              </w:rPr>
            </w:pPr>
          </w:p>
        </w:tc>
        <w:tc>
          <w:tcPr>
            <w:tcW w:w="1280" w:type="dxa"/>
            <w:gridSpan w:val="3"/>
            <w:vAlign w:val="center"/>
          </w:tcPr>
          <w:p w:rsidR="00A6487C" w:rsidRDefault="007E6C80">
            <w:pPr>
              <w:spacing w:before="20" w:after="20"/>
              <w:rPr>
                <w:noProof/>
                <w:sz w:val="18"/>
              </w:rPr>
            </w:pPr>
            <w:r>
              <w:rPr>
                <w:noProof/>
                <w:sz w:val="18"/>
              </w:rPr>
              <w:t>Platby</w:t>
            </w:r>
          </w:p>
        </w:tc>
        <w:tc>
          <w:tcPr>
            <w:tcW w:w="857" w:type="dxa"/>
            <w:gridSpan w:val="2"/>
            <w:vAlign w:val="center"/>
          </w:tcPr>
          <w:p w:rsidR="00A6487C" w:rsidRDefault="007E6C80">
            <w:pPr>
              <w:spacing w:before="20" w:after="20"/>
              <w:jc w:val="center"/>
              <w:rPr>
                <w:noProof/>
                <w:sz w:val="14"/>
              </w:rPr>
            </w:pPr>
            <w:r>
              <w:rPr>
                <w:noProof/>
                <w:sz w:val="14"/>
              </w:rPr>
              <w:t>(2b)</w:t>
            </w:r>
          </w:p>
        </w:tc>
        <w:tc>
          <w:tcPr>
            <w:tcW w:w="715" w:type="dxa"/>
            <w:gridSpan w:val="2"/>
            <w:vAlign w:val="center"/>
          </w:tcPr>
          <w:p w:rsidR="00A6487C" w:rsidRDefault="007E6C80">
            <w:pPr>
              <w:spacing w:before="20" w:after="20"/>
              <w:jc w:val="right"/>
              <w:rPr>
                <w:noProof/>
                <w:sz w:val="20"/>
              </w:rPr>
            </w:pPr>
            <w:r>
              <w:rPr>
                <w:noProof/>
                <w:sz w:val="20"/>
              </w:rPr>
              <w:t>0</w:t>
            </w:r>
          </w:p>
        </w:tc>
        <w:tc>
          <w:tcPr>
            <w:tcW w:w="875" w:type="dxa"/>
            <w:gridSpan w:val="3"/>
            <w:vAlign w:val="center"/>
          </w:tcPr>
          <w:p w:rsidR="00A6487C" w:rsidRDefault="007E6C80">
            <w:pPr>
              <w:spacing w:before="20" w:after="20"/>
              <w:jc w:val="right"/>
              <w:rPr>
                <w:noProof/>
                <w:sz w:val="20"/>
              </w:rPr>
            </w:pPr>
            <w:r>
              <w:rPr>
                <w:noProof/>
                <w:sz w:val="20"/>
              </w:rPr>
              <w:t>3,000</w:t>
            </w:r>
          </w:p>
        </w:tc>
        <w:tc>
          <w:tcPr>
            <w:tcW w:w="713" w:type="dxa"/>
            <w:vAlign w:val="center"/>
          </w:tcPr>
          <w:p w:rsidR="00A6487C" w:rsidRDefault="007E6C80">
            <w:pPr>
              <w:spacing w:before="20" w:after="20"/>
              <w:jc w:val="right"/>
              <w:rPr>
                <w:noProof/>
                <w:sz w:val="20"/>
              </w:rPr>
            </w:pPr>
            <w:r>
              <w:rPr>
                <w:noProof/>
                <w:sz w:val="20"/>
              </w:rPr>
              <w:t>4,000</w:t>
            </w:r>
          </w:p>
        </w:tc>
        <w:tc>
          <w:tcPr>
            <w:tcW w:w="1200" w:type="dxa"/>
            <w:gridSpan w:val="3"/>
            <w:vAlign w:val="center"/>
          </w:tcPr>
          <w:p w:rsidR="00A6487C" w:rsidRDefault="007E6C80">
            <w:pPr>
              <w:spacing w:before="20" w:after="20"/>
              <w:jc w:val="right"/>
              <w:rPr>
                <w:noProof/>
                <w:sz w:val="20"/>
              </w:rPr>
            </w:pPr>
            <w:r>
              <w:rPr>
                <w:noProof/>
                <w:sz w:val="20"/>
              </w:rPr>
              <w:t>6,000</w:t>
            </w:r>
          </w:p>
        </w:tc>
        <w:tc>
          <w:tcPr>
            <w:tcW w:w="707" w:type="dxa"/>
            <w:vAlign w:val="center"/>
          </w:tcPr>
          <w:p w:rsidR="00A6487C" w:rsidRDefault="00A6487C">
            <w:pPr>
              <w:spacing w:before="20" w:after="20"/>
              <w:jc w:val="right"/>
              <w:rPr>
                <w:noProof/>
                <w:sz w:val="20"/>
              </w:rPr>
            </w:pPr>
          </w:p>
        </w:tc>
        <w:tc>
          <w:tcPr>
            <w:tcW w:w="838" w:type="dxa"/>
            <w:gridSpan w:val="2"/>
            <w:vAlign w:val="center"/>
          </w:tcPr>
          <w:p w:rsidR="00A6487C" w:rsidRDefault="00A6487C">
            <w:pPr>
              <w:spacing w:before="20" w:after="20"/>
              <w:jc w:val="right"/>
              <w:rPr>
                <w:noProof/>
                <w:sz w:val="20"/>
              </w:rPr>
            </w:pPr>
          </w:p>
        </w:tc>
        <w:tc>
          <w:tcPr>
            <w:tcW w:w="867" w:type="dxa"/>
            <w:gridSpan w:val="3"/>
            <w:vAlign w:val="center"/>
          </w:tcPr>
          <w:p w:rsidR="00A6487C" w:rsidRDefault="00A6487C">
            <w:pPr>
              <w:spacing w:before="20" w:after="20"/>
              <w:jc w:val="right"/>
              <w:rPr>
                <w:b/>
                <w:noProof/>
                <w:sz w:val="20"/>
              </w:rPr>
            </w:pPr>
          </w:p>
        </w:tc>
        <w:tc>
          <w:tcPr>
            <w:tcW w:w="1781" w:type="dxa"/>
            <w:gridSpan w:val="3"/>
            <w:vAlign w:val="center"/>
          </w:tcPr>
          <w:p w:rsidR="00A6487C" w:rsidRDefault="007E6C80">
            <w:pPr>
              <w:spacing w:before="20" w:after="20"/>
              <w:jc w:val="right"/>
              <w:rPr>
                <w:b/>
                <w:noProof/>
                <w:sz w:val="20"/>
              </w:rPr>
            </w:pPr>
            <w:r>
              <w:rPr>
                <w:b/>
                <w:noProof/>
                <w:sz w:val="20"/>
              </w:rPr>
              <w:t>13,000</w:t>
            </w:r>
          </w:p>
        </w:tc>
      </w:tr>
      <w:tr w:rsidR="00A6487C">
        <w:tblPrEx>
          <w:jc w:val="left"/>
        </w:tblPrEx>
        <w:trPr>
          <w:gridBefore w:val="1"/>
          <w:wBefore w:w="112" w:type="dxa"/>
          <w:trHeight w:val="231"/>
        </w:trPr>
        <w:tc>
          <w:tcPr>
            <w:tcW w:w="6661" w:type="dxa"/>
            <w:gridSpan w:val="7"/>
            <w:vAlign w:val="center"/>
          </w:tcPr>
          <w:p w:rsidR="00A6487C" w:rsidRDefault="007E6C80">
            <w:pPr>
              <w:spacing w:before="20" w:after="20"/>
              <w:rPr>
                <w:noProof/>
              </w:rPr>
            </w:pPr>
            <w:r>
              <w:rPr>
                <w:noProof/>
                <w:sz w:val="21"/>
              </w:rPr>
              <w:t xml:space="preserve">Administratívne rozpočtové prostriedky financované z balíka prostriedkov určených na </w:t>
            </w:r>
            <w:r>
              <w:rPr>
                <w:noProof/>
                <w:sz w:val="21"/>
              </w:rPr>
              <w:t>realizáciu osobitných programov</w:t>
            </w:r>
            <w:r>
              <w:rPr>
                <w:rStyle w:val="FootnoteReference"/>
                <w:noProof/>
              </w:rPr>
              <w:footnoteReference w:id="30"/>
            </w:r>
            <w:r>
              <w:rPr>
                <w:noProof/>
                <w:sz w:val="21"/>
              </w:rPr>
              <w:t xml:space="preserve"> </w:t>
            </w:r>
          </w:p>
          <w:p w:rsidR="00A6487C" w:rsidRDefault="00A6487C">
            <w:pPr>
              <w:spacing w:before="0" w:after="0"/>
              <w:rPr>
                <w:noProof/>
              </w:rPr>
            </w:pPr>
          </w:p>
        </w:tc>
        <w:tc>
          <w:tcPr>
            <w:tcW w:w="715" w:type="dxa"/>
            <w:gridSpan w:val="2"/>
            <w:vAlign w:val="center"/>
          </w:tcPr>
          <w:p w:rsidR="00A6487C" w:rsidRDefault="00A6487C">
            <w:pPr>
              <w:rPr>
                <w:b/>
                <w:noProof/>
                <w:sz w:val="20"/>
              </w:rPr>
            </w:pPr>
          </w:p>
        </w:tc>
        <w:tc>
          <w:tcPr>
            <w:tcW w:w="867" w:type="dxa"/>
            <w:gridSpan w:val="2"/>
            <w:vAlign w:val="center"/>
          </w:tcPr>
          <w:p w:rsidR="00A6487C" w:rsidRDefault="00A6487C">
            <w:pPr>
              <w:rPr>
                <w:b/>
                <w:noProof/>
                <w:sz w:val="20"/>
              </w:rPr>
            </w:pPr>
          </w:p>
        </w:tc>
        <w:tc>
          <w:tcPr>
            <w:tcW w:w="721" w:type="dxa"/>
            <w:gridSpan w:val="2"/>
            <w:vAlign w:val="center"/>
          </w:tcPr>
          <w:p w:rsidR="00A6487C" w:rsidRDefault="00A6487C">
            <w:pPr>
              <w:rPr>
                <w:b/>
                <w:noProof/>
                <w:sz w:val="20"/>
              </w:rPr>
            </w:pPr>
          </w:p>
        </w:tc>
        <w:tc>
          <w:tcPr>
            <w:tcW w:w="1109" w:type="dxa"/>
            <w:gridSpan w:val="2"/>
            <w:vAlign w:val="center"/>
          </w:tcPr>
          <w:p w:rsidR="00A6487C" w:rsidRDefault="00A6487C">
            <w:pPr>
              <w:rPr>
                <w:b/>
                <w:noProof/>
                <w:sz w:val="20"/>
              </w:rPr>
            </w:pPr>
          </w:p>
        </w:tc>
        <w:tc>
          <w:tcPr>
            <w:tcW w:w="854" w:type="dxa"/>
            <w:gridSpan w:val="3"/>
            <w:vAlign w:val="center"/>
          </w:tcPr>
          <w:p w:rsidR="00A6487C" w:rsidRDefault="00A6487C">
            <w:pPr>
              <w:rPr>
                <w:b/>
                <w:noProof/>
                <w:sz w:val="20"/>
              </w:rPr>
            </w:pPr>
          </w:p>
        </w:tc>
        <w:tc>
          <w:tcPr>
            <w:tcW w:w="833" w:type="dxa"/>
            <w:gridSpan w:val="3"/>
            <w:vAlign w:val="center"/>
          </w:tcPr>
          <w:p w:rsidR="00A6487C" w:rsidRDefault="00A6487C">
            <w:pPr>
              <w:rPr>
                <w:b/>
                <w:noProof/>
                <w:sz w:val="20"/>
              </w:rPr>
            </w:pPr>
          </w:p>
        </w:tc>
        <w:tc>
          <w:tcPr>
            <w:tcW w:w="867" w:type="dxa"/>
            <w:gridSpan w:val="2"/>
            <w:vAlign w:val="center"/>
          </w:tcPr>
          <w:p w:rsidR="00A6487C" w:rsidRDefault="00A6487C">
            <w:pPr>
              <w:rPr>
                <w:b/>
                <w:noProof/>
                <w:sz w:val="20"/>
              </w:rPr>
            </w:pPr>
          </w:p>
        </w:tc>
        <w:tc>
          <w:tcPr>
            <w:tcW w:w="1781" w:type="dxa"/>
            <w:gridSpan w:val="4"/>
            <w:vAlign w:val="center"/>
          </w:tcPr>
          <w:p w:rsidR="00A6487C" w:rsidRDefault="00A6487C">
            <w:pPr>
              <w:rPr>
                <w:b/>
                <w:noProof/>
                <w:sz w:val="20"/>
              </w:rPr>
            </w:pPr>
          </w:p>
        </w:tc>
      </w:tr>
      <w:tr w:rsidR="00A6487C">
        <w:tblPrEx>
          <w:jc w:val="left"/>
        </w:tblPrEx>
        <w:trPr>
          <w:gridBefore w:val="1"/>
          <w:gridAfter w:val="2"/>
          <w:wBefore w:w="112" w:type="dxa"/>
          <w:wAfter w:w="51" w:type="dxa"/>
          <w:trHeight w:val="319"/>
        </w:trPr>
        <w:tc>
          <w:tcPr>
            <w:tcW w:w="4524" w:type="dxa"/>
            <w:gridSpan w:val="2"/>
            <w:vAlign w:val="center"/>
          </w:tcPr>
          <w:p w:rsidR="00A6487C" w:rsidRDefault="007E6C80">
            <w:pPr>
              <w:spacing w:before="60" w:after="60"/>
              <w:rPr>
                <w:noProof/>
              </w:rPr>
            </w:pPr>
            <w:r>
              <w:rPr>
                <w:noProof/>
                <w:sz w:val="20"/>
              </w:rPr>
              <w:lastRenderedPageBreak/>
              <w:t>Číslo rozpočtového riadka 19 01 04 01</w:t>
            </w:r>
          </w:p>
        </w:tc>
        <w:tc>
          <w:tcPr>
            <w:tcW w:w="1437" w:type="dxa"/>
            <w:gridSpan w:val="4"/>
            <w:vAlign w:val="center"/>
          </w:tcPr>
          <w:p w:rsidR="00A6487C" w:rsidRDefault="00A6487C">
            <w:pPr>
              <w:spacing w:before="40" w:after="40"/>
              <w:jc w:val="right"/>
              <w:rPr>
                <w:noProof/>
                <w:sz w:val="18"/>
              </w:rPr>
            </w:pPr>
          </w:p>
        </w:tc>
        <w:tc>
          <w:tcPr>
            <w:tcW w:w="700" w:type="dxa"/>
            <w:vAlign w:val="center"/>
          </w:tcPr>
          <w:p w:rsidR="00A6487C" w:rsidRDefault="007E6C80">
            <w:pPr>
              <w:spacing w:before="40" w:after="40"/>
              <w:jc w:val="center"/>
              <w:rPr>
                <w:noProof/>
                <w:sz w:val="14"/>
              </w:rPr>
            </w:pPr>
            <w:r>
              <w:rPr>
                <w:noProof/>
                <w:sz w:val="14"/>
              </w:rPr>
              <w:t>(3)</w:t>
            </w:r>
          </w:p>
        </w:tc>
        <w:tc>
          <w:tcPr>
            <w:tcW w:w="715" w:type="dxa"/>
            <w:gridSpan w:val="2"/>
            <w:vAlign w:val="center"/>
          </w:tcPr>
          <w:p w:rsidR="00A6487C" w:rsidRDefault="007E6C80">
            <w:pPr>
              <w:spacing w:before="40" w:after="40"/>
              <w:jc w:val="right"/>
              <w:rPr>
                <w:noProof/>
                <w:sz w:val="20"/>
              </w:rPr>
            </w:pPr>
            <w:r>
              <w:rPr>
                <w:noProof/>
                <w:sz w:val="20"/>
              </w:rPr>
              <w:t>0,643</w:t>
            </w:r>
          </w:p>
        </w:tc>
        <w:tc>
          <w:tcPr>
            <w:tcW w:w="875" w:type="dxa"/>
            <w:gridSpan w:val="3"/>
            <w:vAlign w:val="center"/>
          </w:tcPr>
          <w:p w:rsidR="00A6487C" w:rsidRDefault="007E6C80">
            <w:pPr>
              <w:spacing w:before="40" w:after="40"/>
              <w:jc w:val="right"/>
              <w:rPr>
                <w:noProof/>
                <w:sz w:val="20"/>
              </w:rPr>
            </w:pPr>
            <w:r>
              <w:rPr>
                <w:noProof/>
                <w:sz w:val="20"/>
              </w:rPr>
              <w:t>0,673</w:t>
            </w:r>
          </w:p>
        </w:tc>
        <w:tc>
          <w:tcPr>
            <w:tcW w:w="713" w:type="dxa"/>
            <w:vAlign w:val="center"/>
          </w:tcPr>
          <w:p w:rsidR="00A6487C" w:rsidRDefault="007E6C80">
            <w:pPr>
              <w:spacing w:before="40" w:after="40"/>
              <w:jc w:val="right"/>
              <w:rPr>
                <w:noProof/>
                <w:sz w:val="20"/>
              </w:rPr>
            </w:pPr>
            <w:r>
              <w:rPr>
                <w:noProof/>
                <w:sz w:val="20"/>
              </w:rPr>
              <w:t>0,823</w:t>
            </w:r>
          </w:p>
        </w:tc>
        <w:tc>
          <w:tcPr>
            <w:tcW w:w="1200" w:type="dxa"/>
            <w:gridSpan w:val="3"/>
            <w:vAlign w:val="center"/>
          </w:tcPr>
          <w:p w:rsidR="00A6487C" w:rsidRDefault="007E6C80">
            <w:pPr>
              <w:spacing w:before="40" w:after="40"/>
              <w:jc w:val="right"/>
              <w:rPr>
                <w:noProof/>
                <w:sz w:val="20"/>
              </w:rPr>
            </w:pPr>
            <w:r>
              <w:rPr>
                <w:noProof/>
                <w:sz w:val="20"/>
              </w:rPr>
              <w:t>0,823</w:t>
            </w:r>
          </w:p>
        </w:tc>
        <w:tc>
          <w:tcPr>
            <w:tcW w:w="707" w:type="dxa"/>
            <w:vAlign w:val="center"/>
          </w:tcPr>
          <w:p w:rsidR="00A6487C" w:rsidRDefault="00A6487C">
            <w:pPr>
              <w:spacing w:before="40" w:after="40"/>
              <w:jc w:val="right"/>
              <w:rPr>
                <w:b/>
                <w:noProof/>
                <w:sz w:val="20"/>
              </w:rPr>
            </w:pPr>
          </w:p>
        </w:tc>
        <w:tc>
          <w:tcPr>
            <w:tcW w:w="838" w:type="dxa"/>
            <w:gridSpan w:val="2"/>
            <w:vAlign w:val="center"/>
          </w:tcPr>
          <w:p w:rsidR="00A6487C" w:rsidRDefault="00A6487C">
            <w:pPr>
              <w:spacing w:before="40" w:after="40"/>
              <w:jc w:val="right"/>
              <w:rPr>
                <w:b/>
                <w:noProof/>
                <w:sz w:val="20"/>
              </w:rPr>
            </w:pPr>
          </w:p>
        </w:tc>
        <w:tc>
          <w:tcPr>
            <w:tcW w:w="867" w:type="dxa"/>
            <w:gridSpan w:val="3"/>
            <w:vAlign w:val="center"/>
          </w:tcPr>
          <w:p w:rsidR="00A6487C" w:rsidRDefault="00A6487C">
            <w:pPr>
              <w:spacing w:before="40" w:after="40"/>
              <w:jc w:val="right"/>
              <w:rPr>
                <w:b/>
                <w:noProof/>
                <w:sz w:val="20"/>
              </w:rPr>
            </w:pPr>
          </w:p>
        </w:tc>
        <w:tc>
          <w:tcPr>
            <w:tcW w:w="1781" w:type="dxa"/>
            <w:gridSpan w:val="3"/>
            <w:vAlign w:val="center"/>
          </w:tcPr>
          <w:p w:rsidR="00A6487C" w:rsidRDefault="007E6C80">
            <w:pPr>
              <w:spacing w:before="40" w:after="40"/>
              <w:jc w:val="right"/>
              <w:rPr>
                <w:b/>
                <w:noProof/>
                <w:sz w:val="20"/>
              </w:rPr>
            </w:pPr>
            <w:r>
              <w:rPr>
                <w:b/>
                <w:noProof/>
                <w:sz w:val="20"/>
              </w:rPr>
              <w:t>2,962</w:t>
            </w:r>
          </w:p>
        </w:tc>
      </w:tr>
      <w:tr w:rsidR="00A6487C">
        <w:tblPrEx>
          <w:jc w:val="left"/>
        </w:tblPrEx>
        <w:trPr>
          <w:gridBefore w:val="1"/>
          <w:gridAfter w:val="2"/>
          <w:wBefore w:w="112" w:type="dxa"/>
          <w:wAfter w:w="51" w:type="dxa"/>
          <w:trHeight w:val="319"/>
        </w:trPr>
        <w:tc>
          <w:tcPr>
            <w:tcW w:w="4524" w:type="dxa"/>
            <w:gridSpan w:val="2"/>
            <w:vAlign w:val="center"/>
          </w:tcPr>
          <w:p w:rsidR="00A6487C" w:rsidRDefault="00A6487C">
            <w:pPr>
              <w:spacing w:before="60" w:after="60"/>
              <w:rPr>
                <w:noProof/>
                <w:sz w:val="20"/>
              </w:rPr>
            </w:pPr>
          </w:p>
        </w:tc>
        <w:tc>
          <w:tcPr>
            <w:tcW w:w="1437" w:type="dxa"/>
            <w:gridSpan w:val="4"/>
            <w:vAlign w:val="center"/>
          </w:tcPr>
          <w:p w:rsidR="00A6487C" w:rsidRDefault="00A6487C">
            <w:pPr>
              <w:spacing w:before="40" w:after="40"/>
              <w:jc w:val="right"/>
              <w:rPr>
                <w:noProof/>
                <w:sz w:val="18"/>
              </w:rPr>
            </w:pPr>
          </w:p>
        </w:tc>
        <w:tc>
          <w:tcPr>
            <w:tcW w:w="700" w:type="dxa"/>
            <w:vAlign w:val="center"/>
          </w:tcPr>
          <w:p w:rsidR="00A6487C" w:rsidRDefault="007E6C80">
            <w:pPr>
              <w:spacing w:before="40" w:after="40"/>
              <w:jc w:val="center"/>
              <w:rPr>
                <w:noProof/>
                <w:sz w:val="14"/>
              </w:rPr>
            </w:pPr>
            <w:r>
              <w:rPr>
                <w:noProof/>
                <w:sz w:val="14"/>
              </w:rPr>
              <w:t>(3a)</w:t>
            </w:r>
          </w:p>
        </w:tc>
        <w:tc>
          <w:tcPr>
            <w:tcW w:w="715" w:type="dxa"/>
            <w:gridSpan w:val="2"/>
            <w:vAlign w:val="center"/>
          </w:tcPr>
          <w:p w:rsidR="00A6487C" w:rsidRDefault="007E6C80">
            <w:pPr>
              <w:spacing w:before="40" w:after="40"/>
              <w:jc w:val="right"/>
              <w:rPr>
                <w:noProof/>
                <w:sz w:val="20"/>
              </w:rPr>
            </w:pPr>
            <w:r>
              <w:rPr>
                <w:noProof/>
                <w:sz w:val="20"/>
              </w:rPr>
              <w:t>0</w:t>
            </w:r>
          </w:p>
        </w:tc>
        <w:tc>
          <w:tcPr>
            <w:tcW w:w="875" w:type="dxa"/>
            <w:gridSpan w:val="3"/>
            <w:vAlign w:val="center"/>
          </w:tcPr>
          <w:p w:rsidR="00A6487C" w:rsidRDefault="007E6C80">
            <w:pPr>
              <w:spacing w:before="40" w:after="40"/>
              <w:jc w:val="right"/>
              <w:rPr>
                <w:noProof/>
                <w:sz w:val="20"/>
              </w:rPr>
            </w:pPr>
            <w:r>
              <w:rPr>
                <w:noProof/>
                <w:sz w:val="20"/>
              </w:rPr>
              <w:t>0</w:t>
            </w:r>
          </w:p>
        </w:tc>
        <w:tc>
          <w:tcPr>
            <w:tcW w:w="713" w:type="dxa"/>
            <w:vAlign w:val="center"/>
          </w:tcPr>
          <w:p w:rsidR="00A6487C" w:rsidRDefault="007E6C80">
            <w:pPr>
              <w:spacing w:before="40" w:after="40"/>
              <w:jc w:val="right"/>
              <w:rPr>
                <w:noProof/>
                <w:sz w:val="20"/>
              </w:rPr>
            </w:pPr>
            <w:r>
              <w:rPr>
                <w:noProof/>
                <w:sz w:val="20"/>
              </w:rPr>
              <w:t>0</w:t>
            </w:r>
          </w:p>
        </w:tc>
        <w:tc>
          <w:tcPr>
            <w:tcW w:w="1200" w:type="dxa"/>
            <w:gridSpan w:val="3"/>
            <w:vAlign w:val="center"/>
          </w:tcPr>
          <w:p w:rsidR="00A6487C" w:rsidRDefault="007E6C80">
            <w:pPr>
              <w:spacing w:before="40" w:after="40"/>
              <w:jc w:val="right"/>
              <w:rPr>
                <w:noProof/>
                <w:sz w:val="20"/>
              </w:rPr>
            </w:pPr>
            <w:r>
              <w:rPr>
                <w:noProof/>
                <w:sz w:val="20"/>
              </w:rPr>
              <w:t>0</w:t>
            </w:r>
          </w:p>
        </w:tc>
        <w:tc>
          <w:tcPr>
            <w:tcW w:w="707" w:type="dxa"/>
            <w:vAlign w:val="center"/>
          </w:tcPr>
          <w:p w:rsidR="00A6487C" w:rsidRDefault="00A6487C">
            <w:pPr>
              <w:spacing w:before="40" w:after="40"/>
              <w:jc w:val="right"/>
              <w:rPr>
                <w:b/>
                <w:noProof/>
                <w:sz w:val="20"/>
              </w:rPr>
            </w:pPr>
          </w:p>
        </w:tc>
        <w:tc>
          <w:tcPr>
            <w:tcW w:w="838" w:type="dxa"/>
            <w:gridSpan w:val="2"/>
            <w:vAlign w:val="center"/>
          </w:tcPr>
          <w:p w:rsidR="00A6487C" w:rsidRDefault="00A6487C">
            <w:pPr>
              <w:spacing w:before="40" w:after="40"/>
              <w:jc w:val="right"/>
              <w:rPr>
                <w:b/>
                <w:noProof/>
                <w:sz w:val="20"/>
              </w:rPr>
            </w:pPr>
          </w:p>
        </w:tc>
        <w:tc>
          <w:tcPr>
            <w:tcW w:w="867" w:type="dxa"/>
            <w:gridSpan w:val="3"/>
            <w:vAlign w:val="center"/>
          </w:tcPr>
          <w:p w:rsidR="00A6487C" w:rsidRDefault="00A6487C">
            <w:pPr>
              <w:spacing w:before="40" w:after="40"/>
              <w:jc w:val="right"/>
              <w:rPr>
                <w:b/>
                <w:noProof/>
                <w:sz w:val="20"/>
              </w:rPr>
            </w:pPr>
          </w:p>
        </w:tc>
        <w:tc>
          <w:tcPr>
            <w:tcW w:w="1781" w:type="dxa"/>
            <w:gridSpan w:val="3"/>
            <w:vAlign w:val="center"/>
          </w:tcPr>
          <w:p w:rsidR="00A6487C" w:rsidRDefault="007E6C80">
            <w:pPr>
              <w:spacing w:before="40" w:after="40"/>
              <w:jc w:val="right"/>
              <w:rPr>
                <w:b/>
                <w:noProof/>
                <w:sz w:val="20"/>
              </w:rPr>
            </w:pPr>
            <w:r>
              <w:rPr>
                <w:b/>
                <w:noProof/>
                <w:sz w:val="20"/>
              </w:rPr>
              <w:t>0,000</w:t>
            </w:r>
          </w:p>
        </w:tc>
      </w:tr>
      <w:tr w:rsidR="00A6487C">
        <w:tblPrEx>
          <w:jc w:val="left"/>
        </w:tblPrEx>
        <w:trPr>
          <w:gridBefore w:val="1"/>
          <w:gridAfter w:val="2"/>
          <w:wBefore w:w="112" w:type="dxa"/>
          <w:wAfter w:w="51" w:type="dxa"/>
        </w:trPr>
        <w:tc>
          <w:tcPr>
            <w:tcW w:w="4524" w:type="dxa"/>
            <w:gridSpan w:val="2"/>
            <w:vMerge w:val="restart"/>
            <w:vAlign w:val="center"/>
          </w:tcPr>
          <w:p w:rsidR="00A6487C" w:rsidRDefault="007E6C80">
            <w:pPr>
              <w:jc w:val="center"/>
              <w:rPr>
                <w:b/>
                <w:noProof/>
              </w:rPr>
            </w:pPr>
            <w:r>
              <w:rPr>
                <w:b/>
                <w:noProof/>
                <w:sz w:val="22"/>
              </w:rPr>
              <w:t>Rozpočtové prostriedky</w:t>
            </w:r>
            <w:r>
              <w:rPr>
                <w:noProof/>
                <w:sz w:val="22"/>
              </w:rPr>
              <w:br/>
            </w:r>
            <w:r>
              <w:rPr>
                <w:b/>
                <w:noProof/>
                <w:sz w:val="22"/>
              </w:rPr>
              <w:t>pre GR FPI/DEVCO SPOLU</w:t>
            </w:r>
          </w:p>
        </w:tc>
        <w:tc>
          <w:tcPr>
            <w:tcW w:w="1437" w:type="dxa"/>
            <w:gridSpan w:val="4"/>
            <w:vAlign w:val="center"/>
          </w:tcPr>
          <w:p w:rsidR="00A6487C" w:rsidRDefault="007E6C80">
            <w:pPr>
              <w:rPr>
                <w:noProof/>
                <w:sz w:val="18"/>
              </w:rPr>
            </w:pPr>
            <w:r>
              <w:rPr>
                <w:noProof/>
                <w:sz w:val="18"/>
              </w:rPr>
              <w:t>Záväzky</w:t>
            </w:r>
          </w:p>
        </w:tc>
        <w:tc>
          <w:tcPr>
            <w:tcW w:w="700" w:type="dxa"/>
            <w:vAlign w:val="center"/>
          </w:tcPr>
          <w:p w:rsidR="00A6487C" w:rsidRDefault="007E6C80">
            <w:pPr>
              <w:jc w:val="center"/>
              <w:rPr>
                <w:noProof/>
                <w:sz w:val="14"/>
              </w:rPr>
            </w:pPr>
            <w:r>
              <w:rPr>
                <w:noProof/>
                <w:sz w:val="14"/>
              </w:rPr>
              <w:t>= 1 + 1a + 1b + 3</w:t>
            </w:r>
          </w:p>
        </w:tc>
        <w:tc>
          <w:tcPr>
            <w:tcW w:w="715" w:type="dxa"/>
            <w:gridSpan w:val="2"/>
            <w:vAlign w:val="center"/>
          </w:tcPr>
          <w:p w:rsidR="00A6487C" w:rsidRDefault="007E6C80">
            <w:pPr>
              <w:spacing w:before="20" w:after="20"/>
              <w:jc w:val="right"/>
              <w:rPr>
                <w:noProof/>
                <w:sz w:val="20"/>
              </w:rPr>
            </w:pPr>
            <w:r>
              <w:rPr>
                <w:noProof/>
                <w:sz w:val="20"/>
              </w:rPr>
              <w:t>10,0</w:t>
            </w:r>
          </w:p>
        </w:tc>
        <w:tc>
          <w:tcPr>
            <w:tcW w:w="875" w:type="dxa"/>
            <w:gridSpan w:val="3"/>
            <w:vAlign w:val="center"/>
          </w:tcPr>
          <w:p w:rsidR="00A6487C" w:rsidRDefault="007E6C80">
            <w:pPr>
              <w:spacing w:before="20" w:after="20"/>
              <w:jc w:val="right"/>
              <w:rPr>
                <w:noProof/>
                <w:sz w:val="20"/>
              </w:rPr>
            </w:pPr>
            <w:r>
              <w:rPr>
                <w:noProof/>
                <w:sz w:val="20"/>
              </w:rPr>
              <w:t>30,0</w:t>
            </w:r>
          </w:p>
        </w:tc>
        <w:tc>
          <w:tcPr>
            <w:tcW w:w="713" w:type="dxa"/>
            <w:vAlign w:val="center"/>
          </w:tcPr>
          <w:p w:rsidR="00A6487C" w:rsidRDefault="007E6C80">
            <w:pPr>
              <w:spacing w:before="20" w:after="20"/>
              <w:jc w:val="right"/>
              <w:rPr>
                <w:noProof/>
                <w:sz w:val="20"/>
              </w:rPr>
            </w:pPr>
            <w:r>
              <w:rPr>
                <w:noProof/>
                <w:sz w:val="20"/>
              </w:rPr>
              <w:t>30,0</w:t>
            </w:r>
          </w:p>
        </w:tc>
        <w:tc>
          <w:tcPr>
            <w:tcW w:w="1200" w:type="dxa"/>
            <w:gridSpan w:val="3"/>
            <w:vAlign w:val="center"/>
          </w:tcPr>
          <w:p w:rsidR="00A6487C" w:rsidRDefault="007E6C80">
            <w:pPr>
              <w:spacing w:before="20" w:after="20"/>
              <w:jc w:val="right"/>
              <w:rPr>
                <w:noProof/>
                <w:sz w:val="20"/>
              </w:rPr>
            </w:pPr>
            <w:r>
              <w:rPr>
                <w:noProof/>
                <w:sz w:val="20"/>
              </w:rPr>
              <w:t>30,0</w:t>
            </w:r>
          </w:p>
        </w:tc>
        <w:tc>
          <w:tcPr>
            <w:tcW w:w="707" w:type="dxa"/>
            <w:vAlign w:val="center"/>
          </w:tcPr>
          <w:p w:rsidR="00A6487C" w:rsidRDefault="00A6487C">
            <w:pPr>
              <w:spacing w:before="20" w:after="20"/>
              <w:jc w:val="right"/>
              <w:rPr>
                <w:noProof/>
                <w:sz w:val="20"/>
              </w:rPr>
            </w:pPr>
          </w:p>
        </w:tc>
        <w:tc>
          <w:tcPr>
            <w:tcW w:w="838" w:type="dxa"/>
            <w:gridSpan w:val="2"/>
            <w:vAlign w:val="center"/>
          </w:tcPr>
          <w:p w:rsidR="00A6487C" w:rsidRDefault="00A6487C">
            <w:pPr>
              <w:spacing w:before="20" w:after="20"/>
              <w:jc w:val="right"/>
              <w:rPr>
                <w:noProof/>
                <w:sz w:val="20"/>
              </w:rPr>
            </w:pPr>
          </w:p>
        </w:tc>
        <w:tc>
          <w:tcPr>
            <w:tcW w:w="867" w:type="dxa"/>
            <w:gridSpan w:val="3"/>
            <w:vAlign w:val="center"/>
          </w:tcPr>
          <w:p w:rsidR="00A6487C" w:rsidRDefault="00A6487C">
            <w:pPr>
              <w:spacing w:before="20" w:after="20"/>
              <w:jc w:val="right"/>
              <w:rPr>
                <w:b/>
                <w:noProof/>
                <w:sz w:val="20"/>
              </w:rPr>
            </w:pPr>
          </w:p>
        </w:tc>
        <w:tc>
          <w:tcPr>
            <w:tcW w:w="1781" w:type="dxa"/>
            <w:gridSpan w:val="3"/>
            <w:vAlign w:val="center"/>
          </w:tcPr>
          <w:p w:rsidR="00A6487C" w:rsidRDefault="007E6C80">
            <w:pPr>
              <w:spacing w:before="20" w:after="20"/>
              <w:jc w:val="right"/>
              <w:rPr>
                <w:b/>
                <w:noProof/>
                <w:sz w:val="20"/>
              </w:rPr>
            </w:pPr>
            <w:r>
              <w:rPr>
                <w:b/>
                <w:noProof/>
                <w:sz w:val="20"/>
              </w:rPr>
              <w:t>100,000</w:t>
            </w:r>
          </w:p>
        </w:tc>
      </w:tr>
      <w:tr w:rsidR="00A6487C">
        <w:tblPrEx>
          <w:jc w:val="left"/>
        </w:tblPrEx>
        <w:trPr>
          <w:gridBefore w:val="1"/>
          <w:gridAfter w:val="2"/>
          <w:wBefore w:w="112" w:type="dxa"/>
          <w:wAfter w:w="51" w:type="dxa"/>
        </w:trPr>
        <w:tc>
          <w:tcPr>
            <w:tcW w:w="4524" w:type="dxa"/>
            <w:gridSpan w:val="2"/>
            <w:vMerge/>
          </w:tcPr>
          <w:p w:rsidR="00A6487C" w:rsidRDefault="00A6487C">
            <w:pPr>
              <w:rPr>
                <w:noProof/>
                <w:sz w:val="20"/>
              </w:rPr>
            </w:pPr>
          </w:p>
        </w:tc>
        <w:tc>
          <w:tcPr>
            <w:tcW w:w="1437" w:type="dxa"/>
            <w:gridSpan w:val="4"/>
            <w:vAlign w:val="center"/>
          </w:tcPr>
          <w:p w:rsidR="00A6487C" w:rsidRDefault="007E6C80">
            <w:pPr>
              <w:rPr>
                <w:noProof/>
                <w:sz w:val="18"/>
              </w:rPr>
            </w:pPr>
            <w:r>
              <w:rPr>
                <w:noProof/>
                <w:sz w:val="18"/>
              </w:rPr>
              <w:t>Platby</w:t>
            </w:r>
          </w:p>
        </w:tc>
        <w:tc>
          <w:tcPr>
            <w:tcW w:w="700" w:type="dxa"/>
            <w:vAlign w:val="center"/>
          </w:tcPr>
          <w:p w:rsidR="00A6487C" w:rsidRDefault="007E6C80">
            <w:pPr>
              <w:jc w:val="center"/>
              <w:rPr>
                <w:noProof/>
                <w:sz w:val="14"/>
              </w:rPr>
            </w:pPr>
            <w:r>
              <w:rPr>
                <w:noProof/>
                <w:sz w:val="14"/>
              </w:rPr>
              <w:t>= 2 + 2a + 2b</w:t>
            </w:r>
          </w:p>
          <w:p w:rsidR="00A6487C" w:rsidRDefault="007E6C80">
            <w:pPr>
              <w:jc w:val="center"/>
              <w:rPr>
                <w:noProof/>
                <w:sz w:val="14"/>
              </w:rPr>
            </w:pPr>
            <w:r>
              <w:rPr>
                <w:noProof/>
                <w:sz w:val="14"/>
              </w:rPr>
              <w:t>+ 3 + 3a</w:t>
            </w:r>
          </w:p>
        </w:tc>
        <w:tc>
          <w:tcPr>
            <w:tcW w:w="715" w:type="dxa"/>
            <w:gridSpan w:val="2"/>
            <w:vAlign w:val="center"/>
          </w:tcPr>
          <w:p w:rsidR="00A6487C" w:rsidRDefault="007E6C80">
            <w:pPr>
              <w:spacing w:before="20" w:after="20"/>
              <w:jc w:val="right"/>
              <w:rPr>
                <w:noProof/>
                <w:sz w:val="20"/>
              </w:rPr>
            </w:pPr>
            <w:r>
              <w:rPr>
                <w:noProof/>
                <w:sz w:val="20"/>
              </w:rPr>
              <w:t>0</w:t>
            </w:r>
          </w:p>
        </w:tc>
        <w:tc>
          <w:tcPr>
            <w:tcW w:w="875" w:type="dxa"/>
            <w:gridSpan w:val="3"/>
            <w:vAlign w:val="center"/>
          </w:tcPr>
          <w:p w:rsidR="00A6487C" w:rsidRDefault="007E6C80">
            <w:pPr>
              <w:spacing w:before="20" w:after="20"/>
              <w:jc w:val="right"/>
              <w:rPr>
                <w:noProof/>
                <w:sz w:val="20"/>
              </w:rPr>
            </w:pPr>
            <w:r>
              <w:rPr>
                <w:noProof/>
                <w:sz w:val="20"/>
              </w:rPr>
              <w:t>14,0</w:t>
            </w:r>
          </w:p>
        </w:tc>
        <w:tc>
          <w:tcPr>
            <w:tcW w:w="713" w:type="dxa"/>
            <w:vAlign w:val="center"/>
          </w:tcPr>
          <w:p w:rsidR="00A6487C" w:rsidRDefault="007E6C80">
            <w:pPr>
              <w:spacing w:before="20" w:after="20"/>
              <w:jc w:val="right"/>
              <w:rPr>
                <w:noProof/>
                <w:sz w:val="20"/>
              </w:rPr>
            </w:pPr>
            <w:r>
              <w:rPr>
                <w:noProof/>
                <w:sz w:val="20"/>
              </w:rPr>
              <w:t>21,0</w:t>
            </w:r>
          </w:p>
        </w:tc>
        <w:tc>
          <w:tcPr>
            <w:tcW w:w="1200" w:type="dxa"/>
            <w:gridSpan w:val="3"/>
            <w:vAlign w:val="center"/>
          </w:tcPr>
          <w:p w:rsidR="00A6487C" w:rsidRDefault="007E6C80">
            <w:pPr>
              <w:spacing w:before="20" w:after="20"/>
              <w:jc w:val="right"/>
              <w:rPr>
                <w:noProof/>
                <w:sz w:val="20"/>
              </w:rPr>
            </w:pPr>
            <w:r>
              <w:rPr>
                <w:noProof/>
                <w:sz w:val="20"/>
              </w:rPr>
              <w:t>28,0</w:t>
            </w:r>
          </w:p>
        </w:tc>
        <w:tc>
          <w:tcPr>
            <w:tcW w:w="707" w:type="dxa"/>
            <w:vAlign w:val="center"/>
          </w:tcPr>
          <w:p w:rsidR="00A6487C" w:rsidRDefault="00A6487C">
            <w:pPr>
              <w:spacing w:before="20" w:after="20"/>
              <w:jc w:val="right"/>
              <w:rPr>
                <w:noProof/>
                <w:sz w:val="20"/>
              </w:rPr>
            </w:pPr>
          </w:p>
        </w:tc>
        <w:tc>
          <w:tcPr>
            <w:tcW w:w="838" w:type="dxa"/>
            <w:gridSpan w:val="2"/>
            <w:vAlign w:val="center"/>
          </w:tcPr>
          <w:p w:rsidR="00A6487C" w:rsidRDefault="00A6487C">
            <w:pPr>
              <w:spacing w:before="20" w:after="20"/>
              <w:jc w:val="right"/>
              <w:rPr>
                <w:noProof/>
                <w:sz w:val="20"/>
              </w:rPr>
            </w:pPr>
          </w:p>
        </w:tc>
        <w:tc>
          <w:tcPr>
            <w:tcW w:w="867" w:type="dxa"/>
            <w:gridSpan w:val="3"/>
            <w:vAlign w:val="center"/>
          </w:tcPr>
          <w:p w:rsidR="00A6487C" w:rsidRDefault="00A6487C">
            <w:pPr>
              <w:spacing w:before="20" w:after="20"/>
              <w:jc w:val="right"/>
              <w:rPr>
                <w:b/>
                <w:noProof/>
                <w:sz w:val="20"/>
              </w:rPr>
            </w:pPr>
          </w:p>
        </w:tc>
        <w:tc>
          <w:tcPr>
            <w:tcW w:w="1781" w:type="dxa"/>
            <w:gridSpan w:val="3"/>
            <w:vAlign w:val="center"/>
          </w:tcPr>
          <w:p w:rsidR="00A6487C" w:rsidRDefault="007E6C80">
            <w:pPr>
              <w:spacing w:before="20" w:after="20"/>
              <w:jc w:val="right"/>
              <w:rPr>
                <w:b/>
                <w:noProof/>
                <w:sz w:val="20"/>
              </w:rPr>
            </w:pPr>
            <w:r>
              <w:rPr>
                <w:b/>
                <w:noProof/>
                <w:sz w:val="20"/>
              </w:rPr>
              <w:t>66,600</w:t>
            </w:r>
          </w:p>
        </w:tc>
      </w:tr>
    </w:tbl>
    <w:p w:rsidR="00A6487C" w:rsidRDefault="007E6C80">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6487C">
        <w:trPr>
          <w:jc w:val="center"/>
        </w:trPr>
        <w:tc>
          <w:tcPr>
            <w:tcW w:w="4744" w:type="dxa"/>
            <w:shd w:val="thinDiagStripe" w:color="C0C0C0" w:fill="auto"/>
            <w:vAlign w:val="center"/>
          </w:tcPr>
          <w:p w:rsidR="00A6487C" w:rsidRDefault="007E6C80">
            <w:pPr>
              <w:spacing w:before="60" w:after="60"/>
              <w:jc w:val="center"/>
              <w:rPr>
                <w:b/>
                <w:noProof/>
              </w:rPr>
            </w:pPr>
            <w:r>
              <w:rPr>
                <w:noProof/>
              </w:rPr>
              <w:lastRenderedPageBreak/>
              <w:br w:type="page"/>
            </w:r>
            <w:r>
              <w:rPr>
                <w:b/>
                <w:noProof/>
                <w:sz w:val="22"/>
              </w:rPr>
              <w:t xml:space="preserve">Okruh viacročného finančného </w:t>
            </w:r>
            <w:r>
              <w:rPr>
                <w:noProof/>
                <w:sz w:val="22"/>
              </w:rPr>
              <w:br/>
            </w:r>
            <w:r>
              <w:rPr>
                <w:b/>
                <w:noProof/>
                <w:sz w:val="22"/>
              </w:rPr>
              <w:t xml:space="preserve">rámca </w:t>
            </w:r>
          </w:p>
        </w:tc>
        <w:tc>
          <w:tcPr>
            <w:tcW w:w="1080" w:type="dxa"/>
            <w:shd w:val="thinDiagStripe" w:color="C0C0C0" w:fill="auto"/>
            <w:vAlign w:val="center"/>
          </w:tcPr>
          <w:p w:rsidR="00A6487C" w:rsidRDefault="007E6C80">
            <w:pPr>
              <w:spacing w:before="60" w:after="60"/>
              <w:jc w:val="center"/>
              <w:rPr>
                <w:noProof/>
              </w:rPr>
            </w:pPr>
            <w:r>
              <w:rPr>
                <w:b/>
                <w:noProof/>
                <w:sz w:val="22"/>
              </w:rPr>
              <w:t>5</w:t>
            </w:r>
          </w:p>
        </w:tc>
        <w:tc>
          <w:tcPr>
            <w:tcW w:w="7817" w:type="dxa"/>
            <w:vAlign w:val="center"/>
          </w:tcPr>
          <w:p w:rsidR="00A6487C" w:rsidRDefault="007E6C80">
            <w:pPr>
              <w:spacing w:before="60" w:after="60"/>
              <w:rPr>
                <w:noProof/>
              </w:rPr>
            </w:pPr>
            <w:r>
              <w:rPr>
                <w:noProof/>
                <w:sz w:val="22"/>
              </w:rPr>
              <w:t>„Administratívne výdavky“</w:t>
            </w:r>
          </w:p>
        </w:tc>
      </w:tr>
    </w:tbl>
    <w:p w:rsidR="00A6487C" w:rsidRDefault="007E6C80">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A6487C">
        <w:tc>
          <w:tcPr>
            <w:tcW w:w="3960" w:type="dxa"/>
            <w:tcBorders>
              <w:top w:val="nil"/>
              <w:left w:val="nil"/>
              <w:right w:val="nil"/>
            </w:tcBorders>
            <w:vAlign w:val="center"/>
          </w:tcPr>
          <w:p w:rsidR="00A6487C" w:rsidRDefault="00A6487C">
            <w:pPr>
              <w:jc w:val="center"/>
              <w:rPr>
                <w:noProof/>
              </w:rPr>
            </w:pPr>
          </w:p>
        </w:tc>
        <w:tc>
          <w:tcPr>
            <w:tcW w:w="1560" w:type="dxa"/>
            <w:tcBorders>
              <w:top w:val="nil"/>
              <w:left w:val="nil"/>
              <w:right w:val="nil"/>
            </w:tcBorders>
          </w:tcPr>
          <w:p w:rsidR="00A6487C" w:rsidRDefault="00A6487C">
            <w:pPr>
              <w:rPr>
                <w:noProof/>
                <w:sz w:val="20"/>
              </w:rPr>
            </w:pPr>
          </w:p>
        </w:tc>
        <w:tc>
          <w:tcPr>
            <w:tcW w:w="534" w:type="dxa"/>
            <w:tcBorders>
              <w:top w:val="nil"/>
              <w:left w:val="nil"/>
            </w:tcBorders>
          </w:tcPr>
          <w:p w:rsidR="00A6487C" w:rsidRDefault="00A6487C">
            <w:pPr>
              <w:jc w:val="center"/>
              <w:rPr>
                <w:noProof/>
                <w:sz w:val="20"/>
              </w:rPr>
            </w:pPr>
          </w:p>
        </w:tc>
        <w:tc>
          <w:tcPr>
            <w:tcW w:w="868" w:type="dxa"/>
            <w:vAlign w:val="center"/>
          </w:tcPr>
          <w:p w:rsidR="00A6487C" w:rsidRDefault="007E6C80">
            <w:pPr>
              <w:jc w:val="center"/>
              <w:rPr>
                <w:noProof/>
                <w:sz w:val="20"/>
              </w:rPr>
            </w:pPr>
            <w:r>
              <w:rPr>
                <w:noProof/>
                <w:sz w:val="20"/>
              </w:rPr>
              <w:t>Rok</w:t>
            </w:r>
            <w:r>
              <w:rPr>
                <w:noProof/>
                <w:sz w:val="22"/>
              </w:rPr>
              <w:br/>
            </w:r>
            <w:r>
              <w:rPr>
                <w:b/>
                <w:noProof/>
                <w:sz w:val="20"/>
              </w:rPr>
              <w:t>N</w:t>
            </w:r>
          </w:p>
        </w:tc>
        <w:tc>
          <w:tcPr>
            <w:tcW w:w="868" w:type="dxa"/>
            <w:vAlign w:val="center"/>
          </w:tcPr>
          <w:p w:rsidR="00A6487C" w:rsidRDefault="007E6C80">
            <w:pPr>
              <w:jc w:val="center"/>
              <w:rPr>
                <w:noProof/>
                <w:sz w:val="20"/>
              </w:rPr>
            </w:pPr>
            <w:r>
              <w:rPr>
                <w:noProof/>
                <w:sz w:val="20"/>
              </w:rPr>
              <w:t>Rok</w:t>
            </w:r>
            <w:r>
              <w:rPr>
                <w:noProof/>
                <w:sz w:val="22"/>
              </w:rPr>
              <w:br/>
            </w:r>
            <w:r>
              <w:rPr>
                <w:b/>
                <w:noProof/>
                <w:sz w:val="20"/>
              </w:rPr>
              <w:t>N+1</w:t>
            </w:r>
          </w:p>
        </w:tc>
        <w:tc>
          <w:tcPr>
            <w:tcW w:w="868" w:type="dxa"/>
            <w:vAlign w:val="center"/>
          </w:tcPr>
          <w:p w:rsidR="00A6487C" w:rsidRDefault="007E6C80">
            <w:pPr>
              <w:jc w:val="center"/>
              <w:rPr>
                <w:noProof/>
                <w:sz w:val="20"/>
              </w:rPr>
            </w:pPr>
            <w:r>
              <w:rPr>
                <w:noProof/>
                <w:sz w:val="20"/>
              </w:rPr>
              <w:t>Rok</w:t>
            </w:r>
            <w:r>
              <w:rPr>
                <w:noProof/>
                <w:sz w:val="22"/>
              </w:rPr>
              <w:br/>
            </w:r>
            <w:r>
              <w:rPr>
                <w:b/>
                <w:noProof/>
                <w:sz w:val="20"/>
              </w:rPr>
              <w:t>N+2</w:t>
            </w:r>
          </w:p>
        </w:tc>
        <w:tc>
          <w:tcPr>
            <w:tcW w:w="868" w:type="dxa"/>
            <w:vAlign w:val="center"/>
          </w:tcPr>
          <w:p w:rsidR="00A6487C" w:rsidRDefault="007E6C80">
            <w:pPr>
              <w:jc w:val="center"/>
              <w:rPr>
                <w:noProof/>
                <w:sz w:val="20"/>
              </w:rPr>
            </w:pPr>
            <w:r>
              <w:rPr>
                <w:noProof/>
                <w:sz w:val="20"/>
              </w:rPr>
              <w:t>Rok</w:t>
            </w:r>
            <w:r>
              <w:rPr>
                <w:noProof/>
                <w:sz w:val="22"/>
              </w:rPr>
              <w:br/>
            </w:r>
            <w:r>
              <w:rPr>
                <w:b/>
                <w:noProof/>
                <w:sz w:val="20"/>
              </w:rPr>
              <w:t>N+3</w:t>
            </w:r>
          </w:p>
        </w:tc>
        <w:tc>
          <w:tcPr>
            <w:tcW w:w="2604" w:type="dxa"/>
            <w:gridSpan w:val="3"/>
            <w:vAlign w:val="center"/>
          </w:tcPr>
          <w:p w:rsidR="00A6487C" w:rsidRDefault="007E6C80">
            <w:pPr>
              <w:jc w:val="center"/>
              <w:rPr>
                <w:b/>
                <w:noProof/>
                <w:sz w:val="18"/>
              </w:rPr>
            </w:pPr>
            <w:r>
              <w:rPr>
                <w:noProof/>
                <w:sz w:val="18"/>
              </w:rPr>
              <w:t xml:space="preserve">Uveďte všetky roky, počas ktorých vplyv trvá (pozri bod 1.6) </w:t>
            </w:r>
          </w:p>
        </w:tc>
        <w:tc>
          <w:tcPr>
            <w:tcW w:w="1777" w:type="dxa"/>
            <w:vAlign w:val="center"/>
          </w:tcPr>
          <w:p w:rsidR="00A6487C" w:rsidRDefault="007E6C80">
            <w:pPr>
              <w:jc w:val="center"/>
              <w:rPr>
                <w:b/>
                <w:noProof/>
                <w:sz w:val="20"/>
              </w:rPr>
            </w:pPr>
            <w:r>
              <w:rPr>
                <w:b/>
                <w:noProof/>
                <w:sz w:val="20"/>
              </w:rPr>
              <w:t>SPOLU</w:t>
            </w:r>
          </w:p>
        </w:tc>
      </w:tr>
      <w:tr w:rsidR="00A6487C">
        <w:trPr>
          <w:gridAfter w:val="10"/>
          <w:wAfter w:w="9947" w:type="dxa"/>
        </w:trPr>
        <w:tc>
          <w:tcPr>
            <w:tcW w:w="3960" w:type="dxa"/>
            <w:vAlign w:val="center"/>
          </w:tcPr>
          <w:p w:rsidR="00A6487C" w:rsidRDefault="007E6C80">
            <w:pPr>
              <w:spacing w:before="60" w:after="60"/>
              <w:jc w:val="center"/>
              <w:rPr>
                <w:noProof/>
              </w:rPr>
            </w:pPr>
            <w:r>
              <w:rPr>
                <w:noProof/>
                <w:sz w:val="22"/>
              </w:rPr>
              <w:t>GR: FPI</w:t>
            </w:r>
          </w:p>
        </w:tc>
      </w:tr>
      <w:tr w:rsidR="00A6487C">
        <w:trPr>
          <w:trHeight w:val="313"/>
        </w:trPr>
        <w:tc>
          <w:tcPr>
            <w:tcW w:w="6054" w:type="dxa"/>
            <w:gridSpan w:val="3"/>
            <w:vAlign w:val="center"/>
          </w:tcPr>
          <w:p w:rsidR="00A6487C" w:rsidRDefault="007E6C80">
            <w:pPr>
              <w:spacing w:before="20" w:after="20"/>
              <w:rPr>
                <w:noProof/>
              </w:rPr>
            </w:pPr>
            <w:r>
              <w:rPr>
                <w:noProof/>
                <w:sz w:val="22"/>
              </w:rPr>
              <w:sym w:font="Wingdings" w:char="F09F"/>
            </w:r>
            <w:r>
              <w:rPr>
                <w:noProof/>
                <w:sz w:val="22"/>
              </w:rPr>
              <w:t xml:space="preserve"> Ľudské zdroje </w:t>
            </w:r>
          </w:p>
        </w:tc>
        <w:tc>
          <w:tcPr>
            <w:tcW w:w="868" w:type="dxa"/>
            <w:vAlign w:val="center"/>
          </w:tcPr>
          <w:p w:rsidR="00A6487C" w:rsidRDefault="007E6C80">
            <w:pPr>
              <w:spacing w:before="20" w:after="20"/>
              <w:jc w:val="right"/>
              <w:rPr>
                <w:noProof/>
                <w:sz w:val="20"/>
              </w:rPr>
            </w:pPr>
            <w:r>
              <w:rPr>
                <w:noProof/>
                <w:sz w:val="20"/>
              </w:rPr>
              <w:t>0,746</w:t>
            </w:r>
          </w:p>
        </w:tc>
        <w:tc>
          <w:tcPr>
            <w:tcW w:w="868" w:type="dxa"/>
            <w:vAlign w:val="center"/>
          </w:tcPr>
          <w:p w:rsidR="00A6487C" w:rsidRDefault="007E6C80">
            <w:pPr>
              <w:spacing w:before="20" w:after="20"/>
              <w:jc w:val="right"/>
              <w:rPr>
                <w:noProof/>
                <w:sz w:val="20"/>
              </w:rPr>
            </w:pPr>
            <w:r>
              <w:rPr>
                <w:noProof/>
                <w:sz w:val="20"/>
              </w:rPr>
              <w:t>0,746</w:t>
            </w:r>
          </w:p>
        </w:tc>
        <w:tc>
          <w:tcPr>
            <w:tcW w:w="868" w:type="dxa"/>
            <w:vAlign w:val="center"/>
          </w:tcPr>
          <w:p w:rsidR="00A6487C" w:rsidRDefault="007E6C80">
            <w:pPr>
              <w:spacing w:before="20" w:after="20"/>
              <w:jc w:val="right"/>
              <w:rPr>
                <w:noProof/>
                <w:sz w:val="20"/>
              </w:rPr>
            </w:pPr>
            <w:r>
              <w:rPr>
                <w:noProof/>
                <w:sz w:val="20"/>
              </w:rPr>
              <w:t>0,746</w:t>
            </w:r>
          </w:p>
        </w:tc>
        <w:tc>
          <w:tcPr>
            <w:tcW w:w="868" w:type="dxa"/>
            <w:vAlign w:val="center"/>
          </w:tcPr>
          <w:p w:rsidR="00A6487C" w:rsidRDefault="007E6C80">
            <w:pPr>
              <w:spacing w:before="20" w:after="20"/>
              <w:jc w:val="right"/>
              <w:rPr>
                <w:noProof/>
                <w:sz w:val="20"/>
              </w:rPr>
            </w:pPr>
            <w:r>
              <w:rPr>
                <w:noProof/>
                <w:sz w:val="20"/>
              </w:rPr>
              <w:t>0,746</w:t>
            </w:r>
          </w:p>
        </w:tc>
        <w:tc>
          <w:tcPr>
            <w:tcW w:w="868" w:type="dxa"/>
            <w:vAlign w:val="center"/>
          </w:tcPr>
          <w:p w:rsidR="00A6487C" w:rsidRDefault="00A6487C">
            <w:pPr>
              <w:spacing w:before="20" w:after="20"/>
              <w:jc w:val="right"/>
              <w:rPr>
                <w:noProof/>
                <w:sz w:val="20"/>
              </w:rPr>
            </w:pPr>
          </w:p>
        </w:tc>
        <w:tc>
          <w:tcPr>
            <w:tcW w:w="868" w:type="dxa"/>
            <w:vAlign w:val="center"/>
          </w:tcPr>
          <w:p w:rsidR="00A6487C" w:rsidRDefault="00A6487C">
            <w:pPr>
              <w:spacing w:before="20" w:after="20"/>
              <w:jc w:val="right"/>
              <w:rPr>
                <w:noProof/>
                <w:sz w:val="20"/>
              </w:rPr>
            </w:pPr>
          </w:p>
        </w:tc>
        <w:tc>
          <w:tcPr>
            <w:tcW w:w="868" w:type="dxa"/>
            <w:vAlign w:val="center"/>
          </w:tcPr>
          <w:p w:rsidR="00A6487C" w:rsidRDefault="00A6487C">
            <w:pPr>
              <w:spacing w:before="20" w:after="20"/>
              <w:jc w:val="right"/>
              <w:rPr>
                <w:b/>
                <w:noProof/>
                <w:sz w:val="20"/>
              </w:rPr>
            </w:pPr>
          </w:p>
        </w:tc>
        <w:tc>
          <w:tcPr>
            <w:tcW w:w="1777" w:type="dxa"/>
            <w:vAlign w:val="center"/>
          </w:tcPr>
          <w:p w:rsidR="00A6487C" w:rsidRDefault="007E6C80">
            <w:pPr>
              <w:spacing w:before="20" w:after="20"/>
              <w:jc w:val="right"/>
              <w:rPr>
                <w:b/>
                <w:noProof/>
                <w:sz w:val="20"/>
              </w:rPr>
            </w:pPr>
            <w:r>
              <w:rPr>
                <w:b/>
                <w:noProof/>
                <w:sz w:val="20"/>
              </w:rPr>
              <w:t>2,984</w:t>
            </w:r>
          </w:p>
        </w:tc>
      </w:tr>
      <w:tr w:rsidR="00A6487C">
        <w:trPr>
          <w:trHeight w:val="351"/>
        </w:trPr>
        <w:tc>
          <w:tcPr>
            <w:tcW w:w="6054" w:type="dxa"/>
            <w:gridSpan w:val="3"/>
            <w:vAlign w:val="center"/>
          </w:tcPr>
          <w:p w:rsidR="00A6487C" w:rsidRDefault="007E6C80">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rsidR="00A6487C" w:rsidRDefault="007E6C80">
            <w:pPr>
              <w:spacing w:before="20" w:after="20"/>
              <w:jc w:val="right"/>
              <w:rPr>
                <w:noProof/>
                <w:sz w:val="20"/>
              </w:rPr>
            </w:pPr>
            <w:r>
              <w:rPr>
                <w:noProof/>
                <w:sz w:val="20"/>
              </w:rPr>
              <w:t>0,06</w:t>
            </w:r>
          </w:p>
        </w:tc>
        <w:tc>
          <w:tcPr>
            <w:tcW w:w="868" w:type="dxa"/>
            <w:vAlign w:val="center"/>
          </w:tcPr>
          <w:p w:rsidR="00A6487C" w:rsidRDefault="007E6C80">
            <w:pPr>
              <w:spacing w:before="20" w:after="20"/>
              <w:jc w:val="right"/>
              <w:rPr>
                <w:b/>
                <w:noProof/>
                <w:sz w:val="20"/>
              </w:rPr>
            </w:pPr>
            <w:r>
              <w:rPr>
                <w:noProof/>
                <w:sz w:val="20"/>
              </w:rPr>
              <w:t>0,06</w:t>
            </w:r>
          </w:p>
        </w:tc>
        <w:tc>
          <w:tcPr>
            <w:tcW w:w="868" w:type="dxa"/>
            <w:vAlign w:val="center"/>
          </w:tcPr>
          <w:p w:rsidR="00A6487C" w:rsidRDefault="007E6C80">
            <w:pPr>
              <w:spacing w:before="20" w:after="20"/>
              <w:jc w:val="right"/>
              <w:rPr>
                <w:b/>
                <w:noProof/>
                <w:sz w:val="20"/>
              </w:rPr>
            </w:pPr>
            <w:r>
              <w:rPr>
                <w:noProof/>
                <w:sz w:val="20"/>
              </w:rPr>
              <w:t>0,06</w:t>
            </w:r>
          </w:p>
        </w:tc>
        <w:tc>
          <w:tcPr>
            <w:tcW w:w="868" w:type="dxa"/>
            <w:vAlign w:val="center"/>
          </w:tcPr>
          <w:p w:rsidR="00A6487C" w:rsidRDefault="007E6C80">
            <w:pPr>
              <w:spacing w:before="20" w:after="20"/>
              <w:jc w:val="right"/>
              <w:rPr>
                <w:b/>
                <w:noProof/>
                <w:sz w:val="20"/>
              </w:rPr>
            </w:pPr>
            <w:r>
              <w:rPr>
                <w:noProof/>
                <w:sz w:val="20"/>
              </w:rPr>
              <w:t>0,06</w:t>
            </w:r>
          </w:p>
        </w:tc>
        <w:tc>
          <w:tcPr>
            <w:tcW w:w="868" w:type="dxa"/>
            <w:vAlign w:val="center"/>
          </w:tcPr>
          <w:p w:rsidR="00A6487C" w:rsidRDefault="00A6487C">
            <w:pPr>
              <w:spacing w:before="20" w:after="20"/>
              <w:jc w:val="right"/>
              <w:rPr>
                <w:b/>
                <w:noProof/>
                <w:sz w:val="20"/>
              </w:rPr>
            </w:pPr>
          </w:p>
        </w:tc>
        <w:tc>
          <w:tcPr>
            <w:tcW w:w="868" w:type="dxa"/>
            <w:vAlign w:val="center"/>
          </w:tcPr>
          <w:p w:rsidR="00A6487C" w:rsidRDefault="00A6487C">
            <w:pPr>
              <w:spacing w:before="20" w:after="20"/>
              <w:jc w:val="right"/>
              <w:rPr>
                <w:b/>
                <w:noProof/>
                <w:sz w:val="20"/>
              </w:rPr>
            </w:pPr>
          </w:p>
        </w:tc>
        <w:tc>
          <w:tcPr>
            <w:tcW w:w="868" w:type="dxa"/>
            <w:vAlign w:val="center"/>
          </w:tcPr>
          <w:p w:rsidR="00A6487C" w:rsidRDefault="00A6487C">
            <w:pPr>
              <w:spacing w:before="20" w:after="20"/>
              <w:jc w:val="right"/>
              <w:rPr>
                <w:b/>
                <w:noProof/>
                <w:sz w:val="20"/>
              </w:rPr>
            </w:pPr>
          </w:p>
        </w:tc>
        <w:tc>
          <w:tcPr>
            <w:tcW w:w="1777" w:type="dxa"/>
            <w:vAlign w:val="center"/>
          </w:tcPr>
          <w:p w:rsidR="00A6487C" w:rsidRDefault="007E6C80">
            <w:pPr>
              <w:spacing w:before="20" w:after="20"/>
              <w:jc w:val="right"/>
              <w:rPr>
                <w:b/>
                <w:noProof/>
                <w:sz w:val="20"/>
              </w:rPr>
            </w:pPr>
            <w:r>
              <w:rPr>
                <w:b/>
                <w:noProof/>
                <w:sz w:val="20"/>
              </w:rPr>
              <w:t>0,240</w:t>
            </w:r>
          </w:p>
        </w:tc>
      </w:tr>
      <w:tr w:rsidR="00A6487C">
        <w:tc>
          <w:tcPr>
            <w:tcW w:w="3960" w:type="dxa"/>
            <w:vAlign w:val="center"/>
          </w:tcPr>
          <w:p w:rsidR="00A6487C" w:rsidRDefault="007E6C80">
            <w:pPr>
              <w:jc w:val="center"/>
              <w:rPr>
                <w:b/>
                <w:noProof/>
              </w:rPr>
            </w:pPr>
            <w:r>
              <w:rPr>
                <w:b/>
                <w:noProof/>
                <w:sz w:val="22"/>
              </w:rPr>
              <w:t xml:space="preserve">SPOLU GR </w:t>
            </w:r>
            <w:r>
              <w:rPr>
                <w:noProof/>
                <w:sz w:val="22"/>
              </w:rPr>
              <w:t>FPI</w:t>
            </w:r>
          </w:p>
        </w:tc>
        <w:tc>
          <w:tcPr>
            <w:tcW w:w="2094" w:type="dxa"/>
            <w:gridSpan w:val="2"/>
            <w:vAlign w:val="center"/>
          </w:tcPr>
          <w:p w:rsidR="00A6487C" w:rsidRDefault="007E6C80">
            <w:pPr>
              <w:rPr>
                <w:noProof/>
                <w:sz w:val="14"/>
              </w:rPr>
            </w:pPr>
            <w:r>
              <w:rPr>
                <w:noProof/>
                <w:sz w:val="18"/>
              </w:rPr>
              <w:t xml:space="preserve">Rozpočtové prostriedky </w:t>
            </w:r>
          </w:p>
        </w:tc>
        <w:tc>
          <w:tcPr>
            <w:tcW w:w="868" w:type="dxa"/>
            <w:vAlign w:val="center"/>
          </w:tcPr>
          <w:p w:rsidR="00A6487C" w:rsidRDefault="007E6C80">
            <w:pPr>
              <w:spacing w:before="20" w:after="20"/>
              <w:jc w:val="right"/>
              <w:rPr>
                <w:noProof/>
                <w:sz w:val="20"/>
              </w:rPr>
            </w:pPr>
            <w:r>
              <w:rPr>
                <w:noProof/>
                <w:sz w:val="20"/>
              </w:rPr>
              <w:t>0,806</w:t>
            </w:r>
          </w:p>
        </w:tc>
        <w:tc>
          <w:tcPr>
            <w:tcW w:w="868" w:type="dxa"/>
            <w:vAlign w:val="center"/>
          </w:tcPr>
          <w:p w:rsidR="00A6487C" w:rsidRDefault="007E6C80">
            <w:pPr>
              <w:spacing w:before="20" w:after="20"/>
              <w:jc w:val="right"/>
              <w:rPr>
                <w:noProof/>
                <w:sz w:val="20"/>
              </w:rPr>
            </w:pPr>
            <w:r>
              <w:rPr>
                <w:noProof/>
                <w:sz w:val="20"/>
              </w:rPr>
              <w:t>0,806</w:t>
            </w:r>
          </w:p>
        </w:tc>
        <w:tc>
          <w:tcPr>
            <w:tcW w:w="868" w:type="dxa"/>
            <w:vAlign w:val="center"/>
          </w:tcPr>
          <w:p w:rsidR="00A6487C" w:rsidRDefault="007E6C80">
            <w:pPr>
              <w:spacing w:before="20" w:after="20"/>
              <w:jc w:val="right"/>
              <w:rPr>
                <w:noProof/>
                <w:sz w:val="20"/>
              </w:rPr>
            </w:pPr>
            <w:r>
              <w:rPr>
                <w:noProof/>
                <w:sz w:val="20"/>
              </w:rPr>
              <w:t>0,806</w:t>
            </w:r>
          </w:p>
        </w:tc>
        <w:tc>
          <w:tcPr>
            <w:tcW w:w="868" w:type="dxa"/>
            <w:vAlign w:val="center"/>
          </w:tcPr>
          <w:p w:rsidR="00A6487C" w:rsidRDefault="007E6C80">
            <w:pPr>
              <w:spacing w:before="20" w:after="20"/>
              <w:jc w:val="right"/>
              <w:rPr>
                <w:noProof/>
                <w:sz w:val="20"/>
              </w:rPr>
            </w:pPr>
            <w:r>
              <w:rPr>
                <w:noProof/>
                <w:sz w:val="20"/>
              </w:rPr>
              <w:t>0,806</w:t>
            </w:r>
          </w:p>
        </w:tc>
        <w:tc>
          <w:tcPr>
            <w:tcW w:w="868" w:type="dxa"/>
            <w:vAlign w:val="center"/>
          </w:tcPr>
          <w:p w:rsidR="00A6487C" w:rsidRDefault="00A6487C">
            <w:pPr>
              <w:spacing w:before="20" w:after="20"/>
              <w:jc w:val="right"/>
              <w:rPr>
                <w:noProof/>
                <w:sz w:val="20"/>
              </w:rPr>
            </w:pPr>
          </w:p>
        </w:tc>
        <w:tc>
          <w:tcPr>
            <w:tcW w:w="868" w:type="dxa"/>
            <w:vAlign w:val="center"/>
          </w:tcPr>
          <w:p w:rsidR="00A6487C" w:rsidRDefault="00A6487C">
            <w:pPr>
              <w:spacing w:before="20" w:after="20"/>
              <w:jc w:val="right"/>
              <w:rPr>
                <w:noProof/>
                <w:sz w:val="20"/>
              </w:rPr>
            </w:pPr>
          </w:p>
        </w:tc>
        <w:tc>
          <w:tcPr>
            <w:tcW w:w="868" w:type="dxa"/>
            <w:vAlign w:val="center"/>
          </w:tcPr>
          <w:p w:rsidR="00A6487C" w:rsidRDefault="00A6487C">
            <w:pPr>
              <w:spacing w:before="20" w:after="20"/>
              <w:jc w:val="right"/>
              <w:rPr>
                <w:b/>
                <w:noProof/>
                <w:sz w:val="20"/>
              </w:rPr>
            </w:pPr>
          </w:p>
        </w:tc>
        <w:tc>
          <w:tcPr>
            <w:tcW w:w="1777" w:type="dxa"/>
            <w:vAlign w:val="center"/>
          </w:tcPr>
          <w:p w:rsidR="00A6487C" w:rsidRDefault="007E6C80">
            <w:pPr>
              <w:spacing w:before="20" w:after="20"/>
              <w:jc w:val="right"/>
              <w:rPr>
                <w:b/>
                <w:noProof/>
                <w:sz w:val="20"/>
              </w:rPr>
            </w:pPr>
            <w:r>
              <w:rPr>
                <w:b/>
                <w:noProof/>
                <w:sz w:val="20"/>
              </w:rPr>
              <w:t>3,224</w:t>
            </w:r>
          </w:p>
        </w:tc>
      </w:tr>
      <w:tr w:rsidR="00A6487C">
        <w:trPr>
          <w:gridAfter w:val="10"/>
          <w:wAfter w:w="9947" w:type="dxa"/>
        </w:trPr>
        <w:tc>
          <w:tcPr>
            <w:tcW w:w="3960" w:type="dxa"/>
            <w:vAlign w:val="center"/>
          </w:tcPr>
          <w:p w:rsidR="00A6487C" w:rsidRDefault="007E6C80">
            <w:pPr>
              <w:spacing w:before="60" w:after="60"/>
              <w:jc w:val="center"/>
              <w:rPr>
                <w:noProof/>
              </w:rPr>
            </w:pPr>
            <w:r>
              <w:rPr>
                <w:noProof/>
                <w:sz w:val="22"/>
              </w:rPr>
              <w:t>GR: DEVCO</w:t>
            </w:r>
          </w:p>
        </w:tc>
      </w:tr>
      <w:tr w:rsidR="00A6487C">
        <w:trPr>
          <w:trHeight w:val="313"/>
        </w:trPr>
        <w:tc>
          <w:tcPr>
            <w:tcW w:w="6054" w:type="dxa"/>
            <w:gridSpan w:val="3"/>
            <w:vAlign w:val="center"/>
          </w:tcPr>
          <w:p w:rsidR="00A6487C" w:rsidRDefault="007E6C80">
            <w:pPr>
              <w:spacing w:before="20" w:after="20"/>
              <w:rPr>
                <w:noProof/>
              </w:rPr>
            </w:pPr>
            <w:r>
              <w:rPr>
                <w:noProof/>
                <w:sz w:val="22"/>
              </w:rPr>
              <w:sym w:font="Wingdings" w:char="F09F"/>
            </w:r>
            <w:r>
              <w:rPr>
                <w:noProof/>
                <w:sz w:val="22"/>
              </w:rPr>
              <w:t xml:space="preserve"> Ľudské zdroje </w:t>
            </w:r>
          </w:p>
        </w:tc>
        <w:tc>
          <w:tcPr>
            <w:tcW w:w="868" w:type="dxa"/>
            <w:vAlign w:val="center"/>
          </w:tcPr>
          <w:p w:rsidR="00A6487C" w:rsidRDefault="007E6C80">
            <w:pPr>
              <w:spacing w:before="20" w:after="20"/>
              <w:jc w:val="right"/>
              <w:rPr>
                <w:noProof/>
                <w:sz w:val="20"/>
              </w:rPr>
            </w:pPr>
            <w:r>
              <w:rPr>
                <w:noProof/>
                <w:sz w:val="20"/>
              </w:rPr>
              <w:t>0,140</w:t>
            </w:r>
          </w:p>
        </w:tc>
        <w:tc>
          <w:tcPr>
            <w:tcW w:w="868" w:type="dxa"/>
            <w:vAlign w:val="center"/>
          </w:tcPr>
          <w:p w:rsidR="00A6487C" w:rsidRDefault="007E6C80">
            <w:pPr>
              <w:spacing w:before="20" w:after="20"/>
              <w:jc w:val="right"/>
              <w:rPr>
                <w:noProof/>
                <w:sz w:val="20"/>
              </w:rPr>
            </w:pPr>
            <w:r>
              <w:rPr>
                <w:noProof/>
                <w:sz w:val="20"/>
              </w:rPr>
              <w:t>0,140</w:t>
            </w:r>
          </w:p>
        </w:tc>
        <w:tc>
          <w:tcPr>
            <w:tcW w:w="868" w:type="dxa"/>
            <w:vAlign w:val="center"/>
          </w:tcPr>
          <w:p w:rsidR="00A6487C" w:rsidRDefault="007E6C80">
            <w:pPr>
              <w:spacing w:before="20" w:after="20"/>
              <w:jc w:val="right"/>
              <w:rPr>
                <w:noProof/>
                <w:sz w:val="20"/>
              </w:rPr>
            </w:pPr>
            <w:r>
              <w:rPr>
                <w:noProof/>
                <w:sz w:val="20"/>
              </w:rPr>
              <w:t>0,140</w:t>
            </w:r>
          </w:p>
        </w:tc>
        <w:tc>
          <w:tcPr>
            <w:tcW w:w="868" w:type="dxa"/>
            <w:vAlign w:val="center"/>
          </w:tcPr>
          <w:p w:rsidR="00A6487C" w:rsidRDefault="007E6C80">
            <w:pPr>
              <w:spacing w:before="20" w:after="20"/>
              <w:jc w:val="right"/>
              <w:rPr>
                <w:noProof/>
                <w:sz w:val="20"/>
              </w:rPr>
            </w:pPr>
            <w:r>
              <w:rPr>
                <w:noProof/>
                <w:sz w:val="20"/>
              </w:rPr>
              <w:t>0,140</w:t>
            </w:r>
          </w:p>
        </w:tc>
        <w:tc>
          <w:tcPr>
            <w:tcW w:w="868" w:type="dxa"/>
            <w:vAlign w:val="center"/>
          </w:tcPr>
          <w:p w:rsidR="00A6487C" w:rsidRDefault="00A6487C">
            <w:pPr>
              <w:spacing w:before="20" w:after="20"/>
              <w:jc w:val="right"/>
              <w:rPr>
                <w:noProof/>
                <w:sz w:val="20"/>
              </w:rPr>
            </w:pPr>
          </w:p>
        </w:tc>
        <w:tc>
          <w:tcPr>
            <w:tcW w:w="868" w:type="dxa"/>
            <w:vAlign w:val="center"/>
          </w:tcPr>
          <w:p w:rsidR="00A6487C" w:rsidRDefault="00A6487C">
            <w:pPr>
              <w:spacing w:before="20" w:after="20"/>
              <w:jc w:val="right"/>
              <w:rPr>
                <w:noProof/>
                <w:sz w:val="20"/>
              </w:rPr>
            </w:pPr>
          </w:p>
        </w:tc>
        <w:tc>
          <w:tcPr>
            <w:tcW w:w="868" w:type="dxa"/>
            <w:vAlign w:val="center"/>
          </w:tcPr>
          <w:p w:rsidR="00A6487C" w:rsidRDefault="00A6487C">
            <w:pPr>
              <w:spacing w:before="20" w:after="20"/>
              <w:jc w:val="right"/>
              <w:rPr>
                <w:b/>
                <w:noProof/>
                <w:sz w:val="20"/>
              </w:rPr>
            </w:pPr>
          </w:p>
        </w:tc>
        <w:tc>
          <w:tcPr>
            <w:tcW w:w="1777" w:type="dxa"/>
            <w:vAlign w:val="center"/>
          </w:tcPr>
          <w:p w:rsidR="00A6487C" w:rsidRDefault="007E6C80">
            <w:pPr>
              <w:spacing w:before="20" w:after="20"/>
              <w:jc w:val="right"/>
              <w:rPr>
                <w:b/>
                <w:noProof/>
                <w:sz w:val="20"/>
              </w:rPr>
            </w:pPr>
            <w:r>
              <w:rPr>
                <w:b/>
                <w:noProof/>
                <w:sz w:val="20"/>
              </w:rPr>
              <w:t>0,560</w:t>
            </w:r>
          </w:p>
        </w:tc>
      </w:tr>
      <w:tr w:rsidR="00A6487C">
        <w:trPr>
          <w:trHeight w:val="351"/>
        </w:trPr>
        <w:tc>
          <w:tcPr>
            <w:tcW w:w="6054" w:type="dxa"/>
            <w:gridSpan w:val="3"/>
            <w:vAlign w:val="center"/>
          </w:tcPr>
          <w:p w:rsidR="00A6487C" w:rsidRDefault="007E6C80">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rsidR="00A6487C" w:rsidRDefault="007E6C80">
            <w:pPr>
              <w:spacing w:before="20" w:after="20"/>
              <w:jc w:val="right"/>
              <w:rPr>
                <w:noProof/>
                <w:sz w:val="20"/>
              </w:rPr>
            </w:pPr>
            <w:r>
              <w:rPr>
                <w:noProof/>
                <w:sz w:val="20"/>
              </w:rPr>
              <w:t>0</w:t>
            </w:r>
          </w:p>
        </w:tc>
        <w:tc>
          <w:tcPr>
            <w:tcW w:w="868" w:type="dxa"/>
            <w:vAlign w:val="center"/>
          </w:tcPr>
          <w:p w:rsidR="00A6487C" w:rsidRDefault="007E6C80">
            <w:pPr>
              <w:spacing w:before="20" w:after="20"/>
              <w:jc w:val="right"/>
              <w:rPr>
                <w:b/>
                <w:noProof/>
                <w:sz w:val="20"/>
              </w:rPr>
            </w:pPr>
            <w:r>
              <w:rPr>
                <w:b/>
                <w:noProof/>
                <w:sz w:val="20"/>
              </w:rPr>
              <w:t>0</w:t>
            </w:r>
          </w:p>
        </w:tc>
        <w:tc>
          <w:tcPr>
            <w:tcW w:w="868" w:type="dxa"/>
            <w:vAlign w:val="center"/>
          </w:tcPr>
          <w:p w:rsidR="00A6487C" w:rsidRDefault="007E6C80">
            <w:pPr>
              <w:spacing w:before="20" w:after="20"/>
              <w:jc w:val="right"/>
              <w:rPr>
                <w:b/>
                <w:noProof/>
                <w:sz w:val="20"/>
              </w:rPr>
            </w:pPr>
            <w:r>
              <w:rPr>
                <w:b/>
                <w:noProof/>
                <w:sz w:val="20"/>
              </w:rPr>
              <w:t>0</w:t>
            </w:r>
          </w:p>
        </w:tc>
        <w:tc>
          <w:tcPr>
            <w:tcW w:w="868" w:type="dxa"/>
            <w:vAlign w:val="center"/>
          </w:tcPr>
          <w:p w:rsidR="00A6487C" w:rsidRDefault="007E6C80">
            <w:pPr>
              <w:spacing w:before="20" w:after="20"/>
              <w:jc w:val="right"/>
              <w:rPr>
                <w:b/>
                <w:noProof/>
                <w:sz w:val="20"/>
              </w:rPr>
            </w:pPr>
            <w:r>
              <w:rPr>
                <w:b/>
                <w:noProof/>
                <w:sz w:val="20"/>
              </w:rPr>
              <w:t>0</w:t>
            </w:r>
          </w:p>
        </w:tc>
        <w:tc>
          <w:tcPr>
            <w:tcW w:w="868" w:type="dxa"/>
            <w:vAlign w:val="center"/>
          </w:tcPr>
          <w:p w:rsidR="00A6487C" w:rsidRDefault="00A6487C">
            <w:pPr>
              <w:spacing w:before="20" w:after="20"/>
              <w:jc w:val="right"/>
              <w:rPr>
                <w:b/>
                <w:noProof/>
                <w:sz w:val="20"/>
              </w:rPr>
            </w:pPr>
          </w:p>
        </w:tc>
        <w:tc>
          <w:tcPr>
            <w:tcW w:w="868" w:type="dxa"/>
            <w:vAlign w:val="center"/>
          </w:tcPr>
          <w:p w:rsidR="00A6487C" w:rsidRDefault="00A6487C">
            <w:pPr>
              <w:spacing w:before="20" w:after="20"/>
              <w:jc w:val="right"/>
              <w:rPr>
                <w:b/>
                <w:noProof/>
                <w:sz w:val="20"/>
              </w:rPr>
            </w:pPr>
          </w:p>
        </w:tc>
        <w:tc>
          <w:tcPr>
            <w:tcW w:w="868" w:type="dxa"/>
            <w:vAlign w:val="center"/>
          </w:tcPr>
          <w:p w:rsidR="00A6487C" w:rsidRDefault="00A6487C">
            <w:pPr>
              <w:spacing w:before="20" w:after="20"/>
              <w:jc w:val="right"/>
              <w:rPr>
                <w:b/>
                <w:noProof/>
                <w:sz w:val="20"/>
              </w:rPr>
            </w:pPr>
          </w:p>
        </w:tc>
        <w:tc>
          <w:tcPr>
            <w:tcW w:w="1777" w:type="dxa"/>
            <w:vAlign w:val="center"/>
          </w:tcPr>
          <w:p w:rsidR="00A6487C" w:rsidRDefault="007E6C80">
            <w:pPr>
              <w:spacing w:before="20" w:after="20"/>
              <w:jc w:val="right"/>
              <w:rPr>
                <w:b/>
                <w:noProof/>
                <w:sz w:val="20"/>
              </w:rPr>
            </w:pPr>
            <w:r>
              <w:rPr>
                <w:b/>
                <w:noProof/>
                <w:sz w:val="20"/>
              </w:rPr>
              <w:t>0,000</w:t>
            </w:r>
          </w:p>
        </w:tc>
      </w:tr>
      <w:tr w:rsidR="00A6487C">
        <w:tc>
          <w:tcPr>
            <w:tcW w:w="3960" w:type="dxa"/>
            <w:vAlign w:val="center"/>
          </w:tcPr>
          <w:p w:rsidR="00A6487C" w:rsidRDefault="007E6C80">
            <w:pPr>
              <w:jc w:val="center"/>
              <w:rPr>
                <w:b/>
                <w:noProof/>
              </w:rPr>
            </w:pPr>
            <w:r>
              <w:rPr>
                <w:b/>
                <w:noProof/>
                <w:sz w:val="22"/>
              </w:rPr>
              <w:t xml:space="preserve">SPOLU GR </w:t>
            </w:r>
            <w:r>
              <w:rPr>
                <w:noProof/>
                <w:sz w:val="22"/>
              </w:rPr>
              <w:t>DEVCO</w:t>
            </w:r>
          </w:p>
        </w:tc>
        <w:tc>
          <w:tcPr>
            <w:tcW w:w="2094" w:type="dxa"/>
            <w:gridSpan w:val="2"/>
            <w:vAlign w:val="center"/>
          </w:tcPr>
          <w:p w:rsidR="00A6487C" w:rsidRDefault="007E6C80">
            <w:pPr>
              <w:rPr>
                <w:noProof/>
                <w:sz w:val="14"/>
              </w:rPr>
            </w:pPr>
            <w:r>
              <w:rPr>
                <w:noProof/>
                <w:sz w:val="18"/>
              </w:rPr>
              <w:t xml:space="preserve">Rozpočtové prostriedky </w:t>
            </w:r>
          </w:p>
        </w:tc>
        <w:tc>
          <w:tcPr>
            <w:tcW w:w="868" w:type="dxa"/>
            <w:vAlign w:val="center"/>
          </w:tcPr>
          <w:p w:rsidR="00A6487C" w:rsidRDefault="007E6C80">
            <w:pPr>
              <w:spacing w:before="20" w:after="20"/>
              <w:jc w:val="right"/>
              <w:rPr>
                <w:noProof/>
                <w:sz w:val="20"/>
              </w:rPr>
            </w:pPr>
            <w:r>
              <w:rPr>
                <w:noProof/>
                <w:sz w:val="20"/>
              </w:rPr>
              <w:t>0,140</w:t>
            </w:r>
          </w:p>
        </w:tc>
        <w:tc>
          <w:tcPr>
            <w:tcW w:w="868" w:type="dxa"/>
            <w:vAlign w:val="center"/>
          </w:tcPr>
          <w:p w:rsidR="00A6487C" w:rsidRDefault="007E6C80">
            <w:pPr>
              <w:spacing w:before="20" w:after="20"/>
              <w:jc w:val="right"/>
              <w:rPr>
                <w:noProof/>
                <w:sz w:val="20"/>
              </w:rPr>
            </w:pPr>
            <w:r>
              <w:rPr>
                <w:noProof/>
                <w:sz w:val="20"/>
              </w:rPr>
              <w:t>0,140</w:t>
            </w:r>
          </w:p>
        </w:tc>
        <w:tc>
          <w:tcPr>
            <w:tcW w:w="868" w:type="dxa"/>
            <w:vAlign w:val="center"/>
          </w:tcPr>
          <w:p w:rsidR="00A6487C" w:rsidRDefault="007E6C80">
            <w:pPr>
              <w:spacing w:before="20" w:after="20"/>
              <w:jc w:val="right"/>
              <w:rPr>
                <w:noProof/>
                <w:sz w:val="20"/>
              </w:rPr>
            </w:pPr>
            <w:r>
              <w:rPr>
                <w:noProof/>
                <w:sz w:val="20"/>
              </w:rPr>
              <w:t>0,140</w:t>
            </w:r>
          </w:p>
        </w:tc>
        <w:tc>
          <w:tcPr>
            <w:tcW w:w="868" w:type="dxa"/>
            <w:vAlign w:val="center"/>
          </w:tcPr>
          <w:p w:rsidR="00A6487C" w:rsidRDefault="007E6C80">
            <w:pPr>
              <w:spacing w:before="20" w:after="20"/>
              <w:jc w:val="right"/>
              <w:rPr>
                <w:noProof/>
                <w:sz w:val="20"/>
              </w:rPr>
            </w:pPr>
            <w:r>
              <w:rPr>
                <w:noProof/>
                <w:sz w:val="20"/>
              </w:rPr>
              <w:t>0,140</w:t>
            </w:r>
          </w:p>
        </w:tc>
        <w:tc>
          <w:tcPr>
            <w:tcW w:w="868" w:type="dxa"/>
            <w:vAlign w:val="center"/>
          </w:tcPr>
          <w:p w:rsidR="00A6487C" w:rsidRDefault="00A6487C">
            <w:pPr>
              <w:spacing w:before="20" w:after="20"/>
              <w:jc w:val="right"/>
              <w:rPr>
                <w:noProof/>
                <w:sz w:val="20"/>
              </w:rPr>
            </w:pPr>
          </w:p>
        </w:tc>
        <w:tc>
          <w:tcPr>
            <w:tcW w:w="868" w:type="dxa"/>
            <w:vAlign w:val="center"/>
          </w:tcPr>
          <w:p w:rsidR="00A6487C" w:rsidRDefault="00A6487C">
            <w:pPr>
              <w:spacing w:before="20" w:after="20"/>
              <w:jc w:val="right"/>
              <w:rPr>
                <w:noProof/>
                <w:sz w:val="20"/>
              </w:rPr>
            </w:pPr>
          </w:p>
        </w:tc>
        <w:tc>
          <w:tcPr>
            <w:tcW w:w="868" w:type="dxa"/>
            <w:vAlign w:val="center"/>
          </w:tcPr>
          <w:p w:rsidR="00A6487C" w:rsidRDefault="00A6487C">
            <w:pPr>
              <w:spacing w:before="20" w:after="20"/>
              <w:jc w:val="right"/>
              <w:rPr>
                <w:b/>
                <w:noProof/>
                <w:sz w:val="20"/>
              </w:rPr>
            </w:pPr>
          </w:p>
        </w:tc>
        <w:tc>
          <w:tcPr>
            <w:tcW w:w="1777" w:type="dxa"/>
            <w:vAlign w:val="center"/>
          </w:tcPr>
          <w:p w:rsidR="00A6487C" w:rsidRDefault="007E6C80">
            <w:pPr>
              <w:spacing w:before="20" w:after="20"/>
              <w:jc w:val="right"/>
              <w:rPr>
                <w:b/>
                <w:noProof/>
                <w:sz w:val="20"/>
              </w:rPr>
            </w:pPr>
            <w:r>
              <w:rPr>
                <w:b/>
                <w:noProof/>
                <w:sz w:val="20"/>
              </w:rPr>
              <w:t>0,560</w:t>
            </w:r>
          </w:p>
        </w:tc>
      </w:tr>
    </w:tbl>
    <w:p w:rsidR="00A6487C" w:rsidRDefault="00A6487C">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A6487C">
        <w:tc>
          <w:tcPr>
            <w:tcW w:w="3960" w:type="dxa"/>
            <w:shd w:val="thinDiagStripe" w:color="C0C0C0" w:fill="auto"/>
            <w:vAlign w:val="center"/>
          </w:tcPr>
          <w:p w:rsidR="00A6487C" w:rsidRDefault="007E6C80">
            <w:pPr>
              <w:jc w:val="center"/>
              <w:rPr>
                <w:b/>
                <w:noProof/>
              </w:rPr>
            </w:pPr>
            <w:r>
              <w:rPr>
                <w:b/>
                <w:noProof/>
                <w:sz w:val="22"/>
              </w:rPr>
              <w:t>Rozpočtové prostriedky SPOLU</w:t>
            </w:r>
            <w:r>
              <w:rPr>
                <w:noProof/>
                <w:sz w:val="22"/>
              </w:rPr>
              <w:br/>
            </w:r>
            <w:r>
              <w:rPr>
                <w:b/>
                <w:noProof/>
                <w:sz w:val="22"/>
              </w:rPr>
              <w:t>v rámci OKRUHU 5</w:t>
            </w:r>
            <w:r>
              <w:rPr>
                <w:noProof/>
                <w:sz w:val="22"/>
              </w:rPr>
              <w:t xml:space="preserve"> viacročného finančného rámca</w:t>
            </w:r>
            <w:r>
              <w:rPr>
                <w:b/>
                <w:noProof/>
                <w:sz w:val="22"/>
              </w:rPr>
              <w:t xml:space="preserve"> </w:t>
            </w:r>
          </w:p>
        </w:tc>
        <w:tc>
          <w:tcPr>
            <w:tcW w:w="2094" w:type="dxa"/>
            <w:vAlign w:val="center"/>
          </w:tcPr>
          <w:p w:rsidR="00A6487C" w:rsidRDefault="007E6C80">
            <w:pPr>
              <w:spacing w:before="40" w:after="40"/>
              <w:rPr>
                <w:noProof/>
              </w:rPr>
            </w:pPr>
            <w:r>
              <w:rPr>
                <w:noProof/>
                <w:sz w:val="18"/>
              </w:rPr>
              <w:t>(Záväzky spolu = Platby spolu)</w:t>
            </w:r>
          </w:p>
        </w:tc>
        <w:tc>
          <w:tcPr>
            <w:tcW w:w="868" w:type="dxa"/>
            <w:vAlign w:val="center"/>
          </w:tcPr>
          <w:p w:rsidR="00A6487C" w:rsidRDefault="007E6C80">
            <w:pPr>
              <w:spacing w:before="60" w:after="60"/>
              <w:jc w:val="center"/>
              <w:rPr>
                <w:noProof/>
                <w:sz w:val="20"/>
              </w:rPr>
            </w:pPr>
            <w:r>
              <w:rPr>
                <w:noProof/>
                <w:sz w:val="20"/>
              </w:rPr>
              <w:t>0,946</w:t>
            </w:r>
          </w:p>
        </w:tc>
        <w:tc>
          <w:tcPr>
            <w:tcW w:w="868" w:type="dxa"/>
          </w:tcPr>
          <w:p w:rsidR="00A6487C" w:rsidRDefault="00A6487C">
            <w:pPr>
              <w:jc w:val="center"/>
              <w:rPr>
                <w:noProof/>
                <w:sz w:val="20"/>
              </w:rPr>
            </w:pPr>
          </w:p>
          <w:p w:rsidR="00A6487C" w:rsidRDefault="007E6C80">
            <w:pPr>
              <w:jc w:val="center"/>
              <w:rPr>
                <w:noProof/>
              </w:rPr>
            </w:pPr>
            <w:r>
              <w:rPr>
                <w:noProof/>
                <w:sz w:val="20"/>
              </w:rPr>
              <w:t>0,946</w:t>
            </w:r>
          </w:p>
        </w:tc>
        <w:tc>
          <w:tcPr>
            <w:tcW w:w="868" w:type="dxa"/>
          </w:tcPr>
          <w:p w:rsidR="00A6487C" w:rsidRDefault="00A6487C">
            <w:pPr>
              <w:jc w:val="center"/>
              <w:rPr>
                <w:noProof/>
                <w:sz w:val="20"/>
              </w:rPr>
            </w:pPr>
          </w:p>
          <w:p w:rsidR="00A6487C" w:rsidRDefault="007E6C80">
            <w:pPr>
              <w:jc w:val="center"/>
              <w:rPr>
                <w:noProof/>
              </w:rPr>
            </w:pPr>
            <w:r>
              <w:rPr>
                <w:noProof/>
                <w:sz w:val="20"/>
              </w:rPr>
              <w:t>0,946</w:t>
            </w:r>
          </w:p>
        </w:tc>
        <w:tc>
          <w:tcPr>
            <w:tcW w:w="868" w:type="dxa"/>
          </w:tcPr>
          <w:p w:rsidR="00A6487C" w:rsidRDefault="00A6487C">
            <w:pPr>
              <w:jc w:val="center"/>
              <w:rPr>
                <w:noProof/>
                <w:sz w:val="20"/>
              </w:rPr>
            </w:pPr>
          </w:p>
          <w:p w:rsidR="00A6487C" w:rsidRDefault="007E6C80">
            <w:pPr>
              <w:jc w:val="center"/>
              <w:rPr>
                <w:noProof/>
              </w:rPr>
            </w:pPr>
            <w:r>
              <w:rPr>
                <w:noProof/>
                <w:sz w:val="20"/>
              </w:rPr>
              <w:t>0,946</w:t>
            </w:r>
          </w:p>
        </w:tc>
        <w:tc>
          <w:tcPr>
            <w:tcW w:w="868" w:type="dxa"/>
            <w:vAlign w:val="center"/>
          </w:tcPr>
          <w:p w:rsidR="00A6487C" w:rsidRDefault="00A6487C">
            <w:pPr>
              <w:spacing w:before="20" w:after="20"/>
              <w:jc w:val="right"/>
              <w:rPr>
                <w:noProof/>
                <w:sz w:val="20"/>
              </w:rPr>
            </w:pPr>
          </w:p>
        </w:tc>
        <w:tc>
          <w:tcPr>
            <w:tcW w:w="868" w:type="dxa"/>
            <w:vAlign w:val="center"/>
          </w:tcPr>
          <w:p w:rsidR="00A6487C" w:rsidRDefault="00A6487C">
            <w:pPr>
              <w:spacing w:before="20" w:after="20"/>
              <w:jc w:val="right"/>
              <w:rPr>
                <w:noProof/>
                <w:sz w:val="20"/>
              </w:rPr>
            </w:pPr>
          </w:p>
        </w:tc>
        <w:tc>
          <w:tcPr>
            <w:tcW w:w="868" w:type="dxa"/>
            <w:vAlign w:val="center"/>
          </w:tcPr>
          <w:p w:rsidR="00A6487C" w:rsidRDefault="00A6487C">
            <w:pPr>
              <w:spacing w:before="20" w:after="20"/>
              <w:jc w:val="right"/>
              <w:rPr>
                <w:b/>
                <w:noProof/>
                <w:sz w:val="20"/>
              </w:rPr>
            </w:pPr>
          </w:p>
        </w:tc>
        <w:tc>
          <w:tcPr>
            <w:tcW w:w="1777" w:type="dxa"/>
            <w:vAlign w:val="center"/>
          </w:tcPr>
          <w:p w:rsidR="00A6487C" w:rsidRDefault="007E6C80">
            <w:pPr>
              <w:spacing w:before="20" w:after="20"/>
              <w:jc w:val="right"/>
              <w:rPr>
                <w:b/>
                <w:noProof/>
                <w:sz w:val="20"/>
              </w:rPr>
            </w:pPr>
            <w:r>
              <w:rPr>
                <w:b/>
                <w:noProof/>
                <w:sz w:val="20"/>
              </w:rPr>
              <w:t>3,784</w:t>
            </w:r>
          </w:p>
        </w:tc>
      </w:tr>
    </w:tbl>
    <w:p w:rsidR="00A6487C" w:rsidRDefault="007E6C80">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1"/>
        <w:gridCol w:w="1276"/>
        <w:gridCol w:w="534"/>
        <w:gridCol w:w="868"/>
        <w:gridCol w:w="868"/>
        <w:gridCol w:w="868"/>
        <w:gridCol w:w="868"/>
        <w:gridCol w:w="868"/>
        <w:gridCol w:w="868"/>
        <w:gridCol w:w="868"/>
        <w:gridCol w:w="1777"/>
      </w:tblGrid>
      <w:tr w:rsidR="00A6487C">
        <w:tc>
          <w:tcPr>
            <w:tcW w:w="4471" w:type="dxa"/>
            <w:tcBorders>
              <w:top w:val="nil"/>
              <w:left w:val="nil"/>
              <w:right w:val="nil"/>
            </w:tcBorders>
            <w:vAlign w:val="center"/>
          </w:tcPr>
          <w:p w:rsidR="00A6487C" w:rsidRDefault="00A6487C">
            <w:pPr>
              <w:jc w:val="center"/>
              <w:rPr>
                <w:noProof/>
              </w:rPr>
            </w:pPr>
          </w:p>
        </w:tc>
        <w:tc>
          <w:tcPr>
            <w:tcW w:w="1276" w:type="dxa"/>
            <w:tcBorders>
              <w:top w:val="nil"/>
              <w:left w:val="nil"/>
              <w:right w:val="nil"/>
            </w:tcBorders>
          </w:tcPr>
          <w:p w:rsidR="00A6487C" w:rsidRDefault="00A6487C">
            <w:pPr>
              <w:rPr>
                <w:noProof/>
                <w:sz w:val="20"/>
              </w:rPr>
            </w:pPr>
          </w:p>
        </w:tc>
        <w:tc>
          <w:tcPr>
            <w:tcW w:w="534" w:type="dxa"/>
            <w:tcBorders>
              <w:top w:val="nil"/>
              <w:left w:val="nil"/>
            </w:tcBorders>
          </w:tcPr>
          <w:p w:rsidR="00A6487C" w:rsidRDefault="00A6487C">
            <w:pPr>
              <w:jc w:val="center"/>
              <w:rPr>
                <w:noProof/>
                <w:sz w:val="20"/>
              </w:rPr>
            </w:pPr>
          </w:p>
        </w:tc>
        <w:tc>
          <w:tcPr>
            <w:tcW w:w="868" w:type="dxa"/>
            <w:vAlign w:val="center"/>
          </w:tcPr>
          <w:p w:rsidR="00A6487C" w:rsidRDefault="007E6C80">
            <w:pPr>
              <w:jc w:val="center"/>
              <w:rPr>
                <w:noProof/>
                <w:sz w:val="20"/>
              </w:rPr>
            </w:pPr>
            <w:r>
              <w:rPr>
                <w:noProof/>
                <w:sz w:val="20"/>
              </w:rPr>
              <w:t>Rok</w:t>
            </w:r>
            <w:r>
              <w:rPr>
                <w:noProof/>
                <w:sz w:val="22"/>
              </w:rPr>
              <w:br/>
            </w:r>
            <w:r>
              <w:rPr>
                <w:b/>
                <w:noProof/>
                <w:sz w:val="20"/>
              </w:rPr>
              <w:t>N</w:t>
            </w:r>
            <w:r>
              <w:rPr>
                <w:rStyle w:val="FootnoteReference"/>
                <w:b/>
                <w:noProof/>
                <w:sz w:val="20"/>
              </w:rPr>
              <w:footnoteReference w:id="31"/>
            </w:r>
          </w:p>
        </w:tc>
        <w:tc>
          <w:tcPr>
            <w:tcW w:w="868" w:type="dxa"/>
            <w:vAlign w:val="center"/>
          </w:tcPr>
          <w:p w:rsidR="00A6487C" w:rsidRDefault="007E6C80">
            <w:pPr>
              <w:jc w:val="center"/>
              <w:rPr>
                <w:noProof/>
                <w:sz w:val="20"/>
              </w:rPr>
            </w:pPr>
            <w:r>
              <w:rPr>
                <w:noProof/>
                <w:sz w:val="20"/>
              </w:rPr>
              <w:t>Rok</w:t>
            </w:r>
            <w:r>
              <w:rPr>
                <w:noProof/>
                <w:sz w:val="22"/>
              </w:rPr>
              <w:br/>
            </w:r>
            <w:r>
              <w:rPr>
                <w:b/>
                <w:noProof/>
                <w:sz w:val="20"/>
              </w:rPr>
              <w:t>N+1</w:t>
            </w:r>
          </w:p>
        </w:tc>
        <w:tc>
          <w:tcPr>
            <w:tcW w:w="868" w:type="dxa"/>
            <w:vAlign w:val="center"/>
          </w:tcPr>
          <w:p w:rsidR="00A6487C" w:rsidRDefault="007E6C80">
            <w:pPr>
              <w:jc w:val="center"/>
              <w:rPr>
                <w:noProof/>
                <w:sz w:val="20"/>
              </w:rPr>
            </w:pPr>
            <w:r>
              <w:rPr>
                <w:noProof/>
                <w:sz w:val="20"/>
              </w:rPr>
              <w:t>Rok</w:t>
            </w:r>
            <w:r>
              <w:rPr>
                <w:noProof/>
                <w:sz w:val="22"/>
              </w:rPr>
              <w:br/>
            </w:r>
            <w:r>
              <w:rPr>
                <w:b/>
                <w:noProof/>
                <w:sz w:val="20"/>
              </w:rPr>
              <w:t>N+2</w:t>
            </w:r>
          </w:p>
        </w:tc>
        <w:tc>
          <w:tcPr>
            <w:tcW w:w="868" w:type="dxa"/>
            <w:vAlign w:val="center"/>
          </w:tcPr>
          <w:p w:rsidR="00A6487C" w:rsidRDefault="007E6C80">
            <w:pPr>
              <w:jc w:val="center"/>
              <w:rPr>
                <w:noProof/>
                <w:sz w:val="20"/>
              </w:rPr>
            </w:pPr>
            <w:r>
              <w:rPr>
                <w:noProof/>
                <w:sz w:val="20"/>
              </w:rPr>
              <w:t>Rok</w:t>
            </w:r>
            <w:r>
              <w:rPr>
                <w:noProof/>
                <w:sz w:val="22"/>
              </w:rPr>
              <w:br/>
            </w:r>
            <w:r>
              <w:rPr>
                <w:b/>
                <w:noProof/>
                <w:sz w:val="20"/>
              </w:rPr>
              <w:t>N+3</w:t>
            </w:r>
          </w:p>
        </w:tc>
        <w:tc>
          <w:tcPr>
            <w:tcW w:w="2604" w:type="dxa"/>
            <w:gridSpan w:val="3"/>
            <w:vAlign w:val="center"/>
          </w:tcPr>
          <w:p w:rsidR="00A6487C" w:rsidRDefault="007E6C80">
            <w:pPr>
              <w:jc w:val="center"/>
              <w:rPr>
                <w:b/>
                <w:noProof/>
                <w:sz w:val="18"/>
              </w:rPr>
            </w:pPr>
            <w:r>
              <w:rPr>
                <w:noProof/>
                <w:sz w:val="18"/>
              </w:rPr>
              <w:t>Uveďte všetky roky, počas ktorých vplyv trvá (pozri bod 1.6)</w:t>
            </w:r>
          </w:p>
        </w:tc>
        <w:tc>
          <w:tcPr>
            <w:tcW w:w="1777" w:type="dxa"/>
            <w:vAlign w:val="center"/>
          </w:tcPr>
          <w:p w:rsidR="00A6487C" w:rsidRDefault="007E6C80">
            <w:pPr>
              <w:jc w:val="center"/>
              <w:rPr>
                <w:b/>
                <w:noProof/>
                <w:sz w:val="20"/>
              </w:rPr>
            </w:pPr>
            <w:r>
              <w:rPr>
                <w:b/>
                <w:noProof/>
                <w:sz w:val="20"/>
              </w:rPr>
              <w:t>SPOLU</w:t>
            </w:r>
          </w:p>
        </w:tc>
      </w:tr>
      <w:tr w:rsidR="00A6487C">
        <w:tc>
          <w:tcPr>
            <w:tcW w:w="4471" w:type="dxa"/>
            <w:vMerge w:val="restart"/>
            <w:shd w:val="clear" w:color="auto" w:fill="C0C0C0"/>
            <w:vAlign w:val="center"/>
          </w:tcPr>
          <w:p w:rsidR="00A6487C" w:rsidRDefault="007E6C80">
            <w:pPr>
              <w:jc w:val="center"/>
              <w:rPr>
                <w:b/>
                <w:noProof/>
              </w:rPr>
            </w:pPr>
            <w:r>
              <w:rPr>
                <w:b/>
                <w:noProof/>
                <w:sz w:val="22"/>
              </w:rPr>
              <w:lastRenderedPageBreak/>
              <w:t>Rozpočtové prostriedky SPOLU</w:t>
            </w:r>
            <w:r>
              <w:rPr>
                <w:noProof/>
                <w:sz w:val="22"/>
              </w:rPr>
              <w:br/>
            </w:r>
            <w:r>
              <w:rPr>
                <w:b/>
                <w:noProof/>
                <w:sz w:val="22"/>
              </w:rPr>
              <w:t>v rámci OKRUHOV 1 až 5</w:t>
            </w:r>
            <w:r>
              <w:rPr>
                <w:noProof/>
                <w:sz w:val="22"/>
              </w:rPr>
              <w:t xml:space="preserve"> viacročného finančného rámca</w:t>
            </w:r>
            <w:r>
              <w:rPr>
                <w:b/>
                <w:noProof/>
                <w:sz w:val="22"/>
              </w:rPr>
              <w:t xml:space="preserve"> </w:t>
            </w:r>
          </w:p>
        </w:tc>
        <w:tc>
          <w:tcPr>
            <w:tcW w:w="1810" w:type="dxa"/>
            <w:gridSpan w:val="2"/>
            <w:vAlign w:val="center"/>
          </w:tcPr>
          <w:p w:rsidR="00A6487C" w:rsidRDefault="007E6C80">
            <w:pPr>
              <w:rPr>
                <w:noProof/>
                <w:sz w:val="14"/>
              </w:rPr>
            </w:pPr>
            <w:r>
              <w:rPr>
                <w:noProof/>
                <w:sz w:val="18"/>
              </w:rPr>
              <w:t>Záväzky</w:t>
            </w:r>
          </w:p>
        </w:tc>
        <w:tc>
          <w:tcPr>
            <w:tcW w:w="868" w:type="dxa"/>
            <w:vAlign w:val="center"/>
          </w:tcPr>
          <w:p w:rsidR="00A6487C" w:rsidRDefault="007E6C80">
            <w:pPr>
              <w:spacing w:before="60" w:after="60"/>
              <w:jc w:val="right"/>
              <w:rPr>
                <w:noProof/>
                <w:sz w:val="20"/>
              </w:rPr>
            </w:pPr>
            <w:r>
              <w:rPr>
                <w:noProof/>
                <w:sz w:val="20"/>
              </w:rPr>
              <w:t>10,946</w:t>
            </w:r>
          </w:p>
        </w:tc>
        <w:tc>
          <w:tcPr>
            <w:tcW w:w="868" w:type="dxa"/>
          </w:tcPr>
          <w:p w:rsidR="00A6487C" w:rsidRDefault="007E6C80">
            <w:pPr>
              <w:rPr>
                <w:noProof/>
              </w:rPr>
            </w:pPr>
            <w:r>
              <w:rPr>
                <w:noProof/>
                <w:sz w:val="20"/>
              </w:rPr>
              <w:t>30,946</w:t>
            </w:r>
          </w:p>
        </w:tc>
        <w:tc>
          <w:tcPr>
            <w:tcW w:w="868" w:type="dxa"/>
          </w:tcPr>
          <w:p w:rsidR="00A6487C" w:rsidRDefault="007E6C80">
            <w:pPr>
              <w:rPr>
                <w:noProof/>
              </w:rPr>
            </w:pPr>
            <w:r>
              <w:rPr>
                <w:noProof/>
                <w:sz w:val="20"/>
              </w:rPr>
              <w:t>30,946</w:t>
            </w:r>
          </w:p>
        </w:tc>
        <w:tc>
          <w:tcPr>
            <w:tcW w:w="868" w:type="dxa"/>
          </w:tcPr>
          <w:p w:rsidR="00A6487C" w:rsidRDefault="007E6C80">
            <w:pPr>
              <w:rPr>
                <w:noProof/>
              </w:rPr>
            </w:pPr>
            <w:r>
              <w:rPr>
                <w:noProof/>
                <w:sz w:val="20"/>
              </w:rPr>
              <w:t>30,946</w:t>
            </w:r>
          </w:p>
        </w:tc>
        <w:tc>
          <w:tcPr>
            <w:tcW w:w="868" w:type="dxa"/>
            <w:vAlign w:val="center"/>
          </w:tcPr>
          <w:p w:rsidR="00A6487C" w:rsidRDefault="00A6487C">
            <w:pPr>
              <w:spacing w:before="60" w:after="60"/>
              <w:jc w:val="right"/>
              <w:rPr>
                <w:noProof/>
                <w:sz w:val="20"/>
              </w:rPr>
            </w:pPr>
          </w:p>
        </w:tc>
        <w:tc>
          <w:tcPr>
            <w:tcW w:w="868" w:type="dxa"/>
            <w:vAlign w:val="center"/>
          </w:tcPr>
          <w:p w:rsidR="00A6487C" w:rsidRDefault="00A6487C">
            <w:pPr>
              <w:spacing w:before="60" w:after="60"/>
              <w:jc w:val="right"/>
              <w:rPr>
                <w:noProof/>
                <w:sz w:val="20"/>
              </w:rPr>
            </w:pPr>
          </w:p>
        </w:tc>
        <w:tc>
          <w:tcPr>
            <w:tcW w:w="868" w:type="dxa"/>
            <w:vAlign w:val="center"/>
          </w:tcPr>
          <w:p w:rsidR="00A6487C" w:rsidRDefault="00A6487C">
            <w:pPr>
              <w:spacing w:before="60" w:after="60"/>
              <w:jc w:val="right"/>
              <w:rPr>
                <w:b/>
                <w:noProof/>
                <w:sz w:val="20"/>
              </w:rPr>
            </w:pPr>
          </w:p>
        </w:tc>
        <w:tc>
          <w:tcPr>
            <w:tcW w:w="1777" w:type="dxa"/>
            <w:vAlign w:val="center"/>
          </w:tcPr>
          <w:p w:rsidR="00A6487C" w:rsidRDefault="007E6C80">
            <w:pPr>
              <w:spacing w:before="60" w:after="60"/>
              <w:jc w:val="right"/>
              <w:rPr>
                <w:b/>
                <w:noProof/>
                <w:sz w:val="20"/>
              </w:rPr>
            </w:pPr>
            <w:r>
              <w:rPr>
                <w:b/>
                <w:noProof/>
                <w:sz w:val="20"/>
              </w:rPr>
              <w:t>103,784</w:t>
            </w:r>
          </w:p>
        </w:tc>
      </w:tr>
      <w:tr w:rsidR="00A6487C">
        <w:tc>
          <w:tcPr>
            <w:tcW w:w="4471" w:type="dxa"/>
            <w:vMerge/>
            <w:shd w:val="clear" w:color="auto" w:fill="C0C0C0"/>
          </w:tcPr>
          <w:p w:rsidR="00A6487C" w:rsidRDefault="00A6487C">
            <w:pPr>
              <w:rPr>
                <w:noProof/>
                <w:sz w:val="20"/>
              </w:rPr>
            </w:pPr>
          </w:p>
        </w:tc>
        <w:tc>
          <w:tcPr>
            <w:tcW w:w="1810" w:type="dxa"/>
            <w:gridSpan w:val="2"/>
            <w:vAlign w:val="center"/>
          </w:tcPr>
          <w:p w:rsidR="00A6487C" w:rsidRDefault="007E6C80">
            <w:pPr>
              <w:rPr>
                <w:noProof/>
                <w:sz w:val="14"/>
              </w:rPr>
            </w:pPr>
            <w:r>
              <w:rPr>
                <w:noProof/>
                <w:sz w:val="18"/>
              </w:rPr>
              <w:t>Platby</w:t>
            </w:r>
          </w:p>
        </w:tc>
        <w:tc>
          <w:tcPr>
            <w:tcW w:w="868" w:type="dxa"/>
            <w:vAlign w:val="center"/>
          </w:tcPr>
          <w:p w:rsidR="00A6487C" w:rsidRDefault="007E6C80">
            <w:pPr>
              <w:spacing w:before="60" w:after="60"/>
              <w:jc w:val="right"/>
              <w:rPr>
                <w:noProof/>
                <w:sz w:val="20"/>
              </w:rPr>
            </w:pPr>
            <w:r>
              <w:rPr>
                <w:noProof/>
                <w:sz w:val="20"/>
              </w:rPr>
              <w:t>0,946</w:t>
            </w:r>
          </w:p>
        </w:tc>
        <w:tc>
          <w:tcPr>
            <w:tcW w:w="868" w:type="dxa"/>
            <w:vAlign w:val="center"/>
          </w:tcPr>
          <w:p w:rsidR="00A6487C" w:rsidRDefault="007E6C80">
            <w:pPr>
              <w:spacing w:before="60" w:after="60"/>
              <w:jc w:val="right"/>
              <w:rPr>
                <w:noProof/>
                <w:sz w:val="20"/>
              </w:rPr>
            </w:pPr>
            <w:r>
              <w:rPr>
                <w:noProof/>
                <w:sz w:val="20"/>
              </w:rPr>
              <w:t>14,946</w:t>
            </w:r>
          </w:p>
        </w:tc>
        <w:tc>
          <w:tcPr>
            <w:tcW w:w="868" w:type="dxa"/>
            <w:vAlign w:val="center"/>
          </w:tcPr>
          <w:p w:rsidR="00A6487C" w:rsidRDefault="007E6C80">
            <w:pPr>
              <w:spacing w:before="60" w:after="60"/>
              <w:jc w:val="right"/>
              <w:rPr>
                <w:noProof/>
                <w:sz w:val="20"/>
              </w:rPr>
            </w:pPr>
            <w:r>
              <w:rPr>
                <w:noProof/>
                <w:sz w:val="20"/>
              </w:rPr>
              <w:t>21,946</w:t>
            </w:r>
          </w:p>
        </w:tc>
        <w:tc>
          <w:tcPr>
            <w:tcW w:w="868" w:type="dxa"/>
            <w:vAlign w:val="center"/>
          </w:tcPr>
          <w:p w:rsidR="00A6487C" w:rsidRDefault="007E6C80">
            <w:pPr>
              <w:spacing w:before="60" w:after="60"/>
              <w:jc w:val="right"/>
              <w:rPr>
                <w:noProof/>
                <w:sz w:val="20"/>
              </w:rPr>
            </w:pPr>
            <w:r>
              <w:rPr>
                <w:noProof/>
                <w:sz w:val="20"/>
              </w:rPr>
              <w:t>28,946</w:t>
            </w:r>
          </w:p>
        </w:tc>
        <w:tc>
          <w:tcPr>
            <w:tcW w:w="868" w:type="dxa"/>
            <w:vAlign w:val="center"/>
          </w:tcPr>
          <w:p w:rsidR="00A6487C" w:rsidRDefault="00A6487C">
            <w:pPr>
              <w:spacing w:before="60" w:after="60"/>
              <w:jc w:val="right"/>
              <w:rPr>
                <w:noProof/>
                <w:sz w:val="20"/>
              </w:rPr>
            </w:pPr>
          </w:p>
        </w:tc>
        <w:tc>
          <w:tcPr>
            <w:tcW w:w="868" w:type="dxa"/>
            <w:vAlign w:val="center"/>
          </w:tcPr>
          <w:p w:rsidR="00A6487C" w:rsidRDefault="00A6487C">
            <w:pPr>
              <w:spacing w:before="60" w:after="60"/>
              <w:jc w:val="right"/>
              <w:rPr>
                <w:noProof/>
                <w:sz w:val="20"/>
              </w:rPr>
            </w:pPr>
          </w:p>
        </w:tc>
        <w:tc>
          <w:tcPr>
            <w:tcW w:w="868" w:type="dxa"/>
            <w:vAlign w:val="center"/>
          </w:tcPr>
          <w:p w:rsidR="00A6487C" w:rsidRDefault="00A6487C">
            <w:pPr>
              <w:spacing w:before="60" w:after="60"/>
              <w:jc w:val="right"/>
              <w:rPr>
                <w:b/>
                <w:noProof/>
                <w:sz w:val="20"/>
              </w:rPr>
            </w:pPr>
          </w:p>
        </w:tc>
        <w:tc>
          <w:tcPr>
            <w:tcW w:w="1777" w:type="dxa"/>
            <w:vAlign w:val="center"/>
          </w:tcPr>
          <w:p w:rsidR="00A6487C" w:rsidRDefault="007E6C80">
            <w:pPr>
              <w:spacing w:before="60" w:after="60"/>
              <w:jc w:val="right"/>
              <w:rPr>
                <w:b/>
                <w:noProof/>
                <w:sz w:val="20"/>
              </w:rPr>
            </w:pPr>
            <w:r>
              <w:rPr>
                <w:b/>
                <w:noProof/>
                <w:sz w:val="20"/>
              </w:rPr>
              <w:t>70,384</w:t>
            </w:r>
          </w:p>
        </w:tc>
      </w:tr>
    </w:tbl>
    <w:p w:rsidR="00A6487C" w:rsidRDefault="00A6487C">
      <w:pPr>
        <w:rPr>
          <w:noProof/>
        </w:rPr>
        <w:sectPr w:rsidR="00A6487C">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rsidR="00A6487C" w:rsidRDefault="007E6C80">
      <w:pPr>
        <w:pStyle w:val="ManualHeading3"/>
        <w:rPr>
          <w:bCs/>
          <w:noProof/>
          <w:szCs w:val="24"/>
        </w:rPr>
      </w:pPr>
      <w:r>
        <w:lastRenderedPageBreak/>
        <w:t>3.2.2.</w:t>
      </w:r>
      <w:r>
        <w:tab/>
      </w:r>
      <w:r>
        <w:rPr>
          <w:noProof/>
        </w:rPr>
        <w:t xml:space="preserve">Odhadovaný vplyv na operačné rozpočtové prostriedky </w:t>
      </w:r>
    </w:p>
    <w:p w:rsidR="00A6487C" w:rsidRDefault="007E6C80">
      <w:pPr>
        <w:pStyle w:val="ListDash1"/>
        <w:rPr>
          <w:noProof/>
        </w:rPr>
      </w:pPr>
      <w:r>
        <w:rPr>
          <w:noProof/>
        </w:rPr>
        <w:sym w:font="Wingdings" w:char="F0A8"/>
      </w:r>
      <w:r>
        <w:rPr>
          <w:noProof/>
        </w:rPr>
        <w:tab/>
        <w:t xml:space="preserve">Návrh/iniciatíva si nevyžaduje použitie operačných rozpočtových prostriedkov. </w:t>
      </w:r>
    </w:p>
    <w:p w:rsidR="00A6487C" w:rsidRDefault="007E6C80">
      <w:pPr>
        <w:pStyle w:val="ListDash1"/>
        <w:rPr>
          <w:noProof/>
        </w:rPr>
      </w:pPr>
      <w:r>
        <w:rPr>
          <w:noProof/>
        </w:rPr>
        <w:t>X</w:t>
      </w:r>
      <w:r>
        <w:rPr>
          <w:noProof/>
        </w:rPr>
        <w:sym w:font="Wingdings" w:char="F0A8"/>
      </w:r>
      <w:r>
        <w:rPr>
          <w:noProof/>
        </w:rPr>
        <w:t xml:space="preserve"> Návrh/iniciatíva si vyžaduje použitie operačných rozpočtových prostriedkov, ako </w:t>
      </w:r>
      <w:r>
        <w:rPr>
          <w:noProof/>
        </w:rPr>
        <w:t>je uvedené v nasledujúcej tabuľke:</w:t>
      </w:r>
    </w:p>
    <w:p w:rsidR="00A6487C" w:rsidRDefault="007E6C80">
      <w:pPr>
        <w:pStyle w:val="Text1"/>
        <w:rPr>
          <w:noProof/>
        </w:rPr>
      </w:pPr>
      <w:r>
        <w:rPr>
          <w:noProof/>
          <w:sz w:val="20"/>
        </w:rPr>
        <w:t xml:space="preserve">Orientačné </w:t>
      </w:r>
      <w:r>
        <w:rPr>
          <w:noProof/>
        </w:rPr>
        <w:t>výstupy podľa cieľov:</w:t>
      </w:r>
    </w:p>
    <w:p w:rsidR="00A6487C" w:rsidRDefault="007E6C80">
      <w:pPr>
        <w:pStyle w:val="Bullet1"/>
        <w:numPr>
          <w:ilvl w:val="0"/>
          <w:numId w:val="15"/>
        </w:numPr>
        <w:rPr>
          <w:noProof/>
        </w:rPr>
      </w:pPr>
      <w:r>
        <w:rPr>
          <w:noProof/>
        </w:rPr>
        <w:t xml:space="preserve">Osobitný cieľ č. 1 – počet odhadovaných opatrení reakcie v krízovej situácii alebo v situácii vznikajúcej krízy v danom rozpočtovom roku. </w:t>
      </w:r>
    </w:p>
    <w:p w:rsidR="00A6487C" w:rsidRDefault="007E6C80">
      <w:pPr>
        <w:pStyle w:val="Bullet1"/>
        <w:numPr>
          <w:ilvl w:val="0"/>
          <w:numId w:val="15"/>
        </w:numPr>
        <w:rPr>
          <w:noProof/>
        </w:rPr>
      </w:pPr>
      <w:r>
        <w:rPr>
          <w:noProof/>
        </w:rPr>
        <w:t xml:space="preserve">Osobitný cieľ č. 2 – počet odhadovaných činností </w:t>
      </w:r>
      <w:r>
        <w:rPr>
          <w:noProof/>
        </w:rPr>
        <w:t>budovania kapacít na predchádzanie konfliktom, budovane mieru a pripravenosť na krízy v danom rozpočtovom roku.</w:t>
      </w:r>
    </w:p>
    <w:p w:rsidR="00A6487C" w:rsidRDefault="007E6C80">
      <w:pPr>
        <w:pStyle w:val="Bullet1"/>
        <w:numPr>
          <w:ilvl w:val="0"/>
          <w:numId w:val="15"/>
        </w:numPr>
        <w:rPr>
          <w:noProof/>
        </w:rPr>
      </w:pPr>
      <w:r>
        <w:rPr>
          <w:noProof/>
        </w:rPr>
        <w:t>Osobitný cieľ č. 3 – počet vyškolených osôb a/alebo vybavenie zakúpené v danom rozpočtovom roku.</w:t>
      </w:r>
    </w:p>
    <w:p w:rsidR="00A6487C" w:rsidRDefault="00A6487C">
      <w:pPr>
        <w:jc w:val="right"/>
        <w:rPr>
          <w:noProof/>
          <w:sz w:val="20"/>
        </w:rPr>
      </w:pPr>
    </w:p>
    <w:p w:rsidR="00A6487C" w:rsidRDefault="007E6C80">
      <w:pPr>
        <w:jc w:val="right"/>
        <w:rPr>
          <w:noProof/>
          <w:sz w:val="20"/>
        </w:rPr>
      </w:pPr>
      <w:r>
        <w:rPr>
          <w:noProof/>
          <w:sz w:val="20"/>
        </w:rPr>
        <w:t>Viazané rozpočtové prostriedky v mil. EUR (zao</w:t>
      </w:r>
      <w:r>
        <w:rPr>
          <w:noProof/>
          <w:sz w:val="20"/>
        </w:rPr>
        <w:t>krúhlené na 3 desatinné miesta)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4"/>
        <w:gridCol w:w="666"/>
        <w:gridCol w:w="540"/>
        <w:gridCol w:w="648"/>
        <w:gridCol w:w="432"/>
        <w:gridCol w:w="720"/>
        <w:gridCol w:w="540"/>
        <w:gridCol w:w="720"/>
        <w:gridCol w:w="720"/>
        <w:gridCol w:w="900"/>
      </w:tblGrid>
      <w:tr w:rsidR="00A6487C">
        <w:trPr>
          <w:jc w:val="center"/>
        </w:trPr>
        <w:tc>
          <w:tcPr>
            <w:tcW w:w="1423" w:type="dxa"/>
            <w:vMerge w:val="restart"/>
            <w:vAlign w:val="center"/>
          </w:tcPr>
          <w:p w:rsidR="00A6487C" w:rsidRDefault="007E6C80">
            <w:pPr>
              <w:ind w:right="-29"/>
              <w:jc w:val="center"/>
              <w:rPr>
                <w:b/>
                <w:noProof/>
                <w:sz w:val="18"/>
                <w:szCs w:val="18"/>
              </w:rPr>
            </w:pPr>
            <w:r>
              <w:rPr>
                <w:b/>
                <w:noProof/>
                <w:sz w:val="18"/>
              </w:rPr>
              <w:t xml:space="preserve">Uveďte ciele a výstupy </w:t>
            </w:r>
          </w:p>
          <w:p w:rsidR="00A6487C" w:rsidRDefault="00A6487C">
            <w:pPr>
              <w:ind w:right="-29"/>
              <w:jc w:val="center"/>
              <w:rPr>
                <w:b/>
                <w:noProof/>
                <w:sz w:val="18"/>
                <w:szCs w:val="18"/>
              </w:rPr>
            </w:pPr>
          </w:p>
          <w:p w:rsidR="00A6487C" w:rsidRDefault="007E6C80">
            <w:pPr>
              <w:ind w:right="-29"/>
              <w:jc w:val="center"/>
              <w:rPr>
                <w:noProof/>
                <w:sz w:val="18"/>
                <w:szCs w:val="18"/>
              </w:rPr>
            </w:pPr>
            <w:r>
              <w:rPr>
                <w:noProof/>
                <w:sz w:val="18"/>
              </w:rPr>
              <w:sym w:font="Wingdings" w:char="F0F2"/>
            </w:r>
          </w:p>
        </w:tc>
        <w:tc>
          <w:tcPr>
            <w:tcW w:w="720" w:type="dxa"/>
            <w:vAlign w:val="center"/>
          </w:tcPr>
          <w:p w:rsidR="00A6487C" w:rsidRDefault="00A6487C">
            <w:pPr>
              <w:ind w:right="-29"/>
              <w:jc w:val="center"/>
              <w:rPr>
                <w:noProof/>
                <w:sz w:val="18"/>
                <w:szCs w:val="18"/>
              </w:rPr>
            </w:pPr>
          </w:p>
        </w:tc>
        <w:tc>
          <w:tcPr>
            <w:tcW w:w="701" w:type="dxa"/>
            <w:vAlign w:val="center"/>
          </w:tcPr>
          <w:p w:rsidR="00A6487C" w:rsidRDefault="00A6487C">
            <w:pPr>
              <w:ind w:right="-29"/>
              <w:jc w:val="center"/>
              <w:rPr>
                <w:noProof/>
                <w:sz w:val="18"/>
                <w:szCs w:val="18"/>
              </w:rPr>
            </w:pPr>
          </w:p>
        </w:tc>
        <w:tc>
          <w:tcPr>
            <w:tcW w:w="1224" w:type="dxa"/>
            <w:gridSpan w:val="2"/>
            <w:tcBorders>
              <w:left w:val="nil"/>
            </w:tcBorders>
            <w:vAlign w:val="center"/>
          </w:tcPr>
          <w:p w:rsidR="00A6487C" w:rsidRDefault="007E6C80">
            <w:pPr>
              <w:ind w:right="-29"/>
              <w:jc w:val="center"/>
              <w:rPr>
                <w:noProof/>
                <w:sz w:val="18"/>
                <w:szCs w:val="18"/>
              </w:rPr>
            </w:pPr>
            <w:r>
              <w:rPr>
                <w:noProof/>
                <w:sz w:val="18"/>
              </w:rPr>
              <w:t>Rok</w:t>
            </w:r>
            <w:r>
              <w:rPr>
                <w:noProof/>
                <w:sz w:val="22"/>
              </w:rPr>
              <w:br/>
            </w:r>
            <w:r>
              <w:rPr>
                <w:b/>
                <w:noProof/>
                <w:sz w:val="18"/>
              </w:rPr>
              <w:t>2017</w:t>
            </w:r>
          </w:p>
        </w:tc>
        <w:tc>
          <w:tcPr>
            <w:tcW w:w="1260" w:type="dxa"/>
            <w:gridSpan w:val="2"/>
            <w:vAlign w:val="center"/>
          </w:tcPr>
          <w:p w:rsidR="00A6487C" w:rsidRDefault="007E6C80">
            <w:pPr>
              <w:ind w:right="-29"/>
              <w:jc w:val="center"/>
              <w:rPr>
                <w:noProof/>
                <w:sz w:val="18"/>
                <w:szCs w:val="18"/>
              </w:rPr>
            </w:pPr>
            <w:r>
              <w:rPr>
                <w:noProof/>
                <w:sz w:val="18"/>
              </w:rPr>
              <w:t>Rok</w:t>
            </w:r>
            <w:r>
              <w:rPr>
                <w:noProof/>
                <w:sz w:val="22"/>
              </w:rPr>
              <w:br/>
            </w:r>
            <w:r>
              <w:rPr>
                <w:b/>
                <w:noProof/>
                <w:sz w:val="18"/>
              </w:rPr>
              <w:t>2018</w:t>
            </w:r>
          </w:p>
        </w:tc>
        <w:tc>
          <w:tcPr>
            <w:tcW w:w="1440" w:type="dxa"/>
            <w:gridSpan w:val="2"/>
            <w:vAlign w:val="center"/>
          </w:tcPr>
          <w:p w:rsidR="00A6487C" w:rsidRDefault="007E6C80">
            <w:pPr>
              <w:ind w:right="-29"/>
              <w:jc w:val="center"/>
              <w:rPr>
                <w:noProof/>
                <w:sz w:val="18"/>
                <w:szCs w:val="18"/>
              </w:rPr>
            </w:pPr>
            <w:r>
              <w:rPr>
                <w:noProof/>
                <w:sz w:val="18"/>
              </w:rPr>
              <w:t>Rok</w:t>
            </w:r>
            <w:r>
              <w:rPr>
                <w:noProof/>
                <w:sz w:val="22"/>
              </w:rPr>
              <w:br/>
            </w:r>
            <w:r>
              <w:rPr>
                <w:b/>
                <w:noProof/>
                <w:sz w:val="18"/>
              </w:rPr>
              <w:t>2019</w:t>
            </w:r>
          </w:p>
        </w:tc>
        <w:tc>
          <w:tcPr>
            <w:tcW w:w="1620" w:type="dxa"/>
            <w:gridSpan w:val="3"/>
            <w:vAlign w:val="center"/>
          </w:tcPr>
          <w:p w:rsidR="00A6487C" w:rsidRDefault="007E6C80">
            <w:pPr>
              <w:ind w:right="-29"/>
              <w:jc w:val="center"/>
              <w:rPr>
                <w:noProof/>
                <w:sz w:val="18"/>
                <w:szCs w:val="18"/>
              </w:rPr>
            </w:pPr>
            <w:r>
              <w:rPr>
                <w:noProof/>
                <w:sz w:val="18"/>
              </w:rPr>
              <w:t>Rok</w:t>
            </w:r>
            <w:r>
              <w:rPr>
                <w:noProof/>
                <w:sz w:val="22"/>
              </w:rPr>
              <w:br/>
            </w:r>
            <w:r>
              <w:rPr>
                <w:b/>
                <w:noProof/>
                <w:sz w:val="18"/>
              </w:rPr>
              <w:t>2020</w:t>
            </w:r>
          </w:p>
        </w:tc>
        <w:tc>
          <w:tcPr>
            <w:tcW w:w="3600" w:type="dxa"/>
            <w:gridSpan w:val="6"/>
            <w:vAlign w:val="center"/>
          </w:tcPr>
          <w:p w:rsidR="00A6487C" w:rsidRDefault="007E6C80">
            <w:pPr>
              <w:jc w:val="center"/>
              <w:rPr>
                <w:noProof/>
                <w:sz w:val="18"/>
                <w:szCs w:val="18"/>
              </w:rPr>
            </w:pPr>
            <w:r>
              <w:rPr>
                <w:noProof/>
                <w:sz w:val="18"/>
              </w:rPr>
              <w:t>Uveďte všetky roky, počas ktorých vplyv trvá (pozri bod 1.6)</w:t>
            </w:r>
          </w:p>
        </w:tc>
        <w:tc>
          <w:tcPr>
            <w:tcW w:w="1620" w:type="dxa"/>
            <w:gridSpan w:val="2"/>
            <w:tcBorders>
              <w:left w:val="nil"/>
              <w:bottom w:val="nil"/>
            </w:tcBorders>
            <w:vAlign w:val="center"/>
          </w:tcPr>
          <w:p w:rsidR="00A6487C" w:rsidRDefault="007E6C80">
            <w:pPr>
              <w:ind w:right="-29"/>
              <w:jc w:val="center"/>
              <w:rPr>
                <w:noProof/>
                <w:sz w:val="18"/>
                <w:szCs w:val="18"/>
              </w:rPr>
            </w:pPr>
            <w:r>
              <w:rPr>
                <w:b/>
                <w:noProof/>
                <w:sz w:val="18"/>
              </w:rPr>
              <w:t>SPOLU</w:t>
            </w:r>
          </w:p>
        </w:tc>
      </w:tr>
      <w:tr w:rsidR="00A6487C">
        <w:trPr>
          <w:jc w:val="center"/>
        </w:trPr>
        <w:tc>
          <w:tcPr>
            <w:tcW w:w="1423" w:type="dxa"/>
            <w:vMerge/>
            <w:vAlign w:val="center"/>
          </w:tcPr>
          <w:p w:rsidR="00A6487C" w:rsidRDefault="00A6487C">
            <w:pPr>
              <w:ind w:right="-29"/>
              <w:jc w:val="center"/>
              <w:rPr>
                <w:noProof/>
                <w:sz w:val="18"/>
                <w:szCs w:val="18"/>
              </w:rPr>
            </w:pPr>
          </w:p>
        </w:tc>
        <w:tc>
          <w:tcPr>
            <w:tcW w:w="12185" w:type="dxa"/>
            <w:gridSpan w:val="19"/>
            <w:vAlign w:val="center"/>
          </w:tcPr>
          <w:p w:rsidR="00A6487C" w:rsidRDefault="007E6C80">
            <w:pPr>
              <w:spacing w:before="60" w:after="60"/>
              <w:ind w:right="-29"/>
              <w:jc w:val="center"/>
              <w:rPr>
                <w:noProof/>
                <w:sz w:val="18"/>
                <w:szCs w:val="18"/>
              </w:rPr>
            </w:pPr>
            <w:r>
              <w:rPr>
                <w:b/>
                <w:noProof/>
                <w:sz w:val="18"/>
              </w:rPr>
              <w:t>VÝSTUPY</w:t>
            </w:r>
          </w:p>
        </w:tc>
      </w:tr>
      <w:tr w:rsidR="00A6487C">
        <w:trPr>
          <w:cantSplit/>
          <w:trHeight w:val="1134"/>
          <w:jc w:val="center"/>
        </w:trPr>
        <w:tc>
          <w:tcPr>
            <w:tcW w:w="1423" w:type="dxa"/>
            <w:vMerge/>
            <w:vAlign w:val="center"/>
          </w:tcPr>
          <w:p w:rsidR="00A6487C" w:rsidRDefault="00A6487C">
            <w:pPr>
              <w:rPr>
                <w:noProof/>
                <w:sz w:val="18"/>
                <w:szCs w:val="18"/>
              </w:rPr>
            </w:pPr>
          </w:p>
        </w:tc>
        <w:tc>
          <w:tcPr>
            <w:tcW w:w="720" w:type="dxa"/>
            <w:vAlign w:val="center"/>
          </w:tcPr>
          <w:p w:rsidR="00A6487C" w:rsidRDefault="007E6C80">
            <w:pPr>
              <w:jc w:val="center"/>
              <w:rPr>
                <w:noProof/>
                <w:sz w:val="18"/>
                <w:szCs w:val="18"/>
              </w:rPr>
            </w:pPr>
            <w:r>
              <w:rPr>
                <w:noProof/>
                <w:sz w:val="18"/>
              </w:rPr>
              <w:t>Typ</w:t>
            </w:r>
            <w:r>
              <w:rPr>
                <w:rStyle w:val="FootnoteReference"/>
                <w:noProof/>
              </w:rPr>
              <w:footnoteReference w:id="32"/>
            </w:r>
          </w:p>
          <w:p w:rsidR="00A6487C" w:rsidRDefault="00A6487C">
            <w:pPr>
              <w:spacing w:before="0" w:after="0"/>
              <w:jc w:val="center"/>
              <w:rPr>
                <w:noProof/>
                <w:sz w:val="18"/>
                <w:szCs w:val="18"/>
              </w:rPr>
            </w:pPr>
          </w:p>
        </w:tc>
        <w:tc>
          <w:tcPr>
            <w:tcW w:w="701" w:type="dxa"/>
            <w:vAlign w:val="center"/>
          </w:tcPr>
          <w:p w:rsidR="00A6487C" w:rsidRDefault="007E6C80">
            <w:pPr>
              <w:jc w:val="center"/>
              <w:rPr>
                <w:noProof/>
                <w:sz w:val="18"/>
                <w:szCs w:val="18"/>
              </w:rPr>
            </w:pPr>
            <w:r>
              <w:rPr>
                <w:noProof/>
                <w:sz w:val="18"/>
              </w:rPr>
              <w:t>Priemerné náklady</w:t>
            </w:r>
          </w:p>
        </w:tc>
        <w:tc>
          <w:tcPr>
            <w:tcW w:w="504" w:type="dxa"/>
            <w:tcBorders>
              <w:left w:val="nil"/>
              <w:right w:val="dashSmallGap" w:sz="4" w:space="0" w:color="auto"/>
            </w:tcBorders>
            <w:shd w:val="pct10" w:color="auto" w:fill="auto"/>
            <w:textDirection w:val="btLr"/>
            <w:vAlign w:val="center"/>
          </w:tcPr>
          <w:p w:rsidR="00A6487C" w:rsidRDefault="007E6C80">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A6487C" w:rsidRDefault="007E6C80">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rsidR="00A6487C" w:rsidRDefault="007E6C80">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A6487C" w:rsidRDefault="007E6C80">
            <w:pPr>
              <w:jc w:val="center"/>
              <w:rPr>
                <w:noProof/>
                <w:sz w:val="18"/>
                <w:szCs w:val="18"/>
              </w:rPr>
            </w:pPr>
            <w:r>
              <w:rPr>
                <w:noProof/>
                <w:sz w:val="18"/>
              </w:rPr>
              <w:t>Náklady</w:t>
            </w:r>
          </w:p>
        </w:tc>
        <w:tc>
          <w:tcPr>
            <w:tcW w:w="720" w:type="dxa"/>
            <w:tcBorders>
              <w:right w:val="dashSmallGap" w:sz="4" w:space="0" w:color="auto"/>
            </w:tcBorders>
            <w:shd w:val="pct10" w:color="auto" w:fill="auto"/>
            <w:textDirection w:val="btLr"/>
            <w:vAlign w:val="center"/>
          </w:tcPr>
          <w:p w:rsidR="00A6487C" w:rsidRDefault="007E6C80">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A6487C" w:rsidRDefault="007E6C80">
            <w:pPr>
              <w:jc w:val="center"/>
              <w:rPr>
                <w:noProof/>
                <w:sz w:val="18"/>
                <w:szCs w:val="18"/>
              </w:rPr>
            </w:pPr>
            <w:r>
              <w:rPr>
                <w:noProof/>
                <w:sz w:val="18"/>
              </w:rPr>
              <w:t>Náklady</w:t>
            </w:r>
          </w:p>
        </w:tc>
        <w:tc>
          <w:tcPr>
            <w:tcW w:w="900" w:type="dxa"/>
            <w:tcBorders>
              <w:right w:val="dashSmallGap" w:sz="4" w:space="0" w:color="auto"/>
            </w:tcBorders>
            <w:shd w:val="pct10" w:color="auto" w:fill="auto"/>
            <w:textDirection w:val="btLr"/>
            <w:vAlign w:val="center"/>
          </w:tcPr>
          <w:p w:rsidR="00A6487C" w:rsidRDefault="007E6C80">
            <w:pPr>
              <w:ind w:left="113" w:right="113"/>
              <w:jc w:val="center"/>
              <w:rPr>
                <w:noProof/>
                <w:sz w:val="18"/>
                <w:szCs w:val="18"/>
              </w:rPr>
            </w:pPr>
            <w:r>
              <w:rPr>
                <w:noProof/>
                <w:sz w:val="18"/>
              </w:rPr>
              <w:t>Počet</w:t>
            </w:r>
          </w:p>
        </w:tc>
        <w:tc>
          <w:tcPr>
            <w:tcW w:w="720" w:type="dxa"/>
            <w:gridSpan w:val="2"/>
            <w:tcBorders>
              <w:left w:val="dashSmallGap" w:sz="4" w:space="0" w:color="auto"/>
            </w:tcBorders>
            <w:shd w:val="pct10" w:color="auto" w:fill="auto"/>
            <w:vAlign w:val="center"/>
          </w:tcPr>
          <w:p w:rsidR="00A6487C" w:rsidRDefault="007E6C80">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rsidR="00A6487C" w:rsidRDefault="007E6C80">
            <w:pPr>
              <w:ind w:left="113" w:right="113"/>
              <w:jc w:val="center"/>
              <w:rPr>
                <w:noProof/>
                <w:sz w:val="18"/>
                <w:szCs w:val="18"/>
              </w:rPr>
            </w:pPr>
            <w:r>
              <w:rPr>
                <w:noProof/>
                <w:sz w:val="18"/>
              </w:rPr>
              <w:t>Počet</w:t>
            </w:r>
          </w:p>
        </w:tc>
        <w:tc>
          <w:tcPr>
            <w:tcW w:w="648" w:type="dxa"/>
            <w:tcBorders>
              <w:left w:val="dashSmallGap" w:sz="4" w:space="0" w:color="auto"/>
            </w:tcBorders>
            <w:shd w:val="pct10" w:color="auto" w:fill="auto"/>
            <w:vAlign w:val="center"/>
          </w:tcPr>
          <w:p w:rsidR="00A6487C" w:rsidRDefault="007E6C80">
            <w:pPr>
              <w:jc w:val="center"/>
              <w:rPr>
                <w:noProof/>
                <w:sz w:val="18"/>
                <w:szCs w:val="18"/>
              </w:rPr>
            </w:pPr>
            <w:r>
              <w:rPr>
                <w:noProof/>
                <w:sz w:val="18"/>
              </w:rPr>
              <w:t>Náklady</w:t>
            </w:r>
          </w:p>
        </w:tc>
        <w:tc>
          <w:tcPr>
            <w:tcW w:w="432" w:type="dxa"/>
            <w:tcBorders>
              <w:right w:val="dashSmallGap" w:sz="4" w:space="0" w:color="auto"/>
            </w:tcBorders>
            <w:shd w:val="pct10" w:color="auto" w:fill="auto"/>
            <w:textDirection w:val="btLr"/>
            <w:vAlign w:val="center"/>
          </w:tcPr>
          <w:p w:rsidR="00A6487C" w:rsidRDefault="007E6C80">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A6487C" w:rsidRDefault="007E6C80">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rsidR="00A6487C" w:rsidRDefault="007E6C80">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A6487C" w:rsidRDefault="007E6C80">
            <w:pPr>
              <w:jc w:val="center"/>
              <w:rPr>
                <w:noProof/>
                <w:sz w:val="18"/>
                <w:szCs w:val="18"/>
              </w:rPr>
            </w:pPr>
            <w:r>
              <w:rPr>
                <w:noProof/>
                <w:sz w:val="18"/>
              </w:rPr>
              <w:t>Náklady</w:t>
            </w:r>
          </w:p>
        </w:tc>
        <w:tc>
          <w:tcPr>
            <w:tcW w:w="720" w:type="dxa"/>
            <w:tcBorders>
              <w:right w:val="dashSmallGap" w:sz="4" w:space="0" w:color="auto"/>
            </w:tcBorders>
            <w:shd w:val="pct10" w:color="auto" w:fill="auto"/>
            <w:vAlign w:val="center"/>
          </w:tcPr>
          <w:p w:rsidR="00A6487C" w:rsidRDefault="007E6C80">
            <w:pPr>
              <w:jc w:val="center"/>
              <w:rPr>
                <w:noProof/>
                <w:sz w:val="18"/>
                <w:szCs w:val="18"/>
              </w:rPr>
            </w:pPr>
            <w:r>
              <w:rPr>
                <w:noProof/>
                <w:sz w:val="18"/>
              </w:rPr>
              <w:t>Celkový počet</w:t>
            </w:r>
          </w:p>
        </w:tc>
        <w:tc>
          <w:tcPr>
            <w:tcW w:w="900" w:type="dxa"/>
            <w:tcBorders>
              <w:left w:val="dashSmallGap" w:sz="4" w:space="0" w:color="auto"/>
            </w:tcBorders>
            <w:shd w:val="pct10" w:color="auto" w:fill="auto"/>
            <w:vAlign w:val="center"/>
          </w:tcPr>
          <w:p w:rsidR="00A6487C" w:rsidRDefault="007E6C80">
            <w:pPr>
              <w:jc w:val="center"/>
              <w:rPr>
                <w:noProof/>
                <w:sz w:val="18"/>
                <w:szCs w:val="18"/>
              </w:rPr>
            </w:pPr>
            <w:r>
              <w:rPr>
                <w:noProof/>
                <w:sz w:val="18"/>
              </w:rPr>
              <w:t>Náklady spolu</w:t>
            </w:r>
          </w:p>
        </w:tc>
      </w:tr>
      <w:tr w:rsidR="00A6487C">
        <w:trPr>
          <w:trHeight w:val="835"/>
          <w:jc w:val="center"/>
        </w:trPr>
        <w:tc>
          <w:tcPr>
            <w:tcW w:w="2844" w:type="dxa"/>
            <w:gridSpan w:val="3"/>
            <w:vAlign w:val="center"/>
          </w:tcPr>
          <w:p w:rsidR="00A6487C" w:rsidRDefault="007E6C80">
            <w:pPr>
              <w:spacing w:before="60" w:after="60"/>
              <w:ind w:right="-29"/>
              <w:jc w:val="left"/>
              <w:rPr>
                <w:noProof/>
                <w:sz w:val="18"/>
              </w:rPr>
            </w:pPr>
            <w:r>
              <w:rPr>
                <w:noProof/>
                <w:sz w:val="18"/>
              </w:rPr>
              <w:t>OSOBITNÝ CIEĽ Č. 1</w:t>
            </w:r>
            <w:r>
              <w:rPr>
                <w:rStyle w:val="FootnoteReference"/>
                <w:noProof/>
              </w:rPr>
              <w:footnoteReference w:id="33"/>
            </w:r>
            <w:r>
              <w:rPr>
                <w:noProof/>
              </w:rPr>
              <w:t xml:space="preserve"> </w:t>
            </w:r>
          </w:p>
          <w:p w:rsidR="00A6487C" w:rsidRDefault="00A6487C">
            <w:pPr>
              <w:spacing w:before="60" w:after="60"/>
              <w:ind w:right="-29"/>
              <w:jc w:val="left"/>
              <w:rPr>
                <w:b/>
                <w:noProof/>
                <w:sz w:val="18"/>
              </w:rPr>
            </w:pPr>
          </w:p>
          <w:p w:rsidR="00A6487C" w:rsidRDefault="007E6C80">
            <w:pPr>
              <w:spacing w:before="60" w:after="60"/>
              <w:ind w:right="-29"/>
              <w:jc w:val="left"/>
              <w:rPr>
                <w:noProof/>
                <w:sz w:val="18"/>
                <w:szCs w:val="18"/>
              </w:rPr>
            </w:pPr>
            <w:r>
              <w:rPr>
                <w:b/>
                <w:noProof/>
                <w:sz w:val="18"/>
              </w:rPr>
              <w:t xml:space="preserve">Rozpočtový </w:t>
            </w:r>
            <w:r>
              <w:rPr>
                <w:b/>
                <w:noProof/>
                <w:sz w:val="18"/>
              </w:rPr>
              <w:t>riadok 19 02 01</w:t>
            </w:r>
          </w:p>
        </w:tc>
        <w:tc>
          <w:tcPr>
            <w:tcW w:w="504" w:type="dxa"/>
            <w:tcBorders>
              <w:top w:val="nil"/>
              <w:left w:val="nil"/>
              <w:bottom w:val="nil"/>
              <w:right w:val="nil"/>
            </w:tcBorders>
          </w:tcPr>
          <w:p w:rsidR="00A6487C" w:rsidRDefault="00A6487C">
            <w:pPr>
              <w:spacing w:before="60" w:after="60"/>
              <w:ind w:right="-29"/>
              <w:jc w:val="center"/>
              <w:rPr>
                <w:noProof/>
                <w:sz w:val="18"/>
                <w:szCs w:val="18"/>
              </w:rPr>
            </w:pPr>
          </w:p>
        </w:tc>
        <w:tc>
          <w:tcPr>
            <w:tcW w:w="720" w:type="dxa"/>
            <w:tcBorders>
              <w:top w:val="nil"/>
              <w:left w:val="nil"/>
              <w:bottom w:val="nil"/>
              <w:right w:val="nil"/>
            </w:tcBorders>
          </w:tcPr>
          <w:p w:rsidR="00A6487C" w:rsidRDefault="00A6487C">
            <w:pPr>
              <w:spacing w:before="60" w:after="60"/>
              <w:ind w:right="-29"/>
              <w:jc w:val="center"/>
              <w:rPr>
                <w:noProof/>
                <w:sz w:val="18"/>
                <w:szCs w:val="18"/>
              </w:rPr>
            </w:pPr>
          </w:p>
        </w:tc>
        <w:tc>
          <w:tcPr>
            <w:tcW w:w="540" w:type="dxa"/>
            <w:tcBorders>
              <w:top w:val="nil"/>
              <w:left w:val="nil"/>
              <w:bottom w:val="nil"/>
              <w:right w:val="nil"/>
            </w:tcBorders>
          </w:tcPr>
          <w:p w:rsidR="00A6487C" w:rsidRDefault="00A6487C">
            <w:pPr>
              <w:spacing w:before="60" w:after="60"/>
              <w:ind w:right="-29"/>
              <w:jc w:val="center"/>
              <w:rPr>
                <w:noProof/>
                <w:sz w:val="18"/>
                <w:szCs w:val="18"/>
              </w:rPr>
            </w:pPr>
          </w:p>
        </w:tc>
        <w:tc>
          <w:tcPr>
            <w:tcW w:w="720" w:type="dxa"/>
            <w:tcBorders>
              <w:top w:val="nil"/>
              <w:left w:val="nil"/>
              <w:bottom w:val="nil"/>
              <w:right w:val="nil"/>
            </w:tcBorders>
          </w:tcPr>
          <w:p w:rsidR="00A6487C" w:rsidRDefault="00A6487C">
            <w:pPr>
              <w:spacing w:before="60" w:after="60"/>
              <w:ind w:right="-29"/>
              <w:jc w:val="center"/>
              <w:rPr>
                <w:noProof/>
                <w:sz w:val="18"/>
                <w:szCs w:val="18"/>
              </w:rPr>
            </w:pPr>
          </w:p>
        </w:tc>
        <w:tc>
          <w:tcPr>
            <w:tcW w:w="720" w:type="dxa"/>
            <w:tcBorders>
              <w:top w:val="nil"/>
              <w:left w:val="nil"/>
              <w:bottom w:val="nil"/>
              <w:right w:val="nil"/>
            </w:tcBorders>
          </w:tcPr>
          <w:p w:rsidR="00A6487C" w:rsidRDefault="00A6487C">
            <w:pPr>
              <w:spacing w:before="60" w:after="60"/>
              <w:ind w:right="-29"/>
              <w:jc w:val="center"/>
              <w:rPr>
                <w:noProof/>
                <w:sz w:val="18"/>
                <w:szCs w:val="18"/>
              </w:rPr>
            </w:pPr>
          </w:p>
        </w:tc>
        <w:tc>
          <w:tcPr>
            <w:tcW w:w="720" w:type="dxa"/>
            <w:tcBorders>
              <w:top w:val="nil"/>
              <w:left w:val="nil"/>
              <w:bottom w:val="nil"/>
              <w:right w:val="nil"/>
            </w:tcBorders>
          </w:tcPr>
          <w:p w:rsidR="00A6487C" w:rsidRDefault="00A6487C">
            <w:pPr>
              <w:spacing w:before="60" w:after="60"/>
              <w:ind w:right="-29"/>
              <w:jc w:val="center"/>
              <w:rPr>
                <w:noProof/>
                <w:sz w:val="18"/>
                <w:szCs w:val="18"/>
              </w:rPr>
            </w:pPr>
          </w:p>
        </w:tc>
        <w:tc>
          <w:tcPr>
            <w:tcW w:w="900" w:type="dxa"/>
            <w:tcBorders>
              <w:top w:val="nil"/>
              <w:left w:val="nil"/>
              <w:bottom w:val="nil"/>
              <w:right w:val="nil"/>
            </w:tcBorders>
          </w:tcPr>
          <w:p w:rsidR="00A6487C" w:rsidRDefault="00A6487C">
            <w:pPr>
              <w:spacing w:before="60" w:after="60"/>
              <w:ind w:right="-29"/>
              <w:jc w:val="center"/>
              <w:rPr>
                <w:noProof/>
                <w:sz w:val="18"/>
                <w:szCs w:val="18"/>
              </w:rPr>
            </w:pPr>
          </w:p>
        </w:tc>
        <w:tc>
          <w:tcPr>
            <w:tcW w:w="720" w:type="dxa"/>
            <w:gridSpan w:val="2"/>
            <w:tcBorders>
              <w:top w:val="nil"/>
              <w:left w:val="nil"/>
              <w:bottom w:val="nil"/>
              <w:right w:val="nil"/>
            </w:tcBorders>
          </w:tcPr>
          <w:p w:rsidR="00A6487C" w:rsidRDefault="00A6487C">
            <w:pPr>
              <w:spacing w:before="60" w:after="60"/>
              <w:ind w:right="-29"/>
              <w:jc w:val="center"/>
              <w:rPr>
                <w:noProof/>
                <w:sz w:val="18"/>
                <w:szCs w:val="18"/>
              </w:rPr>
            </w:pPr>
          </w:p>
        </w:tc>
        <w:tc>
          <w:tcPr>
            <w:tcW w:w="540" w:type="dxa"/>
            <w:tcBorders>
              <w:top w:val="nil"/>
              <w:left w:val="nil"/>
              <w:bottom w:val="nil"/>
              <w:right w:val="nil"/>
            </w:tcBorders>
          </w:tcPr>
          <w:p w:rsidR="00A6487C" w:rsidRDefault="00A6487C">
            <w:pPr>
              <w:spacing w:before="60" w:after="60"/>
              <w:ind w:right="-29"/>
              <w:jc w:val="center"/>
              <w:rPr>
                <w:noProof/>
                <w:sz w:val="18"/>
                <w:szCs w:val="18"/>
              </w:rPr>
            </w:pPr>
          </w:p>
        </w:tc>
        <w:tc>
          <w:tcPr>
            <w:tcW w:w="648" w:type="dxa"/>
            <w:tcBorders>
              <w:top w:val="nil"/>
              <w:left w:val="nil"/>
              <w:bottom w:val="nil"/>
              <w:right w:val="nil"/>
            </w:tcBorders>
          </w:tcPr>
          <w:p w:rsidR="00A6487C" w:rsidRDefault="00A6487C">
            <w:pPr>
              <w:spacing w:before="60" w:after="60"/>
              <w:ind w:right="-29"/>
              <w:jc w:val="center"/>
              <w:rPr>
                <w:noProof/>
                <w:sz w:val="18"/>
                <w:szCs w:val="18"/>
              </w:rPr>
            </w:pPr>
          </w:p>
        </w:tc>
        <w:tc>
          <w:tcPr>
            <w:tcW w:w="432" w:type="dxa"/>
            <w:tcBorders>
              <w:top w:val="nil"/>
              <w:left w:val="nil"/>
              <w:bottom w:val="nil"/>
              <w:right w:val="nil"/>
            </w:tcBorders>
          </w:tcPr>
          <w:p w:rsidR="00A6487C" w:rsidRDefault="00A6487C">
            <w:pPr>
              <w:spacing w:before="60" w:after="60"/>
              <w:ind w:right="-29"/>
              <w:jc w:val="center"/>
              <w:rPr>
                <w:noProof/>
                <w:sz w:val="18"/>
                <w:szCs w:val="18"/>
              </w:rPr>
            </w:pPr>
          </w:p>
        </w:tc>
        <w:tc>
          <w:tcPr>
            <w:tcW w:w="720" w:type="dxa"/>
            <w:tcBorders>
              <w:top w:val="nil"/>
              <w:left w:val="nil"/>
              <w:bottom w:val="nil"/>
              <w:right w:val="nil"/>
            </w:tcBorders>
          </w:tcPr>
          <w:p w:rsidR="00A6487C" w:rsidRDefault="00A6487C">
            <w:pPr>
              <w:spacing w:before="60" w:after="60"/>
              <w:ind w:right="-29"/>
              <w:jc w:val="center"/>
              <w:rPr>
                <w:noProof/>
                <w:sz w:val="18"/>
                <w:szCs w:val="18"/>
              </w:rPr>
            </w:pPr>
          </w:p>
        </w:tc>
        <w:tc>
          <w:tcPr>
            <w:tcW w:w="540" w:type="dxa"/>
            <w:tcBorders>
              <w:top w:val="nil"/>
              <w:left w:val="nil"/>
              <w:bottom w:val="nil"/>
              <w:right w:val="nil"/>
            </w:tcBorders>
          </w:tcPr>
          <w:p w:rsidR="00A6487C" w:rsidRDefault="00A6487C">
            <w:pPr>
              <w:spacing w:before="60" w:after="60"/>
              <w:ind w:right="-29"/>
              <w:jc w:val="center"/>
              <w:rPr>
                <w:noProof/>
                <w:sz w:val="18"/>
                <w:szCs w:val="18"/>
              </w:rPr>
            </w:pPr>
          </w:p>
        </w:tc>
        <w:tc>
          <w:tcPr>
            <w:tcW w:w="720" w:type="dxa"/>
            <w:tcBorders>
              <w:top w:val="nil"/>
              <w:left w:val="nil"/>
              <w:bottom w:val="nil"/>
              <w:right w:val="nil"/>
            </w:tcBorders>
          </w:tcPr>
          <w:p w:rsidR="00A6487C" w:rsidRDefault="00A6487C">
            <w:pPr>
              <w:spacing w:before="60" w:after="60"/>
              <w:ind w:right="-29"/>
              <w:jc w:val="center"/>
              <w:rPr>
                <w:noProof/>
                <w:sz w:val="18"/>
                <w:szCs w:val="18"/>
              </w:rPr>
            </w:pPr>
          </w:p>
        </w:tc>
        <w:tc>
          <w:tcPr>
            <w:tcW w:w="720" w:type="dxa"/>
            <w:tcBorders>
              <w:top w:val="nil"/>
              <w:left w:val="nil"/>
              <w:bottom w:val="nil"/>
              <w:right w:val="nil"/>
            </w:tcBorders>
          </w:tcPr>
          <w:p w:rsidR="00A6487C" w:rsidRDefault="00A6487C">
            <w:pPr>
              <w:spacing w:before="60" w:after="60"/>
              <w:ind w:right="-29"/>
              <w:jc w:val="center"/>
              <w:rPr>
                <w:noProof/>
                <w:sz w:val="18"/>
                <w:szCs w:val="18"/>
              </w:rPr>
            </w:pPr>
          </w:p>
        </w:tc>
        <w:tc>
          <w:tcPr>
            <w:tcW w:w="900" w:type="dxa"/>
            <w:tcBorders>
              <w:top w:val="nil"/>
              <w:left w:val="nil"/>
              <w:bottom w:val="nil"/>
              <w:right w:val="nil"/>
            </w:tcBorders>
          </w:tcPr>
          <w:p w:rsidR="00A6487C" w:rsidRDefault="00A6487C">
            <w:pPr>
              <w:spacing w:before="60" w:after="60"/>
              <w:ind w:right="-29"/>
              <w:jc w:val="center"/>
              <w:rPr>
                <w:noProof/>
                <w:sz w:val="18"/>
                <w:szCs w:val="18"/>
              </w:rPr>
            </w:pPr>
          </w:p>
        </w:tc>
      </w:tr>
      <w:tr w:rsidR="00A6487C">
        <w:trPr>
          <w:trHeight w:hRule="exact" w:val="369"/>
          <w:jc w:val="center"/>
        </w:trPr>
        <w:tc>
          <w:tcPr>
            <w:tcW w:w="1423" w:type="dxa"/>
          </w:tcPr>
          <w:p w:rsidR="00A6487C" w:rsidRDefault="007E6C80">
            <w:pPr>
              <w:ind w:right="-29"/>
              <w:jc w:val="center"/>
              <w:rPr>
                <w:noProof/>
                <w:sz w:val="18"/>
                <w:szCs w:val="18"/>
              </w:rPr>
            </w:pPr>
            <w:r>
              <w:rPr>
                <w:noProof/>
                <w:sz w:val="18"/>
              </w:rPr>
              <w:t>– Výstup</w:t>
            </w:r>
          </w:p>
        </w:tc>
        <w:tc>
          <w:tcPr>
            <w:tcW w:w="720" w:type="dxa"/>
          </w:tcPr>
          <w:p w:rsidR="00A6487C" w:rsidRDefault="00A6487C">
            <w:pPr>
              <w:ind w:right="-29"/>
              <w:rPr>
                <w:noProof/>
                <w:sz w:val="18"/>
                <w:szCs w:val="18"/>
              </w:rPr>
            </w:pPr>
          </w:p>
        </w:tc>
        <w:tc>
          <w:tcPr>
            <w:tcW w:w="701" w:type="dxa"/>
          </w:tcPr>
          <w:p w:rsidR="00A6487C" w:rsidRDefault="00A6487C">
            <w:pPr>
              <w:ind w:right="-29"/>
              <w:jc w:val="center"/>
              <w:rPr>
                <w:noProof/>
                <w:sz w:val="18"/>
                <w:szCs w:val="18"/>
              </w:rPr>
            </w:pPr>
          </w:p>
        </w:tc>
        <w:tc>
          <w:tcPr>
            <w:tcW w:w="504" w:type="dxa"/>
            <w:tcBorders>
              <w:right w:val="dashSmallGap" w:sz="4" w:space="0" w:color="auto"/>
            </w:tcBorders>
          </w:tcPr>
          <w:p w:rsidR="00A6487C" w:rsidRDefault="00A6487C">
            <w:pPr>
              <w:ind w:right="-29"/>
              <w:jc w:val="center"/>
              <w:rPr>
                <w:noProof/>
                <w:sz w:val="18"/>
                <w:szCs w:val="18"/>
              </w:rPr>
            </w:pPr>
          </w:p>
        </w:tc>
        <w:tc>
          <w:tcPr>
            <w:tcW w:w="720" w:type="dxa"/>
            <w:tcBorders>
              <w:left w:val="dashSmallGap" w:sz="4" w:space="0" w:color="auto"/>
            </w:tcBorders>
          </w:tcPr>
          <w:p w:rsidR="00A6487C" w:rsidRDefault="00A6487C">
            <w:pPr>
              <w:ind w:right="-29"/>
              <w:jc w:val="center"/>
              <w:rPr>
                <w:noProof/>
                <w:sz w:val="18"/>
                <w:szCs w:val="18"/>
              </w:rPr>
            </w:pPr>
          </w:p>
        </w:tc>
        <w:tc>
          <w:tcPr>
            <w:tcW w:w="540" w:type="dxa"/>
            <w:tcBorders>
              <w:right w:val="dashSmallGap" w:sz="4" w:space="0" w:color="auto"/>
            </w:tcBorders>
          </w:tcPr>
          <w:p w:rsidR="00A6487C" w:rsidRDefault="00A6487C">
            <w:pPr>
              <w:ind w:right="-29"/>
              <w:jc w:val="center"/>
              <w:rPr>
                <w:noProof/>
                <w:sz w:val="18"/>
                <w:szCs w:val="18"/>
              </w:rPr>
            </w:pPr>
          </w:p>
        </w:tc>
        <w:tc>
          <w:tcPr>
            <w:tcW w:w="720" w:type="dxa"/>
            <w:tcBorders>
              <w:left w:val="dashSmallGap" w:sz="4" w:space="0" w:color="auto"/>
            </w:tcBorders>
          </w:tcPr>
          <w:p w:rsidR="00A6487C" w:rsidRDefault="00A6487C">
            <w:pPr>
              <w:ind w:right="-29"/>
              <w:jc w:val="center"/>
              <w:rPr>
                <w:noProof/>
                <w:sz w:val="18"/>
                <w:szCs w:val="18"/>
              </w:rPr>
            </w:pPr>
          </w:p>
        </w:tc>
        <w:tc>
          <w:tcPr>
            <w:tcW w:w="720" w:type="dxa"/>
            <w:tcBorders>
              <w:right w:val="dashSmallGap" w:sz="4" w:space="0" w:color="auto"/>
            </w:tcBorders>
          </w:tcPr>
          <w:p w:rsidR="00A6487C" w:rsidRDefault="00A6487C">
            <w:pPr>
              <w:ind w:right="-29"/>
              <w:jc w:val="center"/>
              <w:rPr>
                <w:noProof/>
                <w:sz w:val="18"/>
                <w:szCs w:val="18"/>
              </w:rPr>
            </w:pPr>
          </w:p>
        </w:tc>
        <w:tc>
          <w:tcPr>
            <w:tcW w:w="720" w:type="dxa"/>
            <w:tcBorders>
              <w:left w:val="dashSmallGap" w:sz="4" w:space="0" w:color="auto"/>
            </w:tcBorders>
          </w:tcPr>
          <w:p w:rsidR="00A6487C" w:rsidRDefault="00A6487C">
            <w:pPr>
              <w:ind w:right="-29"/>
              <w:jc w:val="center"/>
              <w:rPr>
                <w:noProof/>
                <w:sz w:val="18"/>
                <w:szCs w:val="18"/>
              </w:rPr>
            </w:pPr>
          </w:p>
        </w:tc>
        <w:tc>
          <w:tcPr>
            <w:tcW w:w="900" w:type="dxa"/>
            <w:tcBorders>
              <w:right w:val="dashSmallGap" w:sz="4" w:space="0" w:color="auto"/>
            </w:tcBorders>
          </w:tcPr>
          <w:p w:rsidR="00A6487C" w:rsidRDefault="00A6487C">
            <w:pPr>
              <w:ind w:right="-29"/>
              <w:jc w:val="center"/>
              <w:rPr>
                <w:noProof/>
                <w:sz w:val="18"/>
                <w:szCs w:val="18"/>
              </w:rPr>
            </w:pPr>
          </w:p>
        </w:tc>
        <w:tc>
          <w:tcPr>
            <w:tcW w:w="720" w:type="dxa"/>
            <w:gridSpan w:val="2"/>
            <w:tcBorders>
              <w:left w:val="dashSmallGap" w:sz="4" w:space="0" w:color="auto"/>
            </w:tcBorders>
          </w:tcPr>
          <w:p w:rsidR="00A6487C" w:rsidRDefault="00A6487C">
            <w:pPr>
              <w:ind w:right="-29"/>
              <w:jc w:val="center"/>
              <w:rPr>
                <w:noProof/>
                <w:sz w:val="18"/>
                <w:szCs w:val="18"/>
              </w:rPr>
            </w:pPr>
          </w:p>
        </w:tc>
        <w:tc>
          <w:tcPr>
            <w:tcW w:w="540" w:type="dxa"/>
            <w:tcBorders>
              <w:right w:val="dashSmallGap" w:sz="4" w:space="0" w:color="auto"/>
            </w:tcBorders>
          </w:tcPr>
          <w:p w:rsidR="00A6487C" w:rsidRDefault="00A6487C">
            <w:pPr>
              <w:ind w:right="-29"/>
              <w:jc w:val="center"/>
              <w:rPr>
                <w:noProof/>
                <w:sz w:val="18"/>
                <w:szCs w:val="18"/>
              </w:rPr>
            </w:pPr>
          </w:p>
        </w:tc>
        <w:tc>
          <w:tcPr>
            <w:tcW w:w="648" w:type="dxa"/>
            <w:tcBorders>
              <w:left w:val="dashSmallGap" w:sz="4" w:space="0" w:color="auto"/>
            </w:tcBorders>
          </w:tcPr>
          <w:p w:rsidR="00A6487C" w:rsidRDefault="00A6487C">
            <w:pPr>
              <w:ind w:right="-29"/>
              <w:jc w:val="center"/>
              <w:rPr>
                <w:noProof/>
                <w:sz w:val="18"/>
                <w:szCs w:val="18"/>
              </w:rPr>
            </w:pPr>
          </w:p>
        </w:tc>
        <w:tc>
          <w:tcPr>
            <w:tcW w:w="432" w:type="dxa"/>
            <w:tcBorders>
              <w:right w:val="dashSmallGap" w:sz="4" w:space="0" w:color="auto"/>
            </w:tcBorders>
          </w:tcPr>
          <w:p w:rsidR="00A6487C" w:rsidRDefault="00A6487C">
            <w:pPr>
              <w:ind w:right="-29"/>
              <w:jc w:val="center"/>
              <w:rPr>
                <w:noProof/>
                <w:sz w:val="18"/>
                <w:szCs w:val="18"/>
              </w:rPr>
            </w:pPr>
          </w:p>
        </w:tc>
        <w:tc>
          <w:tcPr>
            <w:tcW w:w="720" w:type="dxa"/>
            <w:tcBorders>
              <w:left w:val="dashSmallGap" w:sz="4" w:space="0" w:color="auto"/>
            </w:tcBorders>
          </w:tcPr>
          <w:p w:rsidR="00A6487C" w:rsidRDefault="00A6487C">
            <w:pPr>
              <w:ind w:right="-29"/>
              <w:jc w:val="center"/>
              <w:rPr>
                <w:noProof/>
                <w:sz w:val="18"/>
                <w:szCs w:val="18"/>
              </w:rPr>
            </w:pPr>
          </w:p>
        </w:tc>
        <w:tc>
          <w:tcPr>
            <w:tcW w:w="540" w:type="dxa"/>
            <w:tcBorders>
              <w:right w:val="dashSmallGap" w:sz="4" w:space="0" w:color="auto"/>
            </w:tcBorders>
          </w:tcPr>
          <w:p w:rsidR="00A6487C" w:rsidRDefault="00A6487C">
            <w:pPr>
              <w:ind w:right="-29"/>
              <w:jc w:val="center"/>
              <w:rPr>
                <w:noProof/>
                <w:sz w:val="18"/>
                <w:szCs w:val="18"/>
              </w:rPr>
            </w:pPr>
          </w:p>
        </w:tc>
        <w:tc>
          <w:tcPr>
            <w:tcW w:w="720" w:type="dxa"/>
            <w:tcBorders>
              <w:left w:val="dashSmallGap" w:sz="4" w:space="0" w:color="auto"/>
            </w:tcBorders>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900" w:type="dxa"/>
          </w:tcPr>
          <w:p w:rsidR="00A6487C" w:rsidRDefault="00A6487C">
            <w:pPr>
              <w:ind w:right="-29"/>
              <w:jc w:val="center"/>
              <w:rPr>
                <w:noProof/>
                <w:sz w:val="18"/>
                <w:szCs w:val="18"/>
              </w:rPr>
            </w:pPr>
          </w:p>
        </w:tc>
      </w:tr>
      <w:tr w:rsidR="00A6487C">
        <w:trPr>
          <w:trHeight w:hRule="exact" w:val="369"/>
          <w:jc w:val="center"/>
        </w:trPr>
        <w:tc>
          <w:tcPr>
            <w:tcW w:w="1423" w:type="dxa"/>
          </w:tcPr>
          <w:p w:rsidR="00A6487C" w:rsidRDefault="007E6C80">
            <w:pPr>
              <w:ind w:right="-29"/>
              <w:jc w:val="center"/>
              <w:rPr>
                <w:noProof/>
                <w:sz w:val="18"/>
                <w:szCs w:val="18"/>
              </w:rPr>
            </w:pPr>
            <w:r>
              <w:rPr>
                <w:noProof/>
                <w:sz w:val="18"/>
              </w:rPr>
              <w:t>– Výstup</w:t>
            </w:r>
          </w:p>
        </w:tc>
        <w:tc>
          <w:tcPr>
            <w:tcW w:w="720" w:type="dxa"/>
          </w:tcPr>
          <w:p w:rsidR="00A6487C" w:rsidRDefault="00A6487C">
            <w:pPr>
              <w:ind w:right="-29"/>
              <w:jc w:val="center"/>
              <w:rPr>
                <w:noProof/>
                <w:sz w:val="18"/>
                <w:szCs w:val="18"/>
              </w:rPr>
            </w:pPr>
          </w:p>
        </w:tc>
        <w:tc>
          <w:tcPr>
            <w:tcW w:w="701" w:type="dxa"/>
          </w:tcPr>
          <w:p w:rsidR="00A6487C" w:rsidRDefault="00A6487C">
            <w:pPr>
              <w:ind w:right="-29"/>
              <w:jc w:val="center"/>
              <w:rPr>
                <w:noProof/>
                <w:sz w:val="18"/>
                <w:szCs w:val="18"/>
              </w:rPr>
            </w:pPr>
          </w:p>
        </w:tc>
        <w:tc>
          <w:tcPr>
            <w:tcW w:w="504" w:type="dxa"/>
            <w:tcBorders>
              <w:right w:val="dashSmallGap" w:sz="4" w:space="0" w:color="auto"/>
            </w:tcBorders>
          </w:tcPr>
          <w:p w:rsidR="00A6487C" w:rsidRDefault="00A6487C">
            <w:pPr>
              <w:ind w:right="-29"/>
              <w:jc w:val="center"/>
              <w:rPr>
                <w:noProof/>
                <w:sz w:val="18"/>
                <w:szCs w:val="18"/>
              </w:rPr>
            </w:pPr>
          </w:p>
        </w:tc>
        <w:tc>
          <w:tcPr>
            <w:tcW w:w="720" w:type="dxa"/>
            <w:tcBorders>
              <w:left w:val="dashSmallGap" w:sz="4" w:space="0" w:color="auto"/>
            </w:tcBorders>
          </w:tcPr>
          <w:p w:rsidR="00A6487C" w:rsidRDefault="00A6487C">
            <w:pPr>
              <w:ind w:right="-29"/>
              <w:jc w:val="center"/>
              <w:rPr>
                <w:noProof/>
                <w:sz w:val="18"/>
                <w:szCs w:val="18"/>
              </w:rPr>
            </w:pPr>
          </w:p>
        </w:tc>
        <w:tc>
          <w:tcPr>
            <w:tcW w:w="540" w:type="dxa"/>
            <w:tcBorders>
              <w:right w:val="dashSmallGap" w:sz="4" w:space="0" w:color="auto"/>
            </w:tcBorders>
          </w:tcPr>
          <w:p w:rsidR="00A6487C" w:rsidRDefault="00A6487C">
            <w:pPr>
              <w:ind w:right="-29"/>
              <w:jc w:val="center"/>
              <w:rPr>
                <w:noProof/>
                <w:sz w:val="18"/>
                <w:szCs w:val="18"/>
              </w:rPr>
            </w:pPr>
          </w:p>
        </w:tc>
        <w:tc>
          <w:tcPr>
            <w:tcW w:w="720" w:type="dxa"/>
            <w:tcBorders>
              <w:left w:val="dashSmallGap" w:sz="4" w:space="0" w:color="auto"/>
            </w:tcBorders>
          </w:tcPr>
          <w:p w:rsidR="00A6487C" w:rsidRDefault="00A6487C">
            <w:pPr>
              <w:ind w:right="-29"/>
              <w:jc w:val="center"/>
              <w:rPr>
                <w:noProof/>
                <w:sz w:val="18"/>
                <w:szCs w:val="18"/>
              </w:rPr>
            </w:pPr>
          </w:p>
        </w:tc>
        <w:tc>
          <w:tcPr>
            <w:tcW w:w="720" w:type="dxa"/>
            <w:tcBorders>
              <w:right w:val="dashSmallGap" w:sz="4" w:space="0" w:color="auto"/>
            </w:tcBorders>
          </w:tcPr>
          <w:p w:rsidR="00A6487C" w:rsidRDefault="00A6487C">
            <w:pPr>
              <w:ind w:right="-29"/>
              <w:jc w:val="center"/>
              <w:rPr>
                <w:noProof/>
                <w:sz w:val="18"/>
                <w:szCs w:val="18"/>
              </w:rPr>
            </w:pPr>
          </w:p>
        </w:tc>
        <w:tc>
          <w:tcPr>
            <w:tcW w:w="720" w:type="dxa"/>
            <w:tcBorders>
              <w:left w:val="dashSmallGap" w:sz="4" w:space="0" w:color="auto"/>
            </w:tcBorders>
          </w:tcPr>
          <w:p w:rsidR="00A6487C" w:rsidRDefault="00A6487C">
            <w:pPr>
              <w:ind w:right="-29"/>
              <w:jc w:val="center"/>
              <w:rPr>
                <w:noProof/>
                <w:sz w:val="18"/>
                <w:szCs w:val="18"/>
              </w:rPr>
            </w:pPr>
          </w:p>
        </w:tc>
        <w:tc>
          <w:tcPr>
            <w:tcW w:w="900" w:type="dxa"/>
            <w:tcBorders>
              <w:right w:val="dashSmallGap" w:sz="4" w:space="0" w:color="auto"/>
            </w:tcBorders>
          </w:tcPr>
          <w:p w:rsidR="00A6487C" w:rsidRDefault="00A6487C">
            <w:pPr>
              <w:ind w:right="-29"/>
              <w:jc w:val="center"/>
              <w:rPr>
                <w:noProof/>
                <w:sz w:val="18"/>
                <w:szCs w:val="18"/>
              </w:rPr>
            </w:pPr>
          </w:p>
        </w:tc>
        <w:tc>
          <w:tcPr>
            <w:tcW w:w="720" w:type="dxa"/>
            <w:gridSpan w:val="2"/>
            <w:tcBorders>
              <w:left w:val="dashSmallGap" w:sz="4" w:space="0" w:color="auto"/>
            </w:tcBorders>
          </w:tcPr>
          <w:p w:rsidR="00A6487C" w:rsidRDefault="00A6487C">
            <w:pPr>
              <w:ind w:right="-29"/>
              <w:jc w:val="center"/>
              <w:rPr>
                <w:noProof/>
                <w:sz w:val="18"/>
                <w:szCs w:val="18"/>
              </w:rPr>
            </w:pPr>
          </w:p>
        </w:tc>
        <w:tc>
          <w:tcPr>
            <w:tcW w:w="540" w:type="dxa"/>
            <w:tcBorders>
              <w:right w:val="dashSmallGap" w:sz="4" w:space="0" w:color="auto"/>
            </w:tcBorders>
          </w:tcPr>
          <w:p w:rsidR="00A6487C" w:rsidRDefault="00A6487C">
            <w:pPr>
              <w:ind w:right="-29"/>
              <w:jc w:val="center"/>
              <w:rPr>
                <w:noProof/>
                <w:sz w:val="18"/>
                <w:szCs w:val="18"/>
              </w:rPr>
            </w:pPr>
          </w:p>
        </w:tc>
        <w:tc>
          <w:tcPr>
            <w:tcW w:w="648" w:type="dxa"/>
            <w:tcBorders>
              <w:left w:val="dashSmallGap" w:sz="4" w:space="0" w:color="auto"/>
            </w:tcBorders>
          </w:tcPr>
          <w:p w:rsidR="00A6487C" w:rsidRDefault="00A6487C">
            <w:pPr>
              <w:ind w:right="-29"/>
              <w:jc w:val="center"/>
              <w:rPr>
                <w:noProof/>
                <w:sz w:val="18"/>
                <w:szCs w:val="18"/>
              </w:rPr>
            </w:pPr>
          </w:p>
        </w:tc>
        <w:tc>
          <w:tcPr>
            <w:tcW w:w="432" w:type="dxa"/>
            <w:tcBorders>
              <w:right w:val="dashSmallGap" w:sz="4" w:space="0" w:color="auto"/>
            </w:tcBorders>
          </w:tcPr>
          <w:p w:rsidR="00A6487C" w:rsidRDefault="00A6487C">
            <w:pPr>
              <w:ind w:right="-29"/>
              <w:jc w:val="center"/>
              <w:rPr>
                <w:noProof/>
                <w:sz w:val="18"/>
                <w:szCs w:val="18"/>
              </w:rPr>
            </w:pPr>
          </w:p>
        </w:tc>
        <w:tc>
          <w:tcPr>
            <w:tcW w:w="720" w:type="dxa"/>
            <w:tcBorders>
              <w:left w:val="dashSmallGap" w:sz="4" w:space="0" w:color="auto"/>
            </w:tcBorders>
          </w:tcPr>
          <w:p w:rsidR="00A6487C" w:rsidRDefault="00A6487C">
            <w:pPr>
              <w:ind w:right="-29"/>
              <w:jc w:val="center"/>
              <w:rPr>
                <w:noProof/>
                <w:sz w:val="18"/>
                <w:szCs w:val="18"/>
              </w:rPr>
            </w:pPr>
          </w:p>
        </w:tc>
        <w:tc>
          <w:tcPr>
            <w:tcW w:w="540" w:type="dxa"/>
            <w:tcBorders>
              <w:right w:val="dashSmallGap" w:sz="4" w:space="0" w:color="auto"/>
            </w:tcBorders>
          </w:tcPr>
          <w:p w:rsidR="00A6487C" w:rsidRDefault="00A6487C">
            <w:pPr>
              <w:ind w:right="-29"/>
              <w:jc w:val="center"/>
              <w:rPr>
                <w:noProof/>
                <w:sz w:val="18"/>
                <w:szCs w:val="18"/>
              </w:rPr>
            </w:pPr>
          </w:p>
        </w:tc>
        <w:tc>
          <w:tcPr>
            <w:tcW w:w="720" w:type="dxa"/>
            <w:tcBorders>
              <w:left w:val="dashSmallGap" w:sz="4" w:space="0" w:color="auto"/>
            </w:tcBorders>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900" w:type="dxa"/>
          </w:tcPr>
          <w:p w:rsidR="00A6487C" w:rsidRDefault="00A6487C">
            <w:pPr>
              <w:ind w:right="-29"/>
              <w:jc w:val="center"/>
              <w:rPr>
                <w:noProof/>
                <w:sz w:val="18"/>
                <w:szCs w:val="18"/>
              </w:rPr>
            </w:pPr>
          </w:p>
        </w:tc>
      </w:tr>
      <w:tr w:rsidR="00A6487C">
        <w:trPr>
          <w:trHeight w:hRule="exact" w:val="369"/>
          <w:jc w:val="center"/>
        </w:trPr>
        <w:tc>
          <w:tcPr>
            <w:tcW w:w="1423" w:type="dxa"/>
          </w:tcPr>
          <w:p w:rsidR="00A6487C" w:rsidRDefault="007E6C80">
            <w:pPr>
              <w:ind w:right="-29"/>
              <w:jc w:val="center"/>
              <w:rPr>
                <w:noProof/>
                <w:sz w:val="18"/>
                <w:szCs w:val="18"/>
              </w:rPr>
            </w:pPr>
            <w:r>
              <w:rPr>
                <w:noProof/>
                <w:sz w:val="18"/>
              </w:rPr>
              <w:lastRenderedPageBreak/>
              <w:t>– Výstup</w:t>
            </w:r>
          </w:p>
        </w:tc>
        <w:tc>
          <w:tcPr>
            <w:tcW w:w="720" w:type="dxa"/>
          </w:tcPr>
          <w:p w:rsidR="00A6487C" w:rsidRDefault="00A6487C">
            <w:pPr>
              <w:ind w:right="-29"/>
              <w:jc w:val="center"/>
              <w:rPr>
                <w:noProof/>
                <w:sz w:val="18"/>
                <w:szCs w:val="18"/>
              </w:rPr>
            </w:pPr>
          </w:p>
        </w:tc>
        <w:tc>
          <w:tcPr>
            <w:tcW w:w="701" w:type="dxa"/>
          </w:tcPr>
          <w:p w:rsidR="00A6487C" w:rsidRDefault="00A6487C">
            <w:pPr>
              <w:ind w:right="-29"/>
              <w:jc w:val="center"/>
              <w:rPr>
                <w:noProof/>
                <w:sz w:val="18"/>
                <w:szCs w:val="18"/>
              </w:rPr>
            </w:pPr>
          </w:p>
        </w:tc>
        <w:tc>
          <w:tcPr>
            <w:tcW w:w="504"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900" w:type="dxa"/>
          </w:tcPr>
          <w:p w:rsidR="00A6487C" w:rsidRDefault="00A6487C">
            <w:pPr>
              <w:ind w:right="-29"/>
              <w:jc w:val="center"/>
              <w:rPr>
                <w:noProof/>
                <w:sz w:val="18"/>
                <w:szCs w:val="18"/>
              </w:rPr>
            </w:pPr>
          </w:p>
        </w:tc>
        <w:tc>
          <w:tcPr>
            <w:tcW w:w="720" w:type="dxa"/>
            <w:gridSpan w:val="2"/>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648" w:type="dxa"/>
          </w:tcPr>
          <w:p w:rsidR="00A6487C" w:rsidRDefault="00A6487C">
            <w:pPr>
              <w:ind w:right="-29"/>
              <w:jc w:val="center"/>
              <w:rPr>
                <w:noProof/>
                <w:sz w:val="18"/>
                <w:szCs w:val="18"/>
              </w:rPr>
            </w:pPr>
          </w:p>
        </w:tc>
        <w:tc>
          <w:tcPr>
            <w:tcW w:w="432"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900" w:type="dxa"/>
          </w:tcPr>
          <w:p w:rsidR="00A6487C" w:rsidRDefault="00A6487C">
            <w:pPr>
              <w:ind w:right="-29"/>
              <w:jc w:val="center"/>
              <w:rPr>
                <w:noProof/>
                <w:sz w:val="18"/>
                <w:szCs w:val="18"/>
              </w:rPr>
            </w:pPr>
          </w:p>
        </w:tc>
      </w:tr>
      <w:tr w:rsidR="00A6487C">
        <w:trPr>
          <w:trHeight w:val="866"/>
          <w:jc w:val="center"/>
        </w:trPr>
        <w:tc>
          <w:tcPr>
            <w:tcW w:w="2844" w:type="dxa"/>
            <w:gridSpan w:val="3"/>
            <w:tcBorders>
              <w:bottom w:val="single" w:sz="12" w:space="0" w:color="auto"/>
            </w:tcBorders>
            <w:vAlign w:val="center"/>
          </w:tcPr>
          <w:p w:rsidR="00A6487C" w:rsidRDefault="007E6C80">
            <w:pPr>
              <w:ind w:right="-29"/>
              <w:jc w:val="center"/>
              <w:rPr>
                <w:noProof/>
                <w:sz w:val="18"/>
              </w:rPr>
            </w:pPr>
            <w:r>
              <w:rPr>
                <w:noProof/>
                <w:sz w:val="18"/>
              </w:rPr>
              <w:t>Osobitný cieľ č. 1 medzisúčet</w:t>
            </w:r>
          </w:p>
          <w:p w:rsidR="00A6487C" w:rsidRDefault="00A6487C">
            <w:pPr>
              <w:ind w:right="-29"/>
              <w:jc w:val="center"/>
              <w:rPr>
                <w:noProof/>
                <w:sz w:val="18"/>
              </w:rPr>
            </w:pPr>
          </w:p>
          <w:p w:rsidR="00A6487C" w:rsidRDefault="00A6487C">
            <w:pPr>
              <w:ind w:right="-29"/>
              <w:jc w:val="center"/>
              <w:rPr>
                <w:noProof/>
                <w:sz w:val="18"/>
              </w:rPr>
            </w:pPr>
          </w:p>
          <w:p w:rsidR="00A6487C" w:rsidRDefault="00A6487C">
            <w:pPr>
              <w:ind w:right="-29"/>
              <w:jc w:val="center"/>
              <w:rPr>
                <w:noProof/>
                <w:sz w:val="18"/>
              </w:rPr>
            </w:pPr>
          </w:p>
          <w:p w:rsidR="00A6487C" w:rsidRDefault="00A6487C">
            <w:pPr>
              <w:ind w:right="-29"/>
              <w:jc w:val="center"/>
              <w:rPr>
                <w:noProof/>
                <w:sz w:val="18"/>
              </w:rPr>
            </w:pPr>
          </w:p>
          <w:p w:rsidR="00A6487C" w:rsidRDefault="00A6487C">
            <w:pPr>
              <w:ind w:right="-29"/>
              <w:jc w:val="center"/>
              <w:rPr>
                <w:noProof/>
                <w:sz w:val="18"/>
                <w:szCs w:val="18"/>
              </w:rPr>
            </w:pPr>
          </w:p>
        </w:tc>
        <w:tc>
          <w:tcPr>
            <w:tcW w:w="504" w:type="dxa"/>
            <w:tcBorders>
              <w:bottom w:val="single" w:sz="12" w:space="0" w:color="auto"/>
            </w:tcBorders>
          </w:tcPr>
          <w:p w:rsidR="00A6487C" w:rsidRDefault="00A6487C">
            <w:pPr>
              <w:ind w:right="-29"/>
              <w:jc w:val="center"/>
              <w:rPr>
                <w:noProof/>
                <w:sz w:val="18"/>
                <w:szCs w:val="18"/>
              </w:rPr>
            </w:pPr>
          </w:p>
        </w:tc>
        <w:tc>
          <w:tcPr>
            <w:tcW w:w="720" w:type="dxa"/>
            <w:tcBorders>
              <w:bottom w:val="single" w:sz="12" w:space="0" w:color="auto"/>
            </w:tcBorders>
          </w:tcPr>
          <w:p w:rsidR="00A6487C" w:rsidRDefault="007E6C80">
            <w:pPr>
              <w:ind w:right="-29"/>
              <w:jc w:val="center"/>
              <w:rPr>
                <w:noProof/>
                <w:sz w:val="18"/>
                <w:szCs w:val="18"/>
              </w:rPr>
            </w:pPr>
            <w:r>
              <w:rPr>
                <w:noProof/>
                <w:sz w:val="18"/>
              </w:rPr>
              <w:t>6,6</w:t>
            </w:r>
          </w:p>
        </w:tc>
        <w:tc>
          <w:tcPr>
            <w:tcW w:w="540" w:type="dxa"/>
            <w:tcBorders>
              <w:bottom w:val="single" w:sz="12" w:space="0" w:color="auto"/>
            </w:tcBorders>
          </w:tcPr>
          <w:p w:rsidR="00A6487C" w:rsidRDefault="00A6487C">
            <w:pPr>
              <w:ind w:right="-29"/>
              <w:jc w:val="center"/>
              <w:rPr>
                <w:noProof/>
                <w:sz w:val="18"/>
                <w:szCs w:val="18"/>
              </w:rPr>
            </w:pPr>
          </w:p>
        </w:tc>
        <w:tc>
          <w:tcPr>
            <w:tcW w:w="720" w:type="dxa"/>
            <w:tcBorders>
              <w:bottom w:val="single" w:sz="12" w:space="0" w:color="auto"/>
            </w:tcBorders>
          </w:tcPr>
          <w:p w:rsidR="00A6487C" w:rsidRDefault="007E6C80">
            <w:pPr>
              <w:ind w:right="-29"/>
              <w:jc w:val="center"/>
              <w:rPr>
                <w:noProof/>
                <w:sz w:val="18"/>
                <w:szCs w:val="18"/>
              </w:rPr>
            </w:pPr>
            <w:r>
              <w:rPr>
                <w:noProof/>
                <w:sz w:val="18"/>
              </w:rPr>
              <w:t>20,4</w:t>
            </w:r>
          </w:p>
        </w:tc>
        <w:tc>
          <w:tcPr>
            <w:tcW w:w="720" w:type="dxa"/>
            <w:tcBorders>
              <w:bottom w:val="single" w:sz="12" w:space="0" w:color="auto"/>
            </w:tcBorders>
          </w:tcPr>
          <w:p w:rsidR="00A6487C" w:rsidRDefault="00A6487C">
            <w:pPr>
              <w:ind w:right="-29"/>
              <w:jc w:val="center"/>
              <w:rPr>
                <w:noProof/>
                <w:sz w:val="18"/>
                <w:szCs w:val="18"/>
              </w:rPr>
            </w:pPr>
          </w:p>
        </w:tc>
        <w:tc>
          <w:tcPr>
            <w:tcW w:w="720" w:type="dxa"/>
            <w:tcBorders>
              <w:bottom w:val="single" w:sz="12" w:space="0" w:color="auto"/>
            </w:tcBorders>
          </w:tcPr>
          <w:p w:rsidR="00A6487C" w:rsidRDefault="007E6C80">
            <w:pPr>
              <w:ind w:right="-29"/>
              <w:jc w:val="center"/>
              <w:rPr>
                <w:noProof/>
                <w:sz w:val="18"/>
                <w:szCs w:val="18"/>
              </w:rPr>
            </w:pPr>
            <w:r>
              <w:rPr>
                <w:noProof/>
                <w:sz w:val="18"/>
              </w:rPr>
              <w:t>20,4</w:t>
            </w:r>
          </w:p>
        </w:tc>
        <w:tc>
          <w:tcPr>
            <w:tcW w:w="900" w:type="dxa"/>
            <w:tcBorders>
              <w:bottom w:val="single" w:sz="12" w:space="0" w:color="auto"/>
            </w:tcBorders>
          </w:tcPr>
          <w:p w:rsidR="00A6487C" w:rsidRDefault="00A6487C">
            <w:pPr>
              <w:ind w:right="-29"/>
              <w:jc w:val="center"/>
              <w:rPr>
                <w:noProof/>
                <w:sz w:val="18"/>
                <w:szCs w:val="18"/>
              </w:rPr>
            </w:pPr>
          </w:p>
        </w:tc>
        <w:tc>
          <w:tcPr>
            <w:tcW w:w="720" w:type="dxa"/>
            <w:gridSpan w:val="2"/>
            <w:tcBorders>
              <w:bottom w:val="single" w:sz="12" w:space="0" w:color="auto"/>
            </w:tcBorders>
          </w:tcPr>
          <w:p w:rsidR="00A6487C" w:rsidRDefault="007E6C80">
            <w:pPr>
              <w:ind w:right="-29"/>
              <w:jc w:val="center"/>
              <w:rPr>
                <w:noProof/>
                <w:sz w:val="18"/>
                <w:szCs w:val="18"/>
              </w:rPr>
            </w:pPr>
            <w:r>
              <w:rPr>
                <w:noProof/>
                <w:sz w:val="18"/>
              </w:rPr>
              <w:t>20,7</w:t>
            </w:r>
          </w:p>
        </w:tc>
        <w:tc>
          <w:tcPr>
            <w:tcW w:w="540" w:type="dxa"/>
            <w:tcBorders>
              <w:bottom w:val="single" w:sz="12" w:space="0" w:color="auto"/>
            </w:tcBorders>
          </w:tcPr>
          <w:p w:rsidR="00A6487C" w:rsidRDefault="00A6487C">
            <w:pPr>
              <w:ind w:right="-29"/>
              <w:jc w:val="center"/>
              <w:rPr>
                <w:noProof/>
                <w:sz w:val="18"/>
                <w:szCs w:val="18"/>
              </w:rPr>
            </w:pPr>
          </w:p>
        </w:tc>
        <w:tc>
          <w:tcPr>
            <w:tcW w:w="648" w:type="dxa"/>
            <w:tcBorders>
              <w:bottom w:val="single" w:sz="12" w:space="0" w:color="auto"/>
            </w:tcBorders>
          </w:tcPr>
          <w:p w:rsidR="00A6487C" w:rsidRDefault="00A6487C">
            <w:pPr>
              <w:ind w:right="-29"/>
              <w:jc w:val="center"/>
              <w:rPr>
                <w:noProof/>
                <w:sz w:val="18"/>
                <w:szCs w:val="18"/>
              </w:rPr>
            </w:pPr>
          </w:p>
        </w:tc>
        <w:tc>
          <w:tcPr>
            <w:tcW w:w="432" w:type="dxa"/>
            <w:tcBorders>
              <w:bottom w:val="single" w:sz="12" w:space="0" w:color="auto"/>
            </w:tcBorders>
          </w:tcPr>
          <w:p w:rsidR="00A6487C" w:rsidRDefault="00A6487C">
            <w:pPr>
              <w:ind w:right="-29"/>
              <w:jc w:val="center"/>
              <w:rPr>
                <w:noProof/>
                <w:sz w:val="18"/>
                <w:szCs w:val="18"/>
              </w:rPr>
            </w:pPr>
          </w:p>
        </w:tc>
        <w:tc>
          <w:tcPr>
            <w:tcW w:w="720" w:type="dxa"/>
            <w:tcBorders>
              <w:bottom w:val="single" w:sz="12" w:space="0" w:color="auto"/>
            </w:tcBorders>
          </w:tcPr>
          <w:p w:rsidR="00A6487C" w:rsidRDefault="00A6487C">
            <w:pPr>
              <w:ind w:right="-29"/>
              <w:jc w:val="center"/>
              <w:rPr>
                <w:noProof/>
                <w:sz w:val="18"/>
                <w:szCs w:val="18"/>
              </w:rPr>
            </w:pPr>
          </w:p>
        </w:tc>
        <w:tc>
          <w:tcPr>
            <w:tcW w:w="540" w:type="dxa"/>
            <w:tcBorders>
              <w:bottom w:val="single" w:sz="12" w:space="0" w:color="auto"/>
            </w:tcBorders>
          </w:tcPr>
          <w:p w:rsidR="00A6487C" w:rsidRDefault="00A6487C">
            <w:pPr>
              <w:ind w:right="-29"/>
              <w:jc w:val="center"/>
              <w:rPr>
                <w:noProof/>
                <w:sz w:val="18"/>
                <w:szCs w:val="18"/>
              </w:rPr>
            </w:pPr>
          </w:p>
        </w:tc>
        <w:tc>
          <w:tcPr>
            <w:tcW w:w="720" w:type="dxa"/>
            <w:tcBorders>
              <w:bottom w:val="single" w:sz="12" w:space="0" w:color="auto"/>
            </w:tcBorders>
          </w:tcPr>
          <w:p w:rsidR="00A6487C" w:rsidRDefault="00A6487C">
            <w:pPr>
              <w:ind w:right="-29"/>
              <w:jc w:val="center"/>
              <w:rPr>
                <w:noProof/>
                <w:sz w:val="18"/>
                <w:szCs w:val="18"/>
              </w:rPr>
            </w:pPr>
          </w:p>
        </w:tc>
        <w:tc>
          <w:tcPr>
            <w:tcW w:w="720" w:type="dxa"/>
            <w:tcBorders>
              <w:bottom w:val="single" w:sz="12" w:space="0" w:color="auto"/>
            </w:tcBorders>
          </w:tcPr>
          <w:p w:rsidR="00A6487C" w:rsidRDefault="00A6487C">
            <w:pPr>
              <w:ind w:right="-29"/>
              <w:jc w:val="center"/>
              <w:rPr>
                <w:noProof/>
                <w:sz w:val="18"/>
                <w:szCs w:val="18"/>
              </w:rPr>
            </w:pPr>
          </w:p>
        </w:tc>
        <w:tc>
          <w:tcPr>
            <w:tcW w:w="900" w:type="dxa"/>
            <w:tcBorders>
              <w:bottom w:val="single" w:sz="12" w:space="0" w:color="auto"/>
            </w:tcBorders>
          </w:tcPr>
          <w:p w:rsidR="00A6487C" w:rsidRDefault="007E6C80">
            <w:pPr>
              <w:ind w:right="-29"/>
              <w:jc w:val="center"/>
              <w:rPr>
                <w:noProof/>
                <w:sz w:val="18"/>
                <w:szCs w:val="18"/>
              </w:rPr>
            </w:pPr>
            <w:r>
              <w:rPr>
                <w:noProof/>
                <w:sz w:val="18"/>
              </w:rPr>
              <w:t>68,1</w:t>
            </w:r>
          </w:p>
        </w:tc>
      </w:tr>
      <w:tr w:rsidR="00A6487C">
        <w:trPr>
          <w:jc w:val="center"/>
        </w:trPr>
        <w:tc>
          <w:tcPr>
            <w:tcW w:w="2844" w:type="dxa"/>
            <w:gridSpan w:val="3"/>
            <w:vAlign w:val="center"/>
          </w:tcPr>
          <w:p w:rsidR="00A6487C" w:rsidRDefault="007E6C80">
            <w:pPr>
              <w:spacing w:before="60" w:after="60"/>
              <w:ind w:right="-29"/>
              <w:jc w:val="left"/>
              <w:rPr>
                <w:b/>
                <w:noProof/>
                <w:sz w:val="18"/>
              </w:rPr>
            </w:pPr>
            <w:r>
              <w:rPr>
                <w:noProof/>
                <w:sz w:val="18"/>
              </w:rPr>
              <w:t>OSOBITNÝ CIEĽ Č. 2...</w:t>
            </w:r>
            <w:r>
              <w:rPr>
                <w:b/>
                <w:noProof/>
              </w:rPr>
              <w:t xml:space="preserve"> </w:t>
            </w:r>
            <w:r>
              <w:rPr>
                <w:b/>
                <w:noProof/>
                <w:sz w:val="18"/>
              </w:rPr>
              <w:t>Rozpočtový riadok 19 02 02</w:t>
            </w:r>
          </w:p>
          <w:p w:rsidR="00A6487C" w:rsidRDefault="00A6487C">
            <w:pPr>
              <w:spacing w:before="60" w:after="60"/>
              <w:ind w:right="-29"/>
              <w:jc w:val="left"/>
              <w:rPr>
                <w:b/>
                <w:noProof/>
                <w:sz w:val="18"/>
                <w:szCs w:val="18"/>
              </w:rPr>
            </w:pPr>
          </w:p>
        </w:tc>
        <w:tc>
          <w:tcPr>
            <w:tcW w:w="504" w:type="dxa"/>
            <w:tcBorders>
              <w:top w:val="nil"/>
              <w:left w:val="nil"/>
              <w:bottom w:val="nil"/>
              <w:right w:val="nil"/>
            </w:tcBorders>
          </w:tcPr>
          <w:p w:rsidR="00A6487C" w:rsidRDefault="00A6487C">
            <w:pPr>
              <w:spacing w:before="60" w:after="60"/>
              <w:ind w:right="-29"/>
              <w:jc w:val="center"/>
              <w:rPr>
                <w:noProof/>
                <w:sz w:val="18"/>
                <w:szCs w:val="18"/>
              </w:rPr>
            </w:pPr>
          </w:p>
        </w:tc>
        <w:tc>
          <w:tcPr>
            <w:tcW w:w="720" w:type="dxa"/>
            <w:tcBorders>
              <w:top w:val="nil"/>
              <w:left w:val="nil"/>
              <w:bottom w:val="nil"/>
              <w:right w:val="nil"/>
            </w:tcBorders>
          </w:tcPr>
          <w:p w:rsidR="00A6487C" w:rsidRDefault="00A6487C">
            <w:pPr>
              <w:spacing w:before="60" w:after="60"/>
              <w:ind w:right="-29"/>
              <w:jc w:val="center"/>
              <w:rPr>
                <w:noProof/>
                <w:sz w:val="18"/>
                <w:szCs w:val="18"/>
              </w:rPr>
            </w:pPr>
          </w:p>
        </w:tc>
        <w:tc>
          <w:tcPr>
            <w:tcW w:w="540" w:type="dxa"/>
            <w:tcBorders>
              <w:top w:val="nil"/>
              <w:left w:val="nil"/>
              <w:bottom w:val="nil"/>
              <w:right w:val="nil"/>
            </w:tcBorders>
          </w:tcPr>
          <w:p w:rsidR="00A6487C" w:rsidRDefault="00A6487C">
            <w:pPr>
              <w:spacing w:before="60" w:after="60"/>
              <w:ind w:right="-29"/>
              <w:jc w:val="center"/>
              <w:rPr>
                <w:noProof/>
                <w:sz w:val="18"/>
                <w:szCs w:val="18"/>
              </w:rPr>
            </w:pPr>
          </w:p>
        </w:tc>
        <w:tc>
          <w:tcPr>
            <w:tcW w:w="720" w:type="dxa"/>
            <w:tcBorders>
              <w:top w:val="nil"/>
              <w:left w:val="nil"/>
              <w:bottom w:val="nil"/>
              <w:right w:val="nil"/>
            </w:tcBorders>
          </w:tcPr>
          <w:p w:rsidR="00A6487C" w:rsidRDefault="00A6487C">
            <w:pPr>
              <w:spacing w:before="60" w:after="60"/>
              <w:ind w:right="-29"/>
              <w:jc w:val="center"/>
              <w:rPr>
                <w:noProof/>
                <w:sz w:val="18"/>
                <w:szCs w:val="18"/>
              </w:rPr>
            </w:pPr>
          </w:p>
        </w:tc>
        <w:tc>
          <w:tcPr>
            <w:tcW w:w="720" w:type="dxa"/>
            <w:tcBorders>
              <w:top w:val="nil"/>
              <w:left w:val="nil"/>
              <w:bottom w:val="nil"/>
              <w:right w:val="nil"/>
            </w:tcBorders>
          </w:tcPr>
          <w:p w:rsidR="00A6487C" w:rsidRDefault="00A6487C">
            <w:pPr>
              <w:spacing w:before="60" w:after="60"/>
              <w:ind w:right="-29"/>
              <w:jc w:val="center"/>
              <w:rPr>
                <w:noProof/>
                <w:sz w:val="18"/>
                <w:szCs w:val="18"/>
              </w:rPr>
            </w:pPr>
          </w:p>
        </w:tc>
        <w:tc>
          <w:tcPr>
            <w:tcW w:w="720" w:type="dxa"/>
            <w:tcBorders>
              <w:top w:val="nil"/>
              <w:left w:val="nil"/>
              <w:bottom w:val="nil"/>
              <w:right w:val="nil"/>
            </w:tcBorders>
          </w:tcPr>
          <w:p w:rsidR="00A6487C" w:rsidRDefault="00A6487C">
            <w:pPr>
              <w:spacing w:before="60" w:after="60"/>
              <w:ind w:right="-29"/>
              <w:jc w:val="center"/>
              <w:rPr>
                <w:noProof/>
                <w:sz w:val="18"/>
                <w:szCs w:val="18"/>
              </w:rPr>
            </w:pPr>
          </w:p>
        </w:tc>
        <w:tc>
          <w:tcPr>
            <w:tcW w:w="900" w:type="dxa"/>
            <w:tcBorders>
              <w:top w:val="nil"/>
              <w:left w:val="nil"/>
              <w:bottom w:val="nil"/>
              <w:right w:val="nil"/>
            </w:tcBorders>
          </w:tcPr>
          <w:p w:rsidR="00A6487C" w:rsidRDefault="00A6487C">
            <w:pPr>
              <w:spacing w:before="60" w:after="60"/>
              <w:ind w:right="-29"/>
              <w:jc w:val="center"/>
              <w:rPr>
                <w:noProof/>
                <w:sz w:val="18"/>
                <w:szCs w:val="18"/>
              </w:rPr>
            </w:pPr>
          </w:p>
        </w:tc>
        <w:tc>
          <w:tcPr>
            <w:tcW w:w="720" w:type="dxa"/>
            <w:gridSpan w:val="2"/>
            <w:tcBorders>
              <w:top w:val="nil"/>
              <w:left w:val="nil"/>
              <w:bottom w:val="nil"/>
              <w:right w:val="nil"/>
            </w:tcBorders>
          </w:tcPr>
          <w:p w:rsidR="00A6487C" w:rsidRDefault="00A6487C">
            <w:pPr>
              <w:spacing w:before="60" w:after="60"/>
              <w:ind w:right="-29"/>
              <w:jc w:val="center"/>
              <w:rPr>
                <w:noProof/>
                <w:sz w:val="18"/>
                <w:szCs w:val="18"/>
              </w:rPr>
            </w:pPr>
          </w:p>
        </w:tc>
        <w:tc>
          <w:tcPr>
            <w:tcW w:w="540" w:type="dxa"/>
            <w:tcBorders>
              <w:top w:val="nil"/>
              <w:left w:val="nil"/>
              <w:bottom w:val="nil"/>
              <w:right w:val="nil"/>
            </w:tcBorders>
          </w:tcPr>
          <w:p w:rsidR="00A6487C" w:rsidRDefault="00A6487C">
            <w:pPr>
              <w:spacing w:before="60" w:after="60"/>
              <w:ind w:right="-29"/>
              <w:jc w:val="center"/>
              <w:rPr>
                <w:noProof/>
                <w:sz w:val="18"/>
                <w:szCs w:val="18"/>
              </w:rPr>
            </w:pPr>
          </w:p>
        </w:tc>
        <w:tc>
          <w:tcPr>
            <w:tcW w:w="648" w:type="dxa"/>
            <w:tcBorders>
              <w:top w:val="nil"/>
              <w:left w:val="nil"/>
              <w:bottom w:val="nil"/>
              <w:right w:val="nil"/>
            </w:tcBorders>
          </w:tcPr>
          <w:p w:rsidR="00A6487C" w:rsidRDefault="00A6487C">
            <w:pPr>
              <w:spacing w:before="60" w:after="60"/>
              <w:ind w:right="-29"/>
              <w:jc w:val="center"/>
              <w:rPr>
                <w:noProof/>
                <w:sz w:val="18"/>
                <w:szCs w:val="18"/>
              </w:rPr>
            </w:pPr>
          </w:p>
        </w:tc>
        <w:tc>
          <w:tcPr>
            <w:tcW w:w="432" w:type="dxa"/>
            <w:tcBorders>
              <w:top w:val="nil"/>
              <w:left w:val="nil"/>
              <w:bottom w:val="nil"/>
              <w:right w:val="nil"/>
            </w:tcBorders>
          </w:tcPr>
          <w:p w:rsidR="00A6487C" w:rsidRDefault="00A6487C">
            <w:pPr>
              <w:spacing w:before="60" w:after="60"/>
              <w:ind w:right="-29"/>
              <w:jc w:val="center"/>
              <w:rPr>
                <w:noProof/>
                <w:sz w:val="18"/>
                <w:szCs w:val="18"/>
              </w:rPr>
            </w:pPr>
          </w:p>
        </w:tc>
        <w:tc>
          <w:tcPr>
            <w:tcW w:w="720" w:type="dxa"/>
            <w:tcBorders>
              <w:top w:val="nil"/>
              <w:left w:val="nil"/>
              <w:bottom w:val="nil"/>
              <w:right w:val="nil"/>
            </w:tcBorders>
          </w:tcPr>
          <w:p w:rsidR="00A6487C" w:rsidRDefault="00A6487C">
            <w:pPr>
              <w:spacing w:before="60" w:after="60"/>
              <w:ind w:right="-29"/>
              <w:jc w:val="center"/>
              <w:rPr>
                <w:noProof/>
                <w:sz w:val="18"/>
                <w:szCs w:val="18"/>
              </w:rPr>
            </w:pPr>
          </w:p>
        </w:tc>
        <w:tc>
          <w:tcPr>
            <w:tcW w:w="540" w:type="dxa"/>
            <w:tcBorders>
              <w:top w:val="nil"/>
              <w:left w:val="nil"/>
              <w:bottom w:val="nil"/>
              <w:right w:val="nil"/>
            </w:tcBorders>
          </w:tcPr>
          <w:p w:rsidR="00A6487C" w:rsidRDefault="00A6487C">
            <w:pPr>
              <w:spacing w:before="60" w:after="60"/>
              <w:ind w:right="-29"/>
              <w:jc w:val="center"/>
              <w:rPr>
                <w:noProof/>
                <w:sz w:val="18"/>
                <w:szCs w:val="18"/>
              </w:rPr>
            </w:pPr>
          </w:p>
        </w:tc>
        <w:tc>
          <w:tcPr>
            <w:tcW w:w="720" w:type="dxa"/>
            <w:tcBorders>
              <w:top w:val="nil"/>
              <w:left w:val="nil"/>
              <w:bottom w:val="nil"/>
              <w:right w:val="nil"/>
            </w:tcBorders>
          </w:tcPr>
          <w:p w:rsidR="00A6487C" w:rsidRDefault="00A6487C">
            <w:pPr>
              <w:spacing w:before="60" w:after="60"/>
              <w:ind w:right="-29"/>
              <w:jc w:val="center"/>
              <w:rPr>
                <w:noProof/>
                <w:sz w:val="18"/>
                <w:szCs w:val="18"/>
              </w:rPr>
            </w:pPr>
          </w:p>
        </w:tc>
        <w:tc>
          <w:tcPr>
            <w:tcW w:w="720" w:type="dxa"/>
            <w:tcBorders>
              <w:top w:val="nil"/>
              <w:left w:val="nil"/>
              <w:bottom w:val="nil"/>
              <w:right w:val="nil"/>
            </w:tcBorders>
          </w:tcPr>
          <w:p w:rsidR="00A6487C" w:rsidRDefault="00A6487C">
            <w:pPr>
              <w:spacing w:before="60" w:after="60"/>
              <w:ind w:right="-29"/>
              <w:jc w:val="center"/>
              <w:rPr>
                <w:noProof/>
                <w:sz w:val="18"/>
                <w:szCs w:val="18"/>
              </w:rPr>
            </w:pPr>
          </w:p>
        </w:tc>
        <w:tc>
          <w:tcPr>
            <w:tcW w:w="900" w:type="dxa"/>
            <w:tcBorders>
              <w:top w:val="nil"/>
              <w:left w:val="nil"/>
              <w:bottom w:val="nil"/>
              <w:right w:val="nil"/>
            </w:tcBorders>
          </w:tcPr>
          <w:p w:rsidR="00A6487C" w:rsidRDefault="00A6487C">
            <w:pPr>
              <w:spacing w:before="60" w:after="60"/>
              <w:ind w:right="-29"/>
              <w:jc w:val="center"/>
              <w:rPr>
                <w:noProof/>
                <w:sz w:val="18"/>
                <w:szCs w:val="18"/>
              </w:rPr>
            </w:pPr>
          </w:p>
        </w:tc>
      </w:tr>
      <w:tr w:rsidR="00A6487C">
        <w:trPr>
          <w:trHeight w:hRule="exact" w:val="369"/>
          <w:jc w:val="center"/>
        </w:trPr>
        <w:tc>
          <w:tcPr>
            <w:tcW w:w="1423" w:type="dxa"/>
          </w:tcPr>
          <w:p w:rsidR="00A6487C" w:rsidRDefault="007E6C80">
            <w:pPr>
              <w:ind w:right="-29"/>
              <w:jc w:val="center"/>
              <w:rPr>
                <w:noProof/>
                <w:sz w:val="18"/>
                <w:szCs w:val="18"/>
              </w:rPr>
            </w:pPr>
            <w:r>
              <w:rPr>
                <w:noProof/>
                <w:sz w:val="18"/>
              </w:rPr>
              <w:t>– Výstup</w:t>
            </w:r>
          </w:p>
        </w:tc>
        <w:tc>
          <w:tcPr>
            <w:tcW w:w="720" w:type="dxa"/>
          </w:tcPr>
          <w:p w:rsidR="00A6487C" w:rsidRDefault="00A6487C">
            <w:pPr>
              <w:ind w:right="-29"/>
              <w:jc w:val="center"/>
              <w:rPr>
                <w:noProof/>
                <w:sz w:val="18"/>
                <w:szCs w:val="18"/>
              </w:rPr>
            </w:pPr>
          </w:p>
        </w:tc>
        <w:tc>
          <w:tcPr>
            <w:tcW w:w="701" w:type="dxa"/>
          </w:tcPr>
          <w:p w:rsidR="00A6487C" w:rsidRDefault="00A6487C">
            <w:pPr>
              <w:ind w:right="-29"/>
              <w:jc w:val="center"/>
              <w:rPr>
                <w:noProof/>
                <w:sz w:val="18"/>
                <w:szCs w:val="18"/>
              </w:rPr>
            </w:pPr>
          </w:p>
        </w:tc>
        <w:tc>
          <w:tcPr>
            <w:tcW w:w="504"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900" w:type="dxa"/>
          </w:tcPr>
          <w:p w:rsidR="00A6487C" w:rsidRDefault="00A6487C">
            <w:pPr>
              <w:ind w:right="-29"/>
              <w:jc w:val="center"/>
              <w:rPr>
                <w:noProof/>
                <w:sz w:val="18"/>
                <w:szCs w:val="18"/>
              </w:rPr>
            </w:pPr>
          </w:p>
        </w:tc>
        <w:tc>
          <w:tcPr>
            <w:tcW w:w="720" w:type="dxa"/>
            <w:gridSpan w:val="2"/>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648" w:type="dxa"/>
          </w:tcPr>
          <w:p w:rsidR="00A6487C" w:rsidRDefault="00A6487C">
            <w:pPr>
              <w:ind w:right="-29"/>
              <w:jc w:val="center"/>
              <w:rPr>
                <w:noProof/>
                <w:sz w:val="18"/>
                <w:szCs w:val="18"/>
              </w:rPr>
            </w:pPr>
          </w:p>
        </w:tc>
        <w:tc>
          <w:tcPr>
            <w:tcW w:w="432"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900" w:type="dxa"/>
          </w:tcPr>
          <w:p w:rsidR="00A6487C" w:rsidRDefault="00A6487C">
            <w:pPr>
              <w:ind w:right="-29"/>
              <w:jc w:val="center"/>
              <w:rPr>
                <w:noProof/>
                <w:sz w:val="18"/>
                <w:szCs w:val="18"/>
              </w:rPr>
            </w:pPr>
          </w:p>
        </w:tc>
      </w:tr>
      <w:tr w:rsidR="00A6487C">
        <w:trPr>
          <w:trHeight w:hRule="exact" w:val="369"/>
          <w:jc w:val="center"/>
        </w:trPr>
        <w:tc>
          <w:tcPr>
            <w:tcW w:w="1423" w:type="dxa"/>
          </w:tcPr>
          <w:p w:rsidR="00A6487C" w:rsidRDefault="007E6C80">
            <w:pPr>
              <w:ind w:right="-29"/>
              <w:jc w:val="center"/>
              <w:rPr>
                <w:noProof/>
                <w:sz w:val="18"/>
              </w:rPr>
            </w:pPr>
            <w:r>
              <w:rPr>
                <w:noProof/>
                <w:sz w:val="18"/>
              </w:rPr>
              <w:t>– Výstup</w:t>
            </w:r>
          </w:p>
        </w:tc>
        <w:tc>
          <w:tcPr>
            <w:tcW w:w="720" w:type="dxa"/>
          </w:tcPr>
          <w:p w:rsidR="00A6487C" w:rsidRDefault="00A6487C">
            <w:pPr>
              <w:ind w:right="-29"/>
              <w:jc w:val="center"/>
              <w:rPr>
                <w:noProof/>
                <w:sz w:val="18"/>
                <w:szCs w:val="18"/>
              </w:rPr>
            </w:pPr>
          </w:p>
        </w:tc>
        <w:tc>
          <w:tcPr>
            <w:tcW w:w="701" w:type="dxa"/>
          </w:tcPr>
          <w:p w:rsidR="00A6487C" w:rsidRDefault="00A6487C">
            <w:pPr>
              <w:ind w:right="-29"/>
              <w:jc w:val="center"/>
              <w:rPr>
                <w:noProof/>
                <w:sz w:val="18"/>
                <w:szCs w:val="18"/>
              </w:rPr>
            </w:pPr>
          </w:p>
        </w:tc>
        <w:tc>
          <w:tcPr>
            <w:tcW w:w="504"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900" w:type="dxa"/>
          </w:tcPr>
          <w:p w:rsidR="00A6487C" w:rsidRDefault="00A6487C">
            <w:pPr>
              <w:ind w:right="-29"/>
              <w:jc w:val="center"/>
              <w:rPr>
                <w:noProof/>
                <w:sz w:val="18"/>
                <w:szCs w:val="18"/>
              </w:rPr>
            </w:pPr>
          </w:p>
        </w:tc>
        <w:tc>
          <w:tcPr>
            <w:tcW w:w="720" w:type="dxa"/>
            <w:gridSpan w:val="2"/>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648" w:type="dxa"/>
          </w:tcPr>
          <w:p w:rsidR="00A6487C" w:rsidRDefault="00A6487C">
            <w:pPr>
              <w:ind w:right="-29"/>
              <w:jc w:val="center"/>
              <w:rPr>
                <w:noProof/>
                <w:sz w:val="18"/>
                <w:szCs w:val="18"/>
              </w:rPr>
            </w:pPr>
          </w:p>
        </w:tc>
        <w:tc>
          <w:tcPr>
            <w:tcW w:w="432"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900" w:type="dxa"/>
          </w:tcPr>
          <w:p w:rsidR="00A6487C" w:rsidRDefault="00A6487C">
            <w:pPr>
              <w:ind w:right="-29"/>
              <w:jc w:val="center"/>
              <w:rPr>
                <w:noProof/>
                <w:sz w:val="18"/>
                <w:szCs w:val="18"/>
              </w:rPr>
            </w:pPr>
          </w:p>
        </w:tc>
      </w:tr>
      <w:tr w:rsidR="00A6487C">
        <w:trPr>
          <w:trHeight w:hRule="exact" w:val="369"/>
          <w:jc w:val="center"/>
        </w:trPr>
        <w:tc>
          <w:tcPr>
            <w:tcW w:w="1423" w:type="dxa"/>
          </w:tcPr>
          <w:p w:rsidR="00A6487C" w:rsidRDefault="007E6C80">
            <w:pPr>
              <w:ind w:right="-29"/>
              <w:jc w:val="center"/>
              <w:rPr>
                <w:noProof/>
                <w:sz w:val="18"/>
              </w:rPr>
            </w:pPr>
            <w:r>
              <w:rPr>
                <w:noProof/>
                <w:sz w:val="18"/>
              </w:rPr>
              <w:t>– Výstup</w:t>
            </w:r>
          </w:p>
        </w:tc>
        <w:tc>
          <w:tcPr>
            <w:tcW w:w="720" w:type="dxa"/>
          </w:tcPr>
          <w:p w:rsidR="00A6487C" w:rsidRDefault="00A6487C">
            <w:pPr>
              <w:ind w:right="-29"/>
              <w:jc w:val="center"/>
              <w:rPr>
                <w:noProof/>
                <w:sz w:val="18"/>
                <w:szCs w:val="18"/>
              </w:rPr>
            </w:pPr>
          </w:p>
        </w:tc>
        <w:tc>
          <w:tcPr>
            <w:tcW w:w="701" w:type="dxa"/>
          </w:tcPr>
          <w:p w:rsidR="00A6487C" w:rsidRDefault="00A6487C">
            <w:pPr>
              <w:ind w:right="-29"/>
              <w:jc w:val="center"/>
              <w:rPr>
                <w:noProof/>
                <w:sz w:val="18"/>
                <w:szCs w:val="18"/>
              </w:rPr>
            </w:pPr>
          </w:p>
        </w:tc>
        <w:tc>
          <w:tcPr>
            <w:tcW w:w="504"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900" w:type="dxa"/>
          </w:tcPr>
          <w:p w:rsidR="00A6487C" w:rsidRDefault="00A6487C">
            <w:pPr>
              <w:ind w:right="-29"/>
              <w:jc w:val="center"/>
              <w:rPr>
                <w:noProof/>
                <w:sz w:val="18"/>
                <w:szCs w:val="18"/>
              </w:rPr>
            </w:pPr>
          </w:p>
        </w:tc>
        <w:tc>
          <w:tcPr>
            <w:tcW w:w="720" w:type="dxa"/>
            <w:gridSpan w:val="2"/>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648" w:type="dxa"/>
          </w:tcPr>
          <w:p w:rsidR="00A6487C" w:rsidRDefault="00A6487C">
            <w:pPr>
              <w:ind w:right="-29"/>
              <w:jc w:val="center"/>
              <w:rPr>
                <w:noProof/>
                <w:sz w:val="18"/>
                <w:szCs w:val="18"/>
              </w:rPr>
            </w:pPr>
          </w:p>
        </w:tc>
        <w:tc>
          <w:tcPr>
            <w:tcW w:w="432"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900" w:type="dxa"/>
          </w:tcPr>
          <w:p w:rsidR="00A6487C" w:rsidRDefault="00A6487C">
            <w:pPr>
              <w:ind w:right="-29"/>
              <w:jc w:val="center"/>
              <w:rPr>
                <w:noProof/>
                <w:sz w:val="18"/>
                <w:szCs w:val="18"/>
              </w:rPr>
            </w:pPr>
          </w:p>
        </w:tc>
      </w:tr>
      <w:tr w:rsidR="00A6487C">
        <w:trPr>
          <w:trHeight w:hRule="exact" w:val="369"/>
          <w:jc w:val="center"/>
        </w:trPr>
        <w:tc>
          <w:tcPr>
            <w:tcW w:w="2844" w:type="dxa"/>
            <w:gridSpan w:val="3"/>
          </w:tcPr>
          <w:p w:rsidR="00A6487C" w:rsidRDefault="007E6C80">
            <w:pPr>
              <w:ind w:right="-29"/>
              <w:jc w:val="center"/>
              <w:rPr>
                <w:noProof/>
                <w:sz w:val="18"/>
                <w:szCs w:val="18"/>
              </w:rPr>
            </w:pPr>
            <w:r>
              <w:rPr>
                <w:noProof/>
                <w:sz w:val="18"/>
              </w:rPr>
              <w:t>Osobitný cieľ č. 2 medzisúčet</w:t>
            </w:r>
          </w:p>
          <w:p w:rsidR="00A6487C" w:rsidRDefault="00A6487C">
            <w:pPr>
              <w:ind w:right="-29"/>
              <w:jc w:val="center"/>
              <w:rPr>
                <w:noProof/>
                <w:sz w:val="18"/>
                <w:szCs w:val="18"/>
              </w:rPr>
            </w:pPr>
          </w:p>
          <w:p w:rsidR="00A6487C" w:rsidRDefault="00A6487C">
            <w:pPr>
              <w:ind w:right="-29"/>
              <w:jc w:val="center"/>
              <w:rPr>
                <w:noProof/>
                <w:sz w:val="18"/>
                <w:szCs w:val="18"/>
              </w:rPr>
            </w:pPr>
          </w:p>
          <w:p w:rsidR="00A6487C" w:rsidRDefault="00A6487C">
            <w:pPr>
              <w:ind w:right="-29"/>
              <w:jc w:val="center"/>
              <w:rPr>
                <w:noProof/>
                <w:sz w:val="18"/>
                <w:szCs w:val="18"/>
              </w:rPr>
            </w:pPr>
          </w:p>
          <w:p w:rsidR="00A6487C" w:rsidRDefault="00A6487C">
            <w:pPr>
              <w:ind w:right="-29"/>
              <w:jc w:val="center"/>
              <w:rPr>
                <w:noProof/>
                <w:sz w:val="18"/>
                <w:szCs w:val="18"/>
              </w:rPr>
            </w:pPr>
          </w:p>
          <w:p w:rsidR="00A6487C" w:rsidRDefault="00A6487C">
            <w:pPr>
              <w:ind w:right="-29"/>
              <w:jc w:val="center"/>
              <w:rPr>
                <w:noProof/>
                <w:sz w:val="18"/>
                <w:szCs w:val="18"/>
              </w:rPr>
            </w:pPr>
          </w:p>
          <w:p w:rsidR="00A6487C" w:rsidRDefault="00A6487C">
            <w:pPr>
              <w:ind w:right="-29"/>
              <w:jc w:val="center"/>
              <w:rPr>
                <w:noProof/>
                <w:sz w:val="18"/>
                <w:szCs w:val="18"/>
              </w:rPr>
            </w:pPr>
          </w:p>
        </w:tc>
        <w:tc>
          <w:tcPr>
            <w:tcW w:w="504" w:type="dxa"/>
          </w:tcPr>
          <w:p w:rsidR="00A6487C" w:rsidRDefault="007E6C80">
            <w:pPr>
              <w:ind w:right="-29"/>
              <w:jc w:val="center"/>
              <w:rPr>
                <w:noProof/>
                <w:sz w:val="18"/>
                <w:szCs w:val="18"/>
              </w:rPr>
            </w:pPr>
            <w:r>
              <w:rPr>
                <w:noProof/>
                <w:sz w:val="18"/>
              </w:rPr>
              <w:t>1</w:t>
            </w:r>
          </w:p>
        </w:tc>
        <w:tc>
          <w:tcPr>
            <w:tcW w:w="720" w:type="dxa"/>
          </w:tcPr>
          <w:p w:rsidR="00A6487C" w:rsidRDefault="007E6C80">
            <w:pPr>
              <w:ind w:right="-29"/>
              <w:jc w:val="center"/>
              <w:rPr>
                <w:noProof/>
                <w:sz w:val="18"/>
                <w:szCs w:val="18"/>
              </w:rPr>
            </w:pPr>
            <w:r>
              <w:rPr>
                <w:noProof/>
                <w:sz w:val="18"/>
              </w:rPr>
              <w:t>0,6</w:t>
            </w:r>
          </w:p>
        </w:tc>
        <w:tc>
          <w:tcPr>
            <w:tcW w:w="540" w:type="dxa"/>
          </w:tcPr>
          <w:p w:rsidR="00A6487C" w:rsidRDefault="007E6C80">
            <w:pPr>
              <w:ind w:right="-29"/>
              <w:jc w:val="center"/>
              <w:rPr>
                <w:noProof/>
                <w:sz w:val="18"/>
                <w:szCs w:val="18"/>
              </w:rPr>
            </w:pPr>
            <w:r>
              <w:rPr>
                <w:noProof/>
                <w:sz w:val="18"/>
              </w:rPr>
              <w:t>1</w:t>
            </w:r>
          </w:p>
        </w:tc>
        <w:tc>
          <w:tcPr>
            <w:tcW w:w="720" w:type="dxa"/>
          </w:tcPr>
          <w:p w:rsidR="00A6487C" w:rsidRDefault="007E6C80">
            <w:pPr>
              <w:ind w:right="-29"/>
              <w:jc w:val="center"/>
              <w:rPr>
                <w:noProof/>
                <w:sz w:val="18"/>
                <w:szCs w:val="18"/>
              </w:rPr>
            </w:pPr>
            <w:r>
              <w:rPr>
                <w:noProof/>
                <w:sz w:val="18"/>
              </w:rPr>
              <w:t>2,7</w:t>
            </w:r>
          </w:p>
        </w:tc>
        <w:tc>
          <w:tcPr>
            <w:tcW w:w="720" w:type="dxa"/>
          </w:tcPr>
          <w:p w:rsidR="00A6487C" w:rsidRDefault="007E6C80">
            <w:pPr>
              <w:ind w:right="-29"/>
              <w:jc w:val="center"/>
              <w:rPr>
                <w:noProof/>
                <w:sz w:val="18"/>
                <w:szCs w:val="18"/>
              </w:rPr>
            </w:pPr>
            <w:r>
              <w:rPr>
                <w:noProof/>
                <w:sz w:val="18"/>
              </w:rPr>
              <w:t>1</w:t>
            </w:r>
          </w:p>
        </w:tc>
        <w:tc>
          <w:tcPr>
            <w:tcW w:w="720" w:type="dxa"/>
          </w:tcPr>
          <w:p w:rsidR="00A6487C" w:rsidRDefault="007E6C80">
            <w:pPr>
              <w:ind w:right="-29"/>
              <w:jc w:val="center"/>
              <w:rPr>
                <w:noProof/>
                <w:sz w:val="18"/>
                <w:szCs w:val="18"/>
              </w:rPr>
            </w:pPr>
            <w:r>
              <w:rPr>
                <w:noProof/>
                <w:sz w:val="18"/>
              </w:rPr>
              <w:t>2,5</w:t>
            </w:r>
          </w:p>
        </w:tc>
        <w:tc>
          <w:tcPr>
            <w:tcW w:w="900" w:type="dxa"/>
          </w:tcPr>
          <w:p w:rsidR="00A6487C" w:rsidRDefault="007E6C80">
            <w:pPr>
              <w:ind w:right="-29"/>
              <w:jc w:val="center"/>
              <w:rPr>
                <w:noProof/>
                <w:sz w:val="18"/>
                <w:szCs w:val="18"/>
              </w:rPr>
            </w:pPr>
            <w:r>
              <w:rPr>
                <w:noProof/>
                <w:sz w:val="18"/>
              </w:rPr>
              <w:t>1</w:t>
            </w:r>
          </w:p>
        </w:tc>
        <w:tc>
          <w:tcPr>
            <w:tcW w:w="720" w:type="dxa"/>
            <w:gridSpan w:val="2"/>
          </w:tcPr>
          <w:p w:rsidR="00A6487C" w:rsidRDefault="007E6C80">
            <w:pPr>
              <w:ind w:right="-29"/>
              <w:jc w:val="center"/>
              <w:rPr>
                <w:noProof/>
                <w:sz w:val="18"/>
                <w:szCs w:val="18"/>
              </w:rPr>
            </w:pPr>
            <w:r>
              <w:rPr>
                <w:noProof/>
                <w:sz w:val="18"/>
              </w:rPr>
              <w:t>2,2</w:t>
            </w:r>
          </w:p>
        </w:tc>
        <w:tc>
          <w:tcPr>
            <w:tcW w:w="540" w:type="dxa"/>
          </w:tcPr>
          <w:p w:rsidR="00A6487C" w:rsidRDefault="00A6487C">
            <w:pPr>
              <w:ind w:right="-29"/>
              <w:jc w:val="center"/>
              <w:rPr>
                <w:noProof/>
                <w:sz w:val="18"/>
                <w:szCs w:val="18"/>
              </w:rPr>
            </w:pPr>
          </w:p>
        </w:tc>
        <w:tc>
          <w:tcPr>
            <w:tcW w:w="648" w:type="dxa"/>
          </w:tcPr>
          <w:p w:rsidR="00A6487C" w:rsidRDefault="00A6487C">
            <w:pPr>
              <w:ind w:right="-29"/>
              <w:jc w:val="center"/>
              <w:rPr>
                <w:noProof/>
                <w:sz w:val="18"/>
                <w:szCs w:val="18"/>
              </w:rPr>
            </w:pPr>
          </w:p>
        </w:tc>
        <w:tc>
          <w:tcPr>
            <w:tcW w:w="432"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900" w:type="dxa"/>
          </w:tcPr>
          <w:p w:rsidR="00A6487C" w:rsidRDefault="007E6C80">
            <w:pPr>
              <w:ind w:right="-29"/>
              <w:jc w:val="center"/>
              <w:rPr>
                <w:noProof/>
                <w:sz w:val="18"/>
                <w:szCs w:val="18"/>
              </w:rPr>
            </w:pPr>
            <w:r>
              <w:rPr>
                <w:noProof/>
                <w:sz w:val="18"/>
              </w:rPr>
              <w:t>8,0</w:t>
            </w:r>
          </w:p>
        </w:tc>
      </w:tr>
      <w:tr w:rsidR="00A6487C">
        <w:trPr>
          <w:trHeight w:hRule="exact" w:val="941"/>
          <w:jc w:val="center"/>
        </w:trPr>
        <w:tc>
          <w:tcPr>
            <w:tcW w:w="2844" w:type="dxa"/>
            <w:gridSpan w:val="3"/>
          </w:tcPr>
          <w:p w:rsidR="00A6487C" w:rsidRDefault="007E6C80">
            <w:pPr>
              <w:ind w:right="-29"/>
              <w:jc w:val="left"/>
              <w:rPr>
                <w:noProof/>
              </w:rPr>
            </w:pPr>
            <w:r>
              <w:rPr>
                <w:noProof/>
                <w:sz w:val="18"/>
              </w:rPr>
              <w:t>OSOBITNÝ CIEĽ Č. 3</w:t>
            </w:r>
            <w:r>
              <w:rPr>
                <w:noProof/>
              </w:rPr>
              <w:t xml:space="preserve"> </w:t>
            </w:r>
          </w:p>
          <w:p w:rsidR="00A6487C" w:rsidRDefault="007E6C80">
            <w:pPr>
              <w:ind w:right="-29"/>
              <w:jc w:val="left"/>
              <w:rPr>
                <w:b/>
                <w:noProof/>
                <w:sz w:val="18"/>
                <w:szCs w:val="18"/>
              </w:rPr>
            </w:pPr>
            <w:r>
              <w:rPr>
                <w:b/>
                <w:noProof/>
                <w:sz w:val="18"/>
              </w:rPr>
              <w:t>Rozpočtový riadok 21 05 01</w:t>
            </w:r>
          </w:p>
          <w:p w:rsidR="00A6487C" w:rsidRDefault="00A6487C">
            <w:pPr>
              <w:ind w:right="-29"/>
              <w:jc w:val="left"/>
              <w:rPr>
                <w:b/>
                <w:noProof/>
                <w:sz w:val="18"/>
                <w:szCs w:val="18"/>
              </w:rPr>
            </w:pPr>
          </w:p>
          <w:p w:rsidR="00A6487C" w:rsidRDefault="00A6487C">
            <w:pPr>
              <w:ind w:right="-29"/>
              <w:jc w:val="left"/>
              <w:rPr>
                <w:b/>
                <w:noProof/>
                <w:sz w:val="18"/>
                <w:szCs w:val="18"/>
              </w:rPr>
            </w:pPr>
          </w:p>
          <w:p w:rsidR="00A6487C" w:rsidRDefault="00A6487C">
            <w:pPr>
              <w:ind w:right="-29"/>
              <w:jc w:val="left"/>
              <w:rPr>
                <w:b/>
                <w:noProof/>
                <w:sz w:val="18"/>
                <w:szCs w:val="18"/>
              </w:rPr>
            </w:pPr>
          </w:p>
          <w:p w:rsidR="00A6487C" w:rsidRDefault="00A6487C">
            <w:pPr>
              <w:ind w:right="-29"/>
              <w:jc w:val="left"/>
              <w:rPr>
                <w:b/>
                <w:noProof/>
                <w:sz w:val="18"/>
                <w:szCs w:val="18"/>
              </w:rPr>
            </w:pPr>
          </w:p>
          <w:p w:rsidR="00A6487C" w:rsidRDefault="00A6487C">
            <w:pPr>
              <w:ind w:right="-29"/>
              <w:jc w:val="left"/>
              <w:rPr>
                <w:b/>
                <w:noProof/>
                <w:sz w:val="18"/>
                <w:szCs w:val="18"/>
              </w:rPr>
            </w:pPr>
          </w:p>
        </w:tc>
        <w:tc>
          <w:tcPr>
            <w:tcW w:w="504"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900" w:type="dxa"/>
          </w:tcPr>
          <w:p w:rsidR="00A6487C" w:rsidRDefault="00A6487C">
            <w:pPr>
              <w:ind w:right="-29"/>
              <w:jc w:val="center"/>
              <w:rPr>
                <w:noProof/>
                <w:sz w:val="18"/>
                <w:szCs w:val="18"/>
              </w:rPr>
            </w:pPr>
          </w:p>
        </w:tc>
        <w:tc>
          <w:tcPr>
            <w:tcW w:w="720" w:type="dxa"/>
            <w:gridSpan w:val="2"/>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648" w:type="dxa"/>
          </w:tcPr>
          <w:p w:rsidR="00A6487C" w:rsidRDefault="00A6487C">
            <w:pPr>
              <w:ind w:right="-29"/>
              <w:jc w:val="center"/>
              <w:rPr>
                <w:noProof/>
                <w:sz w:val="18"/>
                <w:szCs w:val="18"/>
              </w:rPr>
            </w:pPr>
          </w:p>
        </w:tc>
        <w:tc>
          <w:tcPr>
            <w:tcW w:w="432"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900" w:type="dxa"/>
          </w:tcPr>
          <w:p w:rsidR="00A6487C" w:rsidRDefault="00A6487C">
            <w:pPr>
              <w:ind w:right="-29"/>
              <w:jc w:val="center"/>
              <w:rPr>
                <w:noProof/>
                <w:sz w:val="18"/>
                <w:szCs w:val="18"/>
              </w:rPr>
            </w:pPr>
          </w:p>
        </w:tc>
      </w:tr>
      <w:tr w:rsidR="00A6487C">
        <w:trPr>
          <w:trHeight w:hRule="exact" w:val="369"/>
          <w:jc w:val="center"/>
        </w:trPr>
        <w:tc>
          <w:tcPr>
            <w:tcW w:w="1423" w:type="dxa"/>
          </w:tcPr>
          <w:p w:rsidR="00A6487C" w:rsidRDefault="007E6C80">
            <w:pPr>
              <w:ind w:right="-29"/>
              <w:jc w:val="center"/>
              <w:rPr>
                <w:noProof/>
                <w:sz w:val="18"/>
              </w:rPr>
            </w:pPr>
            <w:r>
              <w:rPr>
                <w:noProof/>
                <w:sz w:val="18"/>
              </w:rPr>
              <w:t>– Výstup</w:t>
            </w:r>
          </w:p>
        </w:tc>
        <w:tc>
          <w:tcPr>
            <w:tcW w:w="720" w:type="dxa"/>
          </w:tcPr>
          <w:p w:rsidR="00A6487C" w:rsidRDefault="00A6487C">
            <w:pPr>
              <w:ind w:right="-29"/>
              <w:jc w:val="center"/>
              <w:rPr>
                <w:noProof/>
                <w:sz w:val="18"/>
                <w:szCs w:val="18"/>
              </w:rPr>
            </w:pPr>
          </w:p>
        </w:tc>
        <w:tc>
          <w:tcPr>
            <w:tcW w:w="701" w:type="dxa"/>
          </w:tcPr>
          <w:p w:rsidR="00A6487C" w:rsidRDefault="00A6487C">
            <w:pPr>
              <w:ind w:right="-29"/>
              <w:jc w:val="center"/>
              <w:rPr>
                <w:noProof/>
                <w:sz w:val="18"/>
                <w:szCs w:val="18"/>
              </w:rPr>
            </w:pPr>
          </w:p>
        </w:tc>
        <w:tc>
          <w:tcPr>
            <w:tcW w:w="504"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900" w:type="dxa"/>
          </w:tcPr>
          <w:p w:rsidR="00A6487C" w:rsidRDefault="00A6487C">
            <w:pPr>
              <w:ind w:right="-29"/>
              <w:jc w:val="center"/>
              <w:rPr>
                <w:noProof/>
                <w:sz w:val="18"/>
                <w:szCs w:val="18"/>
              </w:rPr>
            </w:pPr>
          </w:p>
        </w:tc>
        <w:tc>
          <w:tcPr>
            <w:tcW w:w="720" w:type="dxa"/>
            <w:gridSpan w:val="2"/>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648" w:type="dxa"/>
          </w:tcPr>
          <w:p w:rsidR="00A6487C" w:rsidRDefault="00A6487C">
            <w:pPr>
              <w:ind w:right="-29"/>
              <w:jc w:val="center"/>
              <w:rPr>
                <w:noProof/>
                <w:sz w:val="18"/>
                <w:szCs w:val="18"/>
              </w:rPr>
            </w:pPr>
          </w:p>
        </w:tc>
        <w:tc>
          <w:tcPr>
            <w:tcW w:w="432"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900" w:type="dxa"/>
          </w:tcPr>
          <w:p w:rsidR="00A6487C" w:rsidRDefault="00A6487C">
            <w:pPr>
              <w:ind w:right="-29"/>
              <w:jc w:val="center"/>
              <w:rPr>
                <w:noProof/>
                <w:sz w:val="18"/>
                <w:szCs w:val="18"/>
              </w:rPr>
            </w:pPr>
          </w:p>
        </w:tc>
      </w:tr>
      <w:tr w:rsidR="00A6487C">
        <w:trPr>
          <w:trHeight w:hRule="exact" w:val="510"/>
          <w:jc w:val="center"/>
        </w:trPr>
        <w:tc>
          <w:tcPr>
            <w:tcW w:w="1423" w:type="dxa"/>
          </w:tcPr>
          <w:p w:rsidR="00A6487C" w:rsidRDefault="007E6C80">
            <w:pPr>
              <w:ind w:right="-29"/>
              <w:jc w:val="center"/>
              <w:rPr>
                <w:noProof/>
                <w:sz w:val="18"/>
              </w:rPr>
            </w:pPr>
            <w:r>
              <w:rPr>
                <w:noProof/>
                <w:sz w:val="18"/>
              </w:rPr>
              <w:t>– Výstup</w:t>
            </w:r>
          </w:p>
        </w:tc>
        <w:tc>
          <w:tcPr>
            <w:tcW w:w="720" w:type="dxa"/>
          </w:tcPr>
          <w:p w:rsidR="00A6487C" w:rsidRDefault="00A6487C">
            <w:pPr>
              <w:ind w:right="-29"/>
              <w:jc w:val="center"/>
              <w:rPr>
                <w:noProof/>
                <w:sz w:val="18"/>
                <w:szCs w:val="18"/>
              </w:rPr>
            </w:pPr>
          </w:p>
        </w:tc>
        <w:tc>
          <w:tcPr>
            <w:tcW w:w="701" w:type="dxa"/>
          </w:tcPr>
          <w:p w:rsidR="00A6487C" w:rsidRDefault="00A6487C">
            <w:pPr>
              <w:ind w:right="-29"/>
              <w:jc w:val="center"/>
              <w:rPr>
                <w:noProof/>
                <w:sz w:val="18"/>
                <w:szCs w:val="18"/>
              </w:rPr>
            </w:pPr>
          </w:p>
        </w:tc>
        <w:tc>
          <w:tcPr>
            <w:tcW w:w="504"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900" w:type="dxa"/>
          </w:tcPr>
          <w:p w:rsidR="00A6487C" w:rsidRDefault="00A6487C">
            <w:pPr>
              <w:ind w:right="-29"/>
              <w:jc w:val="center"/>
              <w:rPr>
                <w:noProof/>
                <w:sz w:val="18"/>
                <w:szCs w:val="18"/>
              </w:rPr>
            </w:pPr>
          </w:p>
        </w:tc>
        <w:tc>
          <w:tcPr>
            <w:tcW w:w="720" w:type="dxa"/>
            <w:gridSpan w:val="2"/>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648" w:type="dxa"/>
          </w:tcPr>
          <w:p w:rsidR="00A6487C" w:rsidRDefault="00A6487C">
            <w:pPr>
              <w:ind w:right="-29"/>
              <w:jc w:val="center"/>
              <w:rPr>
                <w:noProof/>
                <w:sz w:val="18"/>
                <w:szCs w:val="18"/>
              </w:rPr>
            </w:pPr>
          </w:p>
        </w:tc>
        <w:tc>
          <w:tcPr>
            <w:tcW w:w="432"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900" w:type="dxa"/>
          </w:tcPr>
          <w:p w:rsidR="00A6487C" w:rsidRDefault="00A6487C">
            <w:pPr>
              <w:ind w:right="-29"/>
              <w:jc w:val="center"/>
              <w:rPr>
                <w:noProof/>
                <w:sz w:val="18"/>
                <w:szCs w:val="18"/>
              </w:rPr>
            </w:pPr>
          </w:p>
        </w:tc>
      </w:tr>
      <w:tr w:rsidR="00A6487C">
        <w:trPr>
          <w:trHeight w:hRule="exact" w:val="369"/>
          <w:jc w:val="center"/>
        </w:trPr>
        <w:tc>
          <w:tcPr>
            <w:tcW w:w="1423" w:type="dxa"/>
          </w:tcPr>
          <w:p w:rsidR="00A6487C" w:rsidRDefault="007E6C80">
            <w:pPr>
              <w:ind w:right="-29"/>
              <w:jc w:val="center"/>
              <w:rPr>
                <w:noProof/>
                <w:sz w:val="18"/>
              </w:rPr>
            </w:pPr>
            <w:r>
              <w:rPr>
                <w:noProof/>
                <w:sz w:val="18"/>
              </w:rPr>
              <w:t>– Výstup</w:t>
            </w:r>
          </w:p>
        </w:tc>
        <w:tc>
          <w:tcPr>
            <w:tcW w:w="720" w:type="dxa"/>
          </w:tcPr>
          <w:p w:rsidR="00A6487C" w:rsidRDefault="00A6487C">
            <w:pPr>
              <w:ind w:right="-29"/>
              <w:jc w:val="center"/>
              <w:rPr>
                <w:noProof/>
                <w:sz w:val="18"/>
                <w:szCs w:val="18"/>
              </w:rPr>
            </w:pPr>
          </w:p>
        </w:tc>
        <w:tc>
          <w:tcPr>
            <w:tcW w:w="701" w:type="dxa"/>
          </w:tcPr>
          <w:p w:rsidR="00A6487C" w:rsidRDefault="00A6487C">
            <w:pPr>
              <w:ind w:right="-29"/>
              <w:jc w:val="center"/>
              <w:rPr>
                <w:noProof/>
                <w:sz w:val="18"/>
                <w:szCs w:val="18"/>
              </w:rPr>
            </w:pPr>
          </w:p>
        </w:tc>
        <w:tc>
          <w:tcPr>
            <w:tcW w:w="504"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900" w:type="dxa"/>
          </w:tcPr>
          <w:p w:rsidR="00A6487C" w:rsidRDefault="00A6487C">
            <w:pPr>
              <w:ind w:right="-29"/>
              <w:jc w:val="center"/>
              <w:rPr>
                <w:noProof/>
                <w:sz w:val="18"/>
                <w:szCs w:val="18"/>
              </w:rPr>
            </w:pPr>
          </w:p>
        </w:tc>
        <w:tc>
          <w:tcPr>
            <w:tcW w:w="720" w:type="dxa"/>
            <w:gridSpan w:val="2"/>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648" w:type="dxa"/>
          </w:tcPr>
          <w:p w:rsidR="00A6487C" w:rsidRDefault="00A6487C">
            <w:pPr>
              <w:ind w:right="-29"/>
              <w:jc w:val="center"/>
              <w:rPr>
                <w:noProof/>
                <w:sz w:val="18"/>
                <w:szCs w:val="18"/>
              </w:rPr>
            </w:pPr>
          </w:p>
        </w:tc>
        <w:tc>
          <w:tcPr>
            <w:tcW w:w="432"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54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720" w:type="dxa"/>
          </w:tcPr>
          <w:p w:rsidR="00A6487C" w:rsidRDefault="00A6487C">
            <w:pPr>
              <w:ind w:right="-29"/>
              <w:jc w:val="center"/>
              <w:rPr>
                <w:noProof/>
                <w:sz w:val="18"/>
                <w:szCs w:val="18"/>
              </w:rPr>
            </w:pPr>
          </w:p>
        </w:tc>
        <w:tc>
          <w:tcPr>
            <w:tcW w:w="900" w:type="dxa"/>
          </w:tcPr>
          <w:p w:rsidR="00A6487C" w:rsidRDefault="00A6487C">
            <w:pPr>
              <w:ind w:right="-29"/>
              <w:jc w:val="center"/>
              <w:rPr>
                <w:noProof/>
                <w:sz w:val="18"/>
                <w:szCs w:val="18"/>
              </w:rPr>
            </w:pPr>
          </w:p>
        </w:tc>
      </w:tr>
      <w:tr w:rsidR="00A6487C">
        <w:trPr>
          <w:jc w:val="center"/>
        </w:trPr>
        <w:tc>
          <w:tcPr>
            <w:tcW w:w="2844" w:type="dxa"/>
            <w:gridSpan w:val="3"/>
            <w:tcBorders>
              <w:bottom w:val="single" w:sz="12" w:space="0" w:color="auto"/>
            </w:tcBorders>
            <w:vAlign w:val="center"/>
          </w:tcPr>
          <w:p w:rsidR="00A6487C" w:rsidRDefault="007E6C80">
            <w:pPr>
              <w:jc w:val="center"/>
              <w:rPr>
                <w:noProof/>
                <w:sz w:val="18"/>
                <w:szCs w:val="18"/>
              </w:rPr>
            </w:pPr>
            <w:r>
              <w:rPr>
                <w:noProof/>
                <w:sz w:val="18"/>
              </w:rPr>
              <w:t>Osobitný cieľ č. 3 medzisúčet</w:t>
            </w:r>
          </w:p>
        </w:tc>
        <w:tc>
          <w:tcPr>
            <w:tcW w:w="504" w:type="dxa"/>
            <w:tcBorders>
              <w:bottom w:val="single" w:sz="12" w:space="0" w:color="auto"/>
            </w:tcBorders>
          </w:tcPr>
          <w:p w:rsidR="00A6487C" w:rsidRDefault="007E6C80">
            <w:pPr>
              <w:ind w:right="-29"/>
              <w:jc w:val="center"/>
              <w:rPr>
                <w:noProof/>
                <w:sz w:val="18"/>
                <w:szCs w:val="18"/>
              </w:rPr>
            </w:pPr>
            <w:r>
              <w:rPr>
                <w:noProof/>
                <w:sz w:val="18"/>
              </w:rPr>
              <w:t>1</w:t>
            </w:r>
          </w:p>
        </w:tc>
        <w:tc>
          <w:tcPr>
            <w:tcW w:w="720" w:type="dxa"/>
            <w:tcBorders>
              <w:bottom w:val="single" w:sz="12" w:space="0" w:color="auto"/>
            </w:tcBorders>
          </w:tcPr>
          <w:p w:rsidR="00A6487C" w:rsidRDefault="007E6C80">
            <w:pPr>
              <w:ind w:right="-29"/>
              <w:jc w:val="center"/>
              <w:rPr>
                <w:noProof/>
                <w:sz w:val="18"/>
                <w:szCs w:val="18"/>
              </w:rPr>
            </w:pPr>
            <w:r>
              <w:rPr>
                <w:noProof/>
                <w:sz w:val="18"/>
              </w:rPr>
              <w:t>2,1</w:t>
            </w:r>
          </w:p>
        </w:tc>
        <w:tc>
          <w:tcPr>
            <w:tcW w:w="540" w:type="dxa"/>
            <w:tcBorders>
              <w:bottom w:val="single" w:sz="12" w:space="0" w:color="auto"/>
            </w:tcBorders>
          </w:tcPr>
          <w:p w:rsidR="00A6487C" w:rsidRDefault="007E6C80">
            <w:pPr>
              <w:ind w:right="-29"/>
              <w:jc w:val="center"/>
              <w:rPr>
                <w:noProof/>
                <w:sz w:val="18"/>
                <w:szCs w:val="18"/>
              </w:rPr>
            </w:pPr>
            <w:r>
              <w:rPr>
                <w:noProof/>
                <w:sz w:val="18"/>
              </w:rPr>
              <w:t>1</w:t>
            </w:r>
          </w:p>
        </w:tc>
        <w:tc>
          <w:tcPr>
            <w:tcW w:w="720" w:type="dxa"/>
            <w:tcBorders>
              <w:bottom w:val="single" w:sz="12" w:space="0" w:color="auto"/>
            </w:tcBorders>
          </w:tcPr>
          <w:p w:rsidR="00A6487C" w:rsidRDefault="007E6C80">
            <w:pPr>
              <w:ind w:right="-29"/>
              <w:jc w:val="center"/>
              <w:rPr>
                <w:noProof/>
                <w:sz w:val="18"/>
                <w:szCs w:val="18"/>
              </w:rPr>
            </w:pPr>
            <w:r>
              <w:rPr>
                <w:noProof/>
                <w:sz w:val="18"/>
              </w:rPr>
              <w:t>6,3</w:t>
            </w:r>
          </w:p>
        </w:tc>
        <w:tc>
          <w:tcPr>
            <w:tcW w:w="720" w:type="dxa"/>
            <w:tcBorders>
              <w:bottom w:val="single" w:sz="12" w:space="0" w:color="auto"/>
            </w:tcBorders>
          </w:tcPr>
          <w:p w:rsidR="00A6487C" w:rsidRDefault="007E6C80">
            <w:pPr>
              <w:ind w:right="-29"/>
              <w:jc w:val="center"/>
              <w:rPr>
                <w:noProof/>
                <w:sz w:val="18"/>
                <w:szCs w:val="18"/>
              </w:rPr>
            </w:pPr>
            <w:r>
              <w:rPr>
                <w:noProof/>
                <w:sz w:val="18"/>
              </w:rPr>
              <w:t>1</w:t>
            </w:r>
          </w:p>
        </w:tc>
        <w:tc>
          <w:tcPr>
            <w:tcW w:w="720" w:type="dxa"/>
            <w:tcBorders>
              <w:bottom w:val="single" w:sz="12" w:space="0" w:color="auto"/>
            </w:tcBorders>
          </w:tcPr>
          <w:p w:rsidR="00A6487C" w:rsidRDefault="007E6C80">
            <w:pPr>
              <w:ind w:right="-29"/>
              <w:jc w:val="center"/>
              <w:rPr>
                <w:noProof/>
                <w:sz w:val="18"/>
                <w:szCs w:val="18"/>
              </w:rPr>
            </w:pPr>
            <w:r>
              <w:rPr>
                <w:noProof/>
                <w:sz w:val="18"/>
              </w:rPr>
              <w:t>6,3</w:t>
            </w:r>
          </w:p>
        </w:tc>
        <w:tc>
          <w:tcPr>
            <w:tcW w:w="954" w:type="dxa"/>
            <w:gridSpan w:val="2"/>
            <w:tcBorders>
              <w:bottom w:val="single" w:sz="12" w:space="0" w:color="auto"/>
            </w:tcBorders>
          </w:tcPr>
          <w:p w:rsidR="00A6487C" w:rsidRDefault="007E6C80">
            <w:pPr>
              <w:ind w:right="-29"/>
              <w:jc w:val="center"/>
              <w:rPr>
                <w:noProof/>
                <w:sz w:val="18"/>
                <w:szCs w:val="18"/>
              </w:rPr>
            </w:pPr>
            <w:r>
              <w:rPr>
                <w:noProof/>
                <w:sz w:val="18"/>
              </w:rPr>
              <w:t>1</w:t>
            </w:r>
          </w:p>
        </w:tc>
        <w:tc>
          <w:tcPr>
            <w:tcW w:w="666" w:type="dxa"/>
            <w:tcBorders>
              <w:bottom w:val="single" w:sz="12" w:space="0" w:color="auto"/>
            </w:tcBorders>
          </w:tcPr>
          <w:p w:rsidR="00A6487C" w:rsidRDefault="007E6C80">
            <w:pPr>
              <w:ind w:right="-29"/>
              <w:jc w:val="center"/>
              <w:rPr>
                <w:noProof/>
                <w:sz w:val="18"/>
                <w:szCs w:val="18"/>
              </w:rPr>
            </w:pPr>
            <w:r>
              <w:rPr>
                <w:noProof/>
                <w:sz w:val="18"/>
              </w:rPr>
              <w:t>6,3</w:t>
            </w:r>
          </w:p>
        </w:tc>
        <w:tc>
          <w:tcPr>
            <w:tcW w:w="540" w:type="dxa"/>
            <w:tcBorders>
              <w:bottom w:val="single" w:sz="12" w:space="0" w:color="auto"/>
            </w:tcBorders>
          </w:tcPr>
          <w:p w:rsidR="00A6487C" w:rsidRDefault="00A6487C">
            <w:pPr>
              <w:ind w:right="-29"/>
              <w:jc w:val="center"/>
              <w:rPr>
                <w:noProof/>
                <w:sz w:val="18"/>
                <w:szCs w:val="18"/>
              </w:rPr>
            </w:pPr>
          </w:p>
        </w:tc>
        <w:tc>
          <w:tcPr>
            <w:tcW w:w="648" w:type="dxa"/>
            <w:tcBorders>
              <w:bottom w:val="single" w:sz="12" w:space="0" w:color="auto"/>
            </w:tcBorders>
          </w:tcPr>
          <w:p w:rsidR="00A6487C" w:rsidRDefault="00A6487C">
            <w:pPr>
              <w:ind w:right="-29"/>
              <w:jc w:val="center"/>
              <w:rPr>
                <w:noProof/>
                <w:sz w:val="18"/>
                <w:szCs w:val="18"/>
              </w:rPr>
            </w:pPr>
          </w:p>
        </w:tc>
        <w:tc>
          <w:tcPr>
            <w:tcW w:w="432" w:type="dxa"/>
            <w:tcBorders>
              <w:bottom w:val="single" w:sz="12" w:space="0" w:color="auto"/>
            </w:tcBorders>
          </w:tcPr>
          <w:p w:rsidR="00A6487C" w:rsidRDefault="00A6487C">
            <w:pPr>
              <w:ind w:right="-29"/>
              <w:jc w:val="center"/>
              <w:rPr>
                <w:noProof/>
                <w:sz w:val="18"/>
                <w:szCs w:val="18"/>
              </w:rPr>
            </w:pPr>
          </w:p>
        </w:tc>
        <w:tc>
          <w:tcPr>
            <w:tcW w:w="720" w:type="dxa"/>
            <w:tcBorders>
              <w:bottom w:val="single" w:sz="12" w:space="0" w:color="auto"/>
            </w:tcBorders>
          </w:tcPr>
          <w:p w:rsidR="00A6487C" w:rsidRDefault="00A6487C">
            <w:pPr>
              <w:ind w:right="-29"/>
              <w:jc w:val="center"/>
              <w:rPr>
                <w:noProof/>
                <w:sz w:val="18"/>
                <w:szCs w:val="18"/>
              </w:rPr>
            </w:pPr>
          </w:p>
        </w:tc>
        <w:tc>
          <w:tcPr>
            <w:tcW w:w="540" w:type="dxa"/>
            <w:tcBorders>
              <w:bottom w:val="single" w:sz="12" w:space="0" w:color="auto"/>
            </w:tcBorders>
          </w:tcPr>
          <w:p w:rsidR="00A6487C" w:rsidRDefault="00A6487C">
            <w:pPr>
              <w:ind w:right="-29"/>
              <w:jc w:val="center"/>
              <w:rPr>
                <w:noProof/>
                <w:sz w:val="18"/>
                <w:szCs w:val="18"/>
              </w:rPr>
            </w:pPr>
          </w:p>
        </w:tc>
        <w:tc>
          <w:tcPr>
            <w:tcW w:w="720" w:type="dxa"/>
            <w:tcBorders>
              <w:bottom w:val="single" w:sz="12" w:space="0" w:color="auto"/>
            </w:tcBorders>
          </w:tcPr>
          <w:p w:rsidR="00A6487C" w:rsidRDefault="00A6487C">
            <w:pPr>
              <w:ind w:right="-29"/>
              <w:jc w:val="center"/>
              <w:rPr>
                <w:noProof/>
                <w:sz w:val="18"/>
                <w:szCs w:val="18"/>
              </w:rPr>
            </w:pPr>
          </w:p>
        </w:tc>
        <w:tc>
          <w:tcPr>
            <w:tcW w:w="720" w:type="dxa"/>
            <w:tcBorders>
              <w:bottom w:val="single" w:sz="12" w:space="0" w:color="auto"/>
            </w:tcBorders>
          </w:tcPr>
          <w:p w:rsidR="00A6487C" w:rsidRDefault="00A6487C">
            <w:pPr>
              <w:ind w:right="-29"/>
              <w:jc w:val="center"/>
              <w:rPr>
                <w:noProof/>
                <w:sz w:val="18"/>
                <w:szCs w:val="18"/>
              </w:rPr>
            </w:pPr>
          </w:p>
        </w:tc>
        <w:tc>
          <w:tcPr>
            <w:tcW w:w="900" w:type="dxa"/>
            <w:tcBorders>
              <w:bottom w:val="single" w:sz="12" w:space="0" w:color="auto"/>
            </w:tcBorders>
          </w:tcPr>
          <w:p w:rsidR="00A6487C" w:rsidRDefault="007E6C80">
            <w:pPr>
              <w:ind w:right="-29"/>
              <w:jc w:val="center"/>
              <w:rPr>
                <w:noProof/>
                <w:sz w:val="18"/>
                <w:szCs w:val="18"/>
              </w:rPr>
            </w:pPr>
            <w:r>
              <w:rPr>
                <w:noProof/>
                <w:sz w:val="18"/>
              </w:rPr>
              <w:t>21,0</w:t>
            </w:r>
          </w:p>
        </w:tc>
      </w:tr>
      <w:tr w:rsidR="00A6487C">
        <w:trPr>
          <w:jc w:val="center"/>
        </w:trPr>
        <w:tc>
          <w:tcPr>
            <w:tcW w:w="2844" w:type="dxa"/>
            <w:gridSpan w:val="3"/>
            <w:tcBorders>
              <w:top w:val="single" w:sz="12" w:space="0" w:color="auto"/>
              <w:left w:val="single" w:sz="12" w:space="0" w:color="auto"/>
              <w:bottom w:val="single" w:sz="12" w:space="0" w:color="auto"/>
            </w:tcBorders>
            <w:vAlign w:val="center"/>
          </w:tcPr>
          <w:p w:rsidR="00A6487C" w:rsidRDefault="007E6C80">
            <w:pPr>
              <w:ind w:right="-29"/>
              <w:jc w:val="center"/>
              <w:rPr>
                <w:noProof/>
                <w:sz w:val="18"/>
                <w:szCs w:val="18"/>
              </w:rPr>
            </w:pPr>
            <w:r>
              <w:rPr>
                <w:b/>
                <w:noProof/>
                <w:sz w:val="18"/>
              </w:rPr>
              <w:t>NÁKLADY SPOLU</w:t>
            </w:r>
          </w:p>
        </w:tc>
        <w:tc>
          <w:tcPr>
            <w:tcW w:w="504" w:type="dxa"/>
            <w:tcBorders>
              <w:top w:val="single" w:sz="12" w:space="0" w:color="auto"/>
              <w:bottom w:val="single" w:sz="12" w:space="0" w:color="auto"/>
            </w:tcBorders>
          </w:tcPr>
          <w:p w:rsidR="00A6487C" w:rsidRDefault="00A6487C">
            <w:pPr>
              <w:spacing w:before="180" w:after="180"/>
              <w:ind w:right="-29"/>
              <w:jc w:val="center"/>
              <w:rPr>
                <w:noProof/>
                <w:sz w:val="18"/>
                <w:szCs w:val="18"/>
              </w:rPr>
            </w:pPr>
          </w:p>
        </w:tc>
        <w:tc>
          <w:tcPr>
            <w:tcW w:w="720" w:type="dxa"/>
            <w:tcBorders>
              <w:top w:val="single" w:sz="12" w:space="0" w:color="auto"/>
              <w:bottom w:val="single" w:sz="12" w:space="0" w:color="auto"/>
            </w:tcBorders>
          </w:tcPr>
          <w:p w:rsidR="00A6487C" w:rsidRDefault="007E6C80">
            <w:pPr>
              <w:spacing w:before="180" w:after="180"/>
              <w:ind w:right="-29"/>
              <w:jc w:val="center"/>
              <w:rPr>
                <w:noProof/>
                <w:sz w:val="18"/>
                <w:szCs w:val="18"/>
              </w:rPr>
            </w:pPr>
            <w:r>
              <w:rPr>
                <w:noProof/>
                <w:sz w:val="18"/>
              </w:rPr>
              <w:t>10</w:t>
            </w:r>
          </w:p>
        </w:tc>
        <w:tc>
          <w:tcPr>
            <w:tcW w:w="540" w:type="dxa"/>
            <w:tcBorders>
              <w:top w:val="single" w:sz="12" w:space="0" w:color="auto"/>
              <w:bottom w:val="single" w:sz="12" w:space="0" w:color="auto"/>
            </w:tcBorders>
          </w:tcPr>
          <w:p w:rsidR="00A6487C" w:rsidRDefault="00A6487C">
            <w:pPr>
              <w:spacing w:before="180" w:after="180"/>
              <w:ind w:right="-29"/>
              <w:jc w:val="center"/>
              <w:rPr>
                <w:noProof/>
                <w:sz w:val="18"/>
                <w:szCs w:val="18"/>
              </w:rPr>
            </w:pPr>
          </w:p>
        </w:tc>
        <w:tc>
          <w:tcPr>
            <w:tcW w:w="720" w:type="dxa"/>
            <w:tcBorders>
              <w:top w:val="single" w:sz="12" w:space="0" w:color="auto"/>
              <w:bottom w:val="single" w:sz="12" w:space="0" w:color="auto"/>
            </w:tcBorders>
          </w:tcPr>
          <w:p w:rsidR="00A6487C" w:rsidRDefault="007E6C80">
            <w:pPr>
              <w:spacing w:before="180" w:after="180"/>
              <w:ind w:right="-29"/>
              <w:jc w:val="center"/>
              <w:rPr>
                <w:noProof/>
                <w:sz w:val="18"/>
                <w:szCs w:val="18"/>
              </w:rPr>
            </w:pPr>
            <w:r>
              <w:rPr>
                <w:noProof/>
                <w:sz w:val="18"/>
              </w:rPr>
              <w:t>30</w:t>
            </w:r>
          </w:p>
        </w:tc>
        <w:tc>
          <w:tcPr>
            <w:tcW w:w="720" w:type="dxa"/>
            <w:tcBorders>
              <w:top w:val="single" w:sz="12" w:space="0" w:color="auto"/>
              <w:bottom w:val="single" w:sz="12" w:space="0" w:color="auto"/>
            </w:tcBorders>
          </w:tcPr>
          <w:p w:rsidR="00A6487C" w:rsidRDefault="00A6487C">
            <w:pPr>
              <w:spacing w:before="180" w:after="180"/>
              <w:ind w:right="-29"/>
              <w:jc w:val="center"/>
              <w:rPr>
                <w:noProof/>
                <w:sz w:val="18"/>
                <w:szCs w:val="18"/>
              </w:rPr>
            </w:pPr>
          </w:p>
        </w:tc>
        <w:tc>
          <w:tcPr>
            <w:tcW w:w="720" w:type="dxa"/>
            <w:tcBorders>
              <w:top w:val="single" w:sz="12" w:space="0" w:color="auto"/>
              <w:bottom w:val="single" w:sz="12" w:space="0" w:color="auto"/>
            </w:tcBorders>
          </w:tcPr>
          <w:p w:rsidR="00A6487C" w:rsidRDefault="007E6C80">
            <w:pPr>
              <w:spacing w:before="180" w:after="180"/>
              <w:ind w:right="-29"/>
              <w:jc w:val="center"/>
              <w:rPr>
                <w:noProof/>
                <w:sz w:val="18"/>
                <w:szCs w:val="18"/>
              </w:rPr>
            </w:pPr>
            <w:r>
              <w:rPr>
                <w:noProof/>
                <w:sz w:val="18"/>
              </w:rPr>
              <w:t>30</w:t>
            </w:r>
          </w:p>
        </w:tc>
        <w:tc>
          <w:tcPr>
            <w:tcW w:w="900" w:type="dxa"/>
            <w:tcBorders>
              <w:top w:val="single" w:sz="12" w:space="0" w:color="auto"/>
              <w:bottom w:val="single" w:sz="12" w:space="0" w:color="auto"/>
            </w:tcBorders>
          </w:tcPr>
          <w:p w:rsidR="00A6487C" w:rsidRDefault="00A6487C">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A6487C" w:rsidRDefault="007E6C80">
            <w:pPr>
              <w:spacing w:before="180" w:after="180"/>
              <w:ind w:right="-29"/>
              <w:jc w:val="center"/>
              <w:rPr>
                <w:noProof/>
                <w:sz w:val="18"/>
                <w:szCs w:val="18"/>
              </w:rPr>
            </w:pPr>
            <w:r>
              <w:rPr>
                <w:noProof/>
                <w:sz w:val="18"/>
              </w:rPr>
              <w:t>30</w:t>
            </w:r>
          </w:p>
        </w:tc>
        <w:tc>
          <w:tcPr>
            <w:tcW w:w="540" w:type="dxa"/>
            <w:tcBorders>
              <w:top w:val="single" w:sz="12" w:space="0" w:color="auto"/>
              <w:bottom w:val="single" w:sz="12" w:space="0" w:color="auto"/>
            </w:tcBorders>
          </w:tcPr>
          <w:p w:rsidR="00A6487C" w:rsidRDefault="00A6487C">
            <w:pPr>
              <w:spacing w:before="180" w:after="180"/>
              <w:ind w:right="-29"/>
              <w:jc w:val="center"/>
              <w:rPr>
                <w:noProof/>
                <w:sz w:val="18"/>
                <w:szCs w:val="18"/>
              </w:rPr>
            </w:pPr>
          </w:p>
        </w:tc>
        <w:tc>
          <w:tcPr>
            <w:tcW w:w="648" w:type="dxa"/>
            <w:tcBorders>
              <w:top w:val="single" w:sz="12" w:space="0" w:color="auto"/>
              <w:bottom w:val="single" w:sz="12" w:space="0" w:color="auto"/>
            </w:tcBorders>
          </w:tcPr>
          <w:p w:rsidR="00A6487C" w:rsidRDefault="00A6487C">
            <w:pPr>
              <w:spacing w:before="180" w:after="180"/>
              <w:ind w:right="-29"/>
              <w:jc w:val="center"/>
              <w:rPr>
                <w:noProof/>
                <w:sz w:val="18"/>
                <w:szCs w:val="18"/>
              </w:rPr>
            </w:pPr>
          </w:p>
        </w:tc>
        <w:tc>
          <w:tcPr>
            <w:tcW w:w="432" w:type="dxa"/>
            <w:tcBorders>
              <w:top w:val="single" w:sz="12" w:space="0" w:color="auto"/>
              <w:bottom w:val="single" w:sz="12" w:space="0" w:color="auto"/>
            </w:tcBorders>
          </w:tcPr>
          <w:p w:rsidR="00A6487C" w:rsidRDefault="00A6487C">
            <w:pPr>
              <w:spacing w:before="180" w:after="180"/>
              <w:ind w:right="-29"/>
              <w:jc w:val="center"/>
              <w:rPr>
                <w:noProof/>
                <w:sz w:val="18"/>
                <w:szCs w:val="18"/>
              </w:rPr>
            </w:pPr>
          </w:p>
        </w:tc>
        <w:tc>
          <w:tcPr>
            <w:tcW w:w="720" w:type="dxa"/>
            <w:tcBorders>
              <w:top w:val="single" w:sz="12" w:space="0" w:color="auto"/>
              <w:bottom w:val="single" w:sz="12" w:space="0" w:color="auto"/>
            </w:tcBorders>
          </w:tcPr>
          <w:p w:rsidR="00A6487C" w:rsidRDefault="00A6487C">
            <w:pPr>
              <w:spacing w:before="180" w:after="180"/>
              <w:ind w:right="-29"/>
              <w:jc w:val="center"/>
              <w:rPr>
                <w:noProof/>
                <w:sz w:val="18"/>
                <w:szCs w:val="18"/>
              </w:rPr>
            </w:pPr>
          </w:p>
        </w:tc>
        <w:tc>
          <w:tcPr>
            <w:tcW w:w="540" w:type="dxa"/>
            <w:tcBorders>
              <w:top w:val="single" w:sz="12" w:space="0" w:color="auto"/>
              <w:bottom w:val="single" w:sz="12" w:space="0" w:color="auto"/>
            </w:tcBorders>
          </w:tcPr>
          <w:p w:rsidR="00A6487C" w:rsidRDefault="00A6487C">
            <w:pPr>
              <w:spacing w:before="180" w:after="180"/>
              <w:ind w:right="-29"/>
              <w:jc w:val="center"/>
              <w:rPr>
                <w:noProof/>
                <w:sz w:val="18"/>
                <w:szCs w:val="18"/>
              </w:rPr>
            </w:pPr>
          </w:p>
        </w:tc>
        <w:tc>
          <w:tcPr>
            <w:tcW w:w="720" w:type="dxa"/>
            <w:tcBorders>
              <w:top w:val="single" w:sz="12" w:space="0" w:color="auto"/>
              <w:bottom w:val="single" w:sz="12" w:space="0" w:color="auto"/>
            </w:tcBorders>
          </w:tcPr>
          <w:p w:rsidR="00A6487C" w:rsidRDefault="00A6487C">
            <w:pPr>
              <w:spacing w:before="180" w:after="180"/>
              <w:ind w:right="-29"/>
              <w:jc w:val="center"/>
              <w:rPr>
                <w:noProof/>
                <w:sz w:val="18"/>
                <w:szCs w:val="18"/>
              </w:rPr>
            </w:pPr>
          </w:p>
        </w:tc>
        <w:tc>
          <w:tcPr>
            <w:tcW w:w="720" w:type="dxa"/>
            <w:tcBorders>
              <w:top w:val="single" w:sz="12" w:space="0" w:color="auto"/>
              <w:bottom w:val="single" w:sz="12" w:space="0" w:color="auto"/>
            </w:tcBorders>
          </w:tcPr>
          <w:p w:rsidR="00A6487C" w:rsidRDefault="00A6487C">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A6487C" w:rsidRDefault="007E6C80">
            <w:pPr>
              <w:spacing w:before="180" w:after="180"/>
              <w:ind w:right="-29"/>
              <w:jc w:val="center"/>
              <w:rPr>
                <w:noProof/>
                <w:sz w:val="18"/>
                <w:szCs w:val="18"/>
              </w:rPr>
            </w:pPr>
            <w:r>
              <w:rPr>
                <w:noProof/>
                <w:sz w:val="18"/>
              </w:rPr>
              <w:t>100</w:t>
            </w:r>
          </w:p>
        </w:tc>
      </w:tr>
    </w:tbl>
    <w:p w:rsidR="00A6487C" w:rsidRDefault="00A6487C">
      <w:pPr>
        <w:jc w:val="left"/>
        <w:rPr>
          <w:noProof/>
          <w:sz w:val="20"/>
        </w:rPr>
      </w:pPr>
    </w:p>
    <w:p w:rsidR="00A6487C" w:rsidRDefault="007E6C80">
      <w:pPr>
        <w:jc w:val="left"/>
        <w:rPr>
          <w:noProof/>
          <w:sz w:val="20"/>
        </w:rPr>
      </w:pPr>
      <w:r>
        <w:rPr>
          <w:noProof/>
          <w:sz w:val="20"/>
        </w:rPr>
        <w:t>11. Výstupy v rámci osobitného cieľa č. 1 pre rozpočtový riadok 19 02 01 nie sú programovateľné, preto by údaj o výstupe bol nenáležitý.</w:t>
      </w:r>
    </w:p>
    <w:p w:rsidR="00A6487C" w:rsidRDefault="00A6487C">
      <w:pPr>
        <w:jc w:val="right"/>
        <w:rPr>
          <w:noProof/>
          <w:sz w:val="20"/>
        </w:rPr>
      </w:pPr>
    </w:p>
    <w:p w:rsidR="00A6487C" w:rsidRDefault="00A6487C">
      <w:pPr>
        <w:rPr>
          <w:noProof/>
        </w:rPr>
        <w:sectPr w:rsidR="00A6487C">
          <w:pgSz w:w="16840" w:h="11907" w:orient="landscape" w:code="9"/>
          <w:pgMar w:top="1134" w:right="1418" w:bottom="567" w:left="1418" w:header="709" w:footer="709" w:gutter="0"/>
          <w:cols w:space="708"/>
          <w:docGrid w:linePitch="360"/>
        </w:sectPr>
      </w:pPr>
    </w:p>
    <w:p w:rsidR="00A6487C" w:rsidRDefault="007E6C80">
      <w:pPr>
        <w:pStyle w:val="ManualHeading3"/>
        <w:rPr>
          <w:bCs/>
          <w:noProof/>
          <w:szCs w:val="24"/>
        </w:rPr>
      </w:pPr>
      <w:r>
        <w:lastRenderedPageBreak/>
        <w:t>3.2.3.</w:t>
      </w:r>
      <w:r>
        <w:tab/>
      </w:r>
      <w:r>
        <w:rPr>
          <w:noProof/>
        </w:rPr>
        <w:t>Odhadovaný vplyv na administratívne rozpočtové prostriedky</w:t>
      </w:r>
    </w:p>
    <w:p w:rsidR="00A6487C" w:rsidRDefault="007E6C80">
      <w:pPr>
        <w:pStyle w:val="ManualHeading4"/>
        <w:rPr>
          <w:noProof/>
        </w:rPr>
      </w:pPr>
      <w:r>
        <w:t>3.2.3.1.</w:t>
      </w:r>
      <w:r>
        <w:tab/>
      </w:r>
      <w:r>
        <w:rPr>
          <w:noProof/>
        </w:rPr>
        <w:t xml:space="preserve">Zhrnutie </w:t>
      </w:r>
    </w:p>
    <w:p w:rsidR="00A6487C" w:rsidRDefault="007E6C80">
      <w:pPr>
        <w:pStyle w:val="ListDash1"/>
        <w:rPr>
          <w:noProof/>
        </w:rPr>
      </w:pPr>
      <w:r>
        <w:rPr>
          <w:noProof/>
        </w:rPr>
        <w:sym w:font="Wingdings" w:char="F0A8"/>
      </w:r>
      <w:r>
        <w:rPr>
          <w:noProof/>
        </w:rPr>
        <w:tab/>
        <w:t xml:space="preserve">Návrh/iniciatíva si nevyžaduje použitie administratívnych rozpočtových prostriedkov. </w:t>
      </w:r>
    </w:p>
    <w:p w:rsidR="00A6487C" w:rsidRDefault="007E6C80">
      <w:pPr>
        <w:pStyle w:val="ListDash1"/>
        <w:rPr>
          <w:noProof/>
        </w:rPr>
      </w:pPr>
      <w:r>
        <w:rPr>
          <w:noProof/>
        </w:rPr>
        <w:t>X</w:t>
      </w:r>
      <w:r>
        <w:rPr>
          <w:noProof/>
        </w:rPr>
        <w:tab/>
        <w:t xml:space="preserve">Návrh/iniciatíva si vyžaduje použitie administratívnych rozpočtových prostriedkov, ako </w:t>
      </w:r>
      <w:r>
        <w:rPr>
          <w:noProof/>
        </w:rPr>
        <w:t>je uvedené v nasledujúcej tabuľke:</w:t>
      </w:r>
    </w:p>
    <w:p w:rsidR="00A6487C" w:rsidRDefault="007E6C80">
      <w:pPr>
        <w:rPr>
          <w:noProof/>
          <w:sz w:val="20"/>
        </w:rPr>
      </w:pPr>
      <w:r>
        <w:rPr>
          <w:noProof/>
          <w:sz w:val="20"/>
        </w:rPr>
        <w:t>v mil. EUR (zaokrúhlené na 3 desatinné miesta)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A6487C">
        <w:trPr>
          <w:trHeight w:val="585"/>
        </w:trPr>
        <w:tc>
          <w:tcPr>
            <w:tcW w:w="1980" w:type="dxa"/>
          </w:tcPr>
          <w:p w:rsidR="00A6487C" w:rsidRDefault="00A6487C">
            <w:pPr>
              <w:spacing w:before="60" w:after="60" w:line="200" w:lineRule="exact"/>
              <w:rPr>
                <w:noProof/>
                <w:sz w:val="16"/>
                <w:szCs w:val="16"/>
              </w:rPr>
            </w:pPr>
          </w:p>
        </w:tc>
        <w:tc>
          <w:tcPr>
            <w:tcW w:w="1080" w:type="dxa"/>
            <w:vAlign w:val="center"/>
          </w:tcPr>
          <w:p w:rsidR="00A6487C" w:rsidRDefault="007E6C80">
            <w:pPr>
              <w:spacing w:before="60" w:after="60" w:line="200" w:lineRule="exact"/>
              <w:jc w:val="center"/>
              <w:rPr>
                <w:noProof/>
                <w:sz w:val="16"/>
                <w:szCs w:val="16"/>
              </w:rPr>
            </w:pPr>
            <w:r>
              <w:rPr>
                <w:noProof/>
                <w:sz w:val="16"/>
              </w:rPr>
              <w:t>Rok</w:t>
            </w:r>
            <w:r>
              <w:rPr>
                <w:noProof/>
                <w:sz w:val="22"/>
              </w:rPr>
              <w:br/>
            </w:r>
            <w:r>
              <w:rPr>
                <w:b/>
                <w:noProof/>
                <w:sz w:val="16"/>
              </w:rPr>
              <w:t>N</w:t>
            </w:r>
            <w:r>
              <w:rPr>
                <w:rStyle w:val="FootnoteReference"/>
                <w:b/>
                <w:noProof/>
                <w:sz w:val="16"/>
              </w:rPr>
              <w:footnoteReference w:id="34"/>
            </w:r>
          </w:p>
        </w:tc>
        <w:tc>
          <w:tcPr>
            <w:tcW w:w="1080" w:type="dxa"/>
            <w:vAlign w:val="center"/>
          </w:tcPr>
          <w:p w:rsidR="00A6487C" w:rsidRDefault="007E6C80">
            <w:pPr>
              <w:spacing w:before="60" w:after="60" w:line="200" w:lineRule="exact"/>
              <w:jc w:val="center"/>
              <w:rPr>
                <w:noProof/>
                <w:sz w:val="16"/>
                <w:szCs w:val="16"/>
              </w:rPr>
            </w:pPr>
            <w:r>
              <w:rPr>
                <w:noProof/>
                <w:sz w:val="16"/>
              </w:rPr>
              <w:t>Rok</w:t>
            </w:r>
            <w:r>
              <w:rPr>
                <w:noProof/>
                <w:sz w:val="22"/>
              </w:rPr>
              <w:br/>
            </w:r>
            <w:r>
              <w:rPr>
                <w:b/>
                <w:noProof/>
                <w:sz w:val="16"/>
              </w:rPr>
              <w:t>N+1</w:t>
            </w:r>
          </w:p>
        </w:tc>
        <w:tc>
          <w:tcPr>
            <w:tcW w:w="1080" w:type="dxa"/>
            <w:vAlign w:val="center"/>
          </w:tcPr>
          <w:p w:rsidR="00A6487C" w:rsidRDefault="007E6C80">
            <w:pPr>
              <w:spacing w:before="60" w:after="60" w:line="200" w:lineRule="exact"/>
              <w:jc w:val="center"/>
              <w:rPr>
                <w:noProof/>
                <w:sz w:val="16"/>
                <w:szCs w:val="16"/>
              </w:rPr>
            </w:pPr>
            <w:r>
              <w:rPr>
                <w:noProof/>
                <w:sz w:val="16"/>
              </w:rPr>
              <w:t>Rok</w:t>
            </w:r>
            <w:r>
              <w:rPr>
                <w:noProof/>
                <w:sz w:val="22"/>
              </w:rPr>
              <w:br/>
            </w:r>
            <w:r>
              <w:rPr>
                <w:b/>
                <w:noProof/>
                <w:sz w:val="16"/>
              </w:rPr>
              <w:t>N+2</w:t>
            </w:r>
          </w:p>
        </w:tc>
        <w:tc>
          <w:tcPr>
            <w:tcW w:w="1080" w:type="dxa"/>
            <w:vAlign w:val="center"/>
          </w:tcPr>
          <w:p w:rsidR="00A6487C" w:rsidRDefault="007E6C80">
            <w:pPr>
              <w:spacing w:before="60" w:after="60" w:line="200" w:lineRule="exact"/>
              <w:jc w:val="center"/>
              <w:rPr>
                <w:noProof/>
                <w:sz w:val="16"/>
                <w:szCs w:val="16"/>
              </w:rPr>
            </w:pPr>
            <w:r>
              <w:rPr>
                <w:noProof/>
                <w:sz w:val="16"/>
              </w:rPr>
              <w:t>Rok</w:t>
            </w:r>
            <w:r>
              <w:rPr>
                <w:noProof/>
                <w:sz w:val="22"/>
              </w:rPr>
              <w:br/>
            </w:r>
            <w:r>
              <w:rPr>
                <w:b/>
                <w:noProof/>
                <w:sz w:val="16"/>
              </w:rPr>
              <w:t>N+3</w:t>
            </w:r>
          </w:p>
        </w:tc>
        <w:tc>
          <w:tcPr>
            <w:tcW w:w="3240" w:type="dxa"/>
            <w:vAlign w:val="center"/>
          </w:tcPr>
          <w:p w:rsidR="00A6487C" w:rsidRDefault="007E6C80">
            <w:pPr>
              <w:spacing w:line="200" w:lineRule="exact"/>
              <w:jc w:val="center"/>
              <w:rPr>
                <w:b/>
                <w:noProof/>
                <w:sz w:val="16"/>
                <w:szCs w:val="16"/>
              </w:rPr>
            </w:pPr>
            <w:r>
              <w:rPr>
                <w:noProof/>
                <w:sz w:val="16"/>
              </w:rPr>
              <w:t>Uveďte všetky roky, počas ktorých vplyv trvá (pozri bod 1.6)</w:t>
            </w:r>
          </w:p>
        </w:tc>
        <w:tc>
          <w:tcPr>
            <w:tcW w:w="1080" w:type="dxa"/>
            <w:vAlign w:val="center"/>
          </w:tcPr>
          <w:p w:rsidR="00A6487C" w:rsidRDefault="007E6C80">
            <w:pPr>
              <w:spacing w:before="60" w:after="60" w:line="200" w:lineRule="exact"/>
              <w:jc w:val="center"/>
              <w:rPr>
                <w:b/>
                <w:noProof/>
                <w:sz w:val="16"/>
                <w:szCs w:val="16"/>
              </w:rPr>
            </w:pPr>
            <w:r>
              <w:rPr>
                <w:b/>
                <w:noProof/>
                <w:sz w:val="16"/>
              </w:rPr>
              <w:t>SPOLU</w:t>
            </w:r>
          </w:p>
        </w:tc>
      </w:tr>
    </w:tbl>
    <w:p w:rsidR="00A6487C" w:rsidRDefault="00A6487C">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6487C">
        <w:trPr>
          <w:trHeight w:val="585"/>
        </w:trPr>
        <w:tc>
          <w:tcPr>
            <w:tcW w:w="1980" w:type="dxa"/>
            <w:shd w:val="clear" w:color="auto" w:fill="CCCCCC"/>
            <w:vAlign w:val="center"/>
          </w:tcPr>
          <w:p w:rsidR="00A6487C" w:rsidRDefault="007E6C80">
            <w:pPr>
              <w:spacing w:before="60" w:after="60" w:line="200" w:lineRule="exact"/>
              <w:jc w:val="center"/>
              <w:rPr>
                <w:b/>
                <w:noProof/>
                <w:sz w:val="16"/>
                <w:szCs w:val="16"/>
              </w:rPr>
            </w:pPr>
            <w:r>
              <w:rPr>
                <w:b/>
                <w:noProof/>
                <w:sz w:val="16"/>
              </w:rPr>
              <w:t>OKRUH 5</w:t>
            </w:r>
            <w:r>
              <w:rPr>
                <w:noProof/>
                <w:sz w:val="22"/>
              </w:rPr>
              <w:br/>
            </w:r>
            <w:r>
              <w:rPr>
                <w:b/>
                <w:noProof/>
                <w:sz w:val="16"/>
              </w:rPr>
              <w:t>viacročného finančného rámca</w:t>
            </w: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b/>
                <w:noProof/>
                <w:sz w:val="16"/>
                <w:szCs w:val="16"/>
              </w:rPr>
            </w:pPr>
          </w:p>
        </w:tc>
        <w:tc>
          <w:tcPr>
            <w:tcW w:w="1080" w:type="dxa"/>
            <w:vAlign w:val="center"/>
          </w:tcPr>
          <w:p w:rsidR="00A6487C" w:rsidRDefault="00A6487C">
            <w:pPr>
              <w:spacing w:before="60" w:after="60" w:line="200" w:lineRule="exact"/>
              <w:jc w:val="right"/>
              <w:rPr>
                <w:b/>
                <w:noProof/>
                <w:sz w:val="16"/>
                <w:szCs w:val="16"/>
              </w:rPr>
            </w:pPr>
          </w:p>
        </w:tc>
      </w:tr>
      <w:tr w:rsidR="00A6487C">
        <w:trPr>
          <w:trHeight w:val="585"/>
        </w:trPr>
        <w:tc>
          <w:tcPr>
            <w:tcW w:w="1980" w:type="dxa"/>
            <w:vAlign w:val="center"/>
          </w:tcPr>
          <w:p w:rsidR="00A6487C" w:rsidRDefault="007E6C80">
            <w:pPr>
              <w:spacing w:before="60" w:after="60" w:line="200" w:lineRule="exact"/>
              <w:ind w:left="72"/>
              <w:jc w:val="left"/>
              <w:rPr>
                <w:noProof/>
                <w:sz w:val="16"/>
                <w:szCs w:val="16"/>
              </w:rPr>
            </w:pPr>
            <w:r>
              <w:rPr>
                <w:noProof/>
                <w:sz w:val="16"/>
              </w:rPr>
              <w:t xml:space="preserve">Ľudské zdroje </w:t>
            </w:r>
          </w:p>
        </w:tc>
        <w:tc>
          <w:tcPr>
            <w:tcW w:w="1080" w:type="dxa"/>
            <w:vAlign w:val="center"/>
          </w:tcPr>
          <w:p w:rsidR="00A6487C" w:rsidRDefault="007E6C80">
            <w:pPr>
              <w:spacing w:before="60" w:after="60" w:line="200" w:lineRule="exact"/>
              <w:jc w:val="right"/>
              <w:rPr>
                <w:noProof/>
                <w:sz w:val="16"/>
                <w:szCs w:val="16"/>
              </w:rPr>
            </w:pPr>
            <w:r>
              <w:rPr>
                <w:noProof/>
                <w:sz w:val="16"/>
              </w:rPr>
              <w:t>0,886</w:t>
            </w:r>
          </w:p>
        </w:tc>
        <w:tc>
          <w:tcPr>
            <w:tcW w:w="1080" w:type="dxa"/>
            <w:vAlign w:val="center"/>
          </w:tcPr>
          <w:p w:rsidR="00A6487C" w:rsidRDefault="007E6C80">
            <w:pPr>
              <w:spacing w:before="60" w:after="60" w:line="200" w:lineRule="exact"/>
              <w:jc w:val="right"/>
              <w:rPr>
                <w:noProof/>
                <w:sz w:val="16"/>
                <w:szCs w:val="16"/>
              </w:rPr>
            </w:pPr>
            <w:r>
              <w:rPr>
                <w:noProof/>
                <w:sz w:val="16"/>
              </w:rPr>
              <w:t>0,886</w:t>
            </w:r>
          </w:p>
        </w:tc>
        <w:tc>
          <w:tcPr>
            <w:tcW w:w="1080" w:type="dxa"/>
            <w:vAlign w:val="center"/>
          </w:tcPr>
          <w:p w:rsidR="00A6487C" w:rsidRDefault="007E6C80">
            <w:pPr>
              <w:spacing w:before="60" w:after="60" w:line="200" w:lineRule="exact"/>
              <w:jc w:val="right"/>
              <w:rPr>
                <w:noProof/>
                <w:sz w:val="16"/>
                <w:szCs w:val="16"/>
              </w:rPr>
            </w:pPr>
            <w:r>
              <w:rPr>
                <w:noProof/>
                <w:sz w:val="16"/>
              </w:rPr>
              <w:t>0,886</w:t>
            </w:r>
          </w:p>
        </w:tc>
        <w:tc>
          <w:tcPr>
            <w:tcW w:w="1080" w:type="dxa"/>
            <w:vAlign w:val="center"/>
          </w:tcPr>
          <w:p w:rsidR="00A6487C" w:rsidRDefault="007E6C80">
            <w:pPr>
              <w:spacing w:before="60" w:after="60" w:line="200" w:lineRule="exact"/>
              <w:jc w:val="right"/>
              <w:rPr>
                <w:noProof/>
                <w:sz w:val="16"/>
                <w:szCs w:val="16"/>
              </w:rPr>
            </w:pPr>
            <w:r>
              <w:rPr>
                <w:noProof/>
                <w:sz w:val="16"/>
              </w:rPr>
              <w:t>0,886</w:t>
            </w: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b/>
                <w:noProof/>
                <w:sz w:val="16"/>
                <w:szCs w:val="16"/>
              </w:rPr>
            </w:pPr>
          </w:p>
        </w:tc>
        <w:tc>
          <w:tcPr>
            <w:tcW w:w="1080" w:type="dxa"/>
            <w:vAlign w:val="center"/>
          </w:tcPr>
          <w:p w:rsidR="00A6487C" w:rsidRDefault="007E6C80">
            <w:pPr>
              <w:spacing w:before="60" w:after="60" w:line="200" w:lineRule="exact"/>
              <w:jc w:val="right"/>
              <w:rPr>
                <w:b/>
                <w:noProof/>
                <w:sz w:val="16"/>
                <w:szCs w:val="16"/>
              </w:rPr>
            </w:pPr>
            <w:r>
              <w:rPr>
                <w:b/>
                <w:noProof/>
                <w:sz w:val="16"/>
              </w:rPr>
              <w:t>3,544</w:t>
            </w:r>
          </w:p>
        </w:tc>
      </w:tr>
      <w:tr w:rsidR="00A6487C">
        <w:trPr>
          <w:trHeight w:val="585"/>
        </w:trPr>
        <w:tc>
          <w:tcPr>
            <w:tcW w:w="1980" w:type="dxa"/>
            <w:vAlign w:val="center"/>
          </w:tcPr>
          <w:p w:rsidR="00A6487C" w:rsidRDefault="007E6C80">
            <w:pPr>
              <w:spacing w:before="60" w:after="60" w:line="200" w:lineRule="exact"/>
              <w:ind w:left="72"/>
              <w:jc w:val="left"/>
              <w:rPr>
                <w:noProof/>
                <w:sz w:val="16"/>
                <w:szCs w:val="16"/>
              </w:rPr>
            </w:pPr>
            <w:r>
              <w:rPr>
                <w:noProof/>
                <w:sz w:val="16"/>
              </w:rPr>
              <w:t xml:space="preserve">Ostatné administratívne výdavky </w:t>
            </w:r>
          </w:p>
        </w:tc>
        <w:tc>
          <w:tcPr>
            <w:tcW w:w="1080" w:type="dxa"/>
            <w:vAlign w:val="center"/>
          </w:tcPr>
          <w:p w:rsidR="00A6487C" w:rsidRDefault="007E6C80">
            <w:pPr>
              <w:spacing w:before="60" w:after="60" w:line="200" w:lineRule="exact"/>
              <w:jc w:val="right"/>
              <w:rPr>
                <w:noProof/>
                <w:sz w:val="16"/>
                <w:szCs w:val="16"/>
              </w:rPr>
            </w:pPr>
            <w:r>
              <w:rPr>
                <w:noProof/>
                <w:sz w:val="16"/>
              </w:rPr>
              <w:t>0,060</w:t>
            </w:r>
          </w:p>
        </w:tc>
        <w:tc>
          <w:tcPr>
            <w:tcW w:w="1080" w:type="dxa"/>
          </w:tcPr>
          <w:p w:rsidR="00A6487C" w:rsidRDefault="00A6487C">
            <w:pPr>
              <w:spacing w:before="60" w:after="60" w:line="200" w:lineRule="exact"/>
              <w:jc w:val="right"/>
              <w:rPr>
                <w:noProof/>
                <w:sz w:val="16"/>
                <w:szCs w:val="16"/>
              </w:rPr>
            </w:pPr>
          </w:p>
          <w:p w:rsidR="00A6487C" w:rsidRDefault="007E6C80">
            <w:pPr>
              <w:spacing w:before="60" w:after="60" w:line="200" w:lineRule="exact"/>
              <w:jc w:val="right"/>
              <w:rPr>
                <w:noProof/>
                <w:sz w:val="16"/>
                <w:szCs w:val="16"/>
              </w:rPr>
            </w:pPr>
            <w:r>
              <w:rPr>
                <w:noProof/>
                <w:sz w:val="16"/>
              </w:rPr>
              <w:t>0,060</w:t>
            </w:r>
          </w:p>
        </w:tc>
        <w:tc>
          <w:tcPr>
            <w:tcW w:w="1080" w:type="dxa"/>
          </w:tcPr>
          <w:p w:rsidR="00A6487C" w:rsidRDefault="00A6487C">
            <w:pPr>
              <w:spacing w:before="60" w:after="60" w:line="200" w:lineRule="exact"/>
              <w:jc w:val="right"/>
              <w:rPr>
                <w:noProof/>
                <w:sz w:val="16"/>
                <w:szCs w:val="16"/>
              </w:rPr>
            </w:pPr>
          </w:p>
          <w:p w:rsidR="00A6487C" w:rsidRDefault="007E6C80">
            <w:pPr>
              <w:spacing w:before="60" w:after="60" w:line="200" w:lineRule="exact"/>
              <w:jc w:val="right"/>
              <w:rPr>
                <w:noProof/>
                <w:sz w:val="16"/>
                <w:szCs w:val="16"/>
              </w:rPr>
            </w:pPr>
            <w:r>
              <w:rPr>
                <w:noProof/>
                <w:sz w:val="16"/>
              </w:rPr>
              <w:t>0,060</w:t>
            </w:r>
          </w:p>
        </w:tc>
        <w:tc>
          <w:tcPr>
            <w:tcW w:w="1080" w:type="dxa"/>
          </w:tcPr>
          <w:p w:rsidR="00A6487C" w:rsidRDefault="00A6487C">
            <w:pPr>
              <w:spacing w:before="60" w:after="60" w:line="200" w:lineRule="exact"/>
              <w:jc w:val="right"/>
              <w:rPr>
                <w:noProof/>
                <w:sz w:val="16"/>
                <w:szCs w:val="16"/>
              </w:rPr>
            </w:pPr>
          </w:p>
          <w:p w:rsidR="00A6487C" w:rsidRDefault="007E6C80">
            <w:pPr>
              <w:spacing w:before="60" w:after="60" w:line="200" w:lineRule="exact"/>
              <w:jc w:val="right"/>
              <w:rPr>
                <w:noProof/>
                <w:sz w:val="16"/>
                <w:szCs w:val="16"/>
              </w:rPr>
            </w:pPr>
            <w:r>
              <w:rPr>
                <w:noProof/>
                <w:sz w:val="16"/>
              </w:rPr>
              <w:t>0,060</w:t>
            </w: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b/>
                <w:noProof/>
                <w:sz w:val="16"/>
                <w:szCs w:val="16"/>
              </w:rPr>
            </w:pPr>
          </w:p>
        </w:tc>
        <w:tc>
          <w:tcPr>
            <w:tcW w:w="1080" w:type="dxa"/>
            <w:vAlign w:val="center"/>
          </w:tcPr>
          <w:p w:rsidR="00A6487C" w:rsidRDefault="007E6C80">
            <w:pPr>
              <w:spacing w:before="60" w:after="60" w:line="200" w:lineRule="exact"/>
              <w:jc w:val="right"/>
              <w:rPr>
                <w:b/>
                <w:noProof/>
                <w:sz w:val="16"/>
                <w:szCs w:val="16"/>
              </w:rPr>
            </w:pPr>
            <w:r>
              <w:rPr>
                <w:b/>
                <w:noProof/>
                <w:sz w:val="16"/>
              </w:rPr>
              <w:t>0,240</w:t>
            </w:r>
          </w:p>
        </w:tc>
      </w:tr>
      <w:tr w:rsidR="00A6487C">
        <w:trPr>
          <w:trHeight w:val="585"/>
        </w:trPr>
        <w:tc>
          <w:tcPr>
            <w:tcW w:w="1980" w:type="dxa"/>
            <w:shd w:val="clear" w:color="auto" w:fill="CCCCCC"/>
            <w:vAlign w:val="center"/>
          </w:tcPr>
          <w:p w:rsidR="00A6487C" w:rsidRDefault="007E6C80">
            <w:pPr>
              <w:spacing w:before="60" w:after="60" w:line="200" w:lineRule="exact"/>
              <w:jc w:val="center"/>
              <w:rPr>
                <w:b/>
                <w:noProof/>
                <w:sz w:val="16"/>
                <w:szCs w:val="16"/>
              </w:rPr>
            </w:pPr>
            <w:r>
              <w:rPr>
                <w:b/>
                <w:noProof/>
                <w:sz w:val="16"/>
              </w:rPr>
              <w:t>OKRUH 5</w:t>
            </w:r>
            <w:r>
              <w:rPr>
                <w:noProof/>
                <w:sz w:val="22"/>
              </w:rPr>
              <w:br/>
            </w:r>
            <w:r>
              <w:rPr>
                <w:b/>
                <w:noProof/>
                <w:sz w:val="16"/>
              </w:rPr>
              <w:t xml:space="preserve">viacročného finančného rámca medzisúčet </w:t>
            </w:r>
          </w:p>
        </w:tc>
        <w:tc>
          <w:tcPr>
            <w:tcW w:w="1080" w:type="dxa"/>
            <w:vAlign w:val="center"/>
          </w:tcPr>
          <w:p w:rsidR="00A6487C" w:rsidRDefault="007E6C80">
            <w:pPr>
              <w:spacing w:before="60" w:after="60" w:line="200" w:lineRule="exact"/>
              <w:jc w:val="right"/>
              <w:rPr>
                <w:noProof/>
                <w:sz w:val="16"/>
                <w:szCs w:val="16"/>
              </w:rPr>
            </w:pPr>
            <w:r>
              <w:rPr>
                <w:noProof/>
                <w:sz w:val="16"/>
              </w:rPr>
              <w:t>0,946</w:t>
            </w:r>
          </w:p>
        </w:tc>
        <w:tc>
          <w:tcPr>
            <w:tcW w:w="1080" w:type="dxa"/>
            <w:vAlign w:val="center"/>
          </w:tcPr>
          <w:p w:rsidR="00A6487C" w:rsidRDefault="007E6C80">
            <w:pPr>
              <w:spacing w:before="60" w:after="60" w:line="200" w:lineRule="exact"/>
              <w:jc w:val="right"/>
              <w:rPr>
                <w:noProof/>
                <w:sz w:val="16"/>
                <w:szCs w:val="16"/>
              </w:rPr>
            </w:pPr>
            <w:r>
              <w:rPr>
                <w:noProof/>
                <w:sz w:val="16"/>
              </w:rPr>
              <w:t>0,946</w:t>
            </w:r>
          </w:p>
        </w:tc>
        <w:tc>
          <w:tcPr>
            <w:tcW w:w="1080" w:type="dxa"/>
            <w:vAlign w:val="center"/>
          </w:tcPr>
          <w:p w:rsidR="00A6487C" w:rsidRDefault="007E6C80">
            <w:pPr>
              <w:spacing w:before="60" w:after="60" w:line="200" w:lineRule="exact"/>
              <w:jc w:val="right"/>
              <w:rPr>
                <w:noProof/>
                <w:sz w:val="16"/>
                <w:szCs w:val="16"/>
              </w:rPr>
            </w:pPr>
            <w:r>
              <w:rPr>
                <w:noProof/>
                <w:sz w:val="16"/>
              </w:rPr>
              <w:t>0,946</w:t>
            </w:r>
          </w:p>
        </w:tc>
        <w:tc>
          <w:tcPr>
            <w:tcW w:w="1080" w:type="dxa"/>
            <w:vAlign w:val="center"/>
          </w:tcPr>
          <w:p w:rsidR="00A6487C" w:rsidRDefault="007E6C80">
            <w:pPr>
              <w:spacing w:before="60" w:after="60" w:line="200" w:lineRule="exact"/>
              <w:jc w:val="right"/>
              <w:rPr>
                <w:noProof/>
                <w:sz w:val="16"/>
                <w:szCs w:val="16"/>
              </w:rPr>
            </w:pPr>
            <w:r>
              <w:rPr>
                <w:noProof/>
                <w:sz w:val="16"/>
              </w:rPr>
              <w:t>0,946</w:t>
            </w: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b/>
                <w:noProof/>
                <w:sz w:val="16"/>
                <w:szCs w:val="16"/>
              </w:rPr>
            </w:pPr>
          </w:p>
        </w:tc>
        <w:tc>
          <w:tcPr>
            <w:tcW w:w="1080" w:type="dxa"/>
            <w:vAlign w:val="center"/>
          </w:tcPr>
          <w:p w:rsidR="00A6487C" w:rsidRDefault="007E6C80">
            <w:pPr>
              <w:spacing w:before="60" w:after="60" w:line="200" w:lineRule="exact"/>
              <w:jc w:val="right"/>
              <w:rPr>
                <w:b/>
                <w:noProof/>
                <w:sz w:val="16"/>
                <w:szCs w:val="16"/>
              </w:rPr>
            </w:pPr>
            <w:r>
              <w:rPr>
                <w:b/>
                <w:noProof/>
                <w:sz w:val="16"/>
              </w:rPr>
              <w:t>3,784</w:t>
            </w:r>
          </w:p>
        </w:tc>
      </w:tr>
    </w:tbl>
    <w:p w:rsidR="00A6487C" w:rsidRDefault="00A6487C">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6487C">
        <w:trPr>
          <w:trHeight w:val="585"/>
        </w:trPr>
        <w:tc>
          <w:tcPr>
            <w:tcW w:w="1980" w:type="dxa"/>
            <w:shd w:val="clear" w:color="auto" w:fill="CCCCCC"/>
            <w:vAlign w:val="center"/>
          </w:tcPr>
          <w:p w:rsidR="00A6487C" w:rsidRDefault="007E6C80">
            <w:pPr>
              <w:spacing w:before="60" w:after="60" w:line="200" w:lineRule="exact"/>
              <w:jc w:val="center"/>
              <w:rPr>
                <w:noProof/>
                <w:sz w:val="16"/>
                <w:szCs w:val="16"/>
              </w:rPr>
            </w:pPr>
            <w:r>
              <w:rPr>
                <w:b/>
                <w:noProof/>
                <w:sz w:val="16"/>
              </w:rPr>
              <w:t>Mimo OKRUHU 5</w:t>
            </w:r>
            <w:r>
              <w:rPr>
                <w:rStyle w:val="FootnoteReference"/>
                <w:b/>
                <w:noProof/>
                <w:sz w:val="16"/>
              </w:rPr>
              <w:footnoteReference w:id="35"/>
            </w:r>
            <w:r>
              <w:rPr>
                <w:noProof/>
                <w:sz w:val="22"/>
              </w:rPr>
              <w:br/>
            </w:r>
            <w:r>
              <w:rPr>
                <w:b/>
                <w:noProof/>
                <w:sz w:val="16"/>
              </w:rPr>
              <w:t xml:space="preserve">viacročného finančného rámca </w:t>
            </w:r>
          </w:p>
          <w:p w:rsidR="00A6487C" w:rsidRDefault="00A6487C">
            <w:pPr>
              <w:spacing w:before="0" w:after="0" w:line="200" w:lineRule="exact"/>
              <w:jc w:val="center"/>
              <w:rPr>
                <w:b/>
                <w:noProof/>
                <w:sz w:val="16"/>
                <w:szCs w:val="16"/>
              </w:rPr>
            </w:pP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b/>
                <w:noProof/>
                <w:sz w:val="16"/>
                <w:szCs w:val="16"/>
              </w:rPr>
            </w:pPr>
          </w:p>
        </w:tc>
        <w:tc>
          <w:tcPr>
            <w:tcW w:w="1080" w:type="dxa"/>
            <w:vAlign w:val="center"/>
          </w:tcPr>
          <w:p w:rsidR="00A6487C" w:rsidRDefault="00A6487C">
            <w:pPr>
              <w:spacing w:before="60" w:after="60" w:line="200" w:lineRule="exact"/>
              <w:jc w:val="right"/>
              <w:rPr>
                <w:b/>
                <w:noProof/>
                <w:sz w:val="16"/>
                <w:szCs w:val="16"/>
              </w:rPr>
            </w:pPr>
          </w:p>
        </w:tc>
      </w:tr>
      <w:tr w:rsidR="00A6487C">
        <w:trPr>
          <w:trHeight w:val="585"/>
        </w:trPr>
        <w:tc>
          <w:tcPr>
            <w:tcW w:w="1980" w:type="dxa"/>
            <w:vAlign w:val="center"/>
          </w:tcPr>
          <w:p w:rsidR="00A6487C" w:rsidRDefault="007E6C80">
            <w:pPr>
              <w:spacing w:before="60" w:after="60" w:line="200" w:lineRule="exact"/>
              <w:ind w:left="72"/>
              <w:jc w:val="left"/>
              <w:rPr>
                <w:noProof/>
                <w:sz w:val="16"/>
              </w:rPr>
            </w:pPr>
            <w:r>
              <w:rPr>
                <w:noProof/>
                <w:sz w:val="16"/>
              </w:rPr>
              <w:t xml:space="preserve">Ľudské zdroje </w:t>
            </w:r>
          </w:p>
          <w:p w:rsidR="00A6487C" w:rsidRDefault="007E6C80">
            <w:pPr>
              <w:spacing w:before="60" w:after="60" w:line="200" w:lineRule="exact"/>
              <w:ind w:left="72"/>
              <w:jc w:val="left"/>
              <w:rPr>
                <w:noProof/>
                <w:sz w:val="16"/>
                <w:szCs w:val="16"/>
              </w:rPr>
            </w:pPr>
            <w:r>
              <w:rPr>
                <w:noProof/>
                <w:sz w:val="16"/>
              </w:rPr>
              <w:t>ROZPOČTOVÝ</w:t>
            </w:r>
            <w:r>
              <w:rPr>
                <w:noProof/>
                <w:sz w:val="16"/>
              </w:rPr>
              <w:t xml:space="preserve"> RIADOK 19 01 04 01*</w:t>
            </w:r>
          </w:p>
        </w:tc>
        <w:tc>
          <w:tcPr>
            <w:tcW w:w="1080" w:type="dxa"/>
            <w:vAlign w:val="center"/>
          </w:tcPr>
          <w:p w:rsidR="00A6487C" w:rsidRDefault="007E6C80">
            <w:pPr>
              <w:spacing w:before="60" w:after="60" w:line="200" w:lineRule="exact"/>
              <w:jc w:val="right"/>
              <w:rPr>
                <w:noProof/>
                <w:sz w:val="16"/>
                <w:szCs w:val="16"/>
              </w:rPr>
            </w:pPr>
            <w:r>
              <w:rPr>
                <w:noProof/>
                <w:sz w:val="16"/>
              </w:rPr>
              <w:t>0,448</w:t>
            </w:r>
          </w:p>
        </w:tc>
        <w:tc>
          <w:tcPr>
            <w:tcW w:w="1080" w:type="dxa"/>
            <w:vAlign w:val="center"/>
          </w:tcPr>
          <w:p w:rsidR="00A6487C" w:rsidRDefault="007E6C80">
            <w:pPr>
              <w:spacing w:before="60" w:after="60" w:line="200" w:lineRule="exact"/>
              <w:jc w:val="right"/>
              <w:rPr>
                <w:noProof/>
                <w:sz w:val="16"/>
                <w:szCs w:val="16"/>
              </w:rPr>
            </w:pPr>
            <w:r>
              <w:rPr>
                <w:noProof/>
                <w:sz w:val="16"/>
              </w:rPr>
              <w:t>0,448</w:t>
            </w:r>
          </w:p>
        </w:tc>
        <w:tc>
          <w:tcPr>
            <w:tcW w:w="1080" w:type="dxa"/>
            <w:vAlign w:val="center"/>
          </w:tcPr>
          <w:p w:rsidR="00A6487C" w:rsidRDefault="007E6C80">
            <w:pPr>
              <w:spacing w:before="60" w:after="60" w:line="200" w:lineRule="exact"/>
              <w:jc w:val="right"/>
              <w:rPr>
                <w:noProof/>
                <w:sz w:val="16"/>
                <w:szCs w:val="16"/>
              </w:rPr>
            </w:pPr>
            <w:r>
              <w:rPr>
                <w:noProof/>
                <w:sz w:val="16"/>
              </w:rPr>
              <w:t>0,448</w:t>
            </w:r>
          </w:p>
        </w:tc>
        <w:tc>
          <w:tcPr>
            <w:tcW w:w="1080" w:type="dxa"/>
            <w:vAlign w:val="center"/>
          </w:tcPr>
          <w:p w:rsidR="00A6487C" w:rsidRDefault="007E6C80">
            <w:pPr>
              <w:spacing w:before="60" w:after="60" w:line="200" w:lineRule="exact"/>
              <w:jc w:val="right"/>
              <w:rPr>
                <w:noProof/>
                <w:sz w:val="16"/>
                <w:szCs w:val="16"/>
              </w:rPr>
            </w:pPr>
            <w:r>
              <w:rPr>
                <w:noProof/>
                <w:sz w:val="16"/>
              </w:rPr>
              <w:t>0,448</w:t>
            </w: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b/>
                <w:noProof/>
                <w:sz w:val="16"/>
                <w:szCs w:val="16"/>
              </w:rPr>
            </w:pPr>
          </w:p>
        </w:tc>
        <w:tc>
          <w:tcPr>
            <w:tcW w:w="1080" w:type="dxa"/>
            <w:vAlign w:val="center"/>
          </w:tcPr>
          <w:p w:rsidR="00A6487C" w:rsidRDefault="007E6C80">
            <w:pPr>
              <w:spacing w:before="60" w:after="60" w:line="200" w:lineRule="exact"/>
              <w:jc w:val="right"/>
              <w:rPr>
                <w:b/>
                <w:noProof/>
                <w:sz w:val="16"/>
                <w:szCs w:val="16"/>
              </w:rPr>
            </w:pPr>
            <w:r>
              <w:rPr>
                <w:b/>
                <w:noProof/>
                <w:sz w:val="16"/>
              </w:rPr>
              <w:t>1,792</w:t>
            </w:r>
          </w:p>
        </w:tc>
      </w:tr>
      <w:tr w:rsidR="00A6487C">
        <w:trPr>
          <w:trHeight w:val="585"/>
        </w:trPr>
        <w:tc>
          <w:tcPr>
            <w:tcW w:w="1980" w:type="dxa"/>
            <w:vAlign w:val="center"/>
          </w:tcPr>
          <w:p w:rsidR="00A6487C" w:rsidRDefault="007E6C80">
            <w:pPr>
              <w:spacing w:before="60" w:after="60" w:line="200" w:lineRule="exact"/>
              <w:ind w:left="72"/>
              <w:jc w:val="left"/>
              <w:rPr>
                <w:noProof/>
                <w:sz w:val="16"/>
                <w:szCs w:val="16"/>
              </w:rPr>
            </w:pPr>
            <w:r>
              <w:rPr>
                <w:noProof/>
                <w:sz w:val="16"/>
              </w:rPr>
              <w:t xml:space="preserve">Ostatné výdavky </w:t>
            </w:r>
            <w:r>
              <w:rPr>
                <w:noProof/>
                <w:sz w:val="22"/>
              </w:rPr>
              <w:br/>
            </w:r>
            <w:r>
              <w:rPr>
                <w:noProof/>
                <w:sz w:val="16"/>
              </w:rPr>
              <w:t>administratívnej povahy</w:t>
            </w:r>
          </w:p>
        </w:tc>
        <w:tc>
          <w:tcPr>
            <w:tcW w:w="1080" w:type="dxa"/>
            <w:vAlign w:val="center"/>
          </w:tcPr>
          <w:p w:rsidR="00A6487C" w:rsidRDefault="007E6C80">
            <w:pPr>
              <w:spacing w:before="60" w:after="60" w:line="200" w:lineRule="exact"/>
              <w:jc w:val="right"/>
              <w:rPr>
                <w:noProof/>
                <w:sz w:val="16"/>
                <w:szCs w:val="16"/>
              </w:rPr>
            </w:pPr>
            <w:r>
              <w:rPr>
                <w:noProof/>
                <w:sz w:val="16"/>
              </w:rPr>
              <w:t>0,195</w:t>
            </w:r>
          </w:p>
        </w:tc>
        <w:tc>
          <w:tcPr>
            <w:tcW w:w="1080" w:type="dxa"/>
            <w:vAlign w:val="center"/>
          </w:tcPr>
          <w:p w:rsidR="00A6487C" w:rsidRDefault="007E6C80">
            <w:pPr>
              <w:spacing w:before="60" w:after="60" w:line="200" w:lineRule="exact"/>
              <w:jc w:val="right"/>
              <w:rPr>
                <w:noProof/>
                <w:sz w:val="16"/>
                <w:szCs w:val="16"/>
              </w:rPr>
            </w:pPr>
            <w:r>
              <w:rPr>
                <w:noProof/>
                <w:sz w:val="16"/>
              </w:rPr>
              <w:t>0,225</w:t>
            </w:r>
          </w:p>
        </w:tc>
        <w:tc>
          <w:tcPr>
            <w:tcW w:w="1080" w:type="dxa"/>
            <w:vAlign w:val="center"/>
          </w:tcPr>
          <w:p w:rsidR="00A6487C" w:rsidRDefault="007E6C80">
            <w:pPr>
              <w:spacing w:before="60" w:after="60" w:line="200" w:lineRule="exact"/>
              <w:jc w:val="right"/>
              <w:rPr>
                <w:noProof/>
                <w:sz w:val="16"/>
                <w:szCs w:val="16"/>
              </w:rPr>
            </w:pPr>
            <w:r>
              <w:rPr>
                <w:noProof/>
                <w:sz w:val="16"/>
              </w:rPr>
              <w:t>0,375</w:t>
            </w:r>
          </w:p>
        </w:tc>
        <w:tc>
          <w:tcPr>
            <w:tcW w:w="1080" w:type="dxa"/>
            <w:vAlign w:val="center"/>
          </w:tcPr>
          <w:p w:rsidR="00A6487C" w:rsidRDefault="007E6C80">
            <w:pPr>
              <w:spacing w:before="60" w:after="60" w:line="200" w:lineRule="exact"/>
              <w:jc w:val="right"/>
              <w:rPr>
                <w:noProof/>
                <w:sz w:val="16"/>
                <w:szCs w:val="16"/>
              </w:rPr>
            </w:pPr>
            <w:r>
              <w:rPr>
                <w:noProof/>
                <w:sz w:val="16"/>
              </w:rPr>
              <w:t>0,375</w:t>
            </w: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b/>
                <w:noProof/>
                <w:sz w:val="16"/>
                <w:szCs w:val="16"/>
              </w:rPr>
            </w:pPr>
          </w:p>
        </w:tc>
        <w:tc>
          <w:tcPr>
            <w:tcW w:w="1080" w:type="dxa"/>
            <w:vAlign w:val="center"/>
          </w:tcPr>
          <w:p w:rsidR="00A6487C" w:rsidRDefault="007E6C80">
            <w:pPr>
              <w:spacing w:before="60" w:after="60" w:line="200" w:lineRule="exact"/>
              <w:jc w:val="right"/>
              <w:rPr>
                <w:b/>
                <w:noProof/>
                <w:sz w:val="16"/>
                <w:szCs w:val="16"/>
              </w:rPr>
            </w:pPr>
            <w:r>
              <w:rPr>
                <w:b/>
                <w:noProof/>
                <w:sz w:val="16"/>
              </w:rPr>
              <w:t>1,170</w:t>
            </w:r>
          </w:p>
        </w:tc>
      </w:tr>
      <w:tr w:rsidR="00A6487C">
        <w:trPr>
          <w:trHeight w:val="585"/>
        </w:trPr>
        <w:tc>
          <w:tcPr>
            <w:tcW w:w="1980" w:type="dxa"/>
            <w:shd w:val="clear" w:color="auto" w:fill="CCCCCC"/>
            <w:vAlign w:val="center"/>
          </w:tcPr>
          <w:p w:rsidR="00A6487C" w:rsidRDefault="007E6C80">
            <w:pPr>
              <w:spacing w:before="60" w:after="60" w:line="200" w:lineRule="exact"/>
              <w:jc w:val="center"/>
              <w:rPr>
                <w:b/>
                <w:noProof/>
                <w:sz w:val="16"/>
                <w:szCs w:val="16"/>
              </w:rPr>
            </w:pPr>
            <w:r>
              <w:rPr>
                <w:b/>
                <w:noProof/>
                <w:sz w:val="16"/>
              </w:rPr>
              <w:t>Mimo</w:t>
            </w:r>
            <w:r>
              <w:rPr>
                <w:noProof/>
                <w:sz w:val="22"/>
              </w:rPr>
              <w:br/>
            </w:r>
            <w:r>
              <w:rPr>
                <w:b/>
                <w:noProof/>
                <w:sz w:val="16"/>
              </w:rPr>
              <w:t>OKRUHU 5</w:t>
            </w:r>
            <w:r>
              <w:rPr>
                <w:noProof/>
                <w:sz w:val="22"/>
              </w:rPr>
              <w:br/>
            </w:r>
            <w:r>
              <w:rPr>
                <w:b/>
                <w:noProof/>
                <w:sz w:val="16"/>
              </w:rPr>
              <w:t xml:space="preserve">viacročného finančného rámca medzisúčet </w:t>
            </w:r>
          </w:p>
        </w:tc>
        <w:tc>
          <w:tcPr>
            <w:tcW w:w="1080" w:type="dxa"/>
            <w:vAlign w:val="center"/>
          </w:tcPr>
          <w:p w:rsidR="00A6487C" w:rsidRDefault="007E6C80">
            <w:pPr>
              <w:spacing w:before="60" w:after="60" w:line="200" w:lineRule="exact"/>
              <w:jc w:val="right"/>
              <w:rPr>
                <w:noProof/>
                <w:sz w:val="16"/>
                <w:szCs w:val="16"/>
              </w:rPr>
            </w:pPr>
            <w:r>
              <w:rPr>
                <w:noProof/>
                <w:sz w:val="16"/>
              </w:rPr>
              <w:t>0,643</w:t>
            </w:r>
          </w:p>
        </w:tc>
        <w:tc>
          <w:tcPr>
            <w:tcW w:w="1080" w:type="dxa"/>
            <w:vAlign w:val="center"/>
          </w:tcPr>
          <w:p w:rsidR="00A6487C" w:rsidRDefault="007E6C80">
            <w:pPr>
              <w:spacing w:before="60" w:after="60" w:line="200" w:lineRule="exact"/>
              <w:jc w:val="right"/>
              <w:rPr>
                <w:noProof/>
                <w:sz w:val="16"/>
                <w:szCs w:val="16"/>
              </w:rPr>
            </w:pPr>
            <w:r>
              <w:rPr>
                <w:noProof/>
                <w:sz w:val="16"/>
              </w:rPr>
              <w:t>0,673</w:t>
            </w:r>
          </w:p>
        </w:tc>
        <w:tc>
          <w:tcPr>
            <w:tcW w:w="1080" w:type="dxa"/>
            <w:vAlign w:val="center"/>
          </w:tcPr>
          <w:p w:rsidR="00A6487C" w:rsidRDefault="007E6C80">
            <w:pPr>
              <w:spacing w:before="60" w:after="60" w:line="200" w:lineRule="exact"/>
              <w:jc w:val="right"/>
              <w:rPr>
                <w:noProof/>
                <w:sz w:val="16"/>
                <w:szCs w:val="16"/>
              </w:rPr>
            </w:pPr>
            <w:r>
              <w:rPr>
                <w:noProof/>
                <w:sz w:val="16"/>
              </w:rPr>
              <w:t>0,823</w:t>
            </w:r>
          </w:p>
        </w:tc>
        <w:tc>
          <w:tcPr>
            <w:tcW w:w="1080" w:type="dxa"/>
            <w:vAlign w:val="center"/>
          </w:tcPr>
          <w:p w:rsidR="00A6487C" w:rsidRDefault="007E6C80">
            <w:pPr>
              <w:spacing w:before="60" w:after="60" w:line="200" w:lineRule="exact"/>
              <w:jc w:val="right"/>
              <w:rPr>
                <w:noProof/>
                <w:sz w:val="16"/>
                <w:szCs w:val="16"/>
              </w:rPr>
            </w:pPr>
            <w:r>
              <w:rPr>
                <w:noProof/>
                <w:sz w:val="16"/>
              </w:rPr>
              <w:t>0,883</w:t>
            </w: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noProof/>
                <w:sz w:val="16"/>
                <w:szCs w:val="16"/>
              </w:rPr>
            </w:pPr>
          </w:p>
        </w:tc>
        <w:tc>
          <w:tcPr>
            <w:tcW w:w="1080" w:type="dxa"/>
            <w:vAlign w:val="center"/>
          </w:tcPr>
          <w:p w:rsidR="00A6487C" w:rsidRDefault="00A6487C">
            <w:pPr>
              <w:spacing w:before="60" w:after="60" w:line="200" w:lineRule="exact"/>
              <w:jc w:val="right"/>
              <w:rPr>
                <w:b/>
                <w:noProof/>
                <w:sz w:val="16"/>
                <w:szCs w:val="16"/>
              </w:rPr>
            </w:pPr>
          </w:p>
        </w:tc>
        <w:tc>
          <w:tcPr>
            <w:tcW w:w="1080" w:type="dxa"/>
            <w:vAlign w:val="center"/>
          </w:tcPr>
          <w:p w:rsidR="00A6487C" w:rsidRDefault="007E6C80">
            <w:pPr>
              <w:spacing w:before="60" w:after="60" w:line="200" w:lineRule="exact"/>
              <w:jc w:val="right"/>
              <w:rPr>
                <w:b/>
                <w:noProof/>
                <w:sz w:val="16"/>
                <w:szCs w:val="16"/>
              </w:rPr>
            </w:pPr>
            <w:r>
              <w:rPr>
                <w:b/>
                <w:noProof/>
                <w:sz w:val="16"/>
              </w:rPr>
              <w:t>3,022</w:t>
            </w:r>
          </w:p>
        </w:tc>
      </w:tr>
    </w:tbl>
    <w:p w:rsidR="00A6487C" w:rsidRDefault="00A6487C">
      <w:pPr>
        <w:spacing w:line="200" w:lineRule="exact"/>
        <w:rPr>
          <w:b/>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6487C">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A6487C" w:rsidRDefault="007E6C80">
            <w:pPr>
              <w:spacing w:before="60" w:after="60" w:line="200" w:lineRule="exact"/>
              <w:jc w:val="center"/>
              <w:rPr>
                <w:noProof/>
                <w:sz w:val="16"/>
                <w:szCs w:val="16"/>
              </w:rPr>
            </w:pPr>
            <w:r>
              <w:rPr>
                <w:b/>
                <w:noProof/>
                <w:sz w:val="16"/>
              </w:rPr>
              <w:t>SPOLU</w:t>
            </w:r>
          </w:p>
        </w:tc>
        <w:tc>
          <w:tcPr>
            <w:tcW w:w="1080" w:type="dxa"/>
            <w:tcBorders>
              <w:top w:val="single" w:sz="12" w:space="0" w:color="auto"/>
              <w:left w:val="single" w:sz="2" w:space="0" w:color="auto"/>
              <w:bottom w:val="single" w:sz="12" w:space="0" w:color="auto"/>
              <w:right w:val="single" w:sz="2" w:space="0" w:color="auto"/>
            </w:tcBorders>
            <w:vAlign w:val="center"/>
          </w:tcPr>
          <w:p w:rsidR="00A6487C" w:rsidRDefault="007E6C80">
            <w:pPr>
              <w:spacing w:before="60" w:after="60" w:line="200" w:lineRule="exact"/>
              <w:jc w:val="right"/>
              <w:rPr>
                <w:b/>
                <w:noProof/>
                <w:sz w:val="16"/>
                <w:szCs w:val="16"/>
              </w:rPr>
            </w:pPr>
            <w:r>
              <w:rPr>
                <w:b/>
                <w:noProof/>
                <w:sz w:val="16"/>
              </w:rPr>
              <w:t xml:space="preserve">1,589 </w:t>
            </w:r>
          </w:p>
        </w:tc>
        <w:tc>
          <w:tcPr>
            <w:tcW w:w="1080" w:type="dxa"/>
            <w:tcBorders>
              <w:top w:val="single" w:sz="12" w:space="0" w:color="auto"/>
              <w:left w:val="single" w:sz="2" w:space="0" w:color="auto"/>
              <w:bottom w:val="single" w:sz="12" w:space="0" w:color="auto"/>
              <w:right w:val="single" w:sz="2" w:space="0" w:color="auto"/>
            </w:tcBorders>
            <w:vAlign w:val="center"/>
          </w:tcPr>
          <w:p w:rsidR="00A6487C" w:rsidRDefault="007E6C80">
            <w:pPr>
              <w:spacing w:before="60" w:after="60" w:line="200" w:lineRule="exact"/>
              <w:jc w:val="right"/>
              <w:rPr>
                <w:b/>
                <w:noProof/>
                <w:sz w:val="16"/>
                <w:szCs w:val="16"/>
              </w:rPr>
            </w:pPr>
            <w:r>
              <w:rPr>
                <w:b/>
                <w:noProof/>
                <w:sz w:val="16"/>
              </w:rPr>
              <w:t>1,619</w:t>
            </w:r>
          </w:p>
        </w:tc>
        <w:tc>
          <w:tcPr>
            <w:tcW w:w="1080" w:type="dxa"/>
            <w:tcBorders>
              <w:top w:val="single" w:sz="12" w:space="0" w:color="auto"/>
              <w:left w:val="single" w:sz="2" w:space="0" w:color="auto"/>
              <w:bottom w:val="single" w:sz="12" w:space="0" w:color="auto"/>
              <w:right w:val="single" w:sz="2" w:space="0" w:color="auto"/>
            </w:tcBorders>
            <w:vAlign w:val="center"/>
          </w:tcPr>
          <w:p w:rsidR="00A6487C" w:rsidRDefault="007E6C80">
            <w:pPr>
              <w:spacing w:before="60" w:after="60" w:line="200" w:lineRule="exact"/>
              <w:jc w:val="right"/>
              <w:rPr>
                <w:b/>
                <w:noProof/>
                <w:sz w:val="16"/>
                <w:szCs w:val="16"/>
              </w:rPr>
            </w:pPr>
            <w:r>
              <w:rPr>
                <w:b/>
                <w:noProof/>
                <w:sz w:val="16"/>
              </w:rPr>
              <w:t>1,769</w:t>
            </w:r>
          </w:p>
        </w:tc>
        <w:tc>
          <w:tcPr>
            <w:tcW w:w="1080" w:type="dxa"/>
            <w:tcBorders>
              <w:top w:val="single" w:sz="12" w:space="0" w:color="auto"/>
              <w:left w:val="single" w:sz="2" w:space="0" w:color="auto"/>
              <w:bottom w:val="single" w:sz="12" w:space="0" w:color="auto"/>
              <w:right w:val="single" w:sz="2" w:space="0" w:color="auto"/>
            </w:tcBorders>
            <w:vAlign w:val="center"/>
          </w:tcPr>
          <w:p w:rsidR="00A6487C" w:rsidRDefault="007E6C80">
            <w:pPr>
              <w:spacing w:before="60" w:after="60" w:line="200" w:lineRule="exact"/>
              <w:jc w:val="right"/>
              <w:rPr>
                <w:b/>
                <w:noProof/>
                <w:sz w:val="16"/>
                <w:szCs w:val="16"/>
              </w:rPr>
            </w:pPr>
            <w:r>
              <w:rPr>
                <w:b/>
                <w:noProof/>
                <w:sz w:val="16"/>
              </w:rPr>
              <w:t>1,829</w:t>
            </w:r>
          </w:p>
        </w:tc>
        <w:tc>
          <w:tcPr>
            <w:tcW w:w="1080" w:type="dxa"/>
            <w:tcBorders>
              <w:top w:val="single" w:sz="12" w:space="0" w:color="auto"/>
              <w:left w:val="single" w:sz="2" w:space="0" w:color="auto"/>
              <w:bottom w:val="single" w:sz="12" w:space="0" w:color="auto"/>
              <w:right w:val="single" w:sz="2" w:space="0" w:color="auto"/>
            </w:tcBorders>
            <w:vAlign w:val="center"/>
          </w:tcPr>
          <w:p w:rsidR="00A6487C" w:rsidRDefault="00A6487C">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A6487C" w:rsidRDefault="00A6487C">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A6487C" w:rsidRDefault="00A6487C">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A6487C" w:rsidRDefault="00A6487C">
            <w:pPr>
              <w:spacing w:before="60" w:after="60" w:line="200" w:lineRule="exact"/>
              <w:jc w:val="right"/>
              <w:rPr>
                <w:b/>
                <w:noProof/>
                <w:sz w:val="16"/>
                <w:szCs w:val="16"/>
              </w:rPr>
            </w:pPr>
          </w:p>
        </w:tc>
      </w:tr>
    </w:tbl>
    <w:p w:rsidR="00A6487C" w:rsidRDefault="007E6C80">
      <w:pPr>
        <w:rPr>
          <w:noProof/>
          <w:sz w:val="18"/>
        </w:rPr>
      </w:pPr>
      <w:r>
        <w:rPr>
          <w:noProof/>
          <w:sz w:val="18"/>
        </w:rPr>
        <w:t>Rozpočtové prostriedky potrebné na ľudské zdroje a na ostatné výdavky administratívnej povahy budú pokryté rozpočtovými prostriedkami GR, ktoré už boli pridelené na riadenie akcie a/alebo boli prerozdelené v rámci GR, a v prípade potreby budú doplnené zdro</w:t>
      </w:r>
      <w:r>
        <w:rPr>
          <w:noProof/>
          <w:sz w:val="18"/>
        </w:rPr>
        <w:t>jmi, ktoré sa môžu prideliť riadiacemu GR v rámci ročného postupu prideľovania zdrojov a v závislosti od rozpočtových obmedzení.</w:t>
      </w:r>
    </w:p>
    <w:p w:rsidR="00A6487C" w:rsidRDefault="007E6C80">
      <w:pPr>
        <w:rPr>
          <w:noProof/>
          <w:sz w:val="18"/>
        </w:rPr>
      </w:pPr>
      <w:r>
        <w:rPr>
          <w:noProof/>
          <w:sz w:val="18"/>
        </w:rPr>
        <w:t>* Zodpovedá 3 pracovným miestam ZZ podľa rozpočtového riadku FPI.</w:t>
      </w:r>
    </w:p>
    <w:p w:rsidR="00A6487C" w:rsidRDefault="00A6487C">
      <w:pPr>
        <w:rPr>
          <w:noProof/>
          <w:sz w:val="18"/>
        </w:rPr>
      </w:pPr>
    </w:p>
    <w:p w:rsidR="00A6487C" w:rsidRDefault="00A6487C">
      <w:pPr>
        <w:rPr>
          <w:noProof/>
          <w:sz w:val="18"/>
        </w:rPr>
        <w:sectPr w:rsidR="00A6487C">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rsidR="00A6487C" w:rsidRDefault="007E6C80">
      <w:pPr>
        <w:pStyle w:val="ManualHeading4"/>
        <w:rPr>
          <w:bCs/>
          <w:noProof/>
          <w:szCs w:val="24"/>
        </w:rPr>
      </w:pPr>
      <w:r>
        <w:lastRenderedPageBreak/>
        <w:t>3.2.3.2.</w:t>
      </w:r>
      <w:r>
        <w:tab/>
      </w:r>
      <w:r>
        <w:rPr>
          <w:noProof/>
        </w:rPr>
        <w:t>Odhadované potreby ľudských zdrojov</w:t>
      </w:r>
    </w:p>
    <w:p w:rsidR="00A6487C" w:rsidRDefault="007E6C80">
      <w:pPr>
        <w:pStyle w:val="ListDash1"/>
        <w:rPr>
          <w:noProof/>
        </w:rPr>
      </w:pPr>
      <w:r>
        <w:rPr>
          <w:noProof/>
        </w:rPr>
        <w:sym w:font="Wingdings" w:char="F0A8"/>
      </w:r>
      <w:r>
        <w:rPr>
          <w:noProof/>
        </w:rPr>
        <w:tab/>
        <w:t xml:space="preserve">Návrh/iniciatíva si nevyžaduje použitie ľudských zdrojov. </w:t>
      </w:r>
    </w:p>
    <w:p w:rsidR="00A6487C" w:rsidRDefault="007E6C80">
      <w:pPr>
        <w:pStyle w:val="ListDash1"/>
        <w:rPr>
          <w:noProof/>
        </w:rPr>
      </w:pPr>
      <w:r>
        <w:rPr>
          <w:noProof/>
        </w:rPr>
        <w:t>X</w:t>
      </w:r>
      <w:r>
        <w:rPr>
          <w:noProof/>
        </w:rPr>
        <w:tab/>
        <w:t>Návrh/iniciatíva si vyžaduje použitie ľudských zdrojov, ako je uvedené v</w:t>
      </w:r>
      <w:r>
        <w:rPr>
          <w:noProof/>
        </w:rPr>
        <w:t> nasledujúcej tabuľke:</w:t>
      </w:r>
    </w:p>
    <w:p w:rsidR="00A6487C" w:rsidRDefault="007E6C80">
      <w:pPr>
        <w:spacing w:after="60"/>
        <w:jc w:val="right"/>
        <w:rPr>
          <w:i/>
          <w:noProof/>
          <w:sz w:val="20"/>
        </w:rPr>
      </w:pPr>
      <w:r>
        <w:rPr>
          <w:i/>
          <w:noProof/>
          <w:sz w:val="20"/>
        </w:rPr>
        <w:t>odhady sa vyjadrujú v jednotkách ekvivalentu plného pracovného času</w:t>
      </w:r>
    </w:p>
    <w:tbl>
      <w:tblPr>
        <w:tblW w:w="4808"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39"/>
        <w:gridCol w:w="1943"/>
        <w:gridCol w:w="1113"/>
        <w:gridCol w:w="1079"/>
        <w:gridCol w:w="1022"/>
        <w:gridCol w:w="1118"/>
        <w:gridCol w:w="239"/>
        <w:gridCol w:w="239"/>
        <w:gridCol w:w="238"/>
      </w:tblGrid>
      <w:tr w:rsidR="00A6487C">
        <w:trPr>
          <w:trHeight w:val="289"/>
          <w:jc w:val="center"/>
        </w:trPr>
        <w:tc>
          <w:tcPr>
            <w:tcW w:w="2174" w:type="pct"/>
            <w:gridSpan w:val="2"/>
            <w:shd w:val="clear" w:color="auto" w:fill="auto"/>
          </w:tcPr>
          <w:p w:rsidR="00A6487C" w:rsidRDefault="00A6487C">
            <w:pPr>
              <w:pStyle w:val="Text1"/>
              <w:spacing w:before="40" w:after="40"/>
              <w:ind w:left="0"/>
              <w:jc w:val="center"/>
              <w:rPr>
                <w:i/>
                <w:noProof/>
                <w:sz w:val="16"/>
                <w:szCs w:val="16"/>
              </w:rPr>
            </w:pPr>
          </w:p>
        </w:tc>
        <w:tc>
          <w:tcPr>
            <w:tcW w:w="623" w:type="pct"/>
            <w:shd w:val="clear" w:color="auto" w:fill="auto"/>
            <w:vAlign w:val="center"/>
          </w:tcPr>
          <w:p w:rsidR="00A6487C" w:rsidRDefault="007E6C80">
            <w:pPr>
              <w:spacing w:before="20" w:after="20"/>
              <w:jc w:val="center"/>
              <w:rPr>
                <w:noProof/>
                <w:sz w:val="16"/>
                <w:szCs w:val="16"/>
              </w:rPr>
            </w:pPr>
            <w:r>
              <w:rPr>
                <w:noProof/>
                <w:sz w:val="16"/>
              </w:rPr>
              <w:t>Rok</w:t>
            </w:r>
            <w:r>
              <w:rPr>
                <w:noProof/>
                <w:sz w:val="22"/>
              </w:rPr>
              <w:br/>
            </w:r>
            <w:r>
              <w:rPr>
                <w:b/>
                <w:noProof/>
                <w:sz w:val="16"/>
              </w:rPr>
              <w:t>N</w:t>
            </w:r>
          </w:p>
        </w:tc>
        <w:tc>
          <w:tcPr>
            <w:tcW w:w="604" w:type="pct"/>
            <w:shd w:val="clear" w:color="auto" w:fill="auto"/>
            <w:vAlign w:val="center"/>
          </w:tcPr>
          <w:p w:rsidR="00A6487C" w:rsidRDefault="007E6C80">
            <w:pPr>
              <w:spacing w:before="20" w:after="20"/>
              <w:jc w:val="center"/>
              <w:rPr>
                <w:noProof/>
                <w:sz w:val="16"/>
                <w:szCs w:val="16"/>
              </w:rPr>
            </w:pPr>
            <w:r>
              <w:rPr>
                <w:noProof/>
                <w:sz w:val="16"/>
              </w:rPr>
              <w:t>Rok</w:t>
            </w:r>
            <w:r>
              <w:rPr>
                <w:noProof/>
                <w:sz w:val="22"/>
              </w:rPr>
              <w:br/>
            </w:r>
            <w:r>
              <w:rPr>
                <w:b/>
                <w:noProof/>
                <w:sz w:val="16"/>
              </w:rPr>
              <w:t>N+1</w:t>
            </w:r>
          </w:p>
        </w:tc>
        <w:tc>
          <w:tcPr>
            <w:tcW w:w="572" w:type="pct"/>
            <w:shd w:val="clear" w:color="auto" w:fill="auto"/>
            <w:vAlign w:val="center"/>
          </w:tcPr>
          <w:p w:rsidR="00A6487C" w:rsidRDefault="007E6C80">
            <w:pPr>
              <w:spacing w:before="20" w:after="20"/>
              <w:jc w:val="center"/>
              <w:rPr>
                <w:noProof/>
                <w:sz w:val="16"/>
                <w:szCs w:val="16"/>
              </w:rPr>
            </w:pPr>
            <w:r>
              <w:rPr>
                <w:noProof/>
                <w:sz w:val="16"/>
              </w:rPr>
              <w:t xml:space="preserve">Rok </w:t>
            </w:r>
            <w:r>
              <w:rPr>
                <w:b/>
                <w:noProof/>
                <w:sz w:val="16"/>
              </w:rPr>
              <w:t>N+2</w:t>
            </w:r>
          </w:p>
        </w:tc>
        <w:tc>
          <w:tcPr>
            <w:tcW w:w="626" w:type="pct"/>
            <w:shd w:val="clear" w:color="auto" w:fill="auto"/>
            <w:vAlign w:val="center"/>
          </w:tcPr>
          <w:p w:rsidR="00A6487C" w:rsidRDefault="007E6C80">
            <w:pPr>
              <w:spacing w:before="20" w:after="20"/>
              <w:jc w:val="center"/>
              <w:rPr>
                <w:noProof/>
                <w:sz w:val="16"/>
                <w:szCs w:val="16"/>
              </w:rPr>
            </w:pPr>
            <w:r>
              <w:rPr>
                <w:noProof/>
                <w:sz w:val="16"/>
              </w:rPr>
              <w:t xml:space="preserve">Rok </w:t>
            </w:r>
            <w:r>
              <w:rPr>
                <w:b/>
                <w:noProof/>
                <w:sz w:val="16"/>
              </w:rPr>
              <w:t>N+3</w:t>
            </w:r>
          </w:p>
        </w:tc>
        <w:tc>
          <w:tcPr>
            <w:tcW w:w="401" w:type="pct"/>
            <w:gridSpan w:val="3"/>
            <w:shd w:val="clear" w:color="auto" w:fill="auto"/>
            <w:vAlign w:val="center"/>
          </w:tcPr>
          <w:p w:rsidR="00A6487C" w:rsidRDefault="007E6C80">
            <w:pPr>
              <w:jc w:val="center"/>
              <w:rPr>
                <w:b/>
                <w:noProof/>
                <w:sz w:val="16"/>
                <w:szCs w:val="16"/>
              </w:rPr>
            </w:pPr>
            <w:r>
              <w:rPr>
                <w:noProof/>
                <w:sz w:val="16"/>
              </w:rPr>
              <w:t>Uveďte všetky roky, počas ktorých vplyv trvá (pozri bod 1.6)</w:t>
            </w:r>
          </w:p>
        </w:tc>
      </w:tr>
      <w:tr w:rsidR="00A6487C">
        <w:trPr>
          <w:trHeight w:val="289"/>
          <w:jc w:val="center"/>
        </w:trPr>
        <w:tc>
          <w:tcPr>
            <w:tcW w:w="3973" w:type="pct"/>
            <w:gridSpan w:val="5"/>
            <w:shd w:val="clear" w:color="auto" w:fill="auto"/>
          </w:tcPr>
          <w:p w:rsidR="00A6487C" w:rsidRDefault="007E6C80">
            <w:pPr>
              <w:spacing w:before="20" w:after="20"/>
              <w:rPr>
                <w:noProof/>
                <w:sz w:val="16"/>
                <w:szCs w:val="16"/>
              </w:rPr>
            </w:pPr>
            <w:r>
              <w:rPr>
                <w:b/>
                <w:noProof/>
                <w:sz w:val="16"/>
              </w:rPr>
              <w:sym w:font="Wingdings" w:char="F09F"/>
            </w:r>
            <w:r>
              <w:rPr>
                <w:b/>
                <w:noProof/>
                <w:sz w:val="16"/>
              </w:rPr>
              <w:t xml:space="preserve"> Plán pracovných miest (úradníci a dočasní zamestnanci)</w:t>
            </w:r>
          </w:p>
        </w:tc>
        <w:tc>
          <w:tcPr>
            <w:tcW w:w="626" w:type="pct"/>
            <w:shd w:val="clear" w:color="auto" w:fill="auto"/>
            <w:vAlign w:val="center"/>
          </w:tcPr>
          <w:p w:rsidR="00A6487C" w:rsidRDefault="00A6487C">
            <w:pPr>
              <w:spacing w:before="20" w:after="20"/>
              <w:jc w:val="center"/>
              <w:rPr>
                <w:noProof/>
                <w:sz w:val="16"/>
                <w:szCs w:val="16"/>
              </w:rPr>
            </w:pPr>
          </w:p>
        </w:tc>
        <w:tc>
          <w:tcPr>
            <w:tcW w:w="401" w:type="pct"/>
            <w:gridSpan w:val="3"/>
            <w:shd w:val="clear" w:color="auto" w:fill="auto"/>
            <w:vAlign w:val="center"/>
          </w:tcPr>
          <w:p w:rsidR="00A6487C" w:rsidRDefault="00A6487C">
            <w:pPr>
              <w:jc w:val="center"/>
              <w:rPr>
                <w:noProof/>
                <w:sz w:val="16"/>
                <w:szCs w:val="16"/>
              </w:rPr>
            </w:pPr>
          </w:p>
        </w:tc>
      </w:tr>
      <w:tr w:rsidR="00A6487C">
        <w:trPr>
          <w:trHeight w:val="289"/>
          <w:jc w:val="center"/>
        </w:trPr>
        <w:tc>
          <w:tcPr>
            <w:tcW w:w="2174" w:type="pct"/>
            <w:gridSpan w:val="2"/>
            <w:shd w:val="clear" w:color="auto" w:fill="auto"/>
            <w:vAlign w:val="center"/>
          </w:tcPr>
          <w:p w:rsidR="00A6487C" w:rsidRDefault="007E6C80">
            <w:pPr>
              <w:pStyle w:val="Text1"/>
              <w:spacing w:beforeLines="20" w:before="48" w:afterLines="20" w:after="48"/>
              <w:ind w:left="134"/>
              <w:jc w:val="left"/>
              <w:rPr>
                <w:b/>
                <w:noProof/>
                <w:sz w:val="16"/>
                <w:szCs w:val="16"/>
              </w:rPr>
            </w:pPr>
            <w:r>
              <w:rPr>
                <w:noProof/>
                <w:sz w:val="16"/>
              </w:rPr>
              <w:t xml:space="preserve">19 01 01 01 </w:t>
            </w:r>
            <w:r>
              <w:rPr>
                <w:noProof/>
                <w:sz w:val="16"/>
              </w:rPr>
              <w:t>(ústredie a zastúpenia Komisie)</w:t>
            </w:r>
          </w:p>
        </w:tc>
        <w:tc>
          <w:tcPr>
            <w:tcW w:w="623" w:type="pct"/>
            <w:shd w:val="clear" w:color="auto" w:fill="auto"/>
            <w:vAlign w:val="center"/>
          </w:tcPr>
          <w:p w:rsidR="00A6487C" w:rsidRDefault="007E6C80">
            <w:pPr>
              <w:spacing w:beforeLines="20" w:before="48" w:afterLines="20" w:after="48"/>
              <w:jc w:val="center"/>
              <w:rPr>
                <w:noProof/>
                <w:sz w:val="16"/>
                <w:szCs w:val="16"/>
              </w:rPr>
            </w:pPr>
            <w:r>
              <w:rPr>
                <w:noProof/>
                <w:sz w:val="16"/>
              </w:rPr>
              <w:t>4</w:t>
            </w:r>
          </w:p>
        </w:tc>
        <w:tc>
          <w:tcPr>
            <w:tcW w:w="604" w:type="pct"/>
            <w:shd w:val="clear" w:color="auto" w:fill="auto"/>
            <w:vAlign w:val="center"/>
          </w:tcPr>
          <w:p w:rsidR="00A6487C" w:rsidRDefault="007E6C80">
            <w:pPr>
              <w:spacing w:beforeLines="20" w:before="48" w:afterLines="20" w:after="48"/>
              <w:jc w:val="center"/>
              <w:rPr>
                <w:noProof/>
                <w:sz w:val="16"/>
                <w:szCs w:val="16"/>
              </w:rPr>
            </w:pPr>
            <w:r>
              <w:rPr>
                <w:noProof/>
                <w:sz w:val="16"/>
              </w:rPr>
              <w:t>4</w:t>
            </w:r>
          </w:p>
        </w:tc>
        <w:tc>
          <w:tcPr>
            <w:tcW w:w="572" w:type="pct"/>
            <w:shd w:val="clear" w:color="auto" w:fill="auto"/>
            <w:vAlign w:val="center"/>
          </w:tcPr>
          <w:p w:rsidR="00A6487C" w:rsidRDefault="007E6C80">
            <w:pPr>
              <w:spacing w:beforeLines="20" w:before="48" w:afterLines="20" w:after="48"/>
              <w:jc w:val="center"/>
              <w:rPr>
                <w:noProof/>
                <w:sz w:val="16"/>
                <w:szCs w:val="16"/>
              </w:rPr>
            </w:pPr>
            <w:r>
              <w:rPr>
                <w:noProof/>
                <w:sz w:val="16"/>
              </w:rPr>
              <w:t>4</w:t>
            </w:r>
          </w:p>
        </w:tc>
        <w:tc>
          <w:tcPr>
            <w:tcW w:w="626" w:type="pct"/>
            <w:shd w:val="clear" w:color="auto" w:fill="auto"/>
            <w:vAlign w:val="center"/>
          </w:tcPr>
          <w:p w:rsidR="00A6487C" w:rsidRDefault="007E6C80">
            <w:pPr>
              <w:spacing w:beforeLines="20" w:before="48" w:afterLines="20" w:after="48"/>
              <w:jc w:val="center"/>
              <w:rPr>
                <w:noProof/>
                <w:sz w:val="16"/>
                <w:szCs w:val="16"/>
              </w:rPr>
            </w:pPr>
            <w:r>
              <w:rPr>
                <w:noProof/>
                <w:sz w:val="16"/>
              </w:rPr>
              <w:t>4</w:t>
            </w:r>
          </w:p>
        </w:tc>
        <w:tc>
          <w:tcPr>
            <w:tcW w:w="134" w:type="pct"/>
            <w:shd w:val="clear" w:color="auto" w:fill="auto"/>
            <w:vAlign w:val="center"/>
          </w:tcPr>
          <w:p w:rsidR="00A6487C" w:rsidRDefault="00A6487C">
            <w:pPr>
              <w:spacing w:beforeLines="20" w:before="48" w:afterLines="20" w:after="48"/>
              <w:jc w:val="center"/>
              <w:rPr>
                <w:noProof/>
                <w:sz w:val="16"/>
                <w:szCs w:val="16"/>
              </w:rPr>
            </w:pPr>
          </w:p>
        </w:tc>
        <w:tc>
          <w:tcPr>
            <w:tcW w:w="134" w:type="pct"/>
            <w:shd w:val="clear" w:color="auto" w:fill="auto"/>
            <w:vAlign w:val="center"/>
          </w:tcPr>
          <w:p w:rsidR="00A6487C" w:rsidRDefault="00A6487C">
            <w:pPr>
              <w:spacing w:beforeLines="20" w:before="48" w:afterLines="20" w:after="48"/>
              <w:jc w:val="center"/>
              <w:rPr>
                <w:noProof/>
                <w:sz w:val="16"/>
                <w:szCs w:val="16"/>
              </w:rPr>
            </w:pPr>
          </w:p>
        </w:tc>
        <w:tc>
          <w:tcPr>
            <w:tcW w:w="132" w:type="pct"/>
            <w:shd w:val="clear" w:color="auto" w:fill="auto"/>
            <w:vAlign w:val="center"/>
          </w:tcPr>
          <w:p w:rsidR="00A6487C" w:rsidRDefault="00A6487C">
            <w:pPr>
              <w:spacing w:beforeLines="20" w:before="48" w:afterLines="20" w:after="48"/>
              <w:jc w:val="center"/>
              <w:rPr>
                <w:noProof/>
                <w:sz w:val="16"/>
                <w:szCs w:val="16"/>
              </w:rPr>
            </w:pPr>
          </w:p>
        </w:tc>
      </w:tr>
      <w:tr w:rsidR="00A6487C">
        <w:trPr>
          <w:trHeight w:val="289"/>
          <w:jc w:val="center"/>
        </w:trPr>
        <w:tc>
          <w:tcPr>
            <w:tcW w:w="2174" w:type="pct"/>
            <w:gridSpan w:val="2"/>
            <w:shd w:val="clear" w:color="auto" w:fill="auto"/>
            <w:vAlign w:val="center"/>
          </w:tcPr>
          <w:p w:rsidR="00A6487C" w:rsidRDefault="007E6C80">
            <w:pPr>
              <w:pStyle w:val="Text1"/>
              <w:spacing w:beforeLines="20" w:before="48" w:afterLines="20" w:after="48"/>
              <w:ind w:left="134"/>
              <w:jc w:val="left"/>
              <w:rPr>
                <w:noProof/>
                <w:sz w:val="16"/>
                <w:szCs w:val="16"/>
              </w:rPr>
            </w:pPr>
            <w:r>
              <w:rPr>
                <w:noProof/>
                <w:sz w:val="16"/>
              </w:rPr>
              <w:t>XX 01 01 02 (Delegácie)</w:t>
            </w:r>
          </w:p>
        </w:tc>
        <w:tc>
          <w:tcPr>
            <w:tcW w:w="623" w:type="pct"/>
            <w:shd w:val="clear" w:color="auto" w:fill="auto"/>
            <w:vAlign w:val="center"/>
          </w:tcPr>
          <w:p w:rsidR="00A6487C" w:rsidRDefault="00A6487C">
            <w:pPr>
              <w:spacing w:beforeLines="20" w:before="48" w:afterLines="20" w:after="48"/>
              <w:jc w:val="center"/>
              <w:rPr>
                <w:noProof/>
                <w:sz w:val="16"/>
                <w:szCs w:val="16"/>
              </w:rPr>
            </w:pPr>
          </w:p>
        </w:tc>
        <w:tc>
          <w:tcPr>
            <w:tcW w:w="604" w:type="pct"/>
            <w:shd w:val="clear" w:color="auto" w:fill="auto"/>
            <w:vAlign w:val="center"/>
          </w:tcPr>
          <w:p w:rsidR="00A6487C" w:rsidRDefault="00A6487C">
            <w:pPr>
              <w:spacing w:beforeLines="20" w:before="48" w:afterLines="20" w:after="48"/>
              <w:jc w:val="center"/>
              <w:rPr>
                <w:noProof/>
                <w:sz w:val="16"/>
                <w:szCs w:val="16"/>
              </w:rPr>
            </w:pPr>
          </w:p>
        </w:tc>
        <w:tc>
          <w:tcPr>
            <w:tcW w:w="572" w:type="pct"/>
            <w:shd w:val="clear" w:color="auto" w:fill="auto"/>
            <w:vAlign w:val="center"/>
          </w:tcPr>
          <w:p w:rsidR="00A6487C" w:rsidRDefault="00A6487C">
            <w:pPr>
              <w:spacing w:beforeLines="20" w:before="48" w:afterLines="20" w:after="48"/>
              <w:jc w:val="center"/>
              <w:rPr>
                <w:noProof/>
                <w:sz w:val="16"/>
                <w:szCs w:val="16"/>
              </w:rPr>
            </w:pPr>
          </w:p>
        </w:tc>
        <w:tc>
          <w:tcPr>
            <w:tcW w:w="626" w:type="pct"/>
            <w:shd w:val="clear" w:color="auto" w:fill="auto"/>
            <w:vAlign w:val="center"/>
          </w:tcPr>
          <w:p w:rsidR="00A6487C" w:rsidRDefault="00A6487C">
            <w:pPr>
              <w:spacing w:beforeLines="20" w:before="48" w:afterLines="20" w:after="48"/>
              <w:jc w:val="center"/>
              <w:rPr>
                <w:noProof/>
                <w:sz w:val="16"/>
                <w:szCs w:val="16"/>
              </w:rPr>
            </w:pPr>
          </w:p>
        </w:tc>
        <w:tc>
          <w:tcPr>
            <w:tcW w:w="134" w:type="pct"/>
            <w:shd w:val="clear" w:color="auto" w:fill="auto"/>
            <w:vAlign w:val="center"/>
          </w:tcPr>
          <w:p w:rsidR="00A6487C" w:rsidRDefault="00A6487C">
            <w:pPr>
              <w:spacing w:beforeLines="20" w:before="48" w:afterLines="20" w:after="48"/>
              <w:jc w:val="center"/>
              <w:rPr>
                <w:noProof/>
                <w:sz w:val="16"/>
                <w:szCs w:val="16"/>
              </w:rPr>
            </w:pPr>
          </w:p>
        </w:tc>
        <w:tc>
          <w:tcPr>
            <w:tcW w:w="134" w:type="pct"/>
            <w:shd w:val="clear" w:color="auto" w:fill="auto"/>
            <w:vAlign w:val="center"/>
          </w:tcPr>
          <w:p w:rsidR="00A6487C" w:rsidRDefault="00A6487C">
            <w:pPr>
              <w:spacing w:beforeLines="20" w:before="48" w:afterLines="20" w:after="48"/>
              <w:jc w:val="center"/>
              <w:rPr>
                <w:noProof/>
                <w:sz w:val="16"/>
                <w:szCs w:val="16"/>
              </w:rPr>
            </w:pPr>
          </w:p>
        </w:tc>
        <w:tc>
          <w:tcPr>
            <w:tcW w:w="132" w:type="pct"/>
            <w:shd w:val="clear" w:color="auto" w:fill="auto"/>
            <w:vAlign w:val="center"/>
          </w:tcPr>
          <w:p w:rsidR="00A6487C" w:rsidRDefault="00A6487C">
            <w:pPr>
              <w:spacing w:beforeLines="20" w:before="48" w:afterLines="20" w:after="48"/>
              <w:jc w:val="center"/>
              <w:rPr>
                <w:noProof/>
                <w:sz w:val="16"/>
                <w:szCs w:val="16"/>
              </w:rPr>
            </w:pPr>
          </w:p>
        </w:tc>
      </w:tr>
      <w:tr w:rsidR="00A6487C">
        <w:trPr>
          <w:trHeight w:val="289"/>
          <w:jc w:val="center"/>
        </w:trPr>
        <w:tc>
          <w:tcPr>
            <w:tcW w:w="2174" w:type="pct"/>
            <w:gridSpan w:val="2"/>
            <w:shd w:val="clear" w:color="auto" w:fill="auto"/>
            <w:vAlign w:val="center"/>
          </w:tcPr>
          <w:p w:rsidR="00A6487C" w:rsidRDefault="007E6C80">
            <w:pPr>
              <w:pStyle w:val="Text1"/>
              <w:spacing w:beforeLines="20" w:before="48" w:afterLines="20" w:after="48"/>
              <w:ind w:left="134"/>
              <w:jc w:val="left"/>
              <w:rPr>
                <w:noProof/>
                <w:sz w:val="16"/>
                <w:szCs w:val="16"/>
              </w:rPr>
            </w:pPr>
            <w:r>
              <w:rPr>
                <w:noProof/>
                <w:sz w:val="16"/>
              </w:rPr>
              <w:t>XX 01 05 01 (Nepriamy výskum)</w:t>
            </w:r>
          </w:p>
        </w:tc>
        <w:tc>
          <w:tcPr>
            <w:tcW w:w="623" w:type="pct"/>
            <w:shd w:val="clear" w:color="auto" w:fill="auto"/>
            <w:vAlign w:val="center"/>
          </w:tcPr>
          <w:p w:rsidR="00A6487C" w:rsidRDefault="00A6487C">
            <w:pPr>
              <w:spacing w:beforeLines="20" w:before="48" w:afterLines="20" w:after="48"/>
              <w:jc w:val="center"/>
              <w:rPr>
                <w:noProof/>
                <w:sz w:val="16"/>
                <w:szCs w:val="16"/>
              </w:rPr>
            </w:pPr>
          </w:p>
        </w:tc>
        <w:tc>
          <w:tcPr>
            <w:tcW w:w="604" w:type="pct"/>
            <w:shd w:val="clear" w:color="auto" w:fill="auto"/>
            <w:vAlign w:val="center"/>
          </w:tcPr>
          <w:p w:rsidR="00A6487C" w:rsidRDefault="00A6487C">
            <w:pPr>
              <w:spacing w:beforeLines="20" w:before="48" w:afterLines="20" w:after="48"/>
              <w:jc w:val="center"/>
              <w:rPr>
                <w:noProof/>
                <w:sz w:val="16"/>
                <w:szCs w:val="16"/>
              </w:rPr>
            </w:pPr>
          </w:p>
        </w:tc>
        <w:tc>
          <w:tcPr>
            <w:tcW w:w="572" w:type="pct"/>
            <w:shd w:val="clear" w:color="auto" w:fill="auto"/>
            <w:vAlign w:val="center"/>
          </w:tcPr>
          <w:p w:rsidR="00A6487C" w:rsidRDefault="00A6487C">
            <w:pPr>
              <w:spacing w:beforeLines="20" w:before="48" w:afterLines="20" w:after="48"/>
              <w:jc w:val="center"/>
              <w:rPr>
                <w:noProof/>
                <w:sz w:val="16"/>
                <w:szCs w:val="16"/>
              </w:rPr>
            </w:pPr>
          </w:p>
        </w:tc>
        <w:tc>
          <w:tcPr>
            <w:tcW w:w="626" w:type="pct"/>
            <w:shd w:val="clear" w:color="auto" w:fill="auto"/>
            <w:vAlign w:val="center"/>
          </w:tcPr>
          <w:p w:rsidR="00A6487C" w:rsidRDefault="00A6487C">
            <w:pPr>
              <w:spacing w:beforeLines="20" w:before="48" w:afterLines="20" w:after="48"/>
              <w:jc w:val="center"/>
              <w:rPr>
                <w:noProof/>
                <w:sz w:val="16"/>
                <w:szCs w:val="16"/>
              </w:rPr>
            </w:pPr>
          </w:p>
        </w:tc>
        <w:tc>
          <w:tcPr>
            <w:tcW w:w="134" w:type="pct"/>
            <w:shd w:val="clear" w:color="auto" w:fill="auto"/>
            <w:vAlign w:val="center"/>
          </w:tcPr>
          <w:p w:rsidR="00A6487C" w:rsidRDefault="00A6487C">
            <w:pPr>
              <w:spacing w:beforeLines="20" w:before="48" w:afterLines="20" w:after="48"/>
              <w:jc w:val="center"/>
              <w:rPr>
                <w:noProof/>
                <w:sz w:val="16"/>
                <w:szCs w:val="16"/>
              </w:rPr>
            </w:pPr>
          </w:p>
        </w:tc>
        <w:tc>
          <w:tcPr>
            <w:tcW w:w="134" w:type="pct"/>
            <w:shd w:val="clear" w:color="auto" w:fill="auto"/>
            <w:vAlign w:val="center"/>
          </w:tcPr>
          <w:p w:rsidR="00A6487C" w:rsidRDefault="00A6487C">
            <w:pPr>
              <w:spacing w:beforeLines="20" w:before="48" w:afterLines="20" w:after="48"/>
              <w:jc w:val="center"/>
              <w:rPr>
                <w:noProof/>
                <w:sz w:val="16"/>
                <w:szCs w:val="16"/>
              </w:rPr>
            </w:pPr>
          </w:p>
        </w:tc>
        <w:tc>
          <w:tcPr>
            <w:tcW w:w="132" w:type="pct"/>
            <w:shd w:val="clear" w:color="auto" w:fill="auto"/>
            <w:vAlign w:val="center"/>
          </w:tcPr>
          <w:p w:rsidR="00A6487C" w:rsidRDefault="00A6487C">
            <w:pPr>
              <w:spacing w:beforeLines="20" w:before="48" w:afterLines="20" w:after="48"/>
              <w:jc w:val="center"/>
              <w:rPr>
                <w:noProof/>
                <w:sz w:val="16"/>
                <w:szCs w:val="16"/>
              </w:rPr>
            </w:pPr>
          </w:p>
        </w:tc>
      </w:tr>
      <w:tr w:rsidR="00A6487C">
        <w:trPr>
          <w:trHeight w:val="289"/>
          <w:jc w:val="center"/>
        </w:trPr>
        <w:tc>
          <w:tcPr>
            <w:tcW w:w="2174" w:type="pct"/>
            <w:gridSpan w:val="2"/>
            <w:shd w:val="clear" w:color="auto" w:fill="auto"/>
            <w:vAlign w:val="center"/>
          </w:tcPr>
          <w:p w:rsidR="00A6487C" w:rsidRDefault="007E6C80">
            <w:pPr>
              <w:pStyle w:val="Text1"/>
              <w:spacing w:beforeLines="20" w:before="48" w:afterLines="20" w:after="48"/>
              <w:ind w:left="134"/>
              <w:jc w:val="left"/>
              <w:rPr>
                <w:noProof/>
                <w:sz w:val="16"/>
                <w:szCs w:val="16"/>
              </w:rPr>
            </w:pPr>
            <w:r>
              <w:rPr>
                <w:noProof/>
                <w:sz w:val="16"/>
              </w:rPr>
              <w:t>10 01 05 01 (Priamy výskum)</w:t>
            </w:r>
          </w:p>
        </w:tc>
        <w:tc>
          <w:tcPr>
            <w:tcW w:w="623" w:type="pct"/>
            <w:shd w:val="clear" w:color="auto" w:fill="auto"/>
            <w:vAlign w:val="center"/>
          </w:tcPr>
          <w:p w:rsidR="00A6487C" w:rsidRDefault="00A6487C">
            <w:pPr>
              <w:spacing w:beforeLines="20" w:before="48" w:afterLines="20" w:after="48"/>
              <w:jc w:val="center"/>
              <w:rPr>
                <w:noProof/>
                <w:sz w:val="16"/>
                <w:szCs w:val="16"/>
              </w:rPr>
            </w:pPr>
          </w:p>
        </w:tc>
        <w:tc>
          <w:tcPr>
            <w:tcW w:w="604" w:type="pct"/>
            <w:shd w:val="clear" w:color="auto" w:fill="auto"/>
            <w:vAlign w:val="center"/>
          </w:tcPr>
          <w:p w:rsidR="00A6487C" w:rsidRDefault="00A6487C">
            <w:pPr>
              <w:spacing w:beforeLines="20" w:before="48" w:afterLines="20" w:after="48"/>
              <w:jc w:val="center"/>
              <w:rPr>
                <w:noProof/>
                <w:sz w:val="16"/>
                <w:szCs w:val="16"/>
              </w:rPr>
            </w:pPr>
          </w:p>
        </w:tc>
        <w:tc>
          <w:tcPr>
            <w:tcW w:w="572" w:type="pct"/>
            <w:shd w:val="clear" w:color="auto" w:fill="auto"/>
            <w:vAlign w:val="center"/>
          </w:tcPr>
          <w:p w:rsidR="00A6487C" w:rsidRDefault="00A6487C">
            <w:pPr>
              <w:spacing w:beforeLines="20" w:before="48" w:afterLines="20" w:after="48"/>
              <w:jc w:val="center"/>
              <w:rPr>
                <w:noProof/>
                <w:sz w:val="16"/>
                <w:szCs w:val="16"/>
              </w:rPr>
            </w:pPr>
          </w:p>
        </w:tc>
        <w:tc>
          <w:tcPr>
            <w:tcW w:w="626" w:type="pct"/>
            <w:shd w:val="clear" w:color="auto" w:fill="auto"/>
            <w:vAlign w:val="center"/>
          </w:tcPr>
          <w:p w:rsidR="00A6487C" w:rsidRDefault="00A6487C">
            <w:pPr>
              <w:spacing w:beforeLines="20" w:before="48" w:afterLines="20" w:after="48"/>
              <w:jc w:val="center"/>
              <w:rPr>
                <w:noProof/>
                <w:sz w:val="16"/>
                <w:szCs w:val="16"/>
              </w:rPr>
            </w:pPr>
          </w:p>
        </w:tc>
        <w:tc>
          <w:tcPr>
            <w:tcW w:w="134" w:type="pct"/>
            <w:shd w:val="clear" w:color="auto" w:fill="auto"/>
            <w:vAlign w:val="center"/>
          </w:tcPr>
          <w:p w:rsidR="00A6487C" w:rsidRDefault="00A6487C">
            <w:pPr>
              <w:spacing w:beforeLines="20" w:before="48" w:afterLines="20" w:after="48"/>
              <w:jc w:val="center"/>
              <w:rPr>
                <w:noProof/>
                <w:sz w:val="16"/>
                <w:szCs w:val="16"/>
              </w:rPr>
            </w:pPr>
          </w:p>
        </w:tc>
        <w:tc>
          <w:tcPr>
            <w:tcW w:w="134" w:type="pct"/>
            <w:shd w:val="clear" w:color="auto" w:fill="auto"/>
            <w:vAlign w:val="center"/>
          </w:tcPr>
          <w:p w:rsidR="00A6487C" w:rsidRDefault="00A6487C">
            <w:pPr>
              <w:spacing w:beforeLines="20" w:before="48" w:afterLines="20" w:after="48"/>
              <w:jc w:val="center"/>
              <w:rPr>
                <w:noProof/>
                <w:sz w:val="16"/>
                <w:szCs w:val="16"/>
              </w:rPr>
            </w:pPr>
          </w:p>
        </w:tc>
        <w:tc>
          <w:tcPr>
            <w:tcW w:w="132" w:type="pct"/>
            <w:shd w:val="clear" w:color="auto" w:fill="auto"/>
            <w:vAlign w:val="center"/>
          </w:tcPr>
          <w:p w:rsidR="00A6487C" w:rsidRDefault="00A6487C">
            <w:pPr>
              <w:spacing w:beforeLines="20" w:before="48" w:afterLines="20" w:after="48"/>
              <w:jc w:val="center"/>
              <w:rPr>
                <w:noProof/>
                <w:sz w:val="16"/>
                <w:szCs w:val="16"/>
              </w:rPr>
            </w:pPr>
          </w:p>
        </w:tc>
      </w:tr>
      <w:tr w:rsidR="00A6487C">
        <w:trPr>
          <w:gridAfter w:val="4"/>
          <w:wAfter w:w="1027" w:type="pct"/>
          <w:trHeight w:val="248"/>
          <w:jc w:val="center"/>
        </w:trPr>
        <w:tc>
          <w:tcPr>
            <w:tcW w:w="3973" w:type="pct"/>
            <w:gridSpan w:val="5"/>
            <w:shd w:val="clear" w:color="auto" w:fill="auto"/>
            <w:vAlign w:val="center"/>
          </w:tcPr>
          <w:p w:rsidR="00A6487C" w:rsidRDefault="007E6C80">
            <w:pPr>
              <w:pStyle w:val="Text1"/>
              <w:spacing w:before="60" w:after="60"/>
              <w:ind w:left="0"/>
              <w:jc w:val="left"/>
              <w:rPr>
                <w:b/>
                <w:noProof/>
                <w:sz w:val="16"/>
                <w:szCs w:val="16"/>
              </w:rPr>
            </w:pPr>
            <w:r>
              <w:rPr>
                <w:b/>
                <w:noProof/>
                <w:sz w:val="16"/>
              </w:rPr>
              <w:sym w:font="Wingdings" w:char="F09F"/>
            </w:r>
            <w:r>
              <w:rPr>
                <w:b/>
                <w:noProof/>
                <w:sz w:val="16"/>
              </w:rPr>
              <w:t xml:space="preserve"> Externí zamestnanci (ekvivalent plného pracovného času: FTE)</w:t>
            </w:r>
            <w:r>
              <w:rPr>
                <w:rStyle w:val="FootnoteReference"/>
                <w:b/>
                <w:noProof/>
                <w:sz w:val="16"/>
              </w:rPr>
              <w:footnoteReference w:id="36"/>
            </w:r>
          </w:p>
          <w:p w:rsidR="00A6487C" w:rsidRDefault="00A6487C">
            <w:pPr>
              <w:pStyle w:val="Text1"/>
              <w:spacing w:before="0" w:after="0"/>
              <w:ind w:left="0"/>
              <w:jc w:val="left"/>
              <w:rPr>
                <w:noProof/>
                <w:sz w:val="16"/>
                <w:szCs w:val="16"/>
              </w:rPr>
            </w:pPr>
          </w:p>
        </w:tc>
      </w:tr>
      <w:tr w:rsidR="00A6487C">
        <w:trPr>
          <w:trHeight w:val="289"/>
          <w:jc w:val="center"/>
        </w:trPr>
        <w:tc>
          <w:tcPr>
            <w:tcW w:w="2174" w:type="pct"/>
            <w:gridSpan w:val="2"/>
            <w:shd w:val="clear" w:color="auto" w:fill="auto"/>
            <w:vAlign w:val="center"/>
          </w:tcPr>
          <w:p w:rsidR="00A6487C" w:rsidRDefault="007E6C80">
            <w:pPr>
              <w:pStyle w:val="Text1"/>
              <w:spacing w:beforeLines="20" w:before="48" w:afterLines="20" w:after="48"/>
              <w:ind w:left="136"/>
              <w:jc w:val="left"/>
              <w:rPr>
                <w:noProof/>
                <w:sz w:val="16"/>
              </w:rPr>
            </w:pPr>
            <w:r>
              <w:rPr>
                <w:noProof/>
                <w:sz w:val="16"/>
              </w:rPr>
              <w:t xml:space="preserve">19 01 02 01 (ZZ, VNE, DAZ z celkového </w:t>
            </w:r>
            <w:r>
              <w:rPr>
                <w:noProof/>
                <w:sz w:val="16"/>
              </w:rPr>
              <w:t>balíka prostriedkov)</w:t>
            </w:r>
          </w:p>
          <w:p w:rsidR="00A6487C" w:rsidRDefault="00A6487C">
            <w:pPr>
              <w:pStyle w:val="Text1"/>
              <w:spacing w:beforeLines="20" w:before="48" w:afterLines="20" w:after="48"/>
              <w:ind w:left="136"/>
              <w:jc w:val="left"/>
              <w:rPr>
                <w:noProof/>
                <w:sz w:val="16"/>
              </w:rPr>
            </w:pPr>
          </w:p>
          <w:p w:rsidR="00A6487C" w:rsidRDefault="007E6C80">
            <w:pPr>
              <w:pStyle w:val="Text1"/>
              <w:spacing w:beforeLines="20" w:before="48" w:afterLines="20" w:after="48"/>
              <w:ind w:left="136"/>
              <w:jc w:val="left"/>
              <w:rPr>
                <w:noProof/>
                <w:sz w:val="16"/>
              </w:rPr>
            </w:pPr>
            <w:r>
              <w:rPr>
                <w:noProof/>
                <w:sz w:val="16"/>
              </w:rPr>
              <w:t>21 01 02 01 (ZZ, VNE, DAZ z celkového balíka prostriedkov)</w:t>
            </w:r>
          </w:p>
          <w:p w:rsidR="00A6487C" w:rsidRDefault="00A6487C">
            <w:pPr>
              <w:pStyle w:val="Text1"/>
              <w:spacing w:beforeLines="20" w:before="48" w:afterLines="20" w:after="48"/>
              <w:ind w:left="136"/>
              <w:jc w:val="left"/>
              <w:rPr>
                <w:b/>
                <w:noProof/>
                <w:sz w:val="16"/>
                <w:szCs w:val="16"/>
              </w:rPr>
            </w:pPr>
          </w:p>
        </w:tc>
        <w:tc>
          <w:tcPr>
            <w:tcW w:w="623" w:type="pct"/>
            <w:shd w:val="clear" w:color="auto" w:fill="auto"/>
            <w:vAlign w:val="center"/>
          </w:tcPr>
          <w:p w:rsidR="00A6487C" w:rsidRDefault="007E6C80">
            <w:pPr>
              <w:spacing w:beforeLines="20" w:before="48" w:afterLines="20" w:after="48"/>
              <w:jc w:val="center"/>
              <w:rPr>
                <w:noProof/>
                <w:sz w:val="16"/>
                <w:szCs w:val="16"/>
              </w:rPr>
            </w:pPr>
            <w:r>
              <w:rPr>
                <w:noProof/>
                <w:sz w:val="16"/>
              </w:rPr>
              <w:t>3</w:t>
            </w:r>
          </w:p>
          <w:p w:rsidR="00A6487C" w:rsidRDefault="00A6487C">
            <w:pPr>
              <w:spacing w:beforeLines="20" w:before="48" w:afterLines="20" w:after="48"/>
              <w:jc w:val="center"/>
              <w:rPr>
                <w:noProof/>
                <w:sz w:val="16"/>
                <w:szCs w:val="16"/>
              </w:rPr>
            </w:pPr>
          </w:p>
          <w:p w:rsidR="00A6487C" w:rsidRDefault="007E6C80">
            <w:pPr>
              <w:spacing w:beforeLines="20" w:before="48" w:afterLines="20" w:after="48"/>
              <w:jc w:val="center"/>
              <w:rPr>
                <w:noProof/>
                <w:sz w:val="16"/>
                <w:szCs w:val="16"/>
              </w:rPr>
            </w:pPr>
            <w:r>
              <w:rPr>
                <w:noProof/>
                <w:sz w:val="16"/>
              </w:rPr>
              <w:t>2</w:t>
            </w:r>
          </w:p>
          <w:p w:rsidR="00A6487C" w:rsidRDefault="00A6487C">
            <w:pPr>
              <w:spacing w:beforeLines="20" w:before="48" w:afterLines="20" w:after="48"/>
              <w:rPr>
                <w:noProof/>
                <w:sz w:val="16"/>
                <w:szCs w:val="16"/>
              </w:rPr>
            </w:pPr>
          </w:p>
        </w:tc>
        <w:tc>
          <w:tcPr>
            <w:tcW w:w="604" w:type="pct"/>
            <w:shd w:val="clear" w:color="auto" w:fill="auto"/>
            <w:vAlign w:val="center"/>
          </w:tcPr>
          <w:p w:rsidR="00A6487C" w:rsidRDefault="007E6C80">
            <w:pPr>
              <w:spacing w:beforeLines="20" w:before="48" w:afterLines="20" w:after="48"/>
              <w:jc w:val="center"/>
              <w:rPr>
                <w:noProof/>
                <w:sz w:val="16"/>
                <w:szCs w:val="16"/>
              </w:rPr>
            </w:pPr>
            <w:r>
              <w:rPr>
                <w:noProof/>
                <w:sz w:val="16"/>
              </w:rPr>
              <w:t>3</w:t>
            </w:r>
          </w:p>
          <w:p w:rsidR="00A6487C" w:rsidRDefault="00A6487C">
            <w:pPr>
              <w:spacing w:beforeLines="20" w:before="48" w:afterLines="20" w:after="48"/>
              <w:jc w:val="center"/>
              <w:rPr>
                <w:noProof/>
                <w:sz w:val="16"/>
                <w:szCs w:val="16"/>
              </w:rPr>
            </w:pPr>
          </w:p>
          <w:p w:rsidR="00A6487C" w:rsidRDefault="007E6C80">
            <w:pPr>
              <w:spacing w:beforeLines="20" w:before="48" w:afterLines="20" w:after="48"/>
              <w:jc w:val="center"/>
              <w:rPr>
                <w:noProof/>
                <w:sz w:val="16"/>
                <w:szCs w:val="16"/>
              </w:rPr>
            </w:pPr>
            <w:r>
              <w:rPr>
                <w:noProof/>
                <w:sz w:val="16"/>
              </w:rPr>
              <w:t>2</w:t>
            </w:r>
          </w:p>
          <w:p w:rsidR="00A6487C" w:rsidRDefault="00A6487C">
            <w:pPr>
              <w:spacing w:beforeLines="20" w:before="48" w:afterLines="20" w:after="48"/>
              <w:jc w:val="center"/>
              <w:rPr>
                <w:noProof/>
                <w:sz w:val="16"/>
                <w:szCs w:val="16"/>
              </w:rPr>
            </w:pPr>
          </w:p>
        </w:tc>
        <w:tc>
          <w:tcPr>
            <w:tcW w:w="572" w:type="pct"/>
            <w:shd w:val="clear" w:color="auto" w:fill="auto"/>
            <w:vAlign w:val="center"/>
          </w:tcPr>
          <w:p w:rsidR="00A6487C" w:rsidRDefault="007E6C80">
            <w:pPr>
              <w:spacing w:beforeLines="20" w:before="48" w:afterLines="20" w:after="48"/>
              <w:jc w:val="center"/>
              <w:rPr>
                <w:noProof/>
                <w:sz w:val="16"/>
                <w:szCs w:val="16"/>
              </w:rPr>
            </w:pPr>
            <w:r>
              <w:rPr>
                <w:noProof/>
                <w:sz w:val="16"/>
              </w:rPr>
              <w:t>3</w:t>
            </w:r>
          </w:p>
          <w:p w:rsidR="00A6487C" w:rsidRDefault="00A6487C">
            <w:pPr>
              <w:spacing w:beforeLines="20" w:before="48" w:afterLines="20" w:after="48"/>
              <w:jc w:val="center"/>
              <w:rPr>
                <w:noProof/>
                <w:sz w:val="16"/>
                <w:szCs w:val="16"/>
              </w:rPr>
            </w:pPr>
          </w:p>
          <w:p w:rsidR="00A6487C" w:rsidRDefault="007E6C80">
            <w:pPr>
              <w:spacing w:beforeLines="20" w:before="48" w:afterLines="20" w:after="48"/>
              <w:jc w:val="center"/>
              <w:rPr>
                <w:noProof/>
                <w:sz w:val="16"/>
                <w:szCs w:val="16"/>
              </w:rPr>
            </w:pPr>
            <w:r>
              <w:rPr>
                <w:noProof/>
                <w:sz w:val="16"/>
              </w:rPr>
              <w:t>2</w:t>
            </w:r>
          </w:p>
          <w:p w:rsidR="00A6487C" w:rsidRDefault="00A6487C">
            <w:pPr>
              <w:spacing w:beforeLines="20" w:before="48" w:afterLines="20" w:after="48"/>
              <w:jc w:val="center"/>
              <w:rPr>
                <w:noProof/>
                <w:sz w:val="16"/>
                <w:szCs w:val="16"/>
              </w:rPr>
            </w:pPr>
          </w:p>
        </w:tc>
        <w:tc>
          <w:tcPr>
            <w:tcW w:w="626" w:type="pct"/>
            <w:shd w:val="clear" w:color="auto" w:fill="auto"/>
            <w:vAlign w:val="center"/>
          </w:tcPr>
          <w:p w:rsidR="00A6487C" w:rsidRDefault="007E6C80">
            <w:pPr>
              <w:spacing w:beforeLines="20" w:before="48" w:afterLines="20" w:after="48"/>
              <w:jc w:val="center"/>
              <w:rPr>
                <w:noProof/>
                <w:sz w:val="16"/>
                <w:szCs w:val="16"/>
              </w:rPr>
            </w:pPr>
            <w:r>
              <w:rPr>
                <w:noProof/>
                <w:sz w:val="16"/>
              </w:rPr>
              <w:t>3</w:t>
            </w:r>
          </w:p>
          <w:p w:rsidR="00A6487C" w:rsidRDefault="00A6487C">
            <w:pPr>
              <w:spacing w:beforeLines="20" w:before="48" w:afterLines="20" w:after="48"/>
              <w:jc w:val="center"/>
              <w:rPr>
                <w:noProof/>
                <w:sz w:val="16"/>
                <w:szCs w:val="16"/>
              </w:rPr>
            </w:pPr>
          </w:p>
          <w:p w:rsidR="00A6487C" w:rsidRDefault="007E6C80">
            <w:pPr>
              <w:spacing w:beforeLines="20" w:before="48" w:afterLines="20" w:after="48"/>
              <w:jc w:val="center"/>
              <w:rPr>
                <w:noProof/>
                <w:sz w:val="16"/>
                <w:szCs w:val="16"/>
              </w:rPr>
            </w:pPr>
            <w:r>
              <w:rPr>
                <w:noProof/>
                <w:sz w:val="16"/>
              </w:rPr>
              <w:t>2</w:t>
            </w:r>
          </w:p>
          <w:p w:rsidR="00A6487C" w:rsidRDefault="00A6487C">
            <w:pPr>
              <w:spacing w:beforeLines="20" w:before="48" w:afterLines="20" w:after="48"/>
              <w:jc w:val="center"/>
              <w:rPr>
                <w:noProof/>
                <w:sz w:val="16"/>
                <w:szCs w:val="16"/>
              </w:rPr>
            </w:pPr>
          </w:p>
        </w:tc>
        <w:tc>
          <w:tcPr>
            <w:tcW w:w="134" w:type="pct"/>
            <w:shd w:val="clear" w:color="auto" w:fill="auto"/>
            <w:vAlign w:val="center"/>
          </w:tcPr>
          <w:p w:rsidR="00A6487C" w:rsidRDefault="00A6487C">
            <w:pPr>
              <w:spacing w:beforeLines="20" w:before="48" w:afterLines="20" w:after="48"/>
              <w:jc w:val="center"/>
              <w:rPr>
                <w:noProof/>
                <w:sz w:val="16"/>
                <w:szCs w:val="16"/>
              </w:rPr>
            </w:pPr>
          </w:p>
        </w:tc>
        <w:tc>
          <w:tcPr>
            <w:tcW w:w="134" w:type="pct"/>
            <w:shd w:val="clear" w:color="auto" w:fill="auto"/>
            <w:vAlign w:val="center"/>
          </w:tcPr>
          <w:p w:rsidR="00A6487C" w:rsidRDefault="00A6487C">
            <w:pPr>
              <w:spacing w:beforeLines="20" w:before="48" w:afterLines="20" w:after="48"/>
              <w:jc w:val="center"/>
              <w:rPr>
                <w:noProof/>
                <w:sz w:val="16"/>
                <w:szCs w:val="16"/>
              </w:rPr>
            </w:pPr>
          </w:p>
        </w:tc>
        <w:tc>
          <w:tcPr>
            <w:tcW w:w="132" w:type="pct"/>
            <w:shd w:val="clear" w:color="auto" w:fill="auto"/>
            <w:vAlign w:val="center"/>
          </w:tcPr>
          <w:p w:rsidR="00A6487C" w:rsidRDefault="00A6487C">
            <w:pPr>
              <w:spacing w:beforeLines="20" w:before="48" w:afterLines="20" w:after="48"/>
              <w:jc w:val="center"/>
              <w:rPr>
                <w:noProof/>
                <w:sz w:val="16"/>
                <w:szCs w:val="16"/>
              </w:rPr>
            </w:pPr>
          </w:p>
        </w:tc>
      </w:tr>
      <w:tr w:rsidR="00A6487C">
        <w:trPr>
          <w:trHeight w:val="289"/>
          <w:jc w:val="center"/>
        </w:trPr>
        <w:tc>
          <w:tcPr>
            <w:tcW w:w="2174" w:type="pct"/>
            <w:gridSpan w:val="2"/>
            <w:shd w:val="clear" w:color="auto" w:fill="auto"/>
            <w:vAlign w:val="center"/>
          </w:tcPr>
          <w:p w:rsidR="00A6487C" w:rsidRDefault="007E6C80">
            <w:pPr>
              <w:pStyle w:val="Text1"/>
              <w:spacing w:beforeLines="20" w:before="48" w:afterLines="20" w:after="48"/>
              <w:ind w:left="136"/>
              <w:jc w:val="left"/>
              <w:rPr>
                <w:noProof/>
                <w:sz w:val="16"/>
                <w:szCs w:val="16"/>
              </w:rPr>
            </w:pPr>
            <w:r>
              <w:rPr>
                <w:noProof/>
                <w:sz w:val="16"/>
              </w:rPr>
              <w:t xml:space="preserve">XX 01 02 02 (ZZ, MZ, VNE, DAZ a PED v delegáciách) </w:t>
            </w:r>
          </w:p>
          <w:p w:rsidR="00A6487C" w:rsidRDefault="00A6487C">
            <w:pPr>
              <w:pStyle w:val="Text1"/>
              <w:spacing w:beforeLines="20" w:before="48" w:afterLines="20" w:after="48"/>
              <w:ind w:left="136"/>
              <w:jc w:val="left"/>
              <w:rPr>
                <w:noProof/>
                <w:sz w:val="16"/>
                <w:szCs w:val="16"/>
              </w:rPr>
            </w:pPr>
          </w:p>
        </w:tc>
        <w:tc>
          <w:tcPr>
            <w:tcW w:w="623" w:type="pct"/>
            <w:shd w:val="clear" w:color="auto" w:fill="auto"/>
            <w:vAlign w:val="center"/>
          </w:tcPr>
          <w:p w:rsidR="00A6487C" w:rsidRDefault="00A6487C">
            <w:pPr>
              <w:spacing w:beforeLines="20" w:before="48" w:afterLines="20" w:after="48"/>
              <w:jc w:val="center"/>
              <w:rPr>
                <w:noProof/>
                <w:sz w:val="16"/>
                <w:szCs w:val="16"/>
              </w:rPr>
            </w:pPr>
          </w:p>
        </w:tc>
        <w:tc>
          <w:tcPr>
            <w:tcW w:w="604" w:type="pct"/>
            <w:shd w:val="clear" w:color="auto" w:fill="auto"/>
            <w:vAlign w:val="center"/>
          </w:tcPr>
          <w:p w:rsidR="00A6487C" w:rsidRDefault="00A6487C">
            <w:pPr>
              <w:spacing w:beforeLines="20" w:before="48" w:afterLines="20" w:after="48"/>
              <w:jc w:val="center"/>
              <w:rPr>
                <w:noProof/>
                <w:sz w:val="16"/>
                <w:szCs w:val="16"/>
              </w:rPr>
            </w:pPr>
          </w:p>
        </w:tc>
        <w:tc>
          <w:tcPr>
            <w:tcW w:w="572" w:type="pct"/>
            <w:shd w:val="clear" w:color="auto" w:fill="auto"/>
            <w:vAlign w:val="center"/>
          </w:tcPr>
          <w:p w:rsidR="00A6487C" w:rsidRDefault="00A6487C">
            <w:pPr>
              <w:spacing w:beforeLines="20" w:before="48" w:afterLines="20" w:after="48"/>
              <w:jc w:val="center"/>
              <w:rPr>
                <w:noProof/>
                <w:sz w:val="16"/>
                <w:szCs w:val="16"/>
              </w:rPr>
            </w:pPr>
          </w:p>
        </w:tc>
        <w:tc>
          <w:tcPr>
            <w:tcW w:w="626" w:type="pct"/>
            <w:shd w:val="clear" w:color="auto" w:fill="auto"/>
            <w:vAlign w:val="center"/>
          </w:tcPr>
          <w:p w:rsidR="00A6487C" w:rsidRDefault="00A6487C">
            <w:pPr>
              <w:spacing w:beforeLines="20" w:before="48" w:afterLines="20" w:after="48"/>
              <w:jc w:val="center"/>
              <w:rPr>
                <w:noProof/>
                <w:sz w:val="16"/>
                <w:szCs w:val="16"/>
              </w:rPr>
            </w:pPr>
          </w:p>
        </w:tc>
        <w:tc>
          <w:tcPr>
            <w:tcW w:w="134" w:type="pct"/>
            <w:shd w:val="clear" w:color="auto" w:fill="auto"/>
            <w:vAlign w:val="center"/>
          </w:tcPr>
          <w:p w:rsidR="00A6487C" w:rsidRDefault="00A6487C">
            <w:pPr>
              <w:spacing w:beforeLines="20" w:before="48" w:afterLines="20" w:after="48"/>
              <w:jc w:val="center"/>
              <w:rPr>
                <w:noProof/>
                <w:sz w:val="16"/>
                <w:szCs w:val="16"/>
              </w:rPr>
            </w:pPr>
          </w:p>
        </w:tc>
        <w:tc>
          <w:tcPr>
            <w:tcW w:w="134" w:type="pct"/>
            <w:shd w:val="clear" w:color="auto" w:fill="auto"/>
            <w:vAlign w:val="center"/>
          </w:tcPr>
          <w:p w:rsidR="00A6487C" w:rsidRDefault="00A6487C">
            <w:pPr>
              <w:spacing w:beforeLines="20" w:before="48" w:afterLines="20" w:after="48"/>
              <w:jc w:val="center"/>
              <w:rPr>
                <w:noProof/>
                <w:sz w:val="16"/>
                <w:szCs w:val="16"/>
              </w:rPr>
            </w:pPr>
          </w:p>
        </w:tc>
        <w:tc>
          <w:tcPr>
            <w:tcW w:w="132" w:type="pct"/>
            <w:shd w:val="clear" w:color="auto" w:fill="auto"/>
            <w:vAlign w:val="center"/>
          </w:tcPr>
          <w:p w:rsidR="00A6487C" w:rsidRDefault="00A6487C">
            <w:pPr>
              <w:spacing w:beforeLines="20" w:before="48" w:afterLines="20" w:after="48"/>
              <w:jc w:val="center"/>
              <w:rPr>
                <w:noProof/>
                <w:sz w:val="16"/>
                <w:szCs w:val="16"/>
              </w:rPr>
            </w:pPr>
          </w:p>
        </w:tc>
      </w:tr>
      <w:tr w:rsidR="00A6487C">
        <w:trPr>
          <w:trHeight w:val="289"/>
          <w:jc w:val="center"/>
        </w:trPr>
        <w:tc>
          <w:tcPr>
            <w:tcW w:w="1086" w:type="pct"/>
            <w:vMerge w:val="restart"/>
            <w:shd w:val="clear" w:color="auto" w:fill="auto"/>
            <w:vAlign w:val="center"/>
          </w:tcPr>
          <w:p w:rsidR="00A6487C" w:rsidRDefault="00A6487C">
            <w:pPr>
              <w:pStyle w:val="Text1"/>
              <w:spacing w:beforeLines="20" w:before="48" w:afterLines="20" w:after="48"/>
              <w:ind w:left="136"/>
              <w:jc w:val="left"/>
              <w:rPr>
                <w:noProof/>
                <w:sz w:val="16"/>
                <w:szCs w:val="16"/>
              </w:rPr>
            </w:pPr>
          </w:p>
          <w:p w:rsidR="00A6487C" w:rsidRDefault="00A6487C">
            <w:pPr>
              <w:pStyle w:val="Text1"/>
              <w:spacing w:beforeLines="20" w:before="48" w:afterLines="20" w:after="48"/>
              <w:ind w:left="136"/>
              <w:jc w:val="left"/>
              <w:rPr>
                <w:noProof/>
                <w:sz w:val="16"/>
                <w:szCs w:val="16"/>
              </w:rPr>
            </w:pPr>
          </w:p>
          <w:p w:rsidR="00A6487C" w:rsidRDefault="00A6487C">
            <w:pPr>
              <w:pStyle w:val="Text1"/>
              <w:spacing w:beforeLines="20" w:before="48" w:afterLines="20" w:after="48"/>
              <w:ind w:left="136"/>
              <w:jc w:val="left"/>
              <w:rPr>
                <w:noProof/>
                <w:sz w:val="16"/>
                <w:szCs w:val="16"/>
              </w:rPr>
            </w:pPr>
          </w:p>
          <w:p w:rsidR="00A6487C" w:rsidRDefault="007E6C80">
            <w:pPr>
              <w:pStyle w:val="Text1"/>
              <w:spacing w:beforeLines="20" w:before="48" w:afterLines="20" w:after="48"/>
              <w:ind w:left="136"/>
              <w:jc w:val="left"/>
              <w:rPr>
                <w:b/>
                <w:i/>
                <w:noProof/>
                <w:sz w:val="16"/>
              </w:rPr>
            </w:pPr>
            <w:r>
              <w:rPr>
                <w:noProof/>
                <w:sz w:val="16"/>
              </w:rPr>
              <w:t>19 01 04 01</w:t>
            </w:r>
            <w:r>
              <w:rPr>
                <w:b/>
                <w:i/>
                <w:noProof/>
                <w:sz w:val="16"/>
              </w:rPr>
              <w:t xml:space="preserve"> </w:t>
            </w:r>
            <w:r>
              <w:rPr>
                <w:rStyle w:val="FootnoteReference"/>
                <w:b/>
                <w:i/>
                <w:noProof/>
                <w:sz w:val="16"/>
              </w:rPr>
              <w:footnoteReference w:id="37"/>
            </w:r>
            <w:r>
              <w:rPr>
                <w:b/>
                <w:i/>
                <w:noProof/>
                <w:sz w:val="16"/>
              </w:rPr>
              <w:t xml:space="preserve"> </w:t>
            </w:r>
          </w:p>
          <w:p w:rsidR="00A6487C" w:rsidRDefault="00A6487C">
            <w:pPr>
              <w:pStyle w:val="Text1"/>
              <w:spacing w:beforeLines="20" w:before="48" w:afterLines="20" w:after="48"/>
              <w:ind w:left="136"/>
              <w:jc w:val="left"/>
              <w:rPr>
                <w:b/>
                <w:noProof/>
                <w:sz w:val="16"/>
                <w:szCs w:val="16"/>
              </w:rPr>
            </w:pPr>
          </w:p>
        </w:tc>
        <w:tc>
          <w:tcPr>
            <w:tcW w:w="1088" w:type="pct"/>
            <w:shd w:val="clear" w:color="auto" w:fill="auto"/>
            <w:vAlign w:val="center"/>
          </w:tcPr>
          <w:p w:rsidR="00A6487C" w:rsidRDefault="007E6C80">
            <w:pPr>
              <w:pStyle w:val="Text1"/>
              <w:spacing w:beforeLines="20" w:before="48" w:afterLines="20" w:after="48"/>
              <w:ind w:left="136"/>
              <w:jc w:val="left"/>
              <w:rPr>
                <w:b/>
                <w:noProof/>
                <w:sz w:val="16"/>
                <w:szCs w:val="16"/>
              </w:rPr>
            </w:pPr>
            <w:r>
              <w:rPr>
                <w:noProof/>
                <w:sz w:val="16"/>
              </w:rPr>
              <w:t>– na ústredí</w:t>
            </w:r>
          </w:p>
          <w:p w:rsidR="00A6487C" w:rsidRDefault="00A6487C">
            <w:pPr>
              <w:pStyle w:val="Text1"/>
              <w:spacing w:beforeLines="20" w:before="48" w:afterLines="20" w:after="48"/>
              <w:ind w:left="136"/>
              <w:jc w:val="left"/>
              <w:rPr>
                <w:b/>
                <w:noProof/>
                <w:sz w:val="16"/>
                <w:szCs w:val="16"/>
              </w:rPr>
            </w:pPr>
          </w:p>
        </w:tc>
        <w:tc>
          <w:tcPr>
            <w:tcW w:w="623" w:type="pct"/>
            <w:shd w:val="clear" w:color="auto" w:fill="auto"/>
            <w:vAlign w:val="center"/>
          </w:tcPr>
          <w:p w:rsidR="00A6487C" w:rsidRDefault="00A6487C">
            <w:pPr>
              <w:pStyle w:val="Text1"/>
              <w:spacing w:beforeLines="20" w:before="48" w:afterLines="20" w:after="48"/>
              <w:ind w:left="0"/>
              <w:rPr>
                <w:noProof/>
                <w:sz w:val="16"/>
                <w:szCs w:val="16"/>
              </w:rPr>
            </w:pPr>
          </w:p>
        </w:tc>
        <w:tc>
          <w:tcPr>
            <w:tcW w:w="604" w:type="pct"/>
            <w:shd w:val="clear" w:color="auto" w:fill="auto"/>
            <w:vAlign w:val="center"/>
          </w:tcPr>
          <w:p w:rsidR="00A6487C" w:rsidRDefault="00A6487C">
            <w:pPr>
              <w:spacing w:beforeLines="20" w:before="48" w:afterLines="20" w:after="48"/>
              <w:jc w:val="center"/>
              <w:rPr>
                <w:noProof/>
                <w:sz w:val="16"/>
                <w:szCs w:val="16"/>
              </w:rPr>
            </w:pPr>
          </w:p>
        </w:tc>
        <w:tc>
          <w:tcPr>
            <w:tcW w:w="572" w:type="pct"/>
            <w:shd w:val="clear" w:color="auto" w:fill="auto"/>
            <w:vAlign w:val="center"/>
          </w:tcPr>
          <w:p w:rsidR="00A6487C" w:rsidRDefault="00A6487C">
            <w:pPr>
              <w:spacing w:beforeLines="20" w:before="48" w:afterLines="20" w:after="48"/>
              <w:jc w:val="center"/>
              <w:rPr>
                <w:noProof/>
                <w:sz w:val="16"/>
                <w:szCs w:val="16"/>
              </w:rPr>
            </w:pPr>
          </w:p>
        </w:tc>
        <w:tc>
          <w:tcPr>
            <w:tcW w:w="626" w:type="pct"/>
            <w:shd w:val="clear" w:color="auto" w:fill="auto"/>
            <w:vAlign w:val="center"/>
          </w:tcPr>
          <w:p w:rsidR="00A6487C" w:rsidRDefault="00A6487C">
            <w:pPr>
              <w:spacing w:beforeLines="20" w:before="48" w:afterLines="20" w:after="48"/>
              <w:jc w:val="center"/>
              <w:rPr>
                <w:noProof/>
                <w:sz w:val="16"/>
                <w:szCs w:val="16"/>
              </w:rPr>
            </w:pPr>
          </w:p>
        </w:tc>
        <w:tc>
          <w:tcPr>
            <w:tcW w:w="134" w:type="pct"/>
            <w:shd w:val="clear" w:color="auto" w:fill="auto"/>
            <w:vAlign w:val="center"/>
          </w:tcPr>
          <w:p w:rsidR="00A6487C" w:rsidRDefault="00A6487C">
            <w:pPr>
              <w:spacing w:beforeLines="20" w:before="48" w:afterLines="20" w:after="48"/>
              <w:jc w:val="center"/>
              <w:rPr>
                <w:noProof/>
                <w:sz w:val="16"/>
                <w:szCs w:val="16"/>
              </w:rPr>
            </w:pPr>
          </w:p>
        </w:tc>
        <w:tc>
          <w:tcPr>
            <w:tcW w:w="134" w:type="pct"/>
            <w:shd w:val="clear" w:color="auto" w:fill="auto"/>
            <w:vAlign w:val="center"/>
          </w:tcPr>
          <w:p w:rsidR="00A6487C" w:rsidRDefault="00A6487C">
            <w:pPr>
              <w:spacing w:beforeLines="20" w:before="48" w:afterLines="20" w:after="48"/>
              <w:jc w:val="center"/>
              <w:rPr>
                <w:noProof/>
                <w:sz w:val="16"/>
                <w:szCs w:val="16"/>
              </w:rPr>
            </w:pPr>
          </w:p>
        </w:tc>
        <w:tc>
          <w:tcPr>
            <w:tcW w:w="132" w:type="pct"/>
            <w:shd w:val="clear" w:color="auto" w:fill="auto"/>
            <w:vAlign w:val="center"/>
          </w:tcPr>
          <w:p w:rsidR="00A6487C" w:rsidRDefault="00A6487C">
            <w:pPr>
              <w:spacing w:beforeLines="20" w:before="48" w:afterLines="20" w:after="48"/>
              <w:jc w:val="center"/>
              <w:rPr>
                <w:noProof/>
                <w:sz w:val="16"/>
                <w:szCs w:val="16"/>
              </w:rPr>
            </w:pPr>
          </w:p>
        </w:tc>
      </w:tr>
      <w:tr w:rsidR="00A6487C">
        <w:trPr>
          <w:trHeight w:val="289"/>
          <w:jc w:val="center"/>
        </w:trPr>
        <w:tc>
          <w:tcPr>
            <w:tcW w:w="1086" w:type="pct"/>
            <w:vMerge/>
            <w:shd w:val="clear" w:color="auto" w:fill="auto"/>
            <w:vAlign w:val="center"/>
          </w:tcPr>
          <w:p w:rsidR="00A6487C" w:rsidRDefault="00A6487C">
            <w:pPr>
              <w:pStyle w:val="Text1"/>
              <w:spacing w:beforeLines="20" w:before="48" w:afterLines="20" w:after="48"/>
              <w:ind w:left="136"/>
              <w:jc w:val="left"/>
              <w:rPr>
                <w:b/>
                <w:noProof/>
                <w:sz w:val="16"/>
                <w:szCs w:val="16"/>
              </w:rPr>
            </w:pPr>
          </w:p>
        </w:tc>
        <w:tc>
          <w:tcPr>
            <w:tcW w:w="1088" w:type="pct"/>
            <w:shd w:val="clear" w:color="auto" w:fill="auto"/>
            <w:vAlign w:val="center"/>
          </w:tcPr>
          <w:p w:rsidR="00A6487C" w:rsidRDefault="007E6C80">
            <w:pPr>
              <w:pStyle w:val="Text1"/>
              <w:spacing w:beforeLines="20" w:before="48" w:afterLines="20" w:after="48"/>
              <w:ind w:left="136"/>
              <w:jc w:val="left"/>
              <w:rPr>
                <w:b/>
                <w:noProof/>
                <w:sz w:val="16"/>
                <w:szCs w:val="16"/>
              </w:rPr>
            </w:pPr>
            <w:r>
              <w:rPr>
                <w:noProof/>
                <w:sz w:val="16"/>
              </w:rPr>
              <w:t xml:space="preserve">– v delegáciách </w:t>
            </w:r>
          </w:p>
        </w:tc>
        <w:tc>
          <w:tcPr>
            <w:tcW w:w="623" w:type="pct"/>
            <w:shd w:val="clear" w:color="auto" w:fill="auto"/>
            <w:vAlign w:val="center"/>
          </w:tcPr>
          <w:p w:rsidR="00A6487C" w:rsidRDefault="007E6C80">
            <w:pPr>
              <w:pStyle w:val="Text1"/>
              <w:spacing w:beforeLines="20" w:before="48" w:afterLines="20" w:after="48"/>
              <w:ind w:left="0"/>
              <w:jc w:val="center"/>
              <w:rPr>
                <w:noProof/>
                <w:sz w:val="16"/>
                <w:szCs w:val="16"/>
              </w:rPr>
            </w:pPr>
            <w:r>
              <w:rPr>
                <w:noProof/>
                <w:sz w:val="16"/>
              </w:rPr>
              <w:t>3</w:t>
            </w:r>
          </w:p>
          <w:p w:rsidR="00A6487C" w:rsidRDefault="00A6487C">
            <w:pPr>
              <w:pStyle w:val="Text1"/>
              <w:spacing w:beforeLines="20" w:before="48" w:afterLines="20" w:after="48"/>
              <w:ind w:left="0"/>
              <w:rPr>
                <w:noProof/>
                <w:sz w:val="16"/>
                <w:szCs w:val="16"/>
              </w:rPr>
            </w:pPr>
          </w:p>
        </w:tc>
        <w:tc>
          <w:tcPr>
            <w:tcW w:w="604" w:type="pct"/>
            <w:shd w:val="clear" w:color="auto" w:fill="auto"/>
            <w:vAlign w:val="center"/>
          </w:tcPr>
          <w:p w:rsidR="00A6487C" w:rsidRDefault="007E6C80">
            <w:pPr>
              <w:spacing w:beforeLines="20" w:before="48" w:afterLines="20" w:after="48"/>
              <w:jc w:val="center"/>
              <w:rPr>
                <w:noProof/>
                <w:sz w:val="16"/>
                <w:szCs w:val="16"/>
              </w:rPr>
            </w:pPr>
            <w:r>
              <w:rPr>
                <w:noProof/>
                <w:sz w:val="16"/>
              </w:rPr>
              <w:t>3</w:t>
            </w:r>
          </w:p>
          <w:p w:rsidR="00A6487C" w:rsidRDefault="00A6487C">
            <w:pPr>
              <w:spacing w:beforeLines="20" w:before="48" w:afterLines="20" w:after="48"/>
              <w:jc w:val="center"/>
              <w:rPr>
                <w:noProof/>
                <w:sz w:val="16"/>
                <w:szCs w:val="16"/>
              </w:rPr>
            </w:pPr>
          </w:p>
        </w:tc>
        <w:tc>
          <w:tcPr>
            <w:tcW w:w="572" w:type="pct"/>
            <w:shd w:val="clear" w:color="auto" w:fill="auto"/>
            <w:vAlign w:val="center"/>
          </w:tcPr>
          <w:p w:rsidR="00A6487C" w:rsidRDefault="007E6C80">
            <w:pPr>
              <w:spacing w:beforeLines="20" w:before="48" w:afterLines="20" w:after="48"/>
              <w:jc w:val="center"/>
              <w:rPr>
                <w:noProof/>
                <w:sz w:val="16"/>
                <w:szCs w:val="16"/>
              </w:rPr>
            </w:pPr>
            <w:r>
              <w:rPr>
                <w:noProof/>
                <w:sz w:val="16"/>
              </w:rPr>
              <w:t>3</w:t>
            </w:r>
          </w:p>
          <w:p w:rsidR="00A6487C" w:rsidRDefault="00A6487C">
            <w:pPr>
              <w:spacing w:beforeLines="20" w:before="48" w:afterLines="20" w:after="48"/>
              <w:jc w:val="center"/>
              <w:rPr>
                <w:noProof/>
                <w:sz w:val="16"/>
                <w:szCs w:val="16"/>
              </w:rPr>
            </w:pPr>
          </w:p>
        </w:tc>
        <w:tc>
          <w:tcPr>
            <w:tcW w:w="626" w:type="pct"/>
            <w:shd w:val="clear" w:color="auto" w:fill="auto"/>
            <w:vAlign w:val="center"/>
          </w:tcPr>
          <w:p w:rsidR="00A6487C" w:rsidRDefault="007E6C80">
            <w:pPr>
              <w:spacing w:beforeLines="20" w:before="48" w:afterLines="20" w:after="48"/>
              <w:jc w:val="center"/>
              <w:rPr>
                <w:noProof/>
                <w:sz w:val="16"/>
                <w:szCs w:val="16"/>
              </w:rPr>
            </w:pPr>
            <w:r>
              <w:rPr>
                <w:noProof/>
                <w:sz w:val="16"/>
              </w:rPr>
              <w:t>3</w:t>
            </w:r>
          </w:p>
          <w:p w:rsidR="00A6487C" w:rsidRDefault="00A6487C">
            <w:pPr>
              <w:spacing w:beforeLines="20" w:before="48" w:afterLines="20" w:after="48"/>
              <w:jc w:val="center"/>
              <w:rPr>
                <w:noProof/>
                <w:sz w:val="16"/>
                <w:szCs w:val="16"/>
              </w:rPr>
            </w:pPr>
          </w:p>
        </w:tc>
        <w:tc>
          <w:tcPr>
            <w:tcW w:w="134" w:type="pct"/>
            <w:shd w:val="clear" w:color="auto" w:fill="auto"/>
            <w:vAlign w:val="center"/>
          </w:tcPr>
          <w:p w:rsidR="00A6487C" w:rsidRDefault="00A6487C">
            <w:pPr>
              <w:spacing w:beforeLines="20" w:before="48" w:afterLines="20" w:after="48"/>
              <w:jc w:val="center"/>
              <w:rPr>
                <w:noProof/>
                <w:sz w:val="16"/>
                <w:szCs w:val="16"/>
              </w:rPr>
            </w:pPr>
          </w:p>
        </w:tc>
        <w:tc>
          <w:tcPr>
            <w:tcW w:w="134" w:type="pct"/>
            <w:shd w:val="clear" w:color="auto" w:fill="auto"/>
            <w:vAlign w:val="center"/>
          </w:tcPr>
          <w:p w:rsidR="00A6487C" w:rsidRDefault="00A6487C">
            <w:pPr>
              <w:spacing w:beforeLines="20" w:before="48" w:afterLines="20" w:after="48"/>
              <w:jc w:val="center"/>
              <w:rPr>
                <w:noProof/>
                <w:sz w:val="16"/>
                <w:szCs w:val="16"/>
              </w:rPr>
            </w:pPr>
          </w:p>
        </w:tc>
        <w:tc>
          <w:tcPr>
            <w:tcW w:w="132" w:type="pct"/>
            <w:shd w:val="clear" w:color="auto" w:fill="auto"/>
            <w:vAlign w:val="center"/>
          </w:tcPr>
          <w:p w:rsidR="00A6487C" w:rsidRDefault="00A6487C">
            <w:pPr>
              <w:spacing w:beforeLines="20" w:before="48" w:afterLines="20" w:after="48"/>
              <w:jc w:val="center"/>
              <w:rPr>
                <w:noProof/>
                <w:sz w:val="16"/>
                <w:szCs w:val="16"/>
              </w:rPr>
            </w:pPr>
          </w:p>
        </w:tc>
      </w:tr>
      <w:tr w:rsidR="00A6487C">
        <w:trPr>
          <w:trHeight w:val="289"/>
          <w:jc w:val="center"/>
        </w:trPr>
        <w:tc>
          <w:tcPr>
            <w:tcW w:w="2174" w:type="pct"/>
            <w:gridSpan w:val="2"/>
            <w:shd w:val="clear" w:color="auto" w:fill="auto"/>
            <w:vAlign w:val="center"/>
          </w:tcPr>
          <w:p w:rsidR="00A6487C" w:rsidRDefault="007E6C80">
            <w:pPr>
              <w:pStyle w:val="Text1"/>
              <w:spacing w:beforeLines="20" w:before="48" w:afterLines="20" w:after="48"/>
              <w:ind w:left="136"/>
              <w:jc w:val="left"/>
              <w:rPr>
                <w:noProof/>
                <w:sz w:val="16"/>
                <w:szCs w:val="16"/>
              </w:rPr>
            </w:pPr>
            <w:r>
              <w:rPr>
                <w:b/>
                <w:noProof/>
                <w:sz w:val="16"/>
              </w:rPr>
              <w:t>XX</w:t>
            </w:r>
            <w:r>
              <w:rPr>
                <w:noProof/>
                <w:sz w:val="16"/>
              </w:rPr>
              <w:t xml:space="preserve"> 01 05 02 (ZZ, VNE, DAZ – nepriamy výskum)</w:t>
            </w:r>
          </w:p>
        </w:tc>
        <w:tc>
          <w:tcPr>
            <w:tcW w:w="623" w:type="pct"/>
            <w:shd w:val="clear" w:color="auto" w:fill="auto"/>
            <w:vAlign w:val="center"/>
          </w:tcPr>
          <w:p w:rsidR="00A6487C" w:rsidRDefault="00A6487C">
            <w:pPr>
              <w:spacing w:beforeLines="20" w:before="48" w:afterLines="20" w:after="48"/>
              <w:jc w:val="center"/>
              <w:rPr>
                <w:noProof/>
                <w:sz w:val="16"/>
                <w:szCs w:val="16"/>
              </w:rPr>
            </w:pPr>
          </w:p>
        </w:tc>
        <w:tc>
          <w:tcPr>
            <w:tcW w:w="604" w:type="pct"/>
            <w:shd w:val="clear" w:color="auto" w:fill="auto"/>
            <w:vAlign w:val="center"/>
          </w:tcPr>
          <w:p w:rsidR="00A6487C" w:rsidRDefault="00A6487C">
            <w:pPr>
              <w:spacing w:beforeLines="20" w:before="48" w:afterLines="20" w:after="48"/>
              <w:jc w:val="center"/>
              <w:rPr>
                <w:noProof/>
                <w:sz w:val="16"/>
                <w:szCs w:val="16"/>
              </w:rPr>
            </w:pPr>
          </w:p>
        </w:tc>
        <w:tc>
          <w:tcPr>
            <w:tcW w:w="572" w:type="pct"/>
            <w:shd w:val="clear" w:color="auto" w:fill="auto"/>
            <w:vAlign w:val="center"/>
          </w:tcPr>
          <w:p w:rsidR="00A6487C" w:rsidRDefault="00A6487C">
            <w:pPr>
              <w:spacing w:beforeLines="20" w:before="48" w:afterLines="20" w:after="48"/>
              <w:jc w:val="center"/>
              <w:rPr>
                <w:noProof/>
                <w:sz w:val="16"/>
                <w:szCs w:val="16"/>
              </w:rPr>
            </w:pPr>
          </w:p>
        </w:tc>
        <w:tc>
          <w:tcPr>
            <w:tcW w:w="626" w:type="pct"/>
            <w:shd w:val="clear" w:color="auto" w:fill="auto"/>
            <w:vAlign w:val="center"/>
          </w:tcPr>
          <w:p w:rsidR="00A6487C" w:rsidRDefault="00A6487C">
            <w:pPr>
              <w:spacing w:beforeLines="20" w:before="48" w:afterLines="20" w:after="48"/>
              <w:jc w:val="center"/>
              <w:rPr>
                <w:noProof/>
                <w:sz w:val="16"/>
                <w:szCs w:val="16"/>
              </w:rPr>
            </w:pPr>
          </w:p>
        </w:tc>
        <w:tc>
          <w:tcPr>
            <w:tcW w:w="134" w:type="pct"/>
            <w:shd w:val="clear" w:color="auto" w:fill="auto"/>
            <w:vAlign w:val="center"/>
          </w:tcPr>
          <w:p w:rsidR="00A6487C" w:rsidRDefault="00A6487C">
            <w:pPr>
              <w:spacing w:beforeLines="20" w:before="48" w:afterLines="20" w:after="48"/>
              <w:jc w:val="center"/>
              <w:rPr>
                <w:noProof/>
                <w:sz w:val="16"/>
                <w:szCs w:val="16"/>
              </w:rPr>
            </w:pPr>
          </w:p>
        </w:tc>
        <w:tc>
          <w:tcPr>
            <w:tcW w:w="134" w:type="pct"/>
            <w:shd w:val="clear" w:color="auto" w:fill="auto"/>
            <w:vAlign w:val="center"/>
          </w:tcPr>
          <w:p w:rsidR="00A6487C" w:rsidRDefault="00A6487C">
            <w:pPr>
              <w:spacing w:beforeLines="20" w:before="48" w:afterLines="20" w:after="48"/>
              <w:jc w:val="center"/>
              <w:rPr>
                <w:noProof/>
                <w:sz w:val="16"/>
                <w:szCs w:val="16"/>
              </w:rPr>
            </w:pPr>
          </w:p>
        </w:tc>
        <w:tc>
          <w:tcPr>
            <w:tcW w:w="132" w:type="pct"/>
            <w:shd w:val="clear" w:color="auto" w:fill="auto"/>
            <w:vAlign w:val="center"/>
          </w:tcPr>
          <w:p w:rsidR="00A6487C" w:rsidRDefault="00A6487C">
            <w:pPr>
              <w:spacing w:beforeLines="20" w:before="48" w:afterLines="20" w:after="48"/>
              <w:jc w:val="center"/>
              <w:rPr>
                <w:noProof/>
                <w:sz w:val="16"/>
                <w:szCs w:val="16"/>
              </w:rPr>
            </w:pPr>
          </w:p>
        </w:tc>
      </w:tr>
      <w:tr w:rsidR="00A6487C">
        <w:trPr>
          <w:trHeight w:val="289"/>
          <w:jc w:val="center"/>
        </w:trPr>
        <w:tc>
          <w:tcPr>
            <w:tcW w:w="2174" w:type="pct"/>
            <w:gridSpan w:val="2"/>
            <w:shd w:val="clear" w:color="auto" w:fill="auto"/>
            <w:vAlign w:val="center"/>
          </w:tcPr>
          <w:p w:rsidR="00A6487C" w:rsidRDefault="007E6C80">
            <w:pPr>
              <w:pStyle w:val="Text1"/>
              <w:spacing w:beforeLines="20" w:before="48" w:afterLines="20" w:after="48"/>
              <w:ind w:left="136"/>
              <w:jc w:val="left"/>
              <w:rPr>
                <w:noProof/>
                <w:sz w:val="16"/>
                <w:szCs w:val="16"/>
              </w:rPr>
            </w:pPr>
            <w:r>
              <w:rPr>
                <w:noProof/>
                <w:sz w:val="16"/>
              </w:rPr>
              <w:t>10 01 05 02 (ZZ, VNE, DAZ – priamy výskum)</w:t>
            </w:r>
          </w:p>
        </w:tc>
        <w:tc>
          <w:tcPr>
            <w:tcW w:w="623" w:type="pct"/>
            <w:shd w:val="clear" w:color="auto" w:fill="auto"/>
            <w:vAlign w:val="center"/>
          </w:tcPr>
          <w:p w:rsidR="00A6487C" w:rsidRDefault="00A6487C">
            <w:pPr>
              <w:spacing w:beforeLines="20" w:before="48" w:afterLines="20" w:after="48"/>
              <w:jc w:val="center"/>
              <w:rPr>
                <w:noProof/>
                <w:sz w:val="16"/>
                <w:szCs w:val="16"/>
              </w:rPr>
            </w:pPr>
          </w:p>
        </w:tc>
        <w:tc>
          <w:tcPr>
            <w:tcW w:w="604" w:type="pct"/>
            <w:shd w:val="clear" w:color="auto" w:fill="auto"/>
            <w:vAlign w:val="center"/>
          </w:tcPr>
          <w:p w:rsidR="00A6487C" w:rsidRDefault="00A6487C">
            <w:pPr>
              <w:spacing w:beforeLines="20" w:before="48" w:afterLines="20" w:after="48"/>
              <w:jc w:val="center"/>
              <w:rPr>
                <w:noProof/>
                <w:sz w:val="16"/>
                <w:szCs w:val="16"/>
              </w:rPr>
            </w:pPr>
          </w:p>
        </w:tc>
        <w:tc>
          <w:tcPr>
            <w:tcW w:w="572" w:type="pct"/>
            <w:shd w:val="clear" w:color="auto" w:fill="auto"/>
            <w:vAlign w:val="center"/>
          </w:tcPr>
          <w:p w:rsidR="00A6487C" w:rsidRDefault="00A6487C">
            <w:pPr>
              <w:spacing w:beforeLines="20" w:before="48" w:afterLines="20" w:after="48"/>
              <w:jc w:val="center"/>
              <w:rPr>
                <w:noProof/>
                <w:sz w:val="16"/>
                <w:szCs w:val="16"/>
              </w:rPr>
            </w:pPr>
          </w:p>
        </w:tc>
        <w:tc>
          <w:tcPr>
            <w:tcW w:w="626" w:type="pct"/>
            <w:shd w:val="clear" w:color="auto" w:fill="auto"/>
            <w:vAlign w:val="center"/>
          </w:tcPr>
          <w:p w:rsidR="00A6487C" w:rsidRDefault="00A6487C">
            <w:pPr>
              <w:spacing w:beforeLines="20" w:before="48" w:afterLines="20" w:after="48"/>
              <w:jc w:val="center"/>
              <w:rPr>
                <w:noProof/>
                <w:sz w:val="16"/>
                <w:szCs w:val="16"/>
              </w:rPr>
            </w:pPr>
          </w:p>
        </w:tc>
        <w:tc>
          <w:tcPr>
            <w:tcW w:w="134" w:type="pct"/>
            <w:shd w:val="clear" w:color="auto" w:fill="auto"/>
            <w:vAlign w:val="center"/>
          </w:tcPr>
          <w:p w:rsidR="00A6487C" w:rsidRDefault="00A6487C">
            <w:pPr>
              <w:spacing w:beforeLines="20" w:before="48" w:afterLines="20" w:after="48"/>
              <w:jc w:val="center"/>
              <w:rPr>
                <w:noProof/>
                <w:sz w:val="16"/>
                <w:szCs w:val="16"/>
              </w:rPr>
            </w:pPr>
          </w:p>
        </w:tc>
        <w:tc>
          <w:tcPr>
            <w:tcW w:w="134" w:type="pct"/>
            <w:shd w:val="clear" w:color="auto" w:fill="auto"/>
            <w:vAlign w:val="center"/>
          </w:tcPr>
          <w:p w:rsidR="00A6487C" w:rsidRDefault="00A6487C">
            <w:pPr>
              <w:spacing w:beforeLines="20" w:before="48" w:afterLines="20" w:after="48"/>
              <w:jc w:val="center"/>
              <w:rPr>
                <w:noProof/>
                <w:sz w:val="16"/>
                <w:szCs w:val="16"/>
              </w:rPr>
            </w:pPr>
          </w:p>
        </w:tc>
        <w:tc>
          <w:tcPr>
            <w:tcW w:w="132" w:type="pct"/>
            <w:shd w:val="clear" w:color="auto" w:fill="auto"/>
            <w:vAlign w:val="center"/>
          </w:tcPr>
          <w:p w:rsidR="00A6487C" w:rsidRDefault="00A6487C">
            <w:pPr>
              <w:spacing w:beforeLines="20" w:before="48" w:afterLines="20" w:after="48"/>
              <w:jc w:val="center"/>
              <w:rPr>
                <w:noProof/>
                <w:sz w:val="16"/>
                <w:szCs w:val="16"/>
              </w:rPr>
            </w:pPr>
          </w:p>
        </w:tc>
      </w:tr>
      <w:tr w:rsidR="00A6487C">
        <w:trPr>
          <w:trHeight w:val="289"/>
          <w:jc w:val="center"/>
        </w:trPr>
        <w:tc>
          <w:tcPr>
            <w:tcW w:w="2174" w:type="pct"/>
            <w:gridSpan w:val="2"/>
            <w:tcBorders>
              <w:bottom w:val="double" w:sz="4" w:space="0" w:color="auto"/>
            </w:tcBorders>
            <w:shd w:val="clear" w:color="auto" w:fill="auto"/>
            <w:vAlign w:val="center"/>
          </w:tcPr>
          <w:p w:rsidR="00A6487C" w:rsidRDefault="007E6C80">
            <w:pPr>
              <w:pStyle w:val="Text1"/>
              <w:spacing w:beforeLines="20" w:before="48" w:afterLines="20" w:after="48"/>
              <w:ind w:left="134"/>
              <w:jc w:val="left"/>
              <w:rPr>
                <w:noProof/>
                <w:sz w:val="16"/>
                <w:szCs w:val="16"/>
              </w:rPr>
            </w:pPr>
            <w:r>
              <w:rPr>
                <w:noProof/>
                <w:sz w:val="16"/>
              </w:rPr>
              <w:t>Iné rozpočtové riadky (uveďte)</w:t>
            </w:r>
          </w:p>
        </w:tc>
        <w:tc>
          <w:tcPr>
            <w:tcW w:w="623" w:type="pct"/>
            <w:tcBorders>
              <w:bottom w:val="double" w:sz="4" w:space="0" w:color="auto"/>
            </w:tcBorders>
            <w:shd w:val="clear" w:color="auto" w:fill="auto"/>
            <w:vAlign w:val="center"/>
          </w:tcPr>
          <w:p w:rsidR="00A6487C" w:rsidRDefault="00A6487C">
            <w:pPr>
              <w:spacing w:beforeLines="20" w:before="48" w:afterLines="20" w:after="48"/>
              <w:jc w:val="center"/>
              <w:rPr>
                <w:noProof/>
                <w:sz w:val="16"/>
                <w:szCs w:val="16"/>
              </w:rPr>
            </w:pPr>
          </w:p>
        </w:tc>
        <w:tc>
          <w:tcPr>
            <w:tcW w:w="604" w:type="pct"/>
            <w:tcBorders>
              <w:bottom w:val="double" w:sz="4" w:space="0" w:color="auto"/>
            </w:tcBorders>
            <w:shd w:val="clear" w:color="auto" w:fill="auto"/>
            <w:vAlign w:val="center"/>
          </w:tcPr>
          <w:p w:rsidR="00A6487C" w:rsidRDefault="00A6487C">
            <w:pPr>
              <w:spacing w:beforeLines="20" w:before="48" w:afterLines="20" w:after="48"/>
              <w:jc w:val="center"/>
              <w:rPr>
                <w:noProof/>
                <w:sz w:val="16"/>
                <w:szCs w:val="16"/>
              </w:rPr>
            </w:pPr>
          </w:p>
        </w:tc>
        <w:tc>
          <w:tcPr>
            <w:tcW w:w="572" w:type="pct"/>
            <w:tcBorders>
              <w:bottom w:val="double" w:sz="4" w:space="0" w:color="auto"/>
            </w:tcBorders>
            <w:shd w:val="clear" w:color="auto" w:fill="auto"/>
            <w:vAlign w:val="center"/>
          </w:tcPr>
          <w:p w:rsidR="00A6487C" w:rsidRDefault="00A6487C">
            <w:pPr>
              <w:spacing w:beforeLines="20" w:before="48" w:afterLines="20" w:after="48"/>
              <w:jc w:val="center"/>
              <w:rPr>
                <w:noProof/>
                <w:sz w:val="16"/>
                <w:szCs w:val="16"/>
              </w:rPr>
            </w:pPr>
          </w:p>
        </w:tc>
        <w:tc>
          <w:tcPr>
            <w:tcW w:w="626" w:type="pct"/>
            <w:tcBorders>
              <w:bottom w:val="double" w:sz="4" w:space="0" w:color="auto"/>
            </w:tcBorders>
            <w:shd w:val="clear" w:color="auto" w:fill="auto"/>
            <w:vAlign w:val="center"/>
          </w:tcPr>
          <w:p w:rsidR="00A6487C" w:rsidRDefault="00A6487C">
            <w:pPr>
              <w:spacing w:beforeLines="20" w:before="48" w:afterLines="20" w:after="48"/>
              <w:jc w:val="center"/>
              <w:rPr>
                <w:noProof/>
                <w:sz w:val="16"/>
                <w:szCs w:val="16"/>
              </w:rPr>
            </w:pPr>
          </w:p>
        </w:tc>
        <w:tc>
          <w:tcPr>
            <w:tcW w:w="134" w:type="pct"/>
            <w:tcBorders>
              <w:bottom w:val="double" w:sz="4" w:space="0" w:color="auto"/>
            </w:tcBorders>
            <w:shd w:val="clear" w:color="auto" w:fill="auto"/>
            <w:vAlign w:val="center"/>
          </w:tcPr>
          <w:p w:rsidR="00A6487C" w:rsidRDefault="00A6487C">
            <w:pPr>
              <w:spacing w:beforeLines="20" w:before="48" w:afterLines="20" w:after="48"/>
              <w:jc w:val="center"/>
              <w:rPr>
                <w:noProof/>
                <w:sz w:val="16"/>
                <w:szCs w:val="16"/>
              </w:rPr>
            </w:pPr>
          </w:p>
        </w:tc>
        <w:tc>
          <w:tcPr>
            <w:tcW w:w="134" w:type="pct"/>
            <w:tcBorders>
              <w:bottom w:val="double" w:sz="4" w:space="0" w:color="auto"/>
            </w:tcBorders>
            <w:shd w:val="clear" w:color="auto" w:fill="auto"/>
            <w:vAlign w:val="center"/>
          </w:tcPr>
          <w:p w:rsidR="00A6487C" w:rsidRDefault="00A6487C">
            <w:pPr>
              <w:spacing w:beforeLines="20" w:before="48" w:afterLines="20" w:after="48"/>
              <w:jc w:val="center"/>
              <w:rPr>
                <w:noProof/>
                <w:sz w:val="16"/>
                <w:szCs w:val="16"/>
              </w:rPr>
            </w:pPr>
          </w:p>
        </w:tc>
        <w:tc>
          <w:tcPr>
            <w:tcW w:w="132" w:type="pct"/>
            <w:tcBorders>
              <w:bottom w:val="double" w:sz="4" w:space="0" w:color="auto"/>
            </w:tcBorders>
            <w:shd w:val="clear" w:color="auto" w:fill="auto"/>
            <w:vAlign w:val="center"/>
          </w:tcPr>
          <w:p w:rsidR="00A6487C" w:rsidRDefault="00A6487C">
            <w:pPr>
              <w:spacing w:beforeLines="20" w:before="48" w:afterLines="20" w:after="48"/>
              <w:jc w:val="center"/>
              <w:rPr>
                <w:noProof/>
                <w:sz w:val="16"/>
                <w:szCs w:val="16"/>
              </w:rPr>
            </w:pPr>
          </w:p>
        </w:tc>
      </w:tr>
      <w:tr w:rsidR="00A6487C">
        <w:trPr>
          <w:trHeight w:val="289"/>
          <w:jc w:val="center"/>
        </w:trPr>
        <w:tc>
          <w:tcPr>
            <w:tcW w:w="2174" w:type="pct"/>
            <w:gridSpan w:val="2"/>
            <w:tcBorders>
              <w:top w:val="double" w:sz="4" w:space="0" w:color="auto"/>
            </w:tcBorders>
            <w:shd w:val="clear" w:color="auto" w:fill="auto"/>
            <w:vAlign w:val="center"/>
          </w:tcPr>
          <w:p w:rsidR="00A6487C" w:rsidRDefault="007E6C80">
            <w:pPr>
              <w:pStyle w:val="Text1"/>
              <w:spacing w:beforeLines="20" w:before="48" w:afterLines="20" w:after="48"/>
              <w:ind w:left="136"/>
              <w:jc w:val="left"/>
              <w:rPr>
                <w:noProof/>
                <w:sz w:val="16"/>
                <w:szCs w:val="16"/>
              </w:rPr>
            </w:pPr>
            <w:r>
              <w:rPr>
                <w:b/>
                <w:noProof/>
                <w:sz w:val="16"/>
              </w:rPr>
              <w:t>SPOLU</w:t>
            </w:r>
          </w:p>
        </w:tc>
        <w:tc>
          <w:tcPr>
            <w:tcW w:w="623" w:type="pct"/>
            <w:tcBorders>
              <w:top w:val="double" w:sz="4" w:space="0" w:color="auto"/>
            </w:tcBorders>
            <w:shd w:val="clear" w:color="auto" w:fill="auto"/>
            <w:vAlign w:val="center"/>
          </w:tcPr>
          <w:p w:rsidR="00A6487C" w:rsidRDefault="007E6C80">
            <w:pPr>
              <w:spacing w:beforeLines="20" w:before="48" w:afterLines="20" w:after="48"/>
              <w:jc w:val="center"/>
              <w:rPr>
                <w:b/>
                <w:noProof/>
                <w:sz w:val="16"/>
                <w:szCs w:val="16"/>
              </w:rPr>
            </w:pPr>
            <w:r>
              <w:rPr>
                <w:b/>
                <w:noProof/>
                <w:sz w:val="16"/>
              </w:rPr>
              <w:t>12</w:t>
            </w:r>
          </w:p>
        </w:tc>
        <w:tc>
          <w:tcPr>
            <w:tcW w:w="604" w:type="pct"/>
            <w:tcBorders>
              <w:top w:val="double" w:sz="4" w:space="0" w:color="auto"/>
            </w:tcBorders>
            <w:shd w:val="clear" w:color="auto" w:fill="auto"/>
            <w:vAlign w:val="center"/>
          </w:tcPr>
          <w:p w:rsidR="00A6487C" w:rsidRDefault="007E6C80">
            <w:pPr>
              <w:spacing w:beforeLines="20" w:before="48" w:afterLines="20" w:after="48"/>
              <w:jc w:val="center"/>
              <w:rPr>
                <w:b/>
                <w:noProof/>
                <w:sz w:val="16"/>
                <w:szCs w:val="16"/>
              </w:rPr>
            </w:pPr>
            <w:r>
              <w:rPr>
                <w:b/>
                <w:noProof/>
                <w:sz w:val="16"/>
              </w:rPr>
              <w:t>12</w:t>
            </w:r>
          </w:p>
        </w:tc>
        <w:tc>
          <w:tcPr>
            <w:tcW w:w="572" w:type="pct"/>
            <w:tcBorders>
              <w:top w:val="double" w:sz="4" w:space="0" w:color="auto"/>
            </w:tcBorders>
            <w:shd w:val="clear" w:color="auto" w:fill="auto"/>
            <w:vAlign w:val="center"/>
          </w:tcPr>
          <w:p w:rsidR="00A6487C" w:rsidRDefault="007E6C80">
            <w:pPr>
              <w:spacing w:beforeLines="20" w:before="48" w:afterLines="20" w:after="48"/>
              <w:jc w:val="center"/>
              <w:rPr>
                <w:b/>
                <w:noProof/>
                <w:sz w:val="16"/>
                <w:szCs w:val="16"/>
              </w:rPr>
            </w:pPr>
            <w:r>
              <w:rPr>
                <w:b/>
                <w:noProof/>
                <w:sz w:val="16"/>
              </w:rPr>
              <w:t>12</w:t>
            </w:r>
          </w:p>
        </w:tc>
        <w:tc>
          <w:tcPr>
            <w:tcW w:w="626" w:type="pct"/>
            <w:tcBorders>
              <w:top w:val="double" w:sz="4" w:space="0" w:color="auto"/>
            </w:tcBorders>
            <w:shd w:val="clear" w:color="auto" w:fill="auto"/>
            <w:vAlign w:val="center"/>
          </w:tcPr>
          <w:p w:rsidR="00A6487C" w:rsidRDefault="007E6C80">
            <w:pPr>
              <w:spacing w:beforeLines="20" w:before="48" w:afterLines="20" w:after="48"/>
              <w:jc w:val="center"/>
              <w:rPr>
                <w:b/>
                <w:noProof/>
                <w:sz w:val="16"/>
                <w:szCs w:val="16"/>
              </w:rPr>
            </w:pPr>
            <w:r>
              <w:rPr>
                <w:b/>
                <w:noProof/>
                <w:sz w:val="16"/>
              </w:rPr>
              <w:t>12</w:t>
            </w:r>
          </w:p>
        </w:tc>
        <w:tc>
          <w:tcPr>
            <w:tcW w:w="134" w:type="pct"/>
            <w:tcBorders>
              <w:top w:val="double" w:sz="4" w:space="0" w:color="auto"/>
            </w:tcBorders>
            <w:shd w:val="clear" w:color="auto" w:fill="auto"/>
            <w:vAlign w:val="center"/>
          </w:tcPr>
          <w:p w:rsidR="00A6487C" w:rsidRDefault="00A6487C">
            <w:pPr>
              <w:spacing w:beforeLines="20" w:before="48" w:afterLines="20" w:after="48"/>
              <w:jc w:val="center"/>
              <w:rPr>
                <w:b/>
                <w:noProof/>
                <w:sz w:val="16"/>
                <w:szCs w:val="16"/>
              </w:rPr>
            </w:pPr>
          </w:p>
        </w:tc>
        <w:tc>
          <w:tcPr>
            <w:tcW w:w="134" w:type="pct"/>
            <w:tcBorders>
              <w:top w:val="double" w:sz="4" w:space="0" w:color="auto"/>
            </w:tcBorders>
            <w:shd w:val="clear" w:color="auto" w:fill="auto"/>
            <w:vAlign w:val="center"/>
          </w:tcPr>
          <w:p w:rsidR="00A6487C" w:rsidRDefault="00A6487C">
            <w:pPr>
              <w:spacing w:beforeLines="20" w:before="48" w:afterLines="20" w:after="48"/>
              <w:jc w:val="center"/>
              <w:rPr>
                <w:b/>
                <w:noProof/>
                <w:sz w:val="16"/>
                <w:szCs w:val="16"/>
              </w:rPr>
            </w:pPr>
          </w:p>
        </w:tc>
        <w:tc>
          <w:tcPr>
            <w:tcW w:w="132" w:type="pct"/>
            <w:tcBorders>
              <w:top w:val="double" w:sz="4" w:space="0" w:color="auto"/>
            </w:tcBorders>
            <w:shd w:val="clear" w:color="auto" w:fill="auto"/>
            <w:vAlign w:val="center"/>
          </w:tcPr>
          <w:p w:rsidR="00A6487C" w:rsidRDefault="00A6487C">
            <w:pPr>
              <w:spacing w:beforeLines="20" w:before="48" w:afterLines="20" w:after="48"/>
              <w:jc w:val="center"/>
              <w:rPr>
                <w:b/>
                <w:noProof/>
                <w:sz w:val="16"/>
                <w:szCs w:val="16"/>
              </w:rPr>
            </w:pPr>
          </w:p>
        </w:tc>
      </w:tr>
    </w:tbl>
    <w:p w:rsidR="00A6487C" w:rsidRDefault="007E6C80">
      <w:pPr>
        <w:pStyle w:val="Text1"/>
        <w:spacing w:before="60" w:after="60"/>
        <w:ind w:left="851"/>
        <w:rPr>
          <w:noProof/>
          <w:sz w:val="18"/>
          <w:szCs w:val="18"/>
        </w:rPr>
      </w:pPr>
      <w:r>
        <w:rPr>
          <w:noProof/>
          <w:sz w:val="18"/>
        </w:rPr>
        <w:t>19 a 21 sú oblasti politiky alebo príslušné rozpočtové hlavy.</w:t>
      </w:r>
    </w:p>
    <w:p w:rsidR="00A6487C" w:rsidRDefault="007E6C80">
      <w:pPr>
        <w:pStyle w:val="Text1"/>
        <w:rPr>
          <w:noProof/>
          <w:sz w:val="18"/>
          <w:szCs w:val="18"/>
        </w:rPr>
      </w:pPr>
      <w:r>
        <w:rPr>
          <w:noProof/>
          <w:sz w:val="18"/>
        </w:rPr>
        <w:t xml:space="preserve">Potreby ľudských zdrojov budú </w:t>
      </w:r>
      <w:r>
        <w:rPr>
          <w:noProof/>
          <w:sz w:val="18"/>
        </w:rPr>
        <w:t>pokryté úradníkmi GR, ktorí už boli pridelení na riadenie akcie a/alebo boli interne prerozdelení v rámci GR, a v prípade potreby budú doplnené zdrojmi, ktoré sa môžu prideliť riadiacemu GR v rámci ročného postupu prideľovania zdrojov v závislosti od rozpo</w:t>
      </w:r>
      <w:r>
        <w:rPr>
          <w:noProof/>
          <w:sz w:val="18"/>
        </w:rPr>
        <w:t>čtových obmedzení.</w:t>
      </w:r>
    </w:p>
    <w:p w:rsidR="00A6487C" w:rsidRDefault="007E6C80">
      <w:pPr>
        <w:rPr>
          <w:noProof/>
          <w:sz w:val="20"/>
        </w:rPr>
      </w:pPr>
      <w:r>
        <w:rPr>
          <w:noProof/>
          <w:sz w:val="20"/>
        </w:rPr>
        <w:t>Opis úloh, ktoré sa majú vykonať:</w:t>
      </w:r>
    </w:p>
    <w:tbl>
      <w:tblPr>
        <w:tblStyle w:val="TableGrid"/>
        <w:tblW w:w="9282" w:type="dxa"/>
        <w:tblInd w:w="6" w:type="dxa"/>
        <w:tblLayout w:type="fixed"/>
        <w:tblLook w:val="04A0" w:firstRow="1" w:lastRow="0" w:firstColumn="1" w:lastColumn="0" w:noHBand="0" w:noVBand="1"/>
      </w:tblPr>
      <w:tblGrid>
        <w:gridCol w:w="3221"/>
        <w:gridCol w:w="6061"/>
      </w:tblGrid>
      <w:tr w:rsidR="00A6487C">
        <w:tc>
          <w:tcPr>
            <w:tcW w:w="3221" w:type="dxa"/>
          </w:tcPr>
          <w:p w:rsidR="00A6487C" w:rsidRDefault="007E6C80">
            <w:pPr>
              <w:rPr>
                <w:noProof/>
                <w:sz w:val="20"/>
              </w:rPr>
            </w:pPr>
            <w:r>
              <w:rPr>
                <w:noProof/>
                <w:sz w:val="20"/>
              </w:rPr>
              <w:t>Úradníci a dočasní zamestnanci</w:t>
            </w:r>
          </w:p>
          <w:p w:rsidR="00A6487C" w:rsidRDefault="00A6487C">
            <w:pPr>
              <w:rPr>
                <w:noProof/>
              </w:rPr>
            </w:pPr>
          </w:p>
        </w:tc>
        <w:tc>
          <w:tcPr>
            <w:tcW w:w="6061" w:type="dxa"/>
          </w:tcPr>
          <w:p w:rsidR="00A6487C" w:rsidRDefault="007E6C80">
            <w:pPr>
              <w:rPr>
                <w:noProof/>
                <w:sz w:val="20"/>
              </w:rPr>
            </w:pPr>
            <w:r>
              <w:rPr>
                <w:noProof/>
                <w:sz w:val="20"/>
              </w:rPr>
              <w:lastRenderedPageBreak/>
              <w:t xml:space="preserve">Ľudské zdroje úradníkov (AD) umožňujú celkové riadenie dodatočných </w:t>
            </w:r>
            <w:r>
              <w:rPr>
                <w:noProof/>
                <w:sz w:val="20"/>
              </w:rPr>
              <w:lastRenderedPageBreak/>
              <w:t>záväzkov a najmä riadnej identifikácie, hodnotenia, navrhovania, uzatvárania zmlúv a hodnotenia opatrení</w:t>
            </w:r>
            <w:r>
              <w:rPr>
                <w:noProof/>
                <w:sz w:val="20"/>
              </w:rPr>
              <w:t xml:space="preserve"> v oblasti budovania kapacít na podporu bezpečnosti a rozvoja v rámci rozšíreného portfólia projektov a návrhu osobitných spôsobov posudzovania rizík (pozri bod 2.2.1). Patrí sem aj vykonávanie pravidelných monitorovacích návštev na mieste s cieľom stretnú</w:t>
            </w:r>
            <w:r>
              <w:rPr>
                <w:noProof/>
                <w:sz w:val="20"/>
              </w:rPr>
              <w:t>ť sa so zástupcami príslušných orgánov štátnej správy a zabezpečiť nadväzujúcu miestnu koordináciu s inými aktérmi a darcami. Očakáva sa tiež, že budovanie kapacít na podporu bezpečnosti a rozvoja si bude vyžadovať úzku koordináciu s Radou, Parlamentom a o</w:t>
            </w:r>
            <w:r>
              <w:rPr>
                <w:noProof/>
                <w:sz w:val="20"/>
              </w:rPr>
              <w:t xml:space="preserve">statnými zainteresovanými stranami (vrátane občianskej spoločnosti). Oblasť budovania kapacít na podporu bezpečnosti a rozvoja je pre Komisiu novým „územím“, ktoré si bude vyžadovať osobitnú pozornosť a nadobúdanie odborných znalostí </w:t>
            </w:r>
            <w:r>
              <w:rPr>
                <w:i/>
                <w:noProof/>
                <w:sz w:val="20"/>
              </w:rPr>
              <w:t>ad-hoc</w:t>
            </w:r>
            <w:r>
              <w:rPr>
                <w:noProof/>
                <w:sz w:val="20"/>
              </w:rPr>
              <w:t>, teda je citliv</w:t>
            </w:r>
            <w:r>
              <w:rPr>
                <w:noProof/>
                <w:sz w:val="20"/>
              </w:rPr>
              <w:t xml:space="preserve">á na zdroje najmä vo fáze ich budovania. </w:t>
            </w:r>
          </w:p>
          <w:p w:rsidR="00A6487C" w:rsidRDefault="007E6C80">
            <w:pPr>
              <w:rPr>
                <w:noProof/>
                <w:sz w:val="20"/>
              </w:rPr>
            </w:pPr>
            <w:r>
              <w:rPr>
                <w:noProof/>
                <w:sz w:val="20"/>
              </w:rPr>
              <w:t>Zdroje (AST) umožňujú zmluvné a finančné riadenie opatrení v oblasti budovania kapacít na podporu bezpečnosti a rozvoja, ako aj vykonávanie auditov a kontrol, podávanie ročných správ (SPP), nadviazanie na otázky EP</w:t>
            </w:r>
            <w:r>
              <w:rPr>
                <w:noProof/>
                <w:sz w:val="20"/>
              </w:rPr>
              <w:t xml:space="preserve">/ombudsmana, finančné výkazníctvo a dohľad nad záväzkami a platbami na centrálnej úrovni. </w:t>
            </w:r>
          </w:p>
          <w:p w:rsidR="00A6487C" w:rsidRDefault="007E6C80">
            <w:pPr>
              <w:rPr>
                <w:noProof/>
                <w:sz w:val="20"/>
              </w:rPr>
            </w:pPr>
            <w:r>
              <w:rPr>
                <w:noProof/>
                <w:sz w:val="20"/>
              </w:rPr>
              <w:t>Dodatočné náklady vzniknú aj vo vzťahu k iným úlohám útvaru činností back-office.</w:t>
            </w:r>
          </w:p>
        </w:tc>
      </w:tr>
      <w:tr w:rsidR="00A6487C">
        <w:tc>
          <w:tcPr>
            <w:tcW w:w="3221" w:type="dxa"/>
          </w:tcPr>
          <w:p w:rsidR="00A6487C" w:rsidRDefault="007E6C80">
            <w:pPr>
              <w:rPr>
                <w:noProof/>
              </w:rPr>
            </w:pPr>
            <w:r>
              <w:rPr>
                <w:noProof/>
                <w:sz w:val="20"/>
              </w:rPr>
              <w:lastRenderedPageBreak/>
              <w:t>Externí zamestnanci</w:t>
            </w:r>
          </w:p>
        </w:tc>
        <w:tc>
          <w:tcPr>
            <w:tcW w:w="6061" w:type="dxa"/>
          </w:tcPr>
          <w:p w:rsidR="00A6487C" w:rsidRDefault="007E6C80">
            <w:pPr>
              <w:rPr>
                <w:noProof/>
              </w:rPr>
            </w:pPr>
            <w:r>
              <w:rPr>
                <w:noProof/>
                <w:sz w:val="20"/>
              </w:rPr>
              <w:t>Ľudské zdroje externých zamestnancov (ZZ) umožňujú riadenie a </w:t>
            </w:r>
            <w:r>
              <w:rPr>
                <w:noProof/>
                <w:sz w:val="20"/>
              </w:rPr>
              <w:t>realizáciu portfólia projektov budovania kapacít na podporu bezpečnosti a rozvoja riadeného centrálne na úrovni ústredia a/alebo riadeného v delegáciách. Zahŕňa to každodenné operačné a finančné riadenie projektov, koordináciu s členskými štátmi a ostatným</w:t>
            </w:r>
            <w:r>
              <w:rPr>
                <w:noProof/>
                <w:sz w:val="20"/>
              </w:rPr>
              <w:t>i aktérmi, pravidelné monitorovanie projektov a prípadnú koordináciu s delegáciami. Riadenie hodnotení a auditov. Táto úloha zahŕňa aj pravidelné kontrolné návštevy na mieste.</w:t>
            </w:r>
          </w:p>
        </w:tc>
      </w:tr>
    </w:tbl>
    <w:p w:rsidR="00A6487C" w:rsidRDefault="00A6487C">
      <w:pPr>
        <w:rPr>
          <w:noProof/>
        </w:rPr>
        <w:sectPr w:rsidR="00A6487C">
          <w:pgSz w:w="11907" w:h="16840"/>
          <w:pgMar w:top="1134" w:right="1418" w:bottom="1134" w:left="1418" w:header="709" w:footer="709" w:gutter="0"/>
          <w:cols w:space="708"/>
          <w:docGrid w:linePitch="360"/>
        </w:sectPr>
      </w:pPr>
    </w:p>
    <w:p w:rsidR="00A6487C" w:rsidRDefault="007E6C80">
      <w:pPr>
        <w:pStyle w:val="ManualHeading3"/>
        <w:rPr>
          <w:bCs/>
          <w:noProof/>
          <w:szCs w:val="24"/>
        </w:rPr>
      </w:pPr>
      <w:r>
        <w:lastRenderedPageBreak/>
        <w:t>3.2.4.</w:t>
      </w:r>
      <w:r>
        <w:tab/>
      </w:r>
      <w:r>
        <w:rPr>
          <w:noProof/>
        </w:rPr>
        <w:t xml:space="preserve">Súlad s platným viacročným finančným rámcom </w:t>
      </w:r>
    </w:p>
    <w:p w:rsidR="00A6487C" w:rsidRDefault="007E6C80">
      <w:pPr>
        <w:pStyle w:val="ListDash1"/>
        <w:rPr>
          <w:noProof/>
        </w:rPr>
      </w:pPr>
      <w:r>
        <w:rPr>
          <w:noProof/>
        </w:rPr>
        <w:sym w:font="Wingdings" w:char="F0A8"/>
      </w:r>
      <w:r>
        <w:rPr>
          <w:noProof/>
        </w:rPr>
        <w:tab/>
      </w:r>
      <w:r>
        <w:rPr>
          <w:noProof/>
        </w:rPr>
        <w:t>Návrh/iniciatíva je v súlade s platným viacročným finančným rámcom.</w:t>
      </w:r>
    </w:p>
    <w:p w:rsidR="00A6487C" w:rsidRDefault="007E6C80">
      <w:pPr>
        <w:pStyle w:val="ListDash1"/>
        <w:rPr>
          <w:noProof/>
        </w:rPr>
      </w:pPr>
      <w:r>
        <w:rPr>
          <w:noProof/>
        </w:rPr>
        <w:t>X</w:t>
      </w:r>
      <w:r>
        <w:rPr>
          <w:noProof/>
        </w:rPr>
        <w:tab/>
        <w:t>Návrh/iniciatíva si vyžaduje zmenu v plánovaní príslušného okruhu vo viacročnom finančnom rámci.</w:t>
      </w:r>
    </w:p>
    <w:p w:rsidR="00A6487C" w:rsidRDefault="007E6C80">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požadovanú zmenu v plánovaní a uveďte príslušné rozpočtové riadky a zodpovedaj</w:t>
      </w:r>
      <w:r>
        <w:rPr>
          <w:noProof/>
          <w:sz w:val="20"/>
        </w:rPr>
        <w:t>úce sumy.</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100 000 000 EUR potrebných na budovanie kapacít na podporu bezpečnosti a rozvoja sa presunie v rámci okruhu 4 viacročného finančného rámca na roky 2014 – 2020 (VFR).</w:t>
      </w:r>
    </w:p>
    <w:p w:rsidR="00A6487C" w:rsidRDefault="00A6487C">
      <w:pPr>
        <w:pStyle w:val="Text1"/>
        <w:pBdr>
          <w:top w:val="single" w:sz="4" w:space="1" w:color="auto"/>
          <w:left w:val="single" w:sz="4" w:space="4" w:color="auto"/>
          <w:bottom w:val="single" w:sz="4" w:space="1" w:color="auto"/>
          <w:right w:val="single" w:sz="4" w:space="4" w:color="auto"/>
        </w:pBdr>
        <w:rPr>
          <w:noProof/>
        </w:rPr>
      </w:pPr>
    </w:p>
    <w:p w:rsidR="00A6487C" w:rsidRDefault="007E6C80">
      <w:pPr>
        <w:pStyle w:val="ListDash1"/>
        <w:rPr>
          <w:noProof/>
        </w:rPr>
      </w:pPr>
      <w:r>
        <w:rPr>
          <w:noProof/>
        </w:rPr>
        <w:sym w:font="Wingdings" w:char="F0A8"/>
      </w:r>
      <w:r>
        <w:rPr>
          <w:noProof/>
        </w:rPr>
        <w:tab/>
        <w:t xml:space="preserve">Návrh/iniciatíva si vyžaduje, aby sa použil nástroj flexibility alebo aby sa </w:t>
      </w:r>
      <w:r>
        <w:rPr>
          <w:noProof/>
        </w:rPr>
        <w:t>uskutočnila revízia viacročného finančného rámca.</w:t>
      </w:r>
    </w:p>
    <w:p w:rsidR="00A6487C" w:rsidRDefault="007E6C80">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potrebu a uveďte príslušné okruhy, rozpočtové riadky a zodpovedajúce sumy.</w:t>
      </w:r>
    </w:p>
    <w:p w:rsidR="00A6487C" w:rsidRDefault="00A6487C">
      <w:pPr>
        <w:pStyle w:val="Text1"/>
        <w:pBdr>
          <w:top w:val="single" w:sz="4" w:space="1" w:color="auto"/>
          <w:left w:val="single" w:sz="4" w:space="4" w:color="auto"/>
          <w:bottom w:val="single" w:sz="4" w:space="1" w:color="auto"/>
          <w:right w:val="single" w:sz="4" w:space="4" w:color="auto"/>
        </w:pBdr>
        <w:rPr>
          <w:noProof/>
        </w:rPr>
      </w:pPr>
    </w:p>
    <w:p w:rsidR="00A6487C" w:rsidRDefault="007E6C80">
      <w:pPr>
        <w:pStyle w:val="ManualHeading3"/>
        <w:rPr>
          <w:bCs/>
          <w:noProof/>
          <w:szCs w:val="24"/>
        </w:rPr>
      </w:pPr>
      <w:r>
        <w:t>3.2.5.</w:t>
      </w:r>
      <w:r>
        <w:tab/>
      </w:r>
      <w:r>
        <w:rPr>
          <w:noProof/>
        </w:rPr>
        <w:t xml:space="preserve">Príspevky od tretích strán </w:t>
      </w:r>
    </w:p>
    <w:p w:rsidR="00A6487C" w:rsidRDefault="007E6C80">
      <w:pPr>
        <w:pStyle w:val="ListDash1"/>
        <w:rPr>
          <w:noProof/>
        </w:rPr>
      </w:pPr>
      <w:r>
        <w:rPr>
          <w:noProof/>
        </w:rPr>
        <w:t xml:space="preserve">Návrh/iniciatíva nezahŕňa spolufinancovanie tretími stranami. </w:t>
      </w:r>
    </w:p>
    <w:p w:rsidR="00A6487C" w:rsidRDefault="007E6C80">
      <w:pPr>
        <w:pStyle w:val="ListDash1"/>
        <w:rPr>
          <w:noProof/>
        </w:rPr>
      </w:pPr>
      <w:r>
        <w:rPr>
          <w:noProof/>
        </w:rPr>
        <w:t>Návrh/iniciatíva zahŕ</w:t>
      </w:r>
      <w:r>
        <w:rPr>
          <w:noProof/>
        </w:rPr>
        <w:t>ňa spolufinancovanie tretími stranami, ako je uvedené v nasledujúcej tabuľke:</w:t>
      </w:r>
    </w:p>
    <w:p w:rsidR="00A6487C" w:rsidRDefault="007E6C80">
      <w:pPr>
        <w:jc w:val="right"/>
        <w:rPr>
          <w:noProof/>
          <w:sz w:val="20"/>
        </w:rPr>
      </w:pPr>
      <w:r>
        <w:rPr>
          <w:noProof/>
          <w:sz w:val="20"/>
        </w:rPr>
        <w:t>Rozpočtové prostriedky v mil. EUR (zaokrúhlené na 3 desatinné miesta)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A6487C">
        <w:trPr>
          <w:cantSplit/>
        </w:trPr>
        <w:tc>
          <w:tcPr>
            <w:tcW w:w="2340" w:type="dxa"/>
          </w:tcPr>
          <w:p w:rsidR="00A6487C" w:rsidRDefault="00A6487C">
            <w:pPr>
              <w:spacing w:before="60" w:after="60"/>
              <w:rPr>
                <w:noProof/>
                <w:sz w:val="20"/>
              </w:rPr>
            </w:pPr>
          </w:p>
        </w:tc>
        <w:tc>
          <w:tcPr>
            <w:tcW w:w="964" w:type="dxa"/>
            <w:vAlign w:val="center"/>
          </w:tcPr>
          <w:p w:rsidR="00A6487C" w:rsidRDefault="007E6C80">
            <w:pPr>
              <w:jc w:val="center"/>
              <w:rPr>
                <w:noProof/>
                <w:sz w:val="20"/>
              </w:rPr>
            </w:pPr>
            <w:r>
              <w:rPr>
                <w:noProof/>
                <w:sz w:val="20"/>
              </w:rPr>
              <w:t>Rok</w:t>
            </w:r>
            <w:r>
              <w:rPr>
                <w:noProof/>
                <w:sz w:val="22"/>
              </w:rPr>
              <w:br/>
            </w:r>
            <w:r>
              <w:rPr>
                <w:b/>
                <w:noProof/>
                <w:sz w:val="20"/>
              </w:rPr>
              <w:t>N</w:t>
            </w:r>
          </w:p>
        </w:tc>
        <w:tc>
          <w:tcPr>
            <w:tcW w:w="964" w:type="dxa"/>
            <w:vAlign w:val="center"/>
          </w:tcPr>
          <w:p w:rsidR="00A6487C" w:rsidRDefault="007E6C80">
            <w:pPr>
              <w:jc w:val="center"/>
              <w:rPr>
                <w:noProof/>
                <w:sz w:val="20"/>
              </w:rPr>
            </w:pPr>
            <w:r>
              <w:rPr>
                <w:noProof/>
                <w:sz w:val="20"/>
              </w:rPr>
              <w:t>Rok</w:t>
            </w:r>
            <w:r>
              <w:rPr>
                <w:noProof/>
                <w:sz w:val="22"/>
              </w:rPr>
              <w:br/>
            </w:r>
            <w:r>
              <w:rPr>
                <w:b/>
                <w:noProof/>
                <w:sz w:val="20"/>
              </w:rPr>
              <w:t>N+1</w:t>
            </w:r>
          </w:p>
        </w:tc>
        <w:tc>
          <w:tcPr>
            <w:tcW w:w="964" w:type="dxa"/>
            <w:vAlign w:val="center"/>
          </w:tcPr>
          <w:p w:rsidR="00A6487C" w:rsidRDefault="007E6C80">
            <w:pPr>
              <w:jc w:val="center"/>
              <w:rPr>
                <w:noProof/>
                <w:sz w:val="20"/>
              </w:rPr>
            </w:pPr>
            <w:r>
              <w:rPr>
                <w:noProof/>
                <w:sz w:val="20"/>
              </w:rPr>
              <w:t>Rok</w:t>
            </w:r>
            <w:r>
              <w:rPr>
                <w:noProof/>
                <w:sz w:val="22"/>
              </w:rPr>
              <w:br/>
            </w:r>
            <w:r>
              <w:rPr>
                <w:b/>
                <w:noProof/>
                <w:sz w:val="20"/>
              </w:rPr>
              <w:t>N+2</w:t>
            </w:r>
          </w:p>
        </w:tc>
        <w:tc>
          <w:tcPr>
            <w:tcW w:w="964" w:type="dxa"/>
            <w:vAlign w:val="center"/>
          </w:tcPr>
          <w:p w:rsidR="00A6487C" w:rsidRDefault="007E6C80">
            <w:pPr>
              <w:jc w:val="center"/>
              <w:rPr>
                <w:noProof/>
                <w:sz w:val="20"/>
              </w:rPr>
            </w:pPr>
            <w:r>
              <w:rPr>
                <w:noProof/>
                <w:sz w:val="20"/>
              </w:rPr>
              <w:t>Rok</w:t>
            </w:r>
            <w:r>
              <w:rPr>
                <w:noProof/>
                <w:sz w:val="22"/>
              </w:rPr>
              <w:br/>
            </w:r>
            <w:r>
              <w:rPr>
                <w:b/>
                <w:noProof/>
                <w:sz w:val="20"/>
              </w:rPr>
              <w:t>N+3</w:t>
            </w:r>
          </w:p>
        </w:tc>
        <w:tc>
          <w:tcPr>
            <w:tcW w:w="2892" w:type="dxa"/>
            <w:gridSpan w:val="3"/>
            <w:vAlign w:val="center"/>
          </w:tcPr>
          <w:p w:rsidR="00A6487C" w:rsidRDefault="007E6C80">
            <w:pPr>
              <w:jc w:val="center"/>
              <w:rPr>
                <w:b/>
                <w:noProof/>
                <w:sz w:val="20"/>
              </w:rPr>
            </w:pPr>
            <w:r>
              <w:rPr>
                <w:noProof/>
                <w:sz w:val="20"/>
              </w:rPr>
              <w:t>Uveďte všetky roky, počas ktorých vplyv trvá (pozri bod 1.6)</w:t>
            </w:r>
          </w:p>
        </w:tc>
        <w:tc>
          <w:tcPr>
            <w:tcW w:w="1158" w:type="dxa"/>
            <w:vAlign w:val="center"/>
          </w:tcPr>
          <w:p w:rsidR="00A6487C" w:rsidRDefault="007E6C80">
            <w:pPr>
              <w:spacing w:before="60" w:after="60"/>
              <w:jc w:val="center"/>
              <w:rPr>
                <w:noProof/>
                <w:sz w:val="20"/>
              </w:rPr>
            </w:pPr>
            <w:r>
              <w:rPr>
                <w:noProof/>
                <w:sz w:val="20"/>
              </w:rPr>
              <w:t>Spolu</w:t>
            </w:r>
          </w:p>
        </w:tc>
      </w:tr>
      <w:tr w:rsidR="00A6487C">
        <w:trPr>
          <w:cantSplit/>
        </w:trPr>
        <w:tc>
          <w:tcPr>
            <w:tcW w:w="2340" w:type="dxa"/>
          </w:tcPr>
          <w:p w:rsidR="00A6487C" w:rsidRDefault="007E6C80">
            <w:pPr>
              <w:rPr>
                <w:noProof/>
              </w:rPr>
            </w:pPr>
            <w:r>
              <w:rPr>
                <w:noProof/>
                <w:sz w:val="20"/>
              </w:rPr>
              <w:t xml:space="preserve">Uveďte </w:t>
            </w:r>
            <w:r>
              <w:rPr>
                <w:noProof/>
                <w:sz w:val="20"/>
              </w:rPr>
              <w:t>spolufinancujúci subjekt</w:t>
            </w:r>
            <w:r>
              <w:rPr>
                <w:i/>
                <w:noProof/>
                <w:sz w:val="20"/>
              </w:rPr>
              <w:t xml:space="preserve"> </w:t>
            </w:r>
          </w:p>
        </w:tc>
        <w:tc>
          <w:tcPr>
            <w:tcW w:w="964" w:type="dxa"/>
            <w:vAlign w:val="center"/>
          </w:tcPr>
          <w:p w:rsidR="00A6487C" w:rsidRDefault="00A6487C">
            <w:pPr>
              <w:spacing w:before="60" w:after="60"/>
              <w:jc w:val="center"/>
              <w:rPr>
                <w:noProof/>
                <w:sz w:val="20"/>
              </w:rPr>
            </w:pPr>
          </w:p>
        </w:tc>
        <w:tc>
          <w:tcPr>
            <w:tcW w:w="964" w:type="dxa"/>
            <w:vAlign w:val="center"/>
          </w:tcPr>
          <w:p w:rsidR="00A6487C" w:rsidRDefault="00A6487C">
            <w:pPr>
              <w:spacing w:before="60" w:after="60"/>
              <w:jc w:val="center"/>
              <w:rPr>
                <w:noProof/>
                <w:sz w:val="20"/>
              </w:rPr>
            </w:pPr>
          </w:p>
        </w:tc>
        <w:tc>
          <w:tcPr>
            <w:tcW w:w="964" w:type="dxa"/>
            <w:vAlign w:val="center"/>
          </w:tcPr>
          <w:p w:rsidR="00A6487C" w:rsidRDefault="00A6487C">
            <w:pPr>
              <w:spacing w:before="60" w:after="60"/>
              <w:jc w:val="center"/>
              <w:rPr>
                <w:noProof/>
                <w:sz w:val="20"/>
              </w:rPr>
            </w:pPr>
          </w:p>
        </w:tc>
        <w:tc>
          <w:tcPr>
            <w:tcW w:w="964" w:type="dxa"/>
            <w:vAlign w:val="center"/>
          </w:tcPr>
          <w:p w:rsidR="00A6487C" w:rsidRDefault="00A6487C">
            <w:pPr>
              <w:spacing w:before="60" w:after="60"/>
              <w:jc w:val="center"/>
              <w:rPr>
                <w:noProof/>
                <w:sz w:val="20"/>
              </w:rPr>
            </w:pPr>
          </w:p>
        </w:tc>
        <w:tc>
          <w:tcPr>
            <w:tcW w:w="964" w:type="dxa"/>
            <w:vAlign w:val="center"/>
          </w:tcPr>
          <w:p w:rsidR="00A6487C" w:rsidRDefault="00A6487C">
            <w:pPr>
              <w:spacing w:before="60" w:after="60"/>
              <w:jc w:val="center"/>
              <w:rPr>
                <w:noProof/>
                <w:sz w:val="20"/>
              </w:rPr>
            </w:pPr>
          </w:p>
        </w:tc>
        <w:tc>
          <w:tcPr>
            <w:tcW w:w="964" w:type="dxa"/>
            <w:vAlign w:val="center"/>
          </w:tcPr>
          <w:p w:rsidR="00A6487C" w:rsidRDefault="00A6487C">
            <w:pPr>
              <w:spacing w:before="60" w:after="60"/>
              <w:jc w:val="center"/>
              <w:rPr>
                <w:noProof/>
                <w:sz w:val="20"/>
              </w:rPr>
            </w:pPr>
          </w:p>
        </w:tc>
        <w:tc>
          <w:tcPr>
            <w:tcW w:w="964" w:type="dxa"/>
            <w:vAlign w:val="center"/>
          </w:tcPr>
          <w:p w:rsidR="00A6487C" w:rsidRDefault="00A6487C">
            <w:pPr>
              <w:spacing w:before="60" w:after="60"/>
              <w:jc w:val="center"/>
              <w:rPr>
                <w:noProof/>
                <w:sz w:val="20"/>
              </w:rPr>
            </w:pPr>
          </w:p>
        </w:tc>
        <w:tc>
          <w:tcPr>
            <w:tcW w:w="1158" w:type="dxa"/>
            <w:vAlign w:val="center"/>
          </w:tcPr>
          <w:p w:rsidR="00A6487C" w:rsidRDefault="00A6487C">
            <w:pPr>
              <w:spacing w:before="60" w:after="60"/>
              <w:jc w:val="center"/>
              <w:rPr>
                <w:noProof/>
                <w:sz w:val="20"/>
              </w:rPr>
            </w:pPr>
          </w:p>
        </w:tc>
      </w:tr>
      <w:tr w:rsidR="00A6487C">
        <w:trPr>
          <w:cantSplit/>
        </w:trPr>
        <w:tc>
          <w:tcPr>
            <w:tcW w:w="2340" w:type="dxa"/>
          </w:tcPr>
          <w:p w:rsidR="00A6487C" w:rsidRDefault="007E6C80">
            <w:pPr>
              <w:spacing w:before="60" w:after="60"/>
              <w:jc w:val="left"/>
              <w:rPr>
                <w:noProof/>
                <w:sz w:val="20"/>
              </w:rPr>
            </w:pPr>
            <w:r>
              <w:rPr>
                <w:noProof/>
                <w:sz w:val="20"/>
              </w:rPr>
              <w:t xml:space="preserve">Spolufinancované prostriedky SPOLU </w:t>
            </w:r>
          </w:p>
        </w:tc>
        <w:tc>
          <w:tcPr>
            <w:tcW w:w="964" w:type="dxa"/>
            <w:vAlign w:val="center"/>
          </w:tcPr>
          <w:p w:rsidR="00A6487C" w:rsidRDefault="00A6487C">
            <w:pPr>
              <w:spacing w:before="60" w:after="60"/>
              <w:jc w:val="center"/>
              <w:rPr>
                <w:noProof/>
                <w:sz w:val="20"/>
              </w:rPr>
            </w:pPr>
          </w:p>
        </w:tc>
        <w:tc>
          <w:tcPr>
            <w:tcW w:w="964" w:type="dxa"/>
            <w:vAlign w:val="center"/>
          </w:tcPr>
          <w:p w:rsidR="00A6487C" w:rsidRDefault="00A6487C">
            <w:pPr>
              <w:spacing w:before="60" w:after="60"/>
              <w:jc w:val="center"/>
              <w:rPr>
                <w:noProof/>
                <w:sz w:val="20"/>
              </w:rPr>
            </w:pPr>
          </w:p>
        </w:tc>
        <w:tc>
          <w:tcPr>
            <w:tcW w:w="964" w:type="dxa"/>
            <w:vAlign w:val="center"/>
          </w:tcPr>
          <w:p w:rsidR="00A6487C" w:rsidRDefault="00A6487C">
            <w:pPr>
              <w:spacing w:before="60" w:after="60"/>
              <w:jc w:val="center"/>
              <w:rPr>
                <w:noProof/>
                <w:sz w:val="20"/>
              </w:rPr>
            </w:pPr>
          </w:p>
        </w:tc>
        <w:tc>
          <w:tcPr>
            <w:tcW w:w="964" w:type="dxa"/>
            <w:vAlign w:val="center"/>
          </w:tcPr>
          <w:p w:rsidR="00A6487C" w:rsidRDefault="00A6487C">
            <w:pPr>
              <w:spacing w:before="60" w:after="60"/>
              <w:jc w:val="center"/>
              <w:rPr>
                <w:noProof/>
                <w:sz w:val="20"/>
              </w:rPr>
            </w:pPr>
          </w:p>
        </w:tc>
        <w:tc>
          <w:tcPr>
            <w:tcW w:w="964" w:type="dxa"/>
            <w:vAlign w:val="center"/>
          </w:tcPr>
          <w:p w:rsidR="00A6487C" w:rsidRDefault="00A6487C">
            <w:pPr>
              <w:spacing w:before="60" w:after="60"/>
              <w:jc w:val="center"/>
              <w:rPr>
                <w:noProof/>
                <w:sz w:val="20"/>
              </w:rPr>
            </w:pPr>
          </w:p>
        </w:tc>
        <w:tc>
          <w:tcPr>
            <w:tcW w:w="964" w:type="dxa"/>
            <w:vAlign w:val="center"/>
          </w:tcPr>
          <w:p w:rsidR="00A6487C" w:rsidRDefault="00A6487C">
            <w:pPr>
              <w:spacing w:before="60" w:after="60"/>
              <w:jc w:val="center"/>
              <w:rPr>
                <w:noProof/>
                <w:sz w:val="20"/>
              </w:rPr>
            </w:pPr>
          </w:p>
        </w:tc>
        <w:tc>
          <w:tcPr>
            <w:tcW w:w="964" w:type="dxa"/>
            <w:vAlign w:val="center"/>
          </w:tcPr>
          <w:p w:rsidR="00A6487C" w:rsidRDefault="00A6487C">
            <w:pPr>
              <w:spacing w:before="60" w:after="60"/>
              <w:jc w:val="center"/>
              <w:rPr>
                <w:noProof/>
                <w:sz w:val="20"/>
              </w:rPr>
            </w:pPr>
          </w:p>
        </w:tc>
        <w:tc>
          <w:tcPr>
            <w:tcW w:w="1158" w:type="dxa"/>
            <w:vAlign w:val="center"/>
          </w:tcPr>
          <w:p w:rsidR="00A6487C" w:rsidRDefault="00A6487C">
            <w:pPr>
              <w:spacing w:before="60" w:after="60"/>
              <w:jc w:val="center"/>
              <w:rPr>
                <w:noProof/>
                <w:sz w:val="20"/>
              </w:rPr>
            </w:pPr>
          </w:p>
        </w:tc>
      </w:tr>
    </w:tbl>
    <w:p w:rsidR="00A6487C" w:rsidRDefault="007E6C80">
      <w:pPr>
        <w:rPr>
          <w:noProof/>
        </w:rPr>
      </w:pPr>
      <w:r>
        <w:rPr>
          <w:noProof/>
        </w:rPr>
        <w:br/>
      </w:r>
    </w:p>
    <w:p w:rsidR="00A6487C" w:rsidRDefault="007E6C80">
      <w:pPr>
        <w:pStyle w:val="ManualHeading2"/>
        <w:rPr>
          <w:bCs/>
          <w:noProof/>
          <w:szCs w:val="24"/>
        </w:rPr>
      </w:pPr>
      <w:r>
        <w:rPr>
          <w:noProof/>
        </w:rPr>
        <w:br w:type="page"/>
      </w:r>
      <w:r>
        <w:lastRenderedPageBreak/>
        <w:t>3.3.</w:t>
      </w:r>
      <w:r>
        <w:tab/>
      </w:r>
      <w:r>
        <w:rPr>
          <w:noProof/>
        </w:rPr>
        <w:t xml:space="preserve">Odhadovaný vplyv na príjmy </w:t>
      </w:r>
    </w:p>
    <w:p w:rsidR="00A6487C" w:rsidRDefault="007E6C80">
      <w:pPr>
        <w:pStyle w:val="ListDash1"/>
        <w:rPr>
          <w:noProof/>
        </w:rPr>
      </w:pPr>
      <w:r>
        <w:rPr>
          <w:noProof/>
        </w:rPr>
        <w:t>X</w:t>
      </w:r>
      <w:r>
        <w:rPr>
          <w:noProof/>
        </w:rPr>
        <w:tab/>
        <w:t>Návrh/iniciatíva nemá finančný vplyv na príjmy.</w:t>
      </w:r>
    </w:p>
    <w:p w:rsidR="00A6487C" w:rsidRDefault="007E6C80">
      <w:pPr>
        <w:pStyle w:val="ListDash1"/>
        <w:rPr>
          <w:noProof/>
        </w:rPr>
      </w:pPr>
      <w:r>
        <w:rPr>
          <w:noProof/>
        </w:rPr>
        <w:sym w:font="Wingdings" w:char="F0A8"/>
      </w:r>
      <w:r>
        <w:rPr>
          <w:noProof/>
        </w:rPr>
        <w:tab/>
        <w:t>Návrh/iniciatíva má finančný vplyv na príjmy, ako je uvedené v nasledujúcej tabuľke:</w:t>
      </w:r>
    </w:p>
    <w:p w:rsidR="00A6487C" w:rsidRDefault="007E6C80">
      <w:pPr>
        <w:pStyle w:val="ListNumberLevel3"/>
        <w:tabs>
          <w:tab w:val="clear" w:pos="2126"/>
        </w:tabs>
        <w:rPr>
          <w:noProof/>
        </w:rPr>
      </w:pPr>
      <w:r>
        <w:rPr>
          <w:noProof/>
        </w:rPr>
        <w:sym w:font="Wingdings" w:char="F0A8"/>
      </w:r>
      <w:r>
        <w:rPr>
          <w:noProof/>
        </w:rPr>
        <w:tab/>
      </w:r>
      <w:r>
        <w:rPr>
          <w:noProof/>
        </w:rPr>
        <w:t xml:space="preserve">vplyv na vlastné zdroje </w:t>
      </w:r>
    </w:p>
    <w:p w:rsidR="00A6487C" w:rsidRDefault="007E6C80">
      <w:pPr>
        <w:pStyle w:val="ListNumberLevel3"/>
        <w:tabs>
          <w:tab w:val="clear" w:pos="2126"/>
        </w:tabs>
        <w:rPr>
          <w:noProof/>
        </w:rPr>
      </w:pPr>
      <w:r>
        <w:rPr>
          <w:noProof/>
        </w:rPr>
        <w:sym w:font="Wingdings" w:char="F0A8"/>
      </w:r>
      <w:r>
        <w:rPr>
          <w:noProof/>
        </w:rPr>
        <w:tab/>
        <w:t xml:space="preserve">vplyv na rôzne príjmy </w:t>
      </w:r>
    </w:p>
    <w:p w:rsidR="00A6487C" w:rsidRDefault="007E6C80">
      <w:pPr>
        <w:jc w:val="right"/>
        <w:rPr>
          <w:i/>
          <w:noProof/>
          <w:sz w:val="20"/>
        </w:rPr>
      </w:pPr>
      <w:r>
        <w:rPr>
          <w:noProof/>
        </w:rPr>
        <w:t>v mil. EUR (zaokrúhlené na 3 desatinné miesta)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A6487C">
        <w:trPr>
          <w:trHeight w:val="388"/>
        </w:trPr>
        <w:tc>
          <w:tcPr>
            <w:tcW w:w="2144" w:type="dxa"/>
            <w:vMerge w:val="restart"/>
            <w:vAlign w:val="center"/>
          </w:tcPr>
          <w:p w:rsidR="00A6487C" w:rsidRDefault="007E6C80">
            <w:pPr>
              <w:spacing w:before="40" w:after="40"/>
              <w:rPr>
                <w:noProof/>
                <w:sz w:val="18"/>
              </w:rPr>
            </w:pPr>
            <w:r>
              <w:rPr>
                <w:noProof/>
                <w:sz w:val="18"/>
              </w:rPr>
              <w:t>Rozpočtový riadok príjmov:</w:t>
            </w:r>
          </w:p>
        </w:tc>
        <w:tc>
          <w:tcPr>
            <w:tcW w:w="1276" w:type="dxa"/>
            <w:vMerge w:val="restart"/>
            <w:vAlign w:val="center"/>
          </w:tcPr>
          <w:p w:rsidR="00A6487C" w:rsidRDefault="007E6C80">
            <w:pPr>
              <w:jc w:val="center"/>
              <w:rPr>
                <w:noProof/>
                <w:sz w:val="18"/>
              </w:rPr>
            </w:pPr>
            <w:r>
              <w:rPr>
                <w:noProof/>
                <w:sz w:val="18"/>
              </w:rPr>
              <w:t>Rozpočtové prostriedky, ktoré sú k dispozícii v prebiehajúcom rozpočtovom roku</w:t>
            </w:r>
          </w:p>
        </w:tc>
        <w:tc>
          <w:tcPr>
            <w:tcW w:w="7200" w:type="dxa"/>
            <w:gridSpan w:val="7"/>
            <w:vAlign w:val="center"/>
          </w:tcPr>
          <w:p w:rsidR="00A6487C" w:rsidRDefault="007E6C80">
            <w:pPr>
              <w:jc w:val="center"/>
              <w:rPr>
                <w:noProof/>
                <w:sz w:val="18"/>
              </w:rPr>
            </w:pPr>
            <w:r>
              <w:rPr>
                <w:noProof/>
                <w:sz w:val="18"/>
              </w:rPr>
              <w:t>Vplyv návrhu/iniciatívy</w:t>
            </w:r>
            <w:r>
              <w:rPr>
                <w:rStyle w:val="FootnoteReference"/>
                <w:noProof/>
                <w:sz w:val="18"/>
              </w:rPr>
              <w:footnoteReference w:id="38"/>
            </w:r>
          </w:p>
        </w:tc>
      </w:tr>
      <w:tr w:rsidR="00A6487C">
        <w:trPr>
          <w:trHeight w:val="388"/>
        </w:trPr>
        <w:tc>
          <w:tcPr>
            <w:tcW w:w="2144" w:type="dxa"/>
            <w:vMerge/>
          </w:tcPr>
          <w:p w:rsidR="00A6487C" w:rsidRDefault="00A6487C">
            <w:pPr>
              <w:spacing w:before="40" w:after="40"/>
              <w:rPr>
                <w:noProof/>
                <w:sz w:val="18"/>
              </w:rPr>
            </w:pPr>
          </w:p>
        </w:tc>
        <w:tc>
          <w:tcPr>
            <w:tcW w:w="1276" w:type="dxa"/>
            <w:vMerge/>
          </w:tcPr>
          <w:p w:rsidR="00A6487C" w:rsidRDefault="00A6487C">
            <w:pPr>
              <w:spacing w:beforeLines="40" w:before="96" w:afterLines="40" w:after="96"/>
              <w:rPr>
                <w:i/>
                <w:noProof/>
                <w:sz w:val="18"/>
              </w:rPr>
            </w:pPr>
          </w:p>
        </w:tc>
        <w:tc>
          <w:tcPr>
            <w:tcW w:w="1080" w:type="dxa"/>
            <w:vAlign w:val="center"/>
          </w:tcPr>
          <w:p w:rsidR="00A6487C" w:rsidRDefault="007E6C80">
            <w:pPr>
              <w:jc w:val="center"/>
              <w:rPr>
                <w:noProof/>
                <w:sz w:val="18"/>
              </w:rPr>
            </w:pPr>
            <w:r>
              <w:rPr>
                <w:noProof/>
                <w:sz w:val="18"/>
              </w:rPr>
              <w:t>Rok</w:t>
            </w:r>
            <w:r>
              <w:rPr>
                <w:noProof/>
                <w:sz w:val="22"/>
              </w:rPr>
              <w:br/>
            </w:r>
            <w:r>
              <w:rPr>
                <w:b/>
                <w:noProof/>
                <w:sz w:val="18"/>
              </w:rPr>
              <w:t>N</w:t>
            </w:r>
          </w:p>
        </w:tc>
        <w:tc>
          <w:tcPr>
            <w:tcW w:w="900" w:type="dxa"/>
            <w:vAlign w:val="center"/>
          </w:tcPr>
          <w:p w:rsidR="00A6487C" w:rsidRDefault="007E6C80">
            <w:pPr>
              <w:jc w:val="center"/>
              <w:rPr>
                <w:noProof/>
                <w:sz w:val="18"/>
              </w:rPr>
            </w:pPr>
            <w:r>
              <w:rPr>
                <w:noProof/>
                <w:sz w:val="18"/>
              </w:rPr>
              <w:t>Rok</w:t>
            </w:r>
            <w:r>
              <w:rPr>
                <w:noProof/>
                <w:sz w:val="22"/>
              </w:rPr>
              <w:br/>
            </w:r>
            <w:r>
              <w:rPr>
                <w:b/>
                <w:noProof/>
                <w:sz w:val="18"/>
              </w:rPr>
              <w:t>N+1</w:t>
            </w:r>
          </w:p>
        </w:tc>
        <w:tc>
          <w:tcPr>
            <w:tcW w:w="900" w:type="dxa"/>
            <w:vAlign w:val="center"/>
          </w:tcPr>
          <w:p w:rsidR="00A6487C" w:rsidRDefault="007E6C80">
            <w:pPr>
              <w:jc w:val="center"/>
              <w:rPr>
                <w:noProof/>
                <w:sz w:val="18"/>
              </w:rPr>
            </w:pPr>
            <w:r>
              <w:rPr>
                <w:noProof/>
                <w:sz w:val="18"/>
              </w:rPr>
              <w:t>Rok</w:t>
            </w:r>
            <w:r>
              <w:rPr>
                <w:noProof/>
                <w:sz w:val="22"/>
              </w:rPr>
              <w:br/>
            </w:r>
            <w:r>
              <w:rPr>
                <w:b/>
                <w:noProof/>
                <w:sz w:val="18"/>
              </w:rPr>
              <w:t>N+2</w:t>
            </w:r>
          </w:p>
        </w:tc>
        <w:tc>
          <w:tcPr>
            <w:tcW w:w="1080" w:type="dxa"/>
            <w:vAlign w:val="center"/>
          </w:tcPr>
          <w:p w:rsidR="00A6487C" w:rsidRDefault="007E6C80">
            <w:pPr>
              <w:jc w:val="center"/>
              <w:rPr>
                <w:noProof/>
                <w:sz w:val="18"/>
              </w:rPr>
            </w:pPr>
            <w:r>
              <w:rPr>
                <w:noProof/>
                <w:sz w:val="18"/>
              </w:rPr>
              <w:t>Rok</w:t>
            </w:r>
            <w:r>
              <w:rPr>
                <w:noProof/>
                <w:sz w:val="22"/>
              </w:rPr>
              <w:br/>
            </w:r>
            <w:r>
              <w:rPr>
                <w:b/>
                <w:noProof/>
                <w:sz w:val="18"/>
              </w:rPr>
              <w:t>N+3</w:t>
            </w:r>
          </w:p>
        </w:tc>
        <w:tc>
          <w:tcPr>
            <w:tcW w:w="3240" w:type="dxa"/>
            <w:gridSpan w:val="3"/>
            <w:vAlign w:val="center"/>
          </w:tcPr>
          <w:p w:rsidR="00A6487C" w:rsidRDefault="007E6C80">
            <w:pPr>
              <w:jc w:val="center"/>
              <w:rPr>
                <w:b/>
                <w:noProof/>
                <w:sz w:val="18"/>
              </w:rPr>
            </w:pPr>
            <w:r>
              <w:rPr>
                <w:noProof/>
                <w:sz w:val="18"/>
              </w:rPr>
              <w:t>Uveďte všetky roky, počas ktorých vplyv trvá (pozri bod 1.6)</w:t>
            </w:r>
          </w:p>
        </w:tc>
      </w:tr>
      <w:tr w:rsidR="00A6487C">
        <w:trPr>
          <w:trHeight w:val="388"/>
        </w:trPr>
        <w:tc>
          <w:tcPr>
            <w:tcW w:w="2144" w:type="dxa"/>
            <w:vAlign w:val="center"/>
          </w:tcPr>
          <w:p w:rsidR="00A6487C" w:rsidRDefault="007E6C80">
            <w:pPr>
              <w:spacing w:before="40" w:after="40"/>
              <w:rPr>
                <w:noProof/>
                <w:sz w:val="18"/>
              </w:rPr>
            </w:pPr>
            <w:r>
              <w:rPr>
                <w:noProof/>
                <w:sz w:val="18"/>
              </w:rPr>
              <w:t>Článok...</w:t>
            </w:r>
          </w:p>
        </w:tc>
        <w:tc>
          <w:tcPr>
            <w:tcW w:w="1276" w:type="dxa"/>
          </w:tcPr>
          <w:p w:rsidR="00A6487C" w:rsidRDefault="00A6487C">
            <w:pPr>
              <w:spacing w:beforeLines="40" w:before="96" w:afterLines="40" w:after="96"/>
              <w:jc w:val="center"/>
              <w:rPr>
                <w:i/>
                <w:noProof/>
                <w:sz w:val="18"/>
              </w:rPr>
            </w:pPr>
          </w:p>
        </w:tc>
        <w:tc>
          <w:tcPr>
            <w:tcW w:w="1080" w:type="dxa"/>
          </w:tcPr>
          <w:p w:rsidR="00A6487C" w:rsidRDefault="00A6487C">
            <w:pPr>
              <w:spacing w:beforeLines="40" w:before="96" w:afterLines="40" w:after="96"/>
              <w:jc w:val="center"/>
              <w:rPr>
                <w:noProof/>
                <w:sz w:val="18"/>
              </w:rPr>
            </w:pPr>
          </w:p>
        </w:tc>
        <w:tc>
          <w:tcPr>
            <w:tcW w:w="900" w:type="dxa"/>
          </w:tcPr>
          <w:p w:rsidR="00A6487C" w:rsidRDefault="00A6487C">
            <w:pPr>
              <w:spacing w:beforeLines="40" w:before="96" w:afterLines="40" w:after="96"/>
              <w:jc w:val="center"/>
              <w:rPr>
                <w:noProof/>
                <w:sz w:val="18"/>
              </w:rPr>
            </w:pPr>
          </w:p>
        </w:tc>
        <w:tc>
          <w:tcPr>
            <w:tcW w:w="900" w:type="dxa"/>
          </w:tcPr>
          <w:p w:rsidR="00A6487C" w:rsidRDefault="00A6487C">
            <w:pPr>
              <w:spacing w:beforeLines="40" w:before="96" w:afterLines="40" w:after="96"/>
              <w:jc w:val="center"/>
              <w:rPr>
                <w:noProof/>
                <w:sz w:val="18"/>
              </w:rPr>
            </w:pPr>
          </w:p>
        </w:tc>
        <w:tc>
          <w:tcPr>
            <w:tcW w:w="1080" w:type="dxa"/>
          </w:tcPr>
          <w:p w:rsidR="00A6487C" w:rsidRDefault="00A6487C">
            <w:pPr>
              <w:spacing w:beforeLines="40" w:before="96" w:afterLines="40" w:after="96"/>
              <w:jc w:val="center"/>
              <w:rPr>
                <w:noProof/>
                <w:sz w:val="18"/>
              </w:rPr>
            </w:pPr>
          </w:p>
        </w:tc>
        <w:tc>
          <w:tcPr>
            <w:tcW w:w="1080" w:type="dxa"/>
          </w:tcPr>
          <w:p w:rsidR="00A6487C" w:rsidRDefault="00A6487C">
            <w:pPr>
              <w:spacing w:beforeLines="40" w:before="96" w:afterLines="40" w:after="96"/>
              <w:jc w:val="center"/>
              <w:rPr>
                <w:noProof/>
                <w:sz w:val="18"/>
              </w:rPr>
            </w:pPr>
          </w:p>
        </w:tc>
        <w:tc>
          <w:tcPr>
            <w:tcW w:w="1080" w:type="dxa"/>
          </w:tcPr>
          <w:p w:rsidR="00A6487C" w:rsidRDefault="00A6487C">
            <w:pPr>
              <w:spacing w:beforeLines="40" w:before="96" w:afterLines="40" w:after="96"/>
              <w:jc w:val="center"/>
              <w:rPr>
                <w:noProof/>
                <w:sz w:val="18"/>
              </w:rPr>
            </w:pPr>
          </w:p>
        </w:tc>
        <w:tc>
          <w:tcPr>
            <w:tcW w:w="1080" w:type="dxa"/>
          </w:tcPr>
          <w:p w:rsidR="00A6487C" w:rsidRDefault="00A6487C">
            <w:pPr>
              <w:spacing w:beforeLines="40" w:before="96" w:afterLines="40" w:after="96"/>
              <w:jc w:val="center"/>
              <w:rPr>
                <w:noProof/>
                <w:sz w:val="18"/>
              </w:rPr>
            </w:pPr>
          </w:p>
        </w:tc>
      </w:tr>
    </w:tbl>
    <w:p w:rsidR="00A6487C" w:rsidRDefault="007E6C80">
      <w:pPr>
        <w:pStyle w:val="Text1"/>
        <w:rPr>
          <w:noProof/>
          <w:sz w:val="20"/>
        </w:rPr>
      </w:pPr>
      <w:r>
        <w:rPr>
          <w:noProof/>
          <w:sz w:val="20"/>
        </w:rPr>
        <w:t>V prípade rôznych pripísaných príjmov uveďte príslušné rozpočtové riadky výdavkov.</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w:t>
      </w:r>
    </w:p>
    <w:p w:rsidR="00A6487C" w:rsidRDefault="007E6C80">
      <w:pPr>
        <w:pStyle w:val="Text1"/>
        <w:rPr>
          <w:noProof/>
          <w:sz w:val="20"/>
        </w:rPr>
      </w:pPr>
      <w:r>
        <w:rPr>
          <w:noProof/>
          <w:sz w:val="20"/>
        </w:rPr>
        <w:t>Uveďte spôsob výpočtu vplyvu na príjmy.</w:t>
      </w:r>
    </w:p>
    <w:p w:rsidR="00A6487C" w:rsidRDefault="007E6C80">
      <w:pPr>
        <w:pStyle w:val="Text1"/>
        <w:pBdr>
          <w:top w:val="single" w:sz="4" w:space="1" w:color="auto"/>
          <w:left w:val="single" w:sz="4" w:space="4" w:color="auto"/>
          <w:bottom w:val="single" w:sz="4" w:space="1" w:color="auto"/>
          <w:right w:val="single" w:sz="4" w:space="4" w:color="auto"/>
        </w:pBdr>
        <w:rPr>
          <w:noProof/>
        </w:rPr>
      </w:pPr>
      <w:r>
        <w:rPr>
          <w:noProof/>
        </w:rPr>
        <w:t>[...]</w:t>
      </w:r>
    </w:p>
    <w:sectPr w:rsidR="00A6487C">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87C" w:rsidRDefault="007E6C80">
      <w:pPr>
        <w:spacing w:before="0" w:after="0"/>
      </w:pPr>
      <w:r>
        <w:separator/>
      </w:r>
    </w:p>
  </w:endnote>
  <w:endnote w:type="continuationSeparator" w:id="0">
    <w:p w:rsidR="00A6487C" w:rsidRDefault="007E6C80">
      <w:pPr>
        <w:spacing w:before="0" w:after="0"/>
      </w:pPr>
      <w:r>
        <w:continuationSeparator/>
      </w:r>
    </w:p>
  </w:endnote>
  <w:endnote w:type="continuationNotice" w:id="1">
    <w:p w:rsidR="00A6487C" w:rsidRDefault="00A648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7C" w:rsidRDefault="007E6C80">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SK</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7C" w:rsidRDefault="007E6C80">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w:instrText>
    </w:r>
    <w:r>
      <w:instrText xml:space="preserv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7C" w:rsidRDefault="00A648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7C" w:rsidRDefault="007E6C80">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7C" w:rsidRDefault="00A6487C">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7C" w:rsidRDefault="007E6C80">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7C" w:rsidRDefault="00A64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87C" w:rsidRDefault="007E6C80">
      <w:pPr>
        <w:spacing w:before="0" w:after="0"/>
      </w:pPr>
      <w:r>
        <w:separator/>
      </w:r>
    </w:p>
  </w:footnote>
  <w:footnote w:type="continuationSeparator" w:id="0">
    <w:p w:rsidR="00A6487C" w:rsidRDefault="007E6C80">
      <w:pPr>
        <w:spacing w:before="0" w:after="0"/>
      </w:pPr>
      <w:r>
        <w:continuationSeparator/>
      </w:r>
    </w:p>
  </w:footnote>
  <w:footnote w:type="continuationNotice" w:id="1">
    <w:p w:rsidR="00A6487C" w:rsidRDefault="00A6487C">
      <w:pPr>
        <w:spacing w:before="0" w:after="0"/>
      </w:pPr>
    </w:p>
  </w:footnote>
  <w:footnote w:id="2">
    <w:p w:rsidR="00A6487C" w:rsidRDefault="007E6C80">
      <w:pPr>
        <w:pStyle w:val="FootnoteText"/>
      </w:pPr>
      <w:r>
        <w:rPr>
          <w:rStyle w:val="FootnoteReference"/>
        </w:rPr>
        <w:footnoteRef/>
      </w:r>
      <w:r>
        <w:tab/>
        <w:t xml:space="preserve">Napríklad Svetová banka: </w:t>
      </w:r>
      <w:r>
        <w:rPr>
          <w:i/>
        </w:rPr>
        <w:t>Správa o svetovom rozvoji: konflikt, bezpečnosť a rozvoj</w:t>
      </w:r>
      <w:r>
        <w:t>, 2011.</w:t>
      </w:r>
    </w:p>
  </w:footnote>
  <w:footnote w:id="3">
    <w:p w:rsidR="00A6487C" w:rsidRDefault="007E6C80">
      <w:pPr>
        <w:pStyle w:val="FootnoteText"/>
      </w:pPr>
      <w:r>
        <w:rPr>
          <w:rStyle w:val="FootnoteReference"/>
        </w:rPr>
        <w:footnoteRef/>
      </w:r>
      <w:r>
        <w:tab/>
      </w:r>
      <w:hyperlink r:id="rId1">
        <w:r>
          <w:rPr>
            <w:rStyle w:val="Hyperlink"/>
          </w:rPr>
          <w:t>http://www.un.org/sustainabledevelopment/sustainable-development-goals/</w:t>
        </w:r>
      </w:hyperlink>
      <w:r>
        <w:t xml:space="preserve">. </w:t>
      </w:r>
    </w:p>
  </w:footnote>
  <w:footnote w:id="4">
    <w:p w:rsidR="00A6487C" w:rsidRDefault="007E6C80">
      <w:pPr>
        <w:pStyle w:val="FootnoteText"/>
      </w:pPr>
      <w:r>
        <w:rPr>
          <w:rStyle w:val="FootnoteReference"/>
        </w:rPr>
        <w:footnoteRef/>
      </w:r>
      <w:r>
        <w:tab/>
      </w:r>
      <w:r>
        <w:t xml:space="preserve">Cieľ trvalo </w:t>
      </w:r>
      <w:r>
        <w:t xml:space="preserve">udržateľného rozvoja č. 16: Podporovať mierovú </w:t>
      </w:r>
      <w:proofErr w:type="spellStart"/>
      <w:r>
        <w:t>inkluzívnu</w:t>
      </w:r>
      <w:proofErr w:type="spellEnd"/>
      <w:r>
        <w:t xml:space="preserve"> spoločnosť v prospech trvalo udržateľného rozvoja. Poskytnúť prístup k spravodlivosti pre všetkých a budovať efektívne, transparentné a </w:t>
      </w:r>
      <w:proofErr w:type="spellStart"/>
      <w:r>
        <w:t>inkluzívne</w:t>
      </w:r>
      <w:proofErr w:type="spellEnd"/>
      <w:r>
        <w:t xml:space="preserve"> inštitúcie na všetkých úrovniach.</w:t>
      </w:r>
    </w:p>
  </w:footnote>
  <w:footnote w:id="5">
    <w:p w:rsidR="00A6487C" w:rsidRDefault="007E6C80">
      <w:pPr>
        <w:pStyle w:val="FootnoteText"/>
      </w:pPr>
      <w:r>
        <w:rPr>
          <w:rStyle w:val="FootnoteReference"/>
        </w:rPr>
        <w:footnoteRef/>
      </w:r>
      <w:r>
        <w:tab/>
      </w:r>
      <w:r>
        <w:t>EÚ schválila no</w:t>
      </w:r>
      <w:r>
        <w:t xml:space="preserve">vú dohodu, jeden z hlavných pilierov na 4. fóre na najvyššej úrovni o účinnosti pomoci v novembri 2011 v </w:t>
      </w:r>
      <w:proofErr w:type="spellStart"/>
      <w:r>
        <w:t>Busane</w:t>
      </w:r>
      <w:proofErr w:type="spellEnd"/>
      <w:r>
        <w:t xml:space="preserve"> (</w:t>
      </w:r>
      <w:hyperlink r:id="rId2">
        <w:r>
          <w:rPr>
            <w:rStyle w:val="Hyperlink"/>
          </w:rPr>
          <w:t>http://www.pbsbdialogue.org/en/</w:t>
        </w:r>
      </w:hyperlink>
      <w:r>
        <w:t>).</w:t>
      </w:r>
    </w:p>
  </w:footnote>
  <w:footnote w:id="6">
    <w:p w:rsidR="00A6487C" w:rsidRDefault="007E6C80">
      <w:pPr>
        <w:pStyle w:val="FootnoteText"/>
      </w:pPr>
      <w:r>
        <w:rPr>
          <w:rStyle w:val="FootnoteReference"/>
        </w:rPr>
        <w:footnoteRef/>
      </w:r>
      <w:r>
        <w:tab/>
      </w:r>
      <w:r>
        <w:t xml:space="preserve">Organizácia pre hospodársku spoluprácu a rozvoj – Výbor </w:t>
      </w:r>
      <w:r>
        <w:t>pre rozvojovú pomoc, február 2016.</w:t>
      </w:r>
    </w:p>
  </w:footnote>
  <w:footnote w:id="7">
    <w:p w:rsidR="00A6487C" w:rsidRDefault="007E6C80">
      <w:pPr>
        <w:pStyle w:val="FootnoteText"/>
      </w:pPr>
      <w:r>
        <w:rPr>
          <w:rStyle w:val="FootnoteReference"/>
        </w:rPr>
        <w:footnoteRef/>
      </w:r>
      <w:r>
        <w:tab/>
      </w:r>
      <w:r>
        <w:t xml:space="preserve">JOIN(2015) 17, s. 8. </w:t>
      </w:r>
    </w:p>
  </w:footnote>
  <w:footnote w:id="8">
    <w:p w:rsidR="00A6487C" w:rsidRDefault="007E6C80">
      <w:pPr>
        <w:pStyle w:val="FootnoteText"/>
        <w:jc w:val="left"/>
      </w:pPr>
      <w:r>
        <w:rPr>
          <w:rStyle w:val="FootnoteReference"/>
        </w:rPr>
        <w:footnoteRef/>
      </w:r>
      <w:r>
        <w:tab/>
      </w:r>
      <w:r>
        <w:t xml:space="preserve">[JOIN(2013) 30 </w:t>
      </w:r>
      <w:proofErr w:type="spellStart"/>
      <w:r>
        <w:t>final</w:t>
      </w:r>
      <w:proofErr w:type="spellEnd"/>
      <w:r>
        <w:t>] z 11. decembra 2013.</w:t>
      </w:r>
    </w:p>
  </w:footnote>
  <w:footnote w:id="9">
    <w:p w:rsidR="00A6487C" w:rsidRDefault="007E6C80">
      <w:pPr>
        <w:pStyle w:val="FootnoteText"/>
        <w:jc w:val="left"/>
      </w:pPr>
      <w:r>
        <w:rPr>
          <w:rStyle w:val="FootnoteReference"/>
        </w:rPr>
        <w:footnoteRef/>
      </w:r>
      <w:r>
        <w:tab/>
      </w:r>
      <w:r>
        <w:t>Závery Rady 9644/14 z 12. mája 2014.</w:t>
      </w:r>
    </w:p>
  </w:footnote>
  <w:footnote w:id="10">
    <w:p w:rsidR="00A6487C" w:rsidRDefault="007E6C80">
      <w:pPr>
        <w:pStyle w:val="FootnoteText"/>
      </w:pPr>
      <w:r>
        <w:rPr>
          <w:rStyle w:val="FootnoteReference"/>
        </w:rPr>
        <w:footnoteRef/>
      </w:r>
      <w:r>
        <w:tab/>
      </w:r>
      <w:r>
        <w:t xml:space="preserve">[JOIN(2013) 30 </w:t>
      </w:r>
      <w:proofErr w:type="spellStart"/>
      <w:r>
        <w:t>final</w:t>
      </w:r>
      <w:proofErr w:type="spellEnd"/>
      <w:r>
        <w:t>] z 11. decembra 2013.</w:t>
      </w:r>
    </w:p>
  </w:footnote>
  <w:footnote w:id="11">
    <w:p w:rsidR="00A6487C" w:rsidRDefault="007E6C80">
      <w:pPr>
        <w:pStyle w:val="FootnoteText"/>
      </w:pPr>
      <w:r>
        <w:rPr>
          <w:rStyle w:val="FootnoteReference"/>
        </w:rPr>
        <w:footnoteRef/>
      </w:r>
      <w:r>
        <w:tab/>
      </w:r>
      <w:r>
        <w:t xml:space="preserve">V článku 41 ZEÚ sa stanovujú zásady financovania civilných a </w:t>
      </w:r>
      <w:r>
        <w:t xml:space="preserve">vojenských operácií krízového riadenia EÚ. Spoločné náklady na také operácie v súčasnosti spadajú do rozsahu pôsobnosti rozhodnutia Rady (SZBP) 2015/528 z 27. marca 2015, ktorým sa ustanovuje mechanizmus správy financovania spoločných nákladov na operácie </w:t>
      </w:r>
      <w:r>
        <w:t>Európskej únie s vojenskými alebo obrannými dôsledkami (</w:t>
      </w:r>
      <w:proofErr w:type="spellStart"/>
      <w:r>
        <w:t>Athena</w:t>
      </w:r>
      <w:proofErr w:type="spellEnd"/>
      <w:r>
        <w:t>) a ktorým sa zrušuje rozhodnutie 2011/871/SZBP (Ú. v. EÚ L 84, 28.3.2015, s. 39).</w:t>
      </w:r>
    </w:p>
  </w:footnote>
  <w:footnote w:id="12">
    <w:p w:rsidR="00A6487C" w:rsidRDefault="007E6C80">
      <w:pPr>
        <w:pStyle w:val="FootnoteText"/>
      </w:pPr>
      <w:r>
        <w:rPr>
          <w:rStyle w:val="FootnoteReference"/>
        </w:rPr>
        <w:footnoteRef/>
      </w:r>
      <w:r>
        <w:tab/>
      </w:r>
      <w:r>
        <w:rPr>
          <w:i/>
        </w:rPr>
        <w:t>Dohoda o partnerstve medzi členmi skupiny afrických, karibských a tichomorských štátov na jednej strane a Eur</w:t>
      </w:r>
      <w:r>
        <w:rPr>
          <w:i/>
        </w:rPr>
        <w:t>ópskym spoločenstvom a jeho členskými štátmi na strane druhej</w:t>
      </w:r>
      <w:r>
        <w:t xml:space="preserve">,  podpísaná v </w:t>
      </w:r>
      <w:proofErr w:type="spellStart"/>
      <w:r>
        <w:t>Cotonou</w:t>
      </w:r>
      <w:proofErr w:type="spellEnd"/>
      <w:r>
        <w:t xml:space="preserve"> 23. 6. 2000, </w:t>
      </w:r>
      <w:r>
        <w:rPr>
          <w:sz w:val="19"/>
          <w:szCs w:val="19"/>
        </w:rPr>
        <w:t>revidovaná v Luxemburgu 25. 6. 2005 a v Ouagadougou 22. 6. 2010.</w:t>
      </w:r>
      <w:r>
        <w:t xml:space="preserve"> </w:t>
      </w:r>
    </w:p>
  </w:footnote>
  <w:footnote w:id="13">
    <w:p w:rsidR="00A6487C" w:rsidRDefault="007E6C80">
      <w:pPr>
        <w:pStyle w:val="FootnoteText"/>
      </w:pPr>
      <w:r>
        <w:rPr>
          <w:rStyle w:val="FootnoteReference"/>
        </w:rPr>
        <w:footnoteRef/>
      </w:r>
      <w:r>
        <w:tab/>
      </w:r>
      <w:r>
        <w:t xml:space="preserve">Právnym základom mierového nástroja pre Afriku je článok 11 dohody o partnerstve z </w:t>
      </w:r>
      <w:proofErr w:type="spellStart"/>
      <w:r>
        <w:t>Cotonou</w:t>
      </w:r>
      <w:proofErr w:type="spellEnd"/>
      <w:r>
        <w:t xml:space="preserve"> </w:t>
      </w:r>
      <w:r>
        <w:t xml:space="preserve">s názvom „Politika budovania mieru, prevencia a riešenie konfliktov“ a príslušné závery Rady; rozhodnutie Rady ministrov AKT-ES č. 3/2003 z 11. decembra 2003 o použití zdrojov z balíka deviateho ERF pre dlhodobý rozvoj na vytvorenie mierového nástroja pre </w:t>
      </w:r>
      <w:r>
        <w:t>Afriku (Ú. v. EÚ L 345, 31.12.2003, s. 108).</w:t>
      </w:r>
    </w:p>
  </w:footnote>
  <w:footnote w:id="14">
    <w:p w:rsidR="00A6487C" w:rsidRDefault="007E6C80">
      <w:pPr>
        <w:pStyle w:val="FootnoteText"/>
        <w:rPr>
          <w:rFonts w:eastAsia="Times New Roman"/>
        </w:rPr>
      </w:pPr>
      <w:r>
        <w:rPr>
          <w:rStyle w:val="FootnoteReference"/>
        </w:rPr>
        <w:footnoteRef/>
      </w:r>
      <w:r>
        <w:tab/>
      </w:r>
      <w:r>
        <w:t xml:space="preserve">Rozsudok Súdneho dvora z 11. júna 2014, Európska komisia/Rada (PCA Filipíny), C-377/12, ECLI:EU:C:2014:1903, bod 37. </w:t>
      </w:r>
    </w:p>
  </w:footnote>
  <w:footnote w:id="15">
    <w:p w:rsidR="00A6487C" w:rsidRDefault="007E6C80">
      <w:pPr>
        <w:pStyle w:val="FootnoteText"/>
      </w:pPr>
      <w:r>
        <w:rPr>
          <w:rStyle w:val="FootnoteReference"/>
        </w:rPr>
        <w:footnoteRef/>
      </w:r>
      <w:r>
        <w:tab/>
      </w:r>
      <w:r>
        <w:t>Pozri tiež JOIN(2015) 17, s. 7 a vyššie uvedené revidované smernice OECD/DAC pre výkazníc</w:t>
      </w:r>
      <w:r>
        <w:t xml:space="preserve">tvo v oblasti mieru a bezpečnosti. </w:t>
      </w:r>
    </w:p>
  </w:footnote>
  <w:footnote w:id="16">
    <w:p w:rsidR="00A6487C" w:rsidRDefault="007E6C80">
      <w:pPr>
        <w:pStyle w:val="FootnoteText"/>
      </w:pPr>
      <w:r>
        <w:rPr>
          <w:rStyle w:val="FootnoteReference"/>
        </w:rPr>
        <w:footnoteRef/>
      </w:r>
      <w:r>
        <w:tab/>
      </w:r>
      <w:r>
        <w:t>Nariadenie Európskeho parlamentu a Rady (EÚ) č. 236/2014 z 11. marca 2014, ktorým sa ustanovujú spoločné pravidlá a postupy pre vykonávanie nástrojov Únie na financovanie vonkajšej činnosti (Ú. v. EÚ L 77, 15.3.2014, s</w:t>
      </w:r>
      <w:r>
        <w:t xml:space="preserve">. 95). </w:t>
      </w:r>
    </w:p>
  </w:footnote>
  <w:footnote w:id="17">
    <w:p w:rsidR="00A6487C" w:rsidRDefault="007E6C80">
      <w:pPr>
        <w:pStyle w:val="FootnoteText"/>
      </w:pPr>
      <w:r>
        <w:rPr>
          <w:rStyle w:val="FootnoteReference"/>
        </w:rPr>
        <w:footnoteRef/>
      </w:r>
      <w:r>
        <w:tab/>
      </w:r>
      <w:r>
        <w:t>Spoločné vyhlásenie Rady a zástupcov vlád členských štátov na zasadnutí Rady, Európskeho parlamentu a Komisie o politike rozvoja Európskej únie: „Európsky konsenzus“ (Ú. v. EÚ C 46, 24.2.2006, s. 1).</w:t>
      </w:r>
    </w:p>
  </w:footnote>
  <w:footnote w:id="18">
    <w:p w:rsidR="00A6487C" w:rsidRDefault="007E6C80">
      <w:pPr>
        <w:pStyle w:val="FootnoteText"/>
      </w:pPr>
      <w:r>
        <w:rPr>
          <w:rStyle w:val="FootnoteReference"/>
        </w:rPr>
        <w:footnoteRef/>
      </w:r>
      <w:r>
        <w:tab/>
      </w:r>
      <w:r>
        <w:t>Organizácia Spojených národov, A/RES/70/1, r</w:t>
      </w:r>
      <w:r>
        <w:t>ezolúcia prijatá Valným zhromaždením 25. septembra 2015.</w:t>
      </w:r>
    </w:p>
  </w:footnote>
  <w:footnote w:id="19">
    <w:p w:rsidR="00A6487C" w:rsidRDefault="007E6C80">
      <w:pPr>
        <w:pStyle w:val="FootnoteText"/>
        <w:jc w:val="left"/>
      </w:pPr>
      <w:r>
        <w:rPr>
          <w:rStyle w:val="FootnoteReference"/>
        </w:rPr>
        <w:footnoteRef/>
      </w:r>
      <w:r>
        <w:tab/>
      </w:r>
      <w:r>
        <w:t xml:space="preserve">[JOIN(2015) 17 </w:t>
      </w:r>
      <w:proofErr w:type="spellStart"/>
      <w:r>
        <w:t>final</w:t>
      </w:r>
      <w:proofErr w:type="spellEnd"/>
      <w:r>
        <w:t>] z 28. apríla 2015.</w:t>
      </w:r>
    </w:p>
  </w:footnote>
  <w:footnote w:id="20">
    <w:p w:rsidR="00A6487C" w:rsidRDefault="007E6C80">
      <w:pPr>
        <w:pStyle w:val="FootnoteText"/>
        <w:jc w:val="left"/>
      </w:pPr>
      <w:r>
        <w:rPr>
          <w:rStyle w:val="FootnoteReference"/>
        </w:rPr>
        <w:footnoteRef/>
      </w:r>
      <w:r>
        <w:tab/>
      </w:r>
      <w:r>
        <w:t>Závery Rady pre zahraničné veci (útvar obrany) o SBOP, dokument 8971/15 z 18. mája 2015.</w:t>
      </w:r>
    </w:p>
  </w:footnote>
  <w:footnote w:id="21">
    <w:p w:rsidR="00A6487C" w:rsidRDefault="007E6C80">
      <w:pPr>
        <w:pStyle w:val="FootnoteText"/>
        <w:rPr>
          <w:szCs w:val="24"/>
        </w:rPr>
      </w:pPr>
      <w:r>
        <w:rPr>
          <w:rStyle w:val="FootnoteReference"/>
        </w:rPr>
        <w:footnoteRef/>
      </w:r>
      <w:r>
        <w:tab/>
      </w:r>
      <w:r>
        <w:t xml:space="preserve">ABM: riadenie podľa činností; ABB: zostavovanie rozpočtu podľa </w:t>
      </w:r>
      <w:r>
        <w:t>činností.</w:t>
      </w:r>
    </w:p>
  </w:footnote>
  <w:footnote w:id="22">
    <w:p w:rsidR="00A6487C" w:rsidRDefault="007E6C80">
      <w:pPr>
        <w:pStyle w:val="FootnoteText"/>
        <w:rPr>
          <w:szCs w:val="24"/>
        </w:rPr>
      </w:pPr>
      <w:r>
        <w:rPr>
          <w:rStyle w:val="FootnoteReference"/>
        </w:rPr>
        <w:footnoteRef/>
      </w:r>
      <w:r>
        <w:tab/>
      </w:r>
      <w:r>
        <w:t>Podľa článku 54 ods. 2 písm. a) alebo b) nariadenia o rozpočtových pravidlách.</w:t>
      </w:r>
    </w:p>
  </w:footnote>
  <w:footnote w:id="23">
    <w:p w:rsidR="00A6487C" w:rsidRDefault="007E6C80">
      <w:pPr>
        <w:pStyle w:val="FootnoteText"/>
      </w:pPr>
      <w:r>
        <w:rPr>
          <w:rStyle w:val="FootnoteReference"/>
        </w:rPr>
        <w:footnoteRef/>
      </w:r>
      <w:r>
        <w:tab/>
      </w:r>
      <w:r>
        <w:t>http://ec.europa.eu/priorities/docs/pg_sk.pdf</w:t>
      </w:r>
    </w:p>
  </w:footnote>
  <w:footnote w:id="24">
    <w:p w:rsidR="00A6487C" w:rsidRDefault="007E6C80">
      <w:pPr>
        <w:pStyle w:val="FootnoteText"/>
      </w:pPr>
      <w:r>
        <w:rPr>
          <w:rStyle w:val="FootnoteReference"/>
        </w:rPr>
        <w:footnoteRef/>
      </w:r>
      <w:r>
        <w:tab/>
      </w:r>
      <w:r>
        <w:t xml:space="preserve">COM(2015) 610 </w:t>
      </w:r>
      <w:proofErr w:type="spellStart"/>
      <w:r>
        <w:t>final</w:t>
      </w:r>
      <w:proofErr w:type="spellEnd"/>
    </w:p>
  </w:footnote>
  <w:footnote w:id="25">
    <w:p w:rsidR="00A6487C" w:rsidRDefault="007E6C80">
      <w:pPr>
        <w:pStyle w:val="FootnoteText"/>
        <w:jc w:val="left"/>
        <w:rPr>
          <w:szCs w:val="24"/>
        </w:rPr>
      </w:pPr>
      <w:r>
        <w:rPr>
          <w:rStyle w:val="FootnoteReference"/>
        </w:rPr>
        <w:footnoteRef/>
      </w:r>
      <w:r>
        <w:tab/>
      </w:r>
      <w:r>
        <w:t>Vysvetlenie spôsobov hospodárenia a odkazy na nariadenie o rozpočtových pravidlách možno nájs</w:t>
      </w:r>
      <w:r>
        <w:t xml:space="preserve">ť na webovom sídle </w:t>
      </w:r>
      <w:proofErr w:type="spellStart"/>
      <w:r>
        <w:t>BudgWeb</w:t>
      </w:r>
      <w:proofErr w:type="spellEnd"/>
      <w:r>
        <w:t xml:space="preserve">: </w:t>
      </w:r>
      <w:hyperlink r:id="rId3">
        <w:r>
          <w:rPr>
            <w:rStyle w:val="Hyperlink"/>
          </w:rPr>
          <w:t>https://myintracomm.ec.europa.eu/budgweb/EN/man/budgmanag/Pages/budgmanag.aspx</w:t>
        </w:r>
      </w:hyperlink>
      <w:r>
        <w:t xml:space="preserve">. </w:t>
      </w:r>
    </w:p>
  </w:footnote>
  <w:footnote w:id="26">
    <w:p w:rsidR="00A6487C" w:rsidRDefault="007E6C80">
      <w:pPr>
        <w:pStyle w:val="FootnoteText"/>
        <w:rPr>
          <w:szCs w:val="24"/>
        </w:rPr>
      </w:pPr>
      <w:r>
        <w:rPr>
          <w:rStyle w:val="FootnoteReference"/>
        </w:rPr>
        <w:footnoteRef/>
      </w:r>
      <w:r>
        <w:tab/>
      </w:r>
      <w:r>
        <w:t xml:space="preserve">DRP </w:t>
      </w:r>
      <w:proofErr w:type="spellStart"/>
      <w:r>
        <w:t>DRP</w:t>
      </w:r>
      <w:proofErr w:type="spellEnd"/>
      <w:r>
        <w:t xml:space="preserve"> = diferencované rozpočtové </w:t>
      </w:r>
      <w:r>
        <w:t>prostriedky/NRP = nediferencované rozpočtové prostriedky.</w:t>
      </w:r>
    </w:p>
  </w:footnote>
  <w:footnote w:id="27">
    <w:p w:rsidR="00A6487C" w:rsidRDefault="007E6C80">
      <w:pPr>
        <w:pStyle w:val="FootnoteText"/>
        <w:rPr>
          <w:szCs w:val="24"/>
        </w:rPr>
      </w:pPr>
      <w:r>
        <w:rPr>
          <w:rStyle w:val="FootnoteReference"/>
        </w:rPr>
        <w:footnoteRef/>
      </w:r>
      <w:r>
        <w:tab/>
      </w:r>
      <w:r>
        <w:t xml:space="preserve">EZVO: Európske združenie voľného obchodu. </w:t>
      </w:r>
    </w:p>
  </w:footnote>
  <w:footnote w:id="28">
    <w:p w:rsidR="00A6487C" w:rsidRDefault="007E6C80">
      <w:pPr>
        <w:pStyle w:val="FootnoteText"/>
        <w:rPr>
          <w:szCs w:val="24"/>
        </w:rPr>
      </w:pPr>
      <w:r>
        <w:rPr>
          <w:rStyle w:val="FootnoteReference"/>
        </w:rPr>
        <w:footnoteRef/>
      </w:r>
      <w:r>
        <w:tab/>
      </w:r>
      <w:r>
        <w:t>Kandidátske krajiny a prípadne potenciálne kandidátske krajiny zo západného Balkánu.</w:t>
      </w:r>
    </w:p>
  </w:footnote>
  <w:footnote w:id="29">
    <w:p w:rsidR="00A6487C" w:rsidRDefault="007E6C80">
      <w:pPr>
        <w:pStyle w:val="FootnoteText"/>
        <w:rPr>
          <w:szCs w:val="24"/>
        </w:rPr>
      </w:pPr>
      <w:r>
        <w:rPr>
          <w:rStyle w:val="FootnoteReference"/>
        </w:rPr>
        <w:footnoteRef/>
      </w:r>
      <w:r>
        <w:tab/>
      </w:r>
      <w:r>
        <w:t>Rok N je rokom, v ktorom sa návrh/iniciatíva začína uskutočňovať</w:t>
      </w:r>
      <w:r>
        <w:t>.</w:t>
      </w:r>
    </w:p>
  </w:footnote>
  <w:footnote w:id="30">
    <w:p w:rsidR="00A6487C" w:rsidRDefault="007E6C80">
      <w:pPr>
        <w:pStyle w:val="FootnoteText"/>
        <w:rPr>
          <w:szCs w:val="24"/>
        </w:rPr>
      </w:pPr>
      <w:r>
        <w:rPr>
          <w:rStyle w:val="FootnoteReference"/>
        </w:rPr>
        <w:footnoteRef/>
      </w:r>
      <w:r>
        <w:tab/>
      </w:r>
      <w:r>
        <w:t>Technická a/alebo administratívna pomoc a výdavky určené na financovanie realizácie programov a/alebo akcií Európskej únie (pôvodné rozpočtové riadky „BA“), nepriamy výskum, priamy výskum.</w:t>
      </w:r>
    </w:p>
  </w:footnote>
  <w:footnote w:id="31">
    <w:p w:rsidR="00A6487C" w:rsidRDefault="007E6C80">
      <w:pPr>
        <w:pStyle w:val="FootnoteText"/>
        <w:rPr>
          <w:szCs w:val="24"/>
        </w:rPr>
      </w:pPr>
      <w:r>
        <w:rPr>
          <w:rStyle w:val="FootnoteReference"/>
        </w:rPr>
        <w:footnoteRef/>
      </w:r>
      <w:r>
        <w:tab/>
      </w:r>
      <w:r>
        <w:t>Rok N je rokom, v ktorom sa návrh/iniciatíva začína uskutočňo</w:t>
      </w:r>
      <w:r>
        <w:t>vať.</w:t>
      </w:r>
    </w:p>
  </w:footnote>
  <w:footnote w:id="32">
    <w:p w:rsidR="00A6487C" w:rsidRDefault="007E6C80">
      <w:pPr>
        <w:pStyle w:val="FootnoteText"/>
        <w:rPr>
          <w:szCs w:val="24"/>
        </w:rPr>
      </w:pPr>
      <w:r>
        <w:rPr>
          <w:rStyle w:val="FootnoteReference"/>
        </w:rPr>
        <w:footnoteRef/>
      </w:r>
      <w:r>
        <w:tab/>
      </w:r>
      <w:r>
        <w:t>Výstupy znamenajú dodané produkty a služby (napr.: počet financovaných výmen študentov, vybudované cesty v km atď.).</w:t>
      </w:r>
    </w:p>
  </w:footnote>
  <w:footnote w:id="33">
    <w:p w:rsidR="00A6487C" w:rsidRDefault="007E6C80">
      <w:pPr>
        <w:pStyle w:val="FootnoteText"/>
        <w:rPr>
          <w:szCs w:val="24"/>
        </w:rPr>
      </w:pPr>
      <w:r>
        <w:rPr>
          <w:rStyle w:val="FootnoteReference"/>
        </w:rPr>
        <w:footnoteRef/>
      </w:r>
      <w:r>
        <w:tab/>
      </w:r>
      <w:r>
        <w:t xml:space="preserve">Ako je uvedené v bode 1.4.2. „Osobitné ciele...“. </w:t>
      </w:r>
    </w:p>
  </w:footnote>
  <w:footnote w:id="34">
    <w:p w:rsidR="00A6487C" w:rsidRDefault="007E6C80">
      <w:pPr>
        <w:pStyle w:val="FootnoteText"/>
        <w:rPr>
          <w:szCs w:val="24"/>
        </w:rPr>
      </w:pPr>
      <w:r>
        <w:rPr>
          <w:rStyle w:val="FootnoteReference"/>
        </w:rPr>
        <w:footnoteRef/>
      </w:r>
      <w:r>
        <w:tab/>
      </w:r>
      <w:r>
        <w:t>Rok N je rokom, v ktorom sa návrh/iniciatíva začína uskutočňovať.</w:t>
      </w:r>
    </w:p>
  </w:footnote>
  <w:footnote w:id="35">
    <w:p w:rsidR="00A6487C" w:rsidRDefault="007E6C80">
      <w:pPr>
        <w:pStyle w:val="FootnoteText"/>
        <w:rPr>
          <w:szCs w:val="24"/>
        </w:rPr>
      </w:pPr>
      <w:r>
        <w:rPr>
          <w:rStyle w:val="FootnoteReference"/>
        </w:rPr>
        <w:footnoteRef/>
      </w:r>
      <w:r>
        <w:tab/>
      </w:r>
      <w:r>
        <w:t>Technická</w:t>
      </w:r>
      <w:r>
        <w:t xml:space="preserve"> a/alebo administratívna pomoc a výdavky určené na financovanie realizácie programov a/alebo akcií Európskej únie (pôvodné rozpočtové riadky „BA“), nepriamy výskum, priamy výskum.</w:t>
      </w:r>
    </w:p>
  </w:footnote>
  <w:footnote w:id="36">
    <w:p w:rsidR="00A6487C" w:rsidRDefault="007E6C80">
      <w:pPr>
        <w:pStyle w:val="FootnoteText"/>
        <w:rPr>
          <w:szCs w:val="24"/>
        </w:rPr>
      </w:pPr>
      <w:r>
        <w:rPr>
          <w:rStyle w:val="FootnoteReference"/>
        </w:rPr>
        <w:footnoteRef/>
      </w:r>
      <w:r>
        <w:tab/>
      </w:r>
      <w:r>
        <w:t xml:space="preserve">ZZ = zmluvný zamestnanec; MZ = miestny zamestnanec; VNE = vyslaný národný </w:t>
      </w:r>
      <w:r>
        <w:t xml:space="preserve">expert; DAZ = dočasný agentúrny zamestnanec; PED = pomocný expert v delegácii. </w:t>
      </w:r>
    </w:p>
  </w:footnote>
  <w:footnote w:id="37">
    <w:p w:rsidR="00A6487C" w:rsidRDefault="007E6C80">
      <w:pPr>
        <w:pStyle w:val="FootnoteText"/>
        <w:rPr>
          <w:szCs w:val="24"/>
        </w:rPr>
      </w:pPr>
      <w:r>
        <w:rPr>
          <w:rStyle w:val="FootnoteReference"/>
        </w:rPr>
        <w:footnoteRef/>
      </w:r>
      <w:r>
        <w:tab/>
      </w:r>
      <w:r>
        <w:t>Čiastkový strop pre externých zamestnancov financovaných z operačných rozpočtových prostriedkov (pôvodné rozpočtové riadky „BA“).</w:t>
      </w:r>
    </w:p>
  </w:footnote>
  <w:footnote w:id="38">
    <w:p w:rsidR="00A6487C" w:rsidRPr="007E6C80" w:rsidRDefault="007E6C80">
      <w:pPr>
        <w:pStyle w:val="FootnoteText"/>
        <w:rPr>
          <w:szCs w:val="24"/>
        </w:rPr>
      </w:pPr>
      <w:r>
        <w:rPr>
          <w:rStyle w:val="FootnoteReference"/>
        </w:rPr>
        <w:footnoteRef/>
      </w:r>
      <w:r>
        <w:tab/>
      </w:r>
      <w:r>
        <w:t>Pokiaľ ide o tradičné vlastné zdroje (clá,</w:t>
      </w:r>
      <w:r>
        <w:t xml:space="preserve"> odvody z produkcie cukru), uvedené sumy musia predstavovať čisté sumy, t. j. hrubé sumy po odčítaní 25 % nákladov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7C" w:rsidRDefault="00A6487C">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7C" w:rsidRDefault="00A6487C">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7C" w:rsidRDefault="00A648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7C" w:rsidRDefault="00A64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7AA270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378AD0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E21E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612EB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3FCF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0449B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C30D7AE"/>
    <w:lvl w:ilvl="0">
      <w:start w:val="1"/>
      <w:numFmt w:val="decimal"/>
      <w:pStyle w:val="ListNumber"/>
      <w:lvlText w:val="%1."/>
      <w:lvlJc w:val="left"/>
      <w:pPr>
        <w:tabs>
          <w:tab w:val="num" w:pos="360"/>
        </w:tabs>
        <w:ind w:left="360" w:hanging="360"/>
      </w:pPr>
    </w:lvl>
  </w:abstractNum>
  <w:abstractNum w:abstractNumId="7">
    <w:nsid w:val="FFFFFF89"/>
    <w:multiLevelType w:val="singleLevel"/>
    <w:tmpl w:val="97D8E50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3"/>
  </w:num>
  <w:num w:numId="11">
    <w:abstractNumId w:val="18"/>
  </w:num>
  <w:num w:numId="12">
    <w:abstractNumId w:val="17"/>
  </w:num>
  <w:num w:numId="13">
    <w:abstractNumId w:val="20"/>
    <w:lvlOverride w:ilvl="0">
      <w:startOverride w:val="1"/>
    </w:lvlOverride>
  </w:num>
  <w:num w:numId="14">
    <w:abstractNumId w:val="23"/>
  </w:num>
  <w:num w:numId="15">
    <w:abstractNumId w:val="20"/>
  </w:num>
  <w:num w:numId="16">
    <w:abstractNumId w:val="25"/>
  </w:num>
  <w:num w:numId="17">
    <w:abstractNumId w:val="25"/>
    <w:lvlOverride w:ilvl="0">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4"/>
  </w:num>
  <w:num w:numId="22">
    <w:abstractNumId w:val="12"/>
  </w:num>
  <w:num w:numId="23">
    <w:abstractNumId w:val="15"/>
  </w:num>
  <w:num w:numId="24">
    <w:abstractNumId w:val="10"/>
  </w:num>
  <w:num w:numId="25">
    <w:abstractNumId w:val="23"/>
  </w:num>
  <w:num w:numId="26">
    <w:abstractNumId w:val="9"/>
  </w:num>
  <w:num w:numId="27">
    <w:abstractNumId w:val="16"/>
  </w:num>
  <w:num w:numId="28">
    <w:abstractNumId w:val="20"/>
  </w:num>
  <w:num w:numId="29">
    <w:abstractNumId w:val="21"/>
  </w:num>
  <w:num w:numId="30">
    <w:abstractNumId w:val="11"/>
  </w:num>
  <w:num w:numId="31">
    <w:abstractNumId w:val="19"/>
  </w:num>
  <w:num w:numId="32">
    <w:abstractNumId w:val="25"/>
  </w:num>
  <w:num w:numId="33">
    <w:abstractNumId w:val="22"/>
  </w:num>
  <w:num w:numId="34">
    <w:abstractNumId w:val="14"/>
  </w:num>
  <w:num w:numId="35">
    <w:abstractNumId w:val="24"/>
  </w:num>
  <w:num w:numId="36">
    <w:abstractNumId w:val="12"/>
  </w:num>
  <w:num w:numId="37">
    <w:abstractNumId w:val="15"/>
  </w:num>
  <w:num w:numId="38">
    <w:abstractNumId w:val="10"/>
  </w:num>
  <w:num w:numId="39">
    <w:abstractNumId w:val="23"/>
  </w:num>
  <w:num w:numId="40">
    <w:abstractNumId w:val="9"/>
  </w:num>
  <w:num w:numId="41">
    <w:abstractNumId w:val="16"/>
  </w:num>
  <w:num w:numId="42">
    <w:abstractNumId w:val="20"/>
  </w:num>
  <w:num w:numId="43">
    <w:abstractNumId w:val="21"/>
  </w:num>
  <w:num w:numId="44">
    <w:abstractNumId w:val="11"/>
  </w:num>
  <w:num w:numId="45">
    <w:abstractNumId w:val="19"/>
  </w:num>
  <w:num w:numId="46">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hideSpellingErrors/>
  <w:hideGrammaticalErrors/>
  <w:proofState w:spelling="clean" w:grammar="clean"/>
  <w:attachedTemplate r:id="rId1"/>
  <w:defaultTabStop w:val="720"/>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7-20 12:25:3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1"/>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2"/>
    <w:docVar w:name="DQCStatus" w:val="Yellow"/>
    <w:docVar w:name="DQCVersion" w:val="3"/>
    <w:docVar w:name="DQCWithWarnings" w:val="0"/>
    <w:docVar w:name="LW_CONFIDENCE" w:val=" "/>
    <w:docVar w:name="LW_CONST_RESTREINT_UE" w:val="RESTREINT UE"/>
    <w:docVar w:name="LW_CORRIGENDUM" w:val="&lt;UNUSED&gt;"/>
    <w:docVar w:name="LW_COVERPAGE_GUID" w:val="09DCF6648B6149799B3F585F5CFD940D"/>
    <w:docVar w:name="LW_CROSSREFERENCE" w:val="{SWD(2016) 222 final}_x000b_{SWD(2016) 225 final}"/>
    <w:docVar w:name="LW_DocType" w:val="COM"/>
    <w:docVar w:name="LW_EMISSION" w:val="5. 7. 2016"/>
    <w:docVar w:name="LW_EMISSION_ISODATE" w:val="2016-07-05"/>
    <w:docVar w:name="LW_EMISSION_LOCATION" w:val="STR"/>
    <w:docVar w:name="LW_EMISSION_PREFIX" w:val="V Štrasburgu"/>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207"/>
    <w:docVar w:name="LW_REF.II.NEW.CP_YEAR" w:val="2016"/>
    <w:docVar w:name="LW_REF.INST.NEW" w:val="COM"/>
    <w:docVar w:name="LW_REF.INST.NEW_ADOPTED" w:val="final"/>
    <w:docVar w:name="LW_REF.INST.NEW_TEXT" w:val="(2016) 447"/>
    <w:docVar w:name="LW_REF.INTERNE" w:val="&lt;UNUSED&gt;"/>
    <w:docVar w:name="LW_SOUS.TITRE.OBJ.CP" w:val="&lt;UNUSED&gt;"/>
    <w:docVar w:name="LW_STATUT.CP" w:val="Návrh"/>
    <w:docVar w:name="LW_SUPERTITRE" w:val="&lt;UNUSED&gt;"/>
    <w:docVar w:name="LW_TITRE.OBJ.CP" w:val="ktorým sa mení nariadenie Európskeho parlamentu a Rady (EÚ) \u269?. 230/2014 z 11. marca 2014, ktorým sa ustanovuje nástroj na podporu stability a mieru"/>
    <w:docVar w:name="LW_TYPE.DOC.CP" w:val="NARIADENIE EURÓPSKEHO PARLAMENTU A RADY,"/>
  </w:docVars>
  <w:rsids>
    <w:rsidRoot w:val="00A6487C"/>
    <w:rsid w:val="007E6C80"/>
    <w:rsid w:val="00A64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ListBullet1">
    <w:name w:val="List Bullet 1"/>
    <w:basedOn w:val="Normal"/>
    <w:pPr>
      <w:numPr>
        <w:numId w:val="9"/>
      </w:numPr>
    </w:pPr>
    <w:rPr>
      <w:rFonts w:eastAsia="Times New Roman"/>
      <w:lang w:eastAsia="en-GB"/>
    </w:rPr>
  </w:style>
  <w:style w:type="paragraph" w:customStyle="1" w:styleId="ListDash">
    <w:name w:val="List Dash"/>
    <w:basedOn w:val="Normal"/>
    <w:pPr>
      <w:numPr>
        <w:numId w:val="10"/>
      </w:numPr>
    </w:pPr>
    <w:rPr>
      <w:rFonts w:eastAsia="Times New Roman"/>
      <w:lang w:eastAsia="en-GB"/>
    </w:rPr>
  </w:style>
  <w:style w:type="paragraph" w:customStyle="1" w:styleId="ListDash1">
    <w:name w:val="List Dash 1"/>
    <w:basedOn w:val="Normal"/>
    <w:pPr>
      <w:numPr>
        <w:numId w:val="11"/>
      </w:numPr>
    </w:pPr>
    <w:rPr>
      <w:rFonts w:eastAsia="Times New Roman"/>
      <w:lang w:eastAsia="en-GB"/>
    </w:rPr>
  </w:style>
  <w:style w:type="paragraph" w:customStyle="1" w:styleId="ListDash2">
    <w:name w:val="List Dash 2"/>
    <w:basedOn w:val="Normal"/>
    <w:pPr>
      <w:numPr>
        <w:numId w:val="12"/>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character" w:styleId="FollowedHyperlink">
    <w:name w:val="FollowedHyperlink"/>
    <w:rPr>
      <w:color w:val="800080"/>
      <w:u w:val="single"/>
    </w:rPr>
  </w:style>
  <w:style w:type="table" w:styleId="TableGrid">
    <w:name w:val="Table Grid"/>
    <w:basedOn w:val="TableNormal"/>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ListBullet1">
    <w:name w:val="List Bullet 1"/>
    <w:basedOn w:val="Normal"/>
    <w:pPr>
      <w:numPr>
        <w:numId w:val="9"/>
      </w:numPr>
    </w:pPr>
    <w:rPr>
      <w:rFonts w:eastAsia="Times New Roman"/>
      <w:lang w:eastAsia="en-GB"/>
    </w:rPr>
  </w:style>
  <w:style w:type="paragraph" w:customStyle="1" w:styleId="ListDash">
    <w:name w:val="List Dash"/>
    <w:basedOn w:val="Normal"/>
    <w:pPr>
      <w:numPr>
        <w:numId w:val="10"/>
      </w:numPr>
    </w:pPr>
    <w:rPr>
      <w:rFonts w:eastAsia="Times New Roman"/>
      <w:lang w:eastAsia="en-GB"/>
    </w:rPr>
  </w:style>
  <w:style w:type="paragraph" w:customStyle="1" w:styleId="ListDash1">
    <w:name w:val="List Dash 1"/>
    <w:basedOn w:val="Normal"/>
    <w:pPr>
      <w:numPr>
        <w:numId w:val="11"/>
      </w:numPr>
    </w:pPr>
    <w:rPr>
      <w:rFonts w:eastAsia="Times New Roman"/>
      <w:lang w:eastAsia="en-GB"/>
    </w:rPr>
  </w:style>
  <w:style w:type="paragraph" w:customStyle="1" w:styleId="ListDash2">
    <w:name w:val="List Dash 2"/>
    <w:basedOn w:val="Normal"/>
    <w:pPr>
      <w:numPr>
        <w:numId w:val="12"/>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character" w:styleId="FollowedHyperlink">
    <w:name w:val="FollowedHyperlink"/>
    <w:rPr>
      <w:color w:val="800080"/>
      <w:u w:val="single"/>
    </w:rPr>
  </w:style>
  <w:style w:type="table" w:styleId="TableGrid">
    <w:name w:val="Table Grid"/>
    <w:basedOn w:val="TableNormal"/>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2256">
      <w:bodyDiv w:val="1"/>
      <w:marLeft w:val="0"/>
      <w:marRight w:val="0"/>
      <w:marTop w:val="0"/>
      <w:marBottom w:val="0"/>
      <w:divBdr>
        <w:top w:val="none" w:sz="0" w:space="0" w:color="auto"/>
        <w:left w:val="none" w:sz="0" w:space="0" w:color="auto"/>
        <w:bottom w:val="none" w:sz="0" w:space="0" w:color="auto"/>
        <w:right w:val="none" w:sz="0" w:space="0" w:color="auto"/>
      </w:divBdr>
    </w:div>
    <w:div w:id="462583683">
      <w:bodyDiv w:val="1"/>
      <w:marLeft w:val="0"/>
      <w:marRight w:val="0"/>
      <w:marTop w:val="0"/>
      <w:marBottom w:val="0"/>
      <w:divBdr>
        <w:top w:val="none" w:sz="0" w:space="0" w:color="auto"/>
        <w:left w:val="none" w:sz="0" w:space="0" w:color="auto"/>
        <w:bottom w:val="none" w:sz="0" w:space="0" w:color="auto"/>
        <w:right w:val="none" w:sz="0" w:space="0" w:color="auto"/>
      </w:divBdr>
    </w:div>
    <w:div w:id="565531927">
      <w:bodyDiv w:val="1"/>
      <w:marLeft w:val="0"/>
      <w:marRight w:val="0"/>
      <w:marTop w:val="0"/>
      <w:marBottom w:val="0"/>
      <w:divBdr>
        <w:top w:val="none" w:sz="0" w:space="0" w:color="auto"/>
        <w:left w:val="none" w:sz="0" w:space="0" w:color="auto"/>
        <w:bottom w:val="none" w:sz="0" w:space="0" w:color="auto"/>
        <w:right w:val="none" w:sz="0" w:space="0" w:color="auto"/>
      </w:divBdr>
    </w:div>
    <w:div w:id="955332003">
      <w:bodyDiv w:val="1"/>
      <w:marLeft w:val="0"/>
      <w:marRight w:val="0"/>
      <w:marTop w:val="0"/>
      <w:marBottom w:val="0"/>
      <w:divBdr>
        <w:top w:val="none" w:sz="0" w:space="0" w:color="auto"/>
        <w:left w:val="none" w:sz="0" w:space="0" w:color="auto"/>
        <w:bottom w:val="none" w:sz="0" w:space="0" w:color="auto"/>
        <w:right w:val="none" w:sz="0" w:space="0" w:color="auto"/>
      </w:divBdr>
    </w:div>
    <w:div w:id="1255432329">
      <w:bodyDiv w:val="1"/>
      <w:marLeft w:val="0"/>
      <w:marRight w:val="0"/>
      <w:marTop w:val="0"/>
      <w:marBottom w:val="0"/>
      <w:divBdr>
        <w:top w:val="none" w:sz="0" w:space="0" w:color="auto"/>
        <w:left w:val="none" w:sz="0" w:space="0" w:color="auto"/>
        <w:bottom w:val="none" w:sz="0" w:space="0" w:color="auto"/>
        <w:right w:val="none" w:sz="0" w:space="0" w:color="auto"/>
      </w:divBdr>
    </w:div>
    <w:div w:id="1599748838">
      <w:bodyDiv w:val="1"/>
      <w:marLeft w:val="0"/>
      <w:marRight w:val="0"/>
      <w:marTop w:val="0"/>
      <w:marBottom w:val="0"/>
      <w:divBdr>
        <w:top w:val="none" w:sz="0" w:space="0" w:color="auto"/>
        <w:left w:val="none" w:sz="0" w:space="0" w:color="auto"/>
        <w:bottom w:val="none" w:sz="0" w:space="0" w:color="auto"/>
        <w:right w:val="none" w:sz="0" w:space="0" w:color="auto"/>
      </w:divBdr>
    </w:div>
    <w:div w:id="1735423408">
      <w:bodyDiv w:val="1"/>
      <w:marLeft w:val="0"/>
      <w:marRight w:val="0"/>
      <w:marTop w:val="0"/>
      <w:marBottom w:val="0"/>
      <w:divBdr>
        <w:top w:val="none" w:sz="0" w:space="0" w:color="auto"/>
        <w:left w:val="none" w:sz="0" w:space="0" w:color="auto"/>
        <w:bottom w:val="none" w:sz="0" w:space="0" w:color="auto"/>
        <w:right w:val="none" w:sz="0" w:space="0" w:color="auto"/>
      </w:divBdr>
    </w:div>
    <w:div w:id="1853451430">
      <w:bodyDiv w:val="1"/>
      <w:marLeft w:val="0"/>
      <w:marRight w:val="0"/>
      <w:marTop w:val="0"/>
      <w:marBottom w:val="0"/>
      <w:divBdr>
        <w:top w:val="none" w:sz="0" w:space="0" w:color="auto"/>
        <w:left w:val="none" w:sz="0" w:space="0" w:color="auto"/>
        <w:bottom w:val="none" w:sz="0" w:space="0" w:color="auto"/>
        <w:right w:val="none" w:sz="0" w:space="0" w:color="auto"/>
      </w:divBdr>
    </w:div>
    <w:div w:id="2018999150">
      <w:bodyDiv w:val="1"/>
      <w:marLeft w:val="0"/>
      <w:marRight w:val="0"/>
      <w:marTop w:val="0"/>
      <w:marBottom w:val="0"/>
      <w:divBdr>
        <w:top w:val="none" w:sz="0" w:space="0" w:color="auto"/>
        <w:left w:val="none" w:sz="0" w:space="0" w:color="auto"/>
        <w:bottom w:val="none" w:sz="0" w:space="0" w:color="auto"/>
        <w:right w:val="none" w:sz="0" w:space="0" w:color="auto"/>
      </w:divBdr>
    </w:div>
    <w:div w:id="20404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www.pbsbdialogue.org/en/" TargetMode="External"/><Relationship Id="rId1" Type="http://schemas.openxmlformats.org/officeDocument/2006/relationships/hyperlink" Target="http://www.un.org/sustainabledevelopment/sustainable-development-go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EE496-8633-4E6F-A603-C4C1C65A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34</Pages>
  <Words>8598</Words>
  <Characters>52884</Characters>
  <Application>Microsoft Office Word</Application>
  <DocSecurity>0</DocSecurity>
  <Lines>1958</Lines>
  <Paragraphs>830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2016-06-30T15:45:00Z</cp:lastPrinted>
  <dcterms:created xsi:type="dcterms:W3CDTF">2016-07-19T12:53:00Z</dcterms:created>
  <dcterms:modified xsi:type="dcterms:W3CDTF">2016-07-20T13:20:00Z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