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lang w:val="it-CH"/>
        </w:rPr>
      </w:pPr>
      <w:r>
        <w:rPr>
          <w:noProof/>
          <w:lang w:val="it-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8F6BA541C27C4328ACDAC64E20149FD8" style="width:450.75pt;height:477.75pt">
            <v:imagedata r:id="rId9" o:title=""/>
          </v:shape>
        </w:pict>
      </w:r>
    </w:p>
    <w:p>
      <w:pPr>
        <w:rPr>
          <w:noProof/>
          <w:lang w:val="it-CH"/>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lang w:val="it-CH"/>
        </w:rPr>
      </w:pPr>
      <w:bookmarkStart w:id="0" w:name="_GoBack"/>
      <w:bookmarkEnd w:id="0"/>
      <w:r>
        <w:rPr>
          <w:noProof/>
          <w:lang w:val="it-CH"/>
        </w:rPr>
        <w:lastRenderedPageBreak/>
        <w:t>RELAZIONE</w:t>
      </w:r>
    </w:p>
    <w:p>
      <w:pPr>
        <w:pStyle w:val="ManualHeading1"/>
        <w:rPr>
          <w:noProof/>
          <w:lang w:val="it-CH"/>
        </w:rPr>
      </w:pPr>
      <w:r>
        <w:rPr>
          <w:noProof/>
          <w:lang w:val="it-CH"/>
        </w:rPr>
        <w:t>1.</w:t>
      </w:r>
      <w:r>
        <w:rPr>
          <w:noProof/>
          <w:lang w:val="it-CH"/>
        </w:rPr>
        <w:tab/>
        <w:t>CONTESTO DELLA PROPOSTA</w:t>
      </w:r>
    </w:p>
    <w:p>
      <w:pPr>
        <w:pStyle w:val="ManualHeading2"/>
        <w:rPr>
          <w:rFonts w:eastAsia="Arial Unicode MS"/>
          <w:noProof/>
          <w:lang w:val="it-CH"/>
        </w:rPr>
      </w:pPr>
      <w:r>
        <w:rPr>
          <w:noProof/>
          <w:color w:val="000000"/>
          <w:u w:color="000000"/>
          <w:bdr w:val="nil"/>
          <w:lang w:val="it-CH"/>
        </w:rPr>
        <w:t>•</w:t>
      </w:r>
      <w:r>
        <w:rPr>
          <w:noProof/>
          <w:lang w:val="it-CH"/>
        </w:rPr>
        <w:tab/>
        <w:t>Motivi e obiettivi della proposta</w:t>
      </w:r>
    </w:p>
    <w:p>
      <w:pPr>
        <w:rPr>
          <w:noProof/>
          <w:szCs w:val="24"/>
          <w:lang w:val="it-CH"/>
        </w:rPr>
      </w:pPr>
      <w:r>
        <w:rPr>
          <w:noProof/>
          <w:lang w:val="it-CH"/>
        </w:rPr>
        <w:t xml:space="preserve">Nell'ottobre del 2014 il Consiglio europeo ha approvato il quadro strategico 2030 per il clima e l'energia che ha stabilito l'impegno dell'Unione europea (UE) in relazione ad un obiettivo vincolante relativo alla riduzione delle emissioni di gas serra (GES) del 40% rispetto al 1990 per tutte le attività economiche entro il 2030. Tutti i settori dovranno contribuire a raggiungere la riduzione delle suddette emissioni. Il Consiglio europeo ha confermato che l'obiettivo sarà raggiunto collettivamente dall'Unione europea nel modo più efficiente possibile rispetto ai costi, con riduzioni delle emissioni sia nei settori ETS sia in quelli non ETS, pari rispettivamente al 43% e al 30% rispetto al 2005 entro il 2030. </w:t>
      </w:r>
    </w:p>
    <w:p>
      <w:pPr>
        <w:spacing w:before="0" w:after="240"/>
        <w:rPr>
          <w:noProof/>
          <w:szCs w:val="24"/>
          <w:lang w:val="it-CH"/>
        </w:rPr>
      </w:pPr>
      <w:r>
        <w:rPr>
          <w:noProof/>
          <w:lang w:val="it-CH"/>
        </w:rPr>
        <w:t>Con le attuali politiche si ritiene che le emissioni di gas serra non possano diminuire sufficientemente per centrare l'obiettivo dell'Unione europea della riduzione almeno del 40% rispetto al 1990 entro il 2030 e, in modo particolare, la riduzione del 30% rispetto al 2005 dei gas serra nei settori non ETS. Secondo le attuali tendenze e con la piena attuazione dei vigenti obiettivi giuridicamente vincolanti e delle politiche adottate relative, tra l'altro, all'efficienza energetica, alla prestazione energetica nell'edilizia, alla riduzione del CO</w:t>
      </w:r>
      <w:r>
        <w:rPr>
          <w:noProof/>
          <w:vertAlign w:val="subscript"/>
          <w:lang w:val="it-CH"/>
        </w:rPr>
        <w:t>2</w:t>
      </w:r>
      <w:r>
        <w:rPr>
          <w:noProof/>
          <w:lang w:val="it-CH"/>
        </w:rPr>
        <w:t xml:space="preserve"> dei veicoli stradali, alle discariche, all'economia circolare e ai gas fluorurati a effetto serra, si prevede che le emissioni contemplate nella "decisione sulla condivisione degli sforzi" (</w:t>
      </w:r>
      <w:r>
        <w:rPr>
          <w:i/>
          <w:noProof/>
          <w:lang w:val="it-CH"/>
        </w:rPr>
        <w:t>Effort sharing decision</w:t>
      </w:r>
      <w:r>
        <w:rPr>
          <w:noProof/>
          <w:lang w:val="it-CH"/>
        </w:rPr>
        <w:t xml:space="preserve"> - ESD)</w:t>
      </w:r>
      <w:r>
        <w:rPr>
          <w:rStyle w:val="FootnoteReference"/>
          <w:noProof/>
          <w:lang w:val="it-CH"/>
        </w:rPr>
        <w:footnoteReference w:id="1"/>
      </w:r>
      <w:r>
        <w:rPr>
          <w:noProof/>
          <w:lang w:val="it-CH"/>
        </w:rPr>
        <w:t xml:space="preserve"> diminuiscano entro il 2030 del 24% circa rispetto al 2005. Pertanto, sono necessari obiettivi di riduzione nazionali, come incentivo per politiche future, che portino a più forti riduzioni delle emissioni. La presente proposta stabilisce gli obiettivi nazionali in linea con le riduzione del 30% rispetto al 2005 a livello dell'UE nei settori non rientranti nel sistema ETS entro il 2030, in modo equo, e garantisce nello stesso tempo l'efficacia rispetto ai costi come approvato dal Consiglio europeo. Tutti gli Stati membri contribuiranno alla riduzione globale dell'UE nel 2030 con obiettivi compresi fra lo 0% e il -40% al di sotto dei livelli del 2005. Le riduzioni incluse in questo regolamento favoriscono miglioramenti in particolare nell'edilizia, nell'agricoltura, nella gestione dei rifiuti e nei trasporti. </w:t>
      </w:r>
    </w:p>
    <w:p>
      <w:pPr>
        <w:spacing w:before="0" w:after="240"/>
        <w:rPr>
          <w:noProof/>
          <w:lang w:val="it-CH"/>
        </w:rPr>
      </w:pPr>
      <w:r>
        <w:rPr>
          <w:noProof/>
          <w:lang w:val="it-CH"/>
        </w:rPr>
        <w:t>La presente proposta stabilisce anche gli impegni dell'UE nell'ambito dell'accordo di Parigi sui cambiamenti climatici. Il 10 giugno 2016 la Commissione ha presentato una proposta affinché l'Unione europea ratifichi l'accordo di Parigi</w:t>
      </w:r>
      <w:r>
        <w:rPr>
          <w:rStyle w:val="FootnoteReference"/>
          <w:noProof/>
          <w:lang w:val="it-CH"/>
        </w:rPr>
        <w:footnoteReference w:id="2"/>
      </w:r>
      <w:r>
        <w:rPr>
          <w:noProof/>
          <w:lang w:val="it-CH"/>
        </w:rPr>
        <w:t>. La presente proposta fa seguito alla valutazione della Commissione sull'accordo di Parigi</w:t>
      </w:r>
      <w:r>
        <w:rPr>
          <w:rStyle w:val="FootnoteReference"/>
          <w:noProof/>
          <w:lang w:val="it-CH"/>
        </w:rPr>
        <w:footnoteReference w:id="3"/>
      </w:r>
      <w:r>
        <w:rPr>
          <w:noProof/>
          <w:lang w:val="it-CH"/>
        </w:rPr>
        <w:t>.</w:t>
      </w:r>
    </w:p>
    <w:p>
      <w:pPr>
        <w:pBdr>
          <w:top w:val="nil"/>
          <w:left w:val="nil"/>
          <w:bottom w:val="nil"/>
          <w:right w:val="nil"/>
          <w:between w:val="nil"/>
          <w:bar w:val="nil"/>
        </w:pBdr>
        <w:spacing w:before="0" w:after="240"/>
        <w:rPr>
          <w:noProof/>
          <w:lang w:val="it-CH"/>
        </w:rPr>
      </w:pPr>
      <w:r>
        <w:rPr>
          <w:noProof/>
          <w:lang w:val="it-CH"/>
        </w:rPr>
        <w:t xml:space="preserve">La 21a Conferenza delle Parti della Convenzione quadro delle Nazioni Unite sui cambiamenti climatici (UNFCCC) ha adottato, nel dicembre 2015, l'accordo di Parigi che stabilisce l'obiettivo a lungo termine di mantenere l'aumento della temperatura globale ben al di sotto dei 2 °C, rispetto ai livelli pre-industriali e di perseverare negli sforzi per mantenerlo al di sotto dell'1,5 °C. In linea con le scoperte scientifiche del Gruppo intergovernativo sul cambiamento climatico (IPPC), l'obiettivo climatico dell'UE è ridurre le emissioni di gas serra </w:t>
      </w:r>
      <w:r>
        <w:rPr>
          <w:noProof/>
          <w:lang w:val="it-CH"/>
        </w:rPr>
        <w:lastRenderedPageBreak/>
        <w:t xml:space="preserve">dell'80-95% rispetto al 1990 entro il 2050, nell'ambito delle necessarie riduzioni da parte dei paesi sviluppati come gruppo. </w:t>
      </w:r>
    </w:p>
    <w:p>
      <w:pPr>
        <w:spacing w:before="0" w:after="240"/>
        <w:rPr>
          <w:noProof/>
          <w:lang w:val="it-CH"/>
        </w:rPr>
      </w:pPr>
      <w:r>
        <w:rPr>
          <w:noProof/>
          <w:lang w:val="it-CH"/>
        </w:rPr>
        <w:t xml:space="preserve">L'Unione europea e tutte le altri parti sono tenute a comunicare ogni 5 anni i contributi stabiliti a livello nazionale (NDC), in base al bilancio globale dell'accordo che avrà luogo ogni cinque anni a partire dal 2023. </w:t>
      </w:r>
    </w:p>
    <w:p>
      <w:pPr>
        <w:pBdr>
          <w:top w:val="nil"/>
          <w:left w:val="nil"/>
          <w:bottom w:val="nil"/>
          <w:right w:val="nil"/>
          <w:between w:val="nil"/>
          <w:bar w:val="nil"/>
        </w:pBdr>
        <w:spacing w:before="0" w:after="240"/>
        <w:rPr>
          <w:rFonts w:eastAsia="Times New Roman"/>
          <w:noProof/>
          <w:lang w:val="it-CH"/>
        </w:rPr>
      </w:pPr>
      <w:r>
        <w:rPr>
          <w:noProof/>
          <w:lang w:val="it-CH"/>
        </w:rPr>
        <w:t>Per raggiungere l'obiettivo a lungo termine dell'Unione europea di tagliare le emissioni di almeno l'80% a livello nazionale entro il 2050, occorre progredire costantemente nella transizione verso un'economia a basse emissioni di carbonio. La transizione richiede dei cambiamenti sia nelle attività economiche sia nel comportamento in materia di investimenti e incentivi dell'intero spettro delle politiche.</w:t>
      </w:r>
      <w:r>
        <w:rPr>
          <w:noProof/>
          <w:sz w:val="23"/>
          <w:lang w:val="it-CH"/>
        </w:rPr>
        <w:t xml:space="preserve"> È importante sottolineare che questa transizione offrirà all'Unione europea l'opportunità di creare posti di lavoro e generare crescita. Incentiverà gli investimenti e l'innovazione nel settore delle energie rinnovabili, contribuendo così all'ambizione dell'UE di diventare leader mondiale in questo ambito, incrementando la crescita sui mercati di beni e servizi prodotti nell'Unione europea, ad esempio nel settore dell'efficienza energetica. </w:t>
      </w:r>
      <w:r>
        <w:rPr>
          <w:noProof/>
          <w:lang w:val="it-CH"/>
        </w:rPr>
        <w:t>Nel contesto della transizione verso un'energia pulita, dovrebbero essere predisposte ulteriori politiche e misure per ridurre le emissioni dei singoli Stati membri. Si dovrà vivamente incoraggiare l'azione dei governi locali e regionali, delle singole città e delle organizzazioni locali e regionali. Gli Stati membri dovranno assicurare la cooperazione tra le autorità locali e centrali ad ogni livello.</w:t>
      </w:r>
    </w:p>
    <w:p>
      <w:pPr>
        <w:pBdr>
          <w:top w:val="nil"/>
          <w:left w:val="nil"/>
          <w:bottom w:val="nil"/>
          <w:right w:val="nil"/>
          <w:between w:val="nil"/>
          <w:bar w:val="nil"/>
        </w:pBdr>
        <w:spacing w:before="0" w:after="240"/>
        <w:rPr>
          <w:noProof/>
          <w:lang w:val="it-CH"/>
        </w:rPr>
      </w:pPr>
      <w:r>
        <w:rPr>
          <w:noProof/>
          <w:lang w:val="it-CH"/>
        </w:rPr>
        <w:t>L'attuazione di un efficace quadro strategico per il clima è l'elemento chiave per la costruzione di un'Unione dell'energia resiliente, corredata da una politica lungimirante in materia di cambiamenti climatici. Il raggiungimento di tale obiettivo richiede continuità nell'ambiziosa azione per il clima anche nei settori non ETS e progressi in tutti gli ambiti dell'Unione per l'energia al fine di garantire ai cittadini europei un'energia sicura, sostenibile, competitiva e affidabile.</w:t>
      </w:r>
    </w:p>
    <w:p>
      <w:pPr>
        <w:rPr>
          <w:noProof/>
          <w:lang w:val="it-CH"/>
        </w:rPr>
      </w:pPr>
      <w:r>
        <w:rPr>
          <w:noProof/>
          <w:lang w:val="it-CH"/>
        </w:rPr>
        <w:t xml:space="preserve">La Norvegia e l'Islanda hanno manifestato l'intenzione di partecipare all'azione congiunta dell'Unione e dei suoi Stati membri. I termini che disciplinano l'eventuale partecipazione della Norvegia e dell'Islanda saranno stabiliti nella normativa di accompagnamento. </w:t>
      </w:r>
      <w:r>
        <w:rPr>
          <w:noProof/>
          <w:color w:val="000000"/>
          <w:lang w:val="it-CH"/>
        </w:rPr>
        <w:t>Per il periodo compreso tra il 2021 e il 2030, la Norvegia ha chiaramente specificato che intende partecipare appieno agli sforzi per la riduzione delle emissioni nei settori non ETS.</w:t>
      </w:r>
      <w:r>
        <w:rPr>
          <w:rStyle w:val="s4"/>
          <w:noProof/>
          <w:color w:val="000000"/>
          <w:lang w:val="it-CH"/>
        </w:rPr>
        <w:t xml:space="preserve"> </w:t>
      </w:r>
      <w:r>
        <w:rPr>
          <w:noProof/>
          <w:lang w:val="it-CH"/>
        </w:rPr>
        <w:t>Essendo il range degli obiettivi di ogni Stato membro da 0% a - 40% sulla base del prodotto interno lordo (PIL) pro capite, alla Norvegia potrebbe essere attribuito un obiettivo di riduzione di un valore stimato a 40% per la riduzione delle emissioni rispetto ai livelli del 2005. La Norvegia e l'Islanda potranno avvalersi dei meccanismi di flessibilità come gli altri Stati membri.</w:t>
      </w:r>
      <w:r>
        <w:rPr>
          <w:noProof/>
          <w:color w:val="000000"/>
          <w:lang w:val="it-CH"/>
        </w:rPr>
        <w:t xml:space="preserve"> Gli obiettivi finali saranno determinati solo al momento dell'adozione della proposta. </w:t>
      </w:r>
      <w:r>
        <w:rPr>
          <w:noProof/>
          <w:lang w:val="it-CH"/>
        </w:rPr>
        <w:t xml:space="preserve">La presente proposta non pregiudica la modalità di partecipazione della Norvegia e dell'Islanda all'azione congiunta. </w:t>
      </w:r>
    </w:p>
    <w:p>
      <w:pPr>
        <w:pStyle w:val="ManualHeading2"/>
        <w:rPr>
          <w:rFonts w:eastAsia="Arial Unicode MS"/>
          <w:noProof/>
          <w:color w:val="000000"/>
          <w:u w:color="000000"/>
          <w:bdr w:val="nil"/>
          <w:lang w:val="it-CH"/>
        </w:rPr>
      </w:pPr>
      <w:r>
        <w:rPr>
          <w:noProof/>
          <w:color w:val="000000"/>
          <w:u w:color="000000"/>
          <w:bdr w:val="nil"/>
          <w:lang w:val="it-CH"/>
        </w:rPr>
        <w:t>•</w:t>
      </w:r>
      <w:r>
        <w:rPr>
          <w:noProof/>
          <w:lang w:val="it-CH"/>
        </w:rPr>
        <w:tab/>
        <w:t>Coerenza con le disposizioni vigenti nel settore normativo interessato</w:t>
      </w:r>
    </w:p>
    <w:p>
      <w:pPr>
        <w:pBdr>
          <w:top w:val="nil"/>
          <w:left w:val="nil"/>
          <w:bottom w:val="nil"/>
          <w:right w:val="nil"/>
          <w:between w:val="nil"/>
          <w:bar w:val="nil"/>
        </w:pBdr>
        <w:spacing w:before="0" w:after="240"/>
        <w:rPr>
          <w:noProof/>
          <w:szCs w:val="24"/>
          <w:lang w:val="it-CH"/>
        </w:rPr>
      </w:pPr>
      <w:r>
        <w:rPr>
          <w:noProof/>
          <w:lang w:val="it-CH"/>
        </w:rPr>
        <w:t>La presente proposta, nel complesso, mantiene l'approccio delle disposizioni vigenti per i settori non ETS stabilite dalla decisione sulla condivisione degli sforzi. Il Consiglio europeo ha esplicitamente richiesto di mantenere l'architettura normativa attuale e ha fornito indicazioni su aspetti specifici da affrontare nel periodo compreso tra il 2021 e il 2030, anche per fissare gli obiettivi di riduzione delle emissioni a livello nazionale.</w:t>
      </w:r>
    </w:p>
    <w:p>
      <w:pPr>
        <w:pBdr>
          <w:top w:val="nil"/>
          <w:left w:val="nil"/>
          <w:bottom w:val="nil"/>
          <w:right w:val="nil"/>
          <w:between w:val="nil"/>
          <w:bar w:val="nil"/>
        </w:pBdr>
        <w:spacing w:before="0" w:after="240"/>
        <w:rPr>
          <w:noProof/>
          <w:lang w:val="it-CH"/>
        </w:rPr>
      </w:pPr>
      <w:r>
        <w:rPr>
          <w:noProof/>
          <w:lang w:val="it-CH"/>
        </w:rPr>
        <w:lastRenderedPageBreak/>
        <w:t>L'approccio generale per fissare gli obiettivi nazionali di riduzione delle emissioni, in linea con l'approccio adottato nella vigente decisione sulla condivisione degli sforzi e con le indicazioni del Consiglio europeo dell'ottobre 2014, si basa sul PIL relativo pro capite. Per gli Stati membri con un PIL pro capite superiore alla media europea, gli obiettivi sono ulteriormente adeguati per riflettere l'efficacia rispetto ai costi nell'ambito di questo gruppo. Tale approccio concilia le considerazioni di equità e quelle di efficacia rispetto ai costi, come confermato dal Consiglio europeo.</w:t>
      </w:r>
    </w:p>
    <w:p>
      <w:pPr>
        <w:rPr>
          <w:noProof/>
          <w:lang w:val="it-CH"/>
        </w:rPr>
      </w:pPr>
      <w:r>
        <w:rPr>
          <w:noProof/>
          <w:lang w:val="it-CH"/>
        </w:rPr>
        <w:t xml:space="preserve">Al fine di incentivare misure supplementari efficaci nel settore delle attività di uso del suolo, tra cui l'agricoltura, garantendo nello stesso tempo un'efficace contabilità e un'integrità ambientale generale, la presente proposta prevede una nuova flessibilità che consente un uso limitato degli assorbimenti netti da alcune categorie contabili in materia di uso del suolo, cambiamenti di uso del suolo e silvicoltura (LULUCF), assicurando al tempo stesso che non si verifichino debiti nei settori LULUCF, al fine di rendere conto del rispetto degli obiettivi da parte degli Stati membri nei settori ESD, se necessario. </w:t>
      </w:r>
    </w:p>
    <w:p>
      <w:pPr>
        <w:rPr>
          <w:noProof/>
          <w:lang w:val="it-CH"/>
        </w:rPr>
      </w:pPr>
      <w:r>
        <w:rPr>
          <w:noProof/>
          <w:lang w:val="it-CH"/>
        </w:rPr>
        <w:t xml:space="preserve">Questa impostazione è in linea con le indicazioni del Consiglio europeo che evidenziano il potenziale di mitigazione ridotto del settore agricolo e della destinazione dei suoli e l'importanza di riflettere sulle modalità più adeguate per ottimizzare il contributo del settore alla mitigazione e al sequestro dei gas serra, anche attraverso l'afforestazione. </w:t>
      </w:r>
    </w:p>
    <w:p>
      <w:pPr>
        <w:spacing w:after="240"/>
        <w:rPr>
          <w:noProof/>
          <w:lang w:val="it-CH"/>
        </w:rPr>
      </w:pPr>
      <w:r>
        <w:rPr>
          <w:noProof/>
          <w:lang w:val="it-CH"/>
        </w:rPr>
        <w:t>È stato predisposto inoltre un nuovo meccanismo di flessibilità, conforme alle linee guida del Consiglio europeo, per gli Stati membri che hanno obiettivi di riduzione delle emissioni a livello nazionale notevolmente superiori sia all'obiettivo medio dell'UE che al loro potenziale di riduzione realizzabile in modo efficace in termini di costi, nonché per gli Stati membri cui non erano state assegnate quote gratuite per gli impianti industriali nel 2013. La flessibilità permette agli Stati membri idonei di rispettare più agevolmente i loro obblighi ESD mediante l'annullamento delle quote ETS dell'UE.</w:t>
      </w:r>
    </w:p>
    <w:p>
      <w:pPr>
        <w:pStyle w:val="ManualHeading2"/>
        <w:rPr>
          <w:rFonts w:eastAsia="Arial Unicode MS"/>
          <w:noProof/>
          <w:lang w:val="it-CH"/>
        </w:rPr>
      </w:pPr>
      <w:r>
        <w:rPr>
          <w:noProof/>
          <w:color w:val="000000"/>
          <w:u w:color="000000"/>
          <w:bdr w:val="nil"/>
          <w:lang w:val="it-CH"/>
        </w:rPr>
        <w:t>•</w:t>
      </w:r>
      <w:r>
        <w:rPr>
          <w:noProof/>
          <w:lang w:val="it-CH"/>
        </w:rPr>
        <w:tab/>
        <w:t>Coerenza con le altre normative dell'Unione</w:t>
      </w:r>
    </w:p>
    <w:p>
      <w:pPr>
        <w:pBdr>
          <w:top w:val="nil"/>
          <w:left w:val="nil"/>
          <w:bottom w:val="nil"/>
          <w:right w:val="nil"/>
          <w:between w:val="nil"/>
          <w:bar w:val="nil"/>
        </w:pBdr>
        <w:spacing w:before="0" w:after="240"/>
        <w:rPr>
          <w:rFonts w:eastAsia="Arial Unicode MS"/>
          <w:noProof/>
          <w:lang w:val="it-CH"/>
        </w:rPr>
      </w:pPr>
      <w:r>
        <w:rPr>
          <w:noProof/>
          <w:lang w:val="it-CH"/>
        </w:rPr>
        <w:t>Per contribuire al raggiungimento degli obiettivi concordati dal Consiglio europeo, ovvero almeno il 27% di quota di energia rinnovabile consumata nell'UE entro il 2030 e il miglioramento dell'efficienza energetica di almeno il 27% entro il 2030 (questo dato sarà riesaminato entro il 2020, poiché si ha in mente un livello del 30% nell'UE), sono previste proposte legislative complementari entro la fine del 2016. Tali proposte dovrebbero facilitare il raggiungimento degli obiettivi climatici nei settori non ETS, in particolare nel settore edile. Inoltre, una comunicazione della Commissione sulla decarbonizzazione del settore dei trasporti prevede interventi per ridurre ulteriormente le emissioni GES nel settore dei trasporti.</w:t>
      </w:r>
    </w:p>
    <w:p>
      <w:pPr>
        <w:pStyle w:val="ManualHeading1"/>
        <w:rPr>
          <w:noProof/>
          <w:lang w:val="it-CH"/>
        </w:rPr>
      </w:pPr>
      <w:r>
        <w:rPr>
          <w:noProof/>
          <w:lang w:val="it-CH"/>
        </w:rPr>
        <w:t>2.</w:t>
      </w:r>
      <w:r>
        <w:rPr>
          <w:noProof/>
          <w:lang w:val="it-CH"/>
        </w:rPr>
        <w:tab/>
        <w:t>BASE GIURIDICA, SUSSIDIARIETÀ E PROPORZIONALITÀ</w:t>
      </w:r>
    </w:p>
    <w:p>
      <w:pPr>
        <w:pStyle w:val="ManualHeading2"/>
        <w:rPr>
          <w:rFonts w:eastAsia="Arial Unicode MS"/>
          <w:noProof/>
          <w:u w:color="000000"/>
          <w:bdr w:val="nil"/>
          <w:lang w:val="it-CH"/>
        </w:rPr>
      </w:pPr>
      <w:r>
        <w:rPr>
          <w:noProof/>
          <w:lang w:val="it-CH"/>
        </w:rPr>
        <w:t>•</w:t>
      </w:r>
      <w:r>
        <w:rPr>
          <w:noProof/>
          <w:lang w:val="it-CH"/>
        </w:rPr>
        <w:tab/>
        <w:t>Base giuridica</w:t>
      </w:r>
    </w:p>
    <w:p>
      <w:pPr>
        <w:rPr>
          <w:rFonts w:eastAsia="Times New Roman"/>
          <w:noProof/>
          <w:szCs w:val="24"/>
          <w:lang w:val="it-CH"/>
        </w:rPr>
      </w:pPr>
      <w:r>
        <w:rPr>
          <w:noProof/>
          <w:lang w:val="it-CH"/>
        </w:rPr>
        <w:t xml:space="preserve">Il cambiamento climatico è un problema transfrontaliero, che non può essere risolto unicamente con un'azione nazionale o locale. È necessario il coordinamento dell'azione per il clima a livello europeo e, ove possibile, a livello globale. L'azione dell'UE è giustificata da motivi di sussidiarietà. Dal 1992 l'Unione europea si è adoperata per mettere a punto soluzioni congiunte e portare avanti un'azione globale per affrontare i cambiamenti climatici. Più in particolare, l'azione a livello UE consentirà di conseguire, in modo efficace rispetto ai costi, </w:t>
      </w:r>
      <w:r>
        <w:rPr>
          <w:noProof/>
          <w:lang w:val="it-CH"/>
        </w:rPr>
        <w:lastRenderedPageBreak/>
        <w:t>gli obiettivi di riduzione delle emissioni del 2030 e gli obiettivi a lungo termine di riduzione delle emissioni, garantendo al contempo l'equità e l'integrità ambientale.</w:t>
      </w:r>
    </w:p>
    <w:p>
      <w:pPr>
        <w:rPr>
          <w:noProof/>
          <w:lang w:val="it-CH"/>
        </w:rPr>
      </w:pPr>
      <w:r>
        <w:rPr>
          <w:noProof/>
          <w:lang w:val="it-CH"/>
        </w:rPr>
        <w:t xml:space="preserve">Gli articoli da 191 a 193 del TFUE confermano e specificano le competenze dell'UE in materia di cambiamenti climatici. La base giuridica della presente proposta è l'articolo 192 del TFUE. Ai sensi dell'articolo 191 e dell'articolo 192, paragrafo 1, del TFUE, l'Unione europea deve contribuire al perseguimento, </w:t>
      </w:r>
      <w:r>
        <w:rPr>
          <w:i/>
          <w:noProof/>
          <w:lang w:val="it-CH"/>
        </w:rPr>
        <w:t xml:space="preserve">inter alia, </w:t>
      </w:r>
      <w:r>
        <w:rPr>
          <w:noProof/>
          <w:lang w:val="it-CH"/>
        </w:rPr>
        <w:t>dei seguenti obiettivi: salvaguardia, tutela e miglioramento della qualità dell'ambiente e promozione sul piano internazionale di misure destinate a risolvere i problemi dell'ambiente a livello regionale o mondiale e, in particolare, a combattere i cambiamenti climatici.</w:t>
      </w:r>
      <w:r>
        <w:rPr>
          <w:i/>
          <w:noProof/>
          <w:lang w:val="it-CH"/>
        </w:rPr>
        <w:t xml:space="preserve"> </w:t>
      </w:r>
    </w:p>
    <w:p>
      <w:pPr>
        <w:pBdr>
          <w:top w:val="nil"/>
          <w:left w:val="nil"/>
          <w:bottom w:val="nil"/>
          <w:right w:val="nil"/>
          <w:between w:val="nil"/>
          <w:bar w:val="nil"/>
        </w:pBdr>
        <w:spacing w:before="0" w:after="240"/>
        <w:rPr>
          <w:rFonts w:eastAsia="Times New Roman"/>
          <w:noProof/>
          <w:szCs w:val="24"/>
          <w:lang w:val="it-CH"/>
        </w:rPr>
      </w:pPr>
      <w:r>
        <w:rPr>
          <w:noProof/>
          <w:lang w:val="it-CH"/>
        </w:rPr>
        <w:t xml:space="preserve">Poiché gli obiettivi del presente regolamento non possono essere realizzati in misura sufficiente dai singoli Stati membri ma, a motivo della portata e degli effetti dello stesso, possono essere conseguiti meglio a livello dell'Unione, quest'ultima può intervenire adottando delle misure, ai sensi del principio di sussidiarietà sancito dall'articolo 5 del trattato sull'Unione europea. </w:t>
      </w:r>
    </w:p>
    <w:p>
      <w:pPr>
        <w:pBdr>
          <w:top w:val="nil"/>
          <w:left w:val="nil"/>
          <w:bottom w:val="nil"/>
          <w:right w:val="nil"/>
          <w:between w:val="nil"/>
          <w:bar w:val="nil"/>
        </w:pBdr>
        <w:spacing w:before="0" w:after="240"/>
        <w:rPr>
          <w:noProof/>
          <w:lang w:val="it-CH"/>
        </w:rPr>
      </w:pPr>
      <w:r>
        <w:rPr>
          <w:noProof/>
          <w:lang w:val="it-CH"/>
        </w:rPr>
        <w:t xml:space="preserve">La presente proposta di regolamento ottempera al principio di proporzionalità, in quanto non va oltre a quanto è necessario per conseguire l'obiettivo di riduzione delle emissioni di gas serra dell'UE relativo al periodo 2021-2030, in modo efficace rispetto ai costi, garantendo al contempo equità e integrità ambientale. </w:t>
      </w:r>
    </w:p>
    <w:p>
      <w:pPr>
        <w:pBdr>
          <w:top w:val="nil"/>
          <w:left w:val="nil"/>
          <w:bottom w:val="nil"/>
          <w:right w:val="nil"/>
          <w:between w:val="nil"/>
          <w:bar w:val="nil"/>
        </w:pBdr>
        <w:spacing w:before="0" w:after="240"/>
        <w:rPr>
          <w:rFonts w:eastAsia="Arial Unicode MS"/>
          <w:noProof/>
          <w:lang w:val="it-CH"/>
        </w:rPr>
      </w:pPr>
      <w:r>
        <w:rPr>
          <w:noProof/>
          <w:lang w:val="it-CH"/>
        </w:rPr>
        <w:t>Il Consiglio europeo ha concordato, in tutte le attività economiche e a livello nazionale, una riduzione generale di almeno il 40% delle emissioni di gas serra rispetto ai livelli del 1990. La presente proposta riguarda più della metà delle emissioni di gas serra e il suo obiettivo sarà raggiunto meglio mediante un regolamento. La presente proposta presenta numerose sinergie con il regolamento sul meccanismo di monitoraggio (MMR)</w:t>
      </w:r>
      <w:r>
        <w:rPr>
          <w:rStyle w:val="FootnoteReference"/>
          <w:noProof/>
          <w:lang w:val="it-CH"/>
        </w:rPr>
        <w:footnoteReference w:id="4"/>
      </w:r>
      <w:r>
        <w:rPr>
          <w:noProof/>
          <w:lang w:val="it-CH"/>
        </w:rPr>
        <w:t>. Gli Stati membri così come l'Agenzia europea dell'ambiente sono tenuti a contribuire al raggiungimento delle necessarie riduzioni delle emissioni a livello nazionale.</w:t>
      </w:r>
    </w:p>
    <w:p>
      <w:pPr>
        <w:pStyle w:val="ManualHeading1"/>
        <w:rPr>
          <w:noProof/>
          <w:lang w:val="it-CH"/>
        </w:rPr>
      </w:pPr>
      <w:r>
        <w:rPr>
          <w:noProof/>
          <w:lang w:val="it-CH"/>
        </w:rPr>
        <w:t>3.</w:t>
      </w:r>
      <w:r>
        <w:rPr>
          <w:noProof/>
          <w:lang w:val="it-CH"/>
        </w:rPr>
        <w:tab/>
        <w:t>RISULTATI DELLE VALUTAZIONI EX POST, DELLE CONSULTAZIONI DEI PORTATORI DI INTERESSI E DELLE VALUTAZIONI D'IMPATTO</w:t>
      </w:r>
    </w:p>
    <w:p>
      <w:pPr>
        <w:pStyle w:val="ManualHeading2"/>
        <w:rPr>
          <w:rFonts w:eastAsia="Arial Unicode MS"/>
          <w:noProof/>
          <w:u w:color="000000"/>
          <w:bdr w:val="nil"/>
          <w:lang w:val="it-CH"/>
        </w:rPr>
      </w:pPr>
      <w:r>
        <w:rPr>
          <w:noProof/>
          <w:lang w:val="it-CH"/>
        </w:rPr>
        <w:t>•</w:t>
      </w:r>
      <w:r>
        <w:rPr>
          <w:noProof/>
          <w:lang w:val="it-CH"/>
        </w:rPr>
        <w:tab/>
        <w:t>Valutazioni ex post/Vaglio di adeguatezza della legislazione vigente</w:t>
      </w:r>
    </w:p>
    <w:p>
      <w:pPr>
        <w:rPr>
          <w:noProof/>
          <w:lang w:val="it-CH"/>
        </w:rPr>
      </w:pPr>
      <w:r>
        <w:rPr>
          <w:noProof/>
          <w:lang w:val="it-CH"/>
        </w:rPr>
        <w:t>Una valutazione dell' ESD è stata effettuata nel 2015, prima della presente proposta, a norma del suo articolo 14 che impone alla Commissione europea di elaborare una relazione di valutazione dell'attuazione dell' ESD entro il 31 ottobre 2016</w:t>
      </w:r>
      <w:r>
        <w:rPr>
          <w:rStyle w:val="FootnoteReference"/>
          <w:noProof/>
          <w:lang w:val="it-CH"/>
        </w:rPr>
        <w:footnoteReference w:id="5"/>
      </w:r>
      <w:r>
        <w:rPr>
          <w:noProof/>
          <w:lang w:val="it-CH"/>
        </w:rPr>
        <w:t xml:space="preserve">. </w:t>
      </w:r>
    </w:p>
    <w:p>
      <w:pPr>
        <w:rPr>
          <w:noProof/>
          <w:lang w:val="it-CH"/>
        </w:rPr>
      </w:pPr>
      <w:r>
        <w:rPr>
          <w:noProof/>
          <w:lang w:val="it-CH"/>
        </w:rPr>
        <w:t xml:space="preserve">L'ESD è ancora nelle prime fasi di attuazione, ma si può ritenere che gli impegni ESD siano stati efficaci, almeno in parte, nell'incentivare nuove politiche e misure nazionali che promuovono un'effettiva riduzione delle emissioni di gas serra nel campo di applicazione dell'ESD. Questo impatto è stato rafforzato dal fatto che l'ESD è stato avviato insieme ad una serie di altre politiche climatiche ed energetiche dell'UE nel quadro del pacchetto 2020, in particolare sull'efficienza energetica e le energie rinnovabili. Per diversi settori ESD, compresi </w:t>
      </w:r>
      <w:r>
        <w:rPr>
          <w:noProof/>
          <w:lang w:val="it-CH"/>
        </w:rPr>
        <w:lastRenderedPageBreak/>
        <w:t>l'edilizia, i trasporti, l'agricoltura e i rifiuti, una parte significativa delle riduzioni delle emissioni gas ottenute finora può essere attribuita a fattori come le evoluzioni tecnologiche, che sono influenzati dagli interventi strategici legati al pacchetto 2020. A parte le politiche climatiche ed energetiche a livello nazionale ed europeo, in alcuni paesi la crisi economica e la crescita delle attività economiche hanno inciso sulle emissioni di gas serra.</w:t>
      </w:r>
    </w:p>
    <w:p>
      <w:pPr>
        <w:pBdr>
          <w:top w:val="nil"/>
          <w:left w:val="nil"/>
          <w:bottom w:val="nil"/>
          <w:right w:val="nil"/>
          <w:between w:val="nil"/>
          <w:bar w:val="nil"/>
        </w:pBdr>
        <w:spacing w:before="0" w:after="240"/>
        <w:rPr>
          <w:rFonts w:eastAsia="Arial Unicode MS"/>
          <w:noProof/>
          <w:lang w:val="it-CH"/>
        </w:rPr>
      </w:pPr>
      <w:r>
        <w:rPr>
          <w:noProof/>
          <w:lang w:val="it-CH"/>
        </w:rPr>
        <w:t xml:space="preserve">Nel complesso, l'ESD ha incentivato gli Stati membri a esaminare nuove misure per ridurre le emissioni nei settori ESD e migliorarne l'impostazione. Si è riscontrato che l'ESD ha determinato un onere amministrativo aggiuntivo limitato a livello di Stati membri, e probabilmente si potrebbero ridurre ulteriormente i costi amministrativi a livello di UE. I costi amministrativi che la Commissione deve sostenere per il sistema di monitoraggio e conformità ammontano a </w:t>
      </w:r>
      <w:r>
        <w:rPr>
          <w:noProof/>
          <w:szCs w:val="24"/>
          <w:lang w:val="it-CH"/>
        </w:rPr>
        <w:t>650 000 EUR l'anno, mentre i costi annuali per l'insieme dei 28 Stati membri sono stimati a 500 000 EUR l'anno.</w:t>
      </w:r>
    </w:p>
    <w:p>
      <w:pPr>
        <w:pStyle w:val="ManualHeading2"/>
        <w:rPr>
          <w:rFonts w:eastAsia="Arial Unicode MS"/>
          <w:noProof/>
          <w:u w:color="000000"/>
          <w:bdr w:val="nil"/>
          <w:lang w:val="it-CH"/>
        </w:rPr>
      </w:pPr>
      <w:r>
        <w:rPr>
          <w:noProof/>
          <w:lang w:val="it-CH"/>
        </w:rPr>
        <w:t>•</w:t>
      </w:r>
      <w:r>
        <w:rPr>
          <w:noProof/>
          <w:lang w:val="it-CH"/>
        </w:rPr>
        <w:tab/>
        <w:t>Consultazioni dei portatori di interesse</w:t>
      </w:r>
    </w:p>
    <w:p>
      <w:pPr>
        <w:autoSpaceDE w:val="0"/>
        <w:autoSpaceDN w:val="0"/>
        <w:adjustRightInd w:val="0"/>
        <w:rPr>
          <w:noProof/>
          <w:lang w:val="it-CH"/>
        </w:rPr>
      </w:pPr>
      <w:r>
        <w:rPr>
          <w:noProof/>
          <w:lang w:val="it-CH"/>
        </w:rPr>
        <w:t>La Commissione europea ha organizzato una consultazione pubblica</w:t>
      </w:r>
      <w:r>
        <w:rPr>
          <w:rStyle w:val="FootnoteReference"/>
          <w:noProof/>
          <w:lang w:val="it-CH"/>
        </w:rPr>
        <w:footnoteReference w:id="6"/>
      </w:r>
      <w:r>
        <w:rPr>
          <w:noProof/>
          <w:lang w:val="it-CH"/>
        </w:rPr>
        <w:t xml:space="preserve"> sugli sforzi degli Stati membri per ridurre le loro emissioni di gas serra, al fine di rispettare l'impegno di riduzione dei gas serra dell'Unione europea all'orizzonte 2030. </w:t>
      </w:r>
    </w:p>
    <w:p>
      <w:pPr>
        <w:autoSpaceDE w:val="0"/>
        <w:autoSpaceDN w:val="0"/>
        <w:adjustRightInd w:val="0"/>
        <w:rPr>
          <w:noProof/>
          <w:lang w:val="it-CH"/>
        </w:rPr>
      </w:pPr>
      <w:r>
        <w:rPr>
          <w:noProof/>
          <w:lang w:val="it-CH"/>
        </w:rPr>
        <w:t>La consultazione è andata ad integrare la consultazione sul Libro Verde nell'ambito del quadro 2030 per le politiche dell'energia e del clima che è stata realizzata nel 2013 ed era aperta a tutti. La consultazione si è concentrata sul miglioramento degli strumenti di flessibilità esistenti, la comunicazione e la conformità, l'approccio alla fissazione degli obiettivi di riduzione dei gas serra nazionali e la flessibilità limitata "una tantum" tra l'ETS e l'ESD. Riguardava inoltre l'azione complementare a livello di UE per il raggiungimento degli obiettivi di riduzione, il potenziamento delle capacità e altre forme di sostegno per l'attuazione a livello nazionale, regionale e locale. La Commissione ha ricevuto 114 risposte ufficiali da un'ampia gamma di soggetti interessati provenienti degli Stati membri</w:t>
      </w:r>
      <w:r>
        <w:rPr>
          <w:rStyle w:val="FootnoteReference"/>
          <w:noProof/>
          <w:lang w:val="it-CH"/>
        </w:rPr>
        <w:footnoteReference w:id="7"/>
      </w:r>
      <w:r>
        <w:rPr>
          <w:noProof/>
          <w:lang w:val="it-CH"/>
        </w:rPr>
        <w:t xml:space="preserve">. </w:t>
      </w:r>
    </w:p>
    <w:p>
      <w:pPr>
        <w:rPr>
          <w:noProof/>
          <w:lang w:val="it-CH"/>
        </w:rPr>
      </w:pPr>
      <w:r>
        <w:rPr>
          <w:noProof/>
          <w:lang w:val="it-CH"/>
        </w:rPr>
        <w:t>La Commissione europea ha anche consultato gli Stati membri in occasione di quattro incontri dei Gruppi di lavoro del comitato sui cambiamenti climatici tenutisi nel 2015. Tali consultazioni vertevano su diverse opzioni per migliorare i meccanismi di flessibilità nazionali esistenti nell'ESD nel periodo successivo al 2020 e sulle modalità di gestione della comunicazione e della conformità.</w:t>
      </w:r>
    </w:p>
    <w:p>
      <w:pPr>
        <w:pBdr>
          <w:top w:val="nil"/>
          <w:left w:val="nil"/>
          <w:bottom w:val="nil"/>
          <w:right w:val="nil"/>
          <w:between w:val="nil"/>
          <w:bar w:val="nil"/>
        </w:pBdr>
        <w:spacing w:before="0" w:after="240"/>
        <w:rPr>
          <w:rFonts w:eastAsia="Arial Unicode MS"/>
          <w:noProof/>
          <w:lang w:val="it-CH"/>
        </w:rPr>
      </w:pPr>
      <w:r>
        <w:rPr>
          <w:noProof/>
          <w:lang w:val="it-CH"/>
        </w:rPr>
        <w:t>Una sintesi della consultazione delle parti interessate è contenuta nell'allegato 8.2 della valutazione d'impatto della presente proposta.</w:t>
      </w:r>
    </w:p>
    <w:p>
      <w:pPr>
        <w:pStyle w:val="ManualHeading2"/>
        <w:rPr>
          <w:rFonts w:eastAsia="Arial Unicode MS"/>
          <w:noProof/>
          <w:u w:color="000000"/>
          <w:bdr w:val="nil"/>
          <w:lang w:val="it-CH"/>
        </w:rPr>
      </w:pPr>
      <w:r>
        <w:rPr>
          <w:noProof/>
          <w:lang w:val="it-CH"/>
        </w:rPr>
        <w:t>•</w:t>
      </w:r>
      <w:r>
        <w:rPr>
          <w:noProof/>
          <w:lang w:val="it-CH"/>
        </w:rPr>
        <w:tab/>
        <w:t>Assunzione e uso di perizie</w:t>
      </w:r>
    </w:p>
    <w:p>
      <w:pPr>
        <w:rPr>
          <w:noProof/>
          <w:lang w:val="it-CH"/>
        </w:rPr>
      </w:pPr>
      <w:r>
        <w:rPr>
          <w:noProof/>
          <w:lang w:val="it-CH"/>
        </w:rPr>
        <w:t>La valutazione in termini quantitativi degli impatti futuri sull'UE si basa e completa l'analisi effettuata per la proposta del quadro strategico del 2030 e l'aggiorna su aspetti specifici relativi all'ESD. La Commissione ha stipulato un contratto con l'Università Tecnica Nazionale di Atene, IIASA e EuroCare per modellizzare uno scenario di riferimento aggiornato</w:t>
      </w:r>
      <w:r>
        <w:rPr>
          <w:rStyle w:val="FootnoteReference"/>
          <w:noProof/>
          <w:lang w:val="it-CH"/>
        </w:rPr>
        <w:footnoteReference w:id="8"/>
      </w:r>
      <w:r>
        <w:rPr>
          <w:noProof/>
          <w:lang w:val="it-CH"/>
        </w:rPr>
        <w:t xml:space="preserve"> e su questa base sono stati quantificati degli scenari strategici. Il sistema energetico e la modellizzazione delle emissioni di CO</w:t>
      </w:r>
      <w:r>
        <w:rPr>
          <w:noProof/>
          <w:vertAlign w:val="subscript"/>
          <w:lang w:val="it-CH"/>
        </w:rPr>
        <w:t>2</w:t>
      </w:r>
      <w:r>
        <w:rPr>
          <w:noProof/>
          <w:lang w:val="it-CH"/>
        </w:rPr>
        <w:t xml:space="preserve"> si basano sul modello PRIMES. La modellizzazione </w:t>
      </w:r>
      <w:r>
        <w:rPr>
          <w:noProof/>
          <w:lang w:val="it-CH"/>
        </w:rPr>
        <w:lastRenderedPageBreak/>
        <w:t>delle emissioni GES diverse dal CO</w:t>
      </w:r>
      <w:r>
        <w:rPr>
          <w:noProof/>
          <w:vertAlign w:val="subscript"/>
          <w:lang w:val="it-CH"/>
        </w:rPr>
        <w:t>2</w:t>
      </w:r>
      <w:r>
        <w:rPr>
          <w:noProof/>
          <w:lang w:val="it-CH"/>
        </w:rPr>
        <w:t xml:space="preserve"> si basa sul modello GAINS. Le emissioni agricole diverse dal CO</w:t>
      </w:r>
      <w:r>
        <w:rPr>
          <w:noProof/>
          <w:vertAlign w:val="subscript"/>
          <w:lang w:val="it-CH"/>
        </w:rPr>
        <w:t>2</w:t>
      </w:r>
      <w:r>
        <w:rPr>
          <w:noProof/>
          <w:lang w:val="it-CH"/>
        </w:rPr>
        <w:t xml:space="preserve"> sono valutate nell'ambito del quadro di modellizzazione CAPRI. </w:t>
      </w:r>
    </w:p>
    <w:p>
      <w:pPr>
        <w:rPr>
          <w:noProof/>
          <w:lang w:val="it-CH"/>
        </w:rPr>
      </w:pPr>
      <w:r>
        <w:rPr>
          <w:noProof/>
          <w:lang w:val="it-CH"/>
        </w:rPr>
        <w:t xml:space="preserve">I pareri espressi dalle parti interessate, nell'ambito della consultazione pubblica, così come le proiezioni GES nazionali presentate nel 2015 dagli Stati membri, ai sensi del regolamento sul meccanismo di monitoraggio, sono stati utilizzati come ulteriori fonti di conoscenza per completare questa analisi. </w:t>
      </w:r>
    </w:p>
    <w:p>
      <w:pPr>
        <w:rPr>
          <w:noProof/>
          <w:lang w:val="it-CH"/>
        </w:rPr>
      </w:pPr>
      <w:r>
        <w:rPr>
          <w:noProof/>
          <w:lang w:val="it-CH"/>
        </w:rPr>
        <w:t>Nel 2015 un gruppo di consulenti esterni ha effettuato, per conto della Commissione, uno studio di supporto per la valutazione dell'attuazione dell'ESD</w:t>
      </w:r>
      <w:r>
        <w:rPr>
          <w:rStyle w:val="FootnoteReference"/>
          <w:noProof/>
          <w:lang w:val="it-CH"/>
        </w:rPr>
        <w:footnoteReference w:id="9"/>
      </w:r>
      <w:r>
        <w:rPr>
          <w:noProof/>
          <w:lang w:val="it-CH"/>
        </w:rPr>
        <w:t xml:space="preserve">. </w:t>
      </w:r>
    </w:p>
    <w:p>
      <w:pPr>
        <w:pStyle w:val="ManualHeading2"/>
        <w:rPr>
          <w:rFonts w:eastAsia="Arial Unicode MS"/>
          <w:noProof/>
          <w:u w:color="000000"/>
          <w:bdr w:val="nil"/>
          <w:lang w:val="it-CH"/>
        </w:rPr>
      </w:pPr>
      <w:r>
        <w:rPr>
          <w:noProof/>
          <w:lang w:val="it-CH"/>
        </w:rPr>
        <w:t>•</w:t>
      </w:r>
      <w:r>
        <w:rPr>
          <w:noProof/>
          <w:lang w:val="it-CH"/>
        </w:rPr>
        <w:tab/>
        <w:t>Valutazione d'impatto</w:t>
      </w:r>
    </w:p>
    <w:p>
      <w:pPr>
        <w:rPr>
          <w:noProof/>
          <w:szCs w:val="24"/>
          <w:lang w:val="it-CH"/>
        </w:rPr>
      </w:pPr>
      <w:r>
        <w:rPr>
          <w:noProof/>
          <w:lang w:val="it-CH"/>
        </w:rPr>
        <w:t>La valutazione d'impatto, che accompagna la presente proposta</w:t>
      </w:r>
      <w:r>
        <w:rPr>
          <w:rStyle w:val="FootnoteReference"/>
          <w:noProof/>
          <w:lang w:val="it-CH"/>
        </w:rPr>
        <w:footnoteReference w:id="10"/>
      </w:r>
      <w:r>
        <w:rPr>
          <w:noProof/>
          <w:lang w:val="it-CH"/>
        </w:rPr>
        <w:t>, integra l'analisi condotta nelle valutazioni di impatto 2014 relative al quadro strategico 2030 per il clima e l'energia</w:t>
      </w:r>
      <w:r>
        <w:rPr>
          <w:rStyle w:val="FootnoteReference"/>
          <w:noProof/>
          <w:lang w:val="it-CH"/>
        </w:rPr>
        <w:footnoteReference w:id="11"/>
      </w:r>
      <w:r>
        <w:rPr>
          <w:noProof/>
          <w:lang w:val="it-CH"/>
        </w:rPr>
        <w:t xml:space="preserve">. Su questa base analitica è stato stabilito l'obiettivo di riduzione delle emissioni GES di almeno il 40% entro il 2030 rispetto al 1990, così come la suddivisione tra i rispettivi obiettivi di riduzione delle emissioni del 30% e del 43% tra i settori non-ETS e ETS entro il 2030 rispetto al 2005. </w:t>
      </w:r>
    </w:p>
    <w:p>
      <w:pPr>
        <w:rPr>
          <w:noProof/>
          <w:lang w:val="it-CH"/>
        </w:rPr>
      </w:pPr>
      <w:r>
        <w:rPr>
          <w:noProof/>
          <w:lang w:val="it-CH"/>
        </w:rPr>
        <w:t>La valutazione d'impatto ha considerato varie opzioni per l'attuazione della riduzione delle emissioni nei settori non ETS diversi dai settori LULUCF, sulla base dell'ESD attuale e delle indicazioni fornite dal Consiglio europeo. La valutazione ha esaminato l'impatto della proposta sull'equità, l'efficienza dei costi e l'integrità ambientale.</w:t>
      </w:r>
    </w:p>
    <w:p>
      <w:pPr>
        <w:rPr>
          <w:noProof/>
          <w:lang w:val="it-CH"/>
        </w:rPr>
      </w:pPr>
      <w:r>
        <w:rPr>
          <w:noProof/>
          <w:lang w:val="it-CH"/>
        </w:rPr>
        <w:t xml:space="preserve">La valutazione d'impatto rivisita la metodologia di fissazione degli obiettivi in base al PIL pro capite che garantisce l'equità e la aggiorna sulla base dei dati relativi al 2013. Valuta in quale misura gli obiettivi potrebbero essere modificati all'interno del gruppo degli Stati membri che hanno un PIL pro-capite superiore alla media e per quali Stati membri il raggiungimento degli obiettivi all'insegna dell'efficienza dei costi possa costituire una particolare preoccupazione. Per quanto riguarda il punto di partenza della traiettoria lineare verso l'obiettivo, dal punto di vista dell'integrità ambientale è considerato auspicabile adottare una metodologia simile all'attuale metodologia dell'ESD basata sulle recenti emissioni, che peraltro non pone particolari problemi dal punto di vista amministrativo. </w:t>
      </w:r>
    </w:p>
    <w:p>
      <w:pPr>
        <w:rPr>
          <w:noProof/>
          <w:lang w:val="it-CH"/>
        </w:rPr>
      </w:pPr>
      <w:r>
        <w:rPr>
          <w:noProof/>
          <w:lang w:val="it-CH"/>
        </w:rPr>
        <w:t>La valutazione d'impatto dimostra che le nuove flessibilità nei settori ETS e LULUCF devono essere limitate, al fine di garantire che si intervenga in modo più incisivo e efficace nei settori non ETS, in linea con gli obiettivi di riduzione a lungo termine. Allo stesso tempo, entrambe le flessibilità consentono di tenere conto di eventuali circostanze specifiche degli Stati membri. Per quanto riguarda la flessibilità una tantum, generalmente è legata alla preoccupazione relativa all'efficienza dei costi per gli Stati membri con gli obiettivi più elevati. Per il settore LULUCF si tratta di preoccupazioni relative al limitato potenziale di mitigazione delle emissioni diverse dal CO</w:t>
      </w:r>
      <w:r>
        <w:rPr>
          <w:noProof/>
          <w:vertAlign w:val="subscript"/>
          <w:lang w:val="it-CH"/>
        </w:rPr>
        <w:t>2</w:t>
      </w:r>
      <w:r>
        <w:rPr>
          <w:noProof/>
          <w:lang w:val="it-CH"/>
        </w:rPr>
        <w:t xml:space="preserve"> nel settore agricolo, aspetto che è di vitale importanza per gli Stati membri con un'elevata quota di emissioni provenienti dall'agricoltura. Le flessibilità esistenti sono ancora da verificare e offrono un ampio margine d'azione per ridurre i costi e garantirne l'efficienza. È necessario che qualsiasi miglioramento tenga conto dei potenziali impatti amministrativi. I costi amministrativi sia per gli Stati membri sia per la </w:t>
      </w:r>
      <w:r>
        <w:rPr>
          <w:noProof/>
          <w:lang w:val="it-CH"/>
        </w:rPr>
        <w:lastRenderedPageBreak/>
        <w:t>Commissione europea sono attualmente limitati e saranno ulteriormente ridotti quando si passerà ad un controllo di conformità ogni cinque anni.</w:t>
      </w:r>
    </w:p>
    <w:p>
      <w:pPr>
        <w:rPr>
          <w:rFonts w:eastAsia="Arial Unicode MS"/>
          <w:noProof/>
          <w:lang w:val="it-CH"/>
        </w:rPr>
      </w:pPr>
      <w:r>
        <w:rPr>
          <w:noProof/>
          <w:lang w:val="it-CH"/>
        </w:rPr>
        <w:t>La politica proposta incide perlopiù sulle amministrazioni nazionali. Non esistono obblighi di comunicazione diretta o altre conseguenze amministrative per le imprese, le PMI e le micro</w:t>
      </w:r>
      <w:r>
        <w:rPr>
          <w:noProof/>
          <w:lang w:val="it-CH"/>
        </w:rPr>
        <w:noBreakHyphen/>
        <w:t>imprese. A seconda della natura e della portata delle misure dell'Unione europea per ridurre le emissioni, esse riguarderanno vari soggetti, imprese e consumatori compresi. Ogni effetto specifico nell'ambito di tali proposte politiche dovrà essere valutato.</w:t>
      </w:r>
    </w:p>
    <w:p>
      <w:pPr>
        <w:pStyle w:val="ManualHeading2"/>
        <w:rPr>
          <w:rFonts w:eastAsia="Arial Unicode MS"/>
          <w:noProof/>
          <w:u w:color="000000"/>
          <w:bdr w:val="nil"/>
          <w:lang w:val="it-CH"/>
        </w:rPr>
      </w:pPr>
      <w:r>
        <w:rPr>
          <w:noProof/>
          <w:lang w:val="it-CH"/>
        </w:rPr>
        <w:t>•</w:t>
      </w:r>
      <w:r>
        <w:rPr>
          <w:noProof/>
          <w:lang w:val="it-CH"/>
        </w:rPr>
        <w:tab/>
        <w:t>Efficienza normativa e semplificazione</w:t>
      </w:r>
    </w:p>
    <w:p>
      <w:pPr>
        <w:pBdr>
          <w:top w:val="nil"/>
          <w:left w:val="nil"/>
          <w:bottom w:val="nil"/>
          <w:right w:val="nil"/>
          <w:between w:val="nil"/>
          <w:bar w:val="nil"/>
        </w:pBdr>
        <w:spacing w:before="0" w:after="240"/>
        <w:rPr>
          <w:noProof/>
          <w:lang w:val="it-CH"/>
        </w:rPr>
      </w:pPr>
      <w:r>
        <w:rPr>
          <w:noProof/>
          <w:lang w:val="it-CH"/>
        </w:rPr>
        <w:t>In linea con l'impegno della Commissione di "Legiferare meglio", la proposta è stata preparata in uno spirito di inclusione, sulla base della trasparenza e del coinvolgimento continuo delle parti interessate. Viene proposto un controllo della conformità annuale da effettuare ogni cinque anni, pertanto l'onere amministrativo e i costi per la gestione della conformità saranno ridotti sia per gli Stati membri sia per la Commissione. Se si mantiene l'attuale sistema di comunicazione annuale passando però ad un controllo della conformità ogni cinque anni il costo complessivo nell'arco dell'intero periodo di riferimento 2021-2030, sia per la Commissione che per gli Stati membri, dovrebbe ammontare a circa 60-70% dei costi amministrativi di un sistema che prevede controlli della conformità ogni anno, pari a 1 150 000 EUR l'anno.</w:t>
      </w:r>
    </w:p>
    <w:p>
      <w:pPr>
        <w:pBdr>
          <w:top w:val="nil"/>
          <w:left w:val="nil"/>
          <w:bottom w:val="nil"/>
          <w:right w:val="nil"/>
          <w:between w:val="nil"/>
          <w:bar w:val="nil"/>
        </w:pBdr>
        <w:spacing w:before="0" w:after="240"/>
        <w:rPr>
          <w:rFonts w:eastAsia="Arial Unicode MS"/>
          <w:noProof/>
          <w:lang w:val="it-CH"/>
        </w:rPr>
      </w:pPr>
      <w:r>
        <w:rPr>
          <w:noProof/>
          <w:lang w:val="it-CH"/>
        </w:rPr>
        <w:t>Non sussistono obblighi di comunicazione diretta per le PMI o per le altre aziende ai sensi della vigente legislazione. La proposta non modificherebbe tale situazione.</w:t>
      </w:r>
    </w:p>
    <w:p>
      <w:pPr>
        <w:pStyle w:val="ManualHeading2"/>
        <w:rPr>
          <w:rFonts w:eastAsia="Arial Unicode MS"/>
          <w:noProof/>
          <w:u w:color="000000"/>
          <w:bdr w:val="nil"/>
          <w:lang w:val="it-CH"/>
        </w:rPr>
      </w:pPr>
      <w:r>
        <w:rPr>
          <w:noProof/>
          <w:lang w:val="it-CH"/>
        </w:rPr>
        <w:t>•</w:t>
      </w:r>
      <w:r>
        <w:rPr>
          <w:noProof/>
          <w:lang w:val="it-CH"/>
        </w:rPr>
        <w:tab/>
        <w:t>Diritti fondamentali</w:t>
      </w:r>
    </w:p>
    <w:p>
      <w:pPr>
        <w:pBdr>
          <w:top w:val="nil"/>
          <w:left w:val="nil"/>
          <w:bottom w:val="nil"/>
          <w:right w:val="nil"/>
          <w:between w:val="nil"/>
          <w:bar w:val="nil"/>
        </w:pBdr>
        <w:spacing w:before="0" w:after="240"/>
        <w:rPr>
          <w:rFonts w:eastAsia="Arial Unicode MS"/>
          <w:noProof/>
          <w:lang w:val="it-CH"/>
        </w:rPr>
      </w:pPr>
      <w:r>
        <w:rPr>
          <w:noProof/>
          <w:lang w:val="it-CH"/>
        </w:rPr>
        <w:t>Poiché la politica proposta si rivolge in primo luogo agli Stati membri in qualità di attori istituzionali, essa è coerente con la Carta dei diritti fondamentali.</w:t>
      </w:r>
    </w:p>
    <w:p>
      <w:pPr>
        <w:pStyle w:val="ManualHeading1"/>
        <w:rPr>
          <w:noProof/>
          <w:lang w:val="it-CH"/>
        </w:rPr>
      </w:pPr>
      <w:r>
        <w:rPr>
          <w:noProof/>
          <w:lang w:val="it-CH"/>
        </w:rPr>
        <w:t>4.</w:t>
      </w:r>
      <w:r>
        <w:rPr>
          <w:noProof/>
          <w:lang w:val="it-CH"/>
        </w:rPr>
        <w:tab/>
        <w:t>INCIDENZA SUL BILANCIO</w:t>
      </w:r>
    </w:p>
    <w:p>
      <w:pPr>
        <w:pBdr>
          <w:top w:val="nil"/>
          <w:left w:val="nil"/>
          <w:bottom w:val="nil"/>
          <w:right w:val="nil"/>
          <w:between w:val="nil"/>
          <w:bar w:val="nil"/>
        </w:pBdr>
        <w:spacing w:before="0" w:after="240"/>
        <w:rPr>
          <w:rFonts w:eastAsia="Arial Unicode MS"/>
          <w:noProof/>
          <w:lang w:val="it-CH"/>
        </w:rPr>
      </w:pPr>
      <w:r>
        <w:rPr>
          <w:noProof/>
          <w:lang w:val="it-CH"/>
        </w:rPr>
        <w:t xml:space="preserve">Gli impatti indiretti sui bilanci degli Stati membri dipenderanno dalle loro scelte in termini di politiche e misure nazionali per la riduzione delle emissioni GES e delle altre azioni di mitigazione nei settori disciplinati dalla presente iniziativa. La proposta di fissare obiettivi nazionali ridurrà i costi per gli Stati membri a basso reddito rispetto ad una proposta che stabilisca obiettivi basati esclusivamente sull'efficienza in termini di costi. Essa prevede una maggiore flessibilità per garantire che i costi per gli Stati membri ad alto reddito rimangano limitati. </w:t>
      </w:r>
    </w:p>
    <w:p>
      <w:pPr>
        <w:pBdr>
          <w:top w:val="nil"/>
          <w:left w:val="nil"/>
          <w:bottom w:val="nil"/>
          <w:right w:val="nil"/>
          <w:between w:val="nil"/>
          <w:bar w:val="nil"/>
        </w:pBdr>
        <w:spacing w:before="0" w:after="240"/>
        <w:rPr>
          <w:rFonts w:eastAsia="Arial Unicode MS"/>
          <w:noProof/>
          <w:lang w:val="it-CH"/>
        </w:rPr>
      </w:pPr>
      <w:r>
        <w:rPr>
          <w:noProof/>
          <w:lang w:val="it-CH"/>
        </w:rPr>
        <w:t>La proposta prevede di mantenere la relazione annuale, ma con controlli di conformità meno frequenti. Ciò consentirà di ridurre i costi amministrativi per gli Stati membri.</w:t>
      </w:r>
    </w:p>
    <w:p>
      <w:pPr>
        <w:pBdr>
          <w:top w:val="nil"/>
          <w:left w:val="nil"/>
          <w:bottom w:val="nil"/>
          <w:right w:val="nil"/>
          <w:between w:val="nil"/>
          <w:bar w:val="nil"/>
        </w:pBdr>
        <w:spacing w:before="0" w:after="240"/>
        <w:rPr>
          <w:rFonts w:eastAsia="Arial Unicode MS"/>
          <w:noProof/>
          <w:lang w:val="it-CH"/>
        </w:rPr>
      </w:pPr>
      <w:r>
        <w:rPr>
          <w:noProof/>
          <w:lang w:val="it-CH"/>
        </w:rPr>
        <w:t>Questa proposta avrà delle ripercussioni molto limitate sul bilancio dell'UE.</w:t>
      </w:r>
    </w:p>
    <w:p>
      <w:pPr>
        <w:pStyle w:val="ManualHeading1"/>
        <w:rPr>
          <w:noProof/>
          <w:lang w:val="it-CH"/>
        </w:rPr>
      </w:pPr>
      <w:r>
        <w:rPr>
          <w:noProof/>
          <w:lang w:val="it-CH"/>
        </w:rPr>
        <w:t>5.</w:t>
      </w:r>
      <w:r>
        <w:rPr>
          <w:noProof/>
          <w:lang w:val="it-CH"/>
        </w:rPr>
        <w:tab/>
        <w:t>ALTRI ELEMENTI</w:t>
      </w:r>
    </w:p>
    <w:p>
      <w:pPr>
        <w:pStyle w:val="ManualHeading2"/>
        <w:rPr>
          <w:rFonts w:eastAsia="Arial Unicode MS"/>
          <w:noProof/>
          <w:u w:color="000000"/>
          <w:bdr w:val="nil"/>
          <w:lang w:val="it-CH"/>
        </w:rPr>
      </w:pPr>
      <w:r>
        <w:rPr>
          <w:noProof/>
          <w:lang w:val="it-CH"/>
        </w:rPr>
        <w:t>•</w:t>
      </w:r>
      <w:r>
        <w:rPr>
          <w:noProof/>
          <w:lang w:val="it-CH"/>
        </w:rPr>
        <w:tab/>
        <w:t>Piani attuativi e modalità di monitoraggio, valutazione e informazione</w:t>
      </w:r>
    </w:p>
    <w:p>
      <w:pPr>
        <w:pBdr>
          <w:top w:val="nil"/>
          <w:left w:val="nil"/>
          <w:bottom w:val="nil"/>
          <w:right w:val="nil"/>
          <w:between w:val="nil"/>
          <w:bar w:val="nil"/>
        </w:pBdr>
        <w:spacing w:before="0" w:after="240"/>
        <w:rPr>
          <w:noProof/>
          <w:lang w:val="it-CH"/>
        </w:rPr>
      </w:pPr>
      <w:r>
        <w:rPr>
          <w:noProof/>
          <w:lang w:val="it-CH"/>
        </w:rPr>
        <w:t>Relazioni trasparenti e periodiche in merito agli obblighi degli Stati membri insieme a rigidi controlli di conformità, sono elementi fondamentali per garantire progressi verso la realizzazione degli impegni di riduzione delle emissioni a lungo termine dell'UE.</w:t>
      </w:r>
    </w:p>
    <w:p>
      <w:pPr>
        <w:pBdr>
          <w:top w:val="nil"/>
          <w:left w:val="nil"/>
          <w:bottom w:val="nil"/>
          <w:right w:val="nil"/>
          <w:between w:val="nil"/>
          <w:bar w:val="nil"/>
        </w:pBdr>
        <w:spacing w:before="0" w:after="240"/>
        <w:rPr>
          <w:noProof/>
          <w:lang w:val="it-CH"/>
        </w:rPr>
      </w:pPr>
      <w:r>
        <w:rPr>
          <w:noProof/>
          <w:lang w:val="it-CH"/>
        </w:rPr>
        <w:lastRenderedPageBreak/>
        <w:t xml:space="preserve">Il monitoraggio dei progressi e la valutazione della conformità continueranno a basarsi su un quadro globale di monitoraggio, comunicazione e verifica definito nella proposta come modifica dei relativi articoli del MMR. Le relazioni e le valutazione rigorose, previste dall'attuale ESD, saranno mantenute ai fini della presente proposta, con l'unica differenza che saranno pienamente integrate nelle pertinenti disposizioni dell'MMR. Queste disposizioni dovrebbero essere pienamente integrate nella governance dell'Unione dell'energia, in relazione alla quale, nel programma di lavoro della Commissione, è prevista una proposta della Commissione entro la fine del 2016 e potrebbero essere ulteriormente semplificate nell'ambito di tale proposta. </w:t>
      </w:r>
    </w:p>
    <w:p>
      <w:pPr>
        <w:pBdr>
          <w:top w:val="nil"/>
          <w:left w:val="nil"/>
          <w:bottom w:val="nil"/>
          <w:right w:val="nil"/>
          <w:between w:val="nil"/>
          <w:bar w:val="nil"/>
        </w:pBdr>
        <w:spacing w:before="0" w:after="240"/>
        <w:rPr>
          <w:noProof/>
          <w:lang w:val="it-CH"/>
        </w:rPr>
      </w:pPr>
      <w:r>
        <w:rPr>
          <w:noProof/>
          <w:lang w:val="it-CH"/>
        </w:rPr>
        <w:t xml:space="preserve">La presente proposta prevede che se, sulla base della valutazione annuale svolta dalla Commissione, i progressi compiuti da uno Stato membro si discostano dalla sua assegnazione annuale, lo Stato membro deve presentare un piano d'azione al fine di garantire il rispetto degli obblighi che gli incombono. Questo piano di azione dovrà essere tenuto in considerazione nel piano nazionale integrato in materia di energia e clima di tale Stato membro e farà parte del sistema di governance da definire nella prossima proposta legislativa relativa alla governance dell'Unione dell'energia. L'obbligo per gli Stati membri di elaborare questi piani di azione integrati in materia di energia e clima dovrebbe essere incluso in tale proposta legislativa. </w:t>
      </w:r>
    </w:p>
    <w:p>
      <w:pPr>
        <w:pBdr>
          <w:top w:val="nil"/>
          <w:left w:val="nil"/>
          <w:bottom w:val="nil"/>
          <w:right w:val="nil"/>
          <w:between w:val="nil"/>
          <w:bar w:val="nil"/>
        </w:pBdr>
        <w:spacing w:before="0" w:after="240"/>
        <w:rPr>
          <w:noProof/>
          <w:lang w:val="it-CH"/>
        </w:rPr>
      </w:pPr>
      <w:r>
        <w:rPr>
          <w:noProof/>
          <w:lang w:val="it-CH"/>
        </w:rPr>
        <w:t xml:space="preserve">Inoltre i piani nazionali integrati in materia di energia e clima di cui si parlerà nella futura proposta legislativa in materia di governance dell'Unione dell'energia dovrebbero fare riferimento ai limiti di emissioni annuali vincolanti stabiliti dal presente regolamento. </w:t>
      </w:r>
    </w:p>
    <w:p>
      <w:pPr>
        <w:pBdr>
          <w:top w:val="nil"/>
          <w:left w:val="nil"/>
          <w:bottom w:val="nil"/>
          <w:right w:val="nil"/>
          <w:between w:val="nil"/>
          <w:bar w:val="nil"/>
        </w:pBdr>
        <w:spacing w:before="0" w:after="240"/>
        <w:rPr>
          <w:noProof/>
          <w:lang w:val="it-CH"/>
        </w:rPr>
      </w:pPr>
      <w:r>
        <w:rPr>
          <w:noProof/>
          <w:lang w:val="it-CH"/>
        </w:rPr>
        <w:t xml:space="preserve">Gli Stati membri hanno sempre l'obbligo di rispettare i limiti annuali e una traiettoria lineare nel periodo 2021-2030, anche se il riesame globale degli inventari delle emissioni di gas serra degli Stati membri e il controllo effettivo di conformità saranno organizzati ogni 5 anni e non più ogni anno. </w:t>
      </w:r>
      <w:r>
        <w:rPr>
          <w:noProof/>
          <w:color w:val="000000" w:themeColor="text1"/>
          <w:lang w:val="it-CH"/>
        </w:rPr>
        <w:t xml:space="preserve">La Commissione effettuerà due controlli di conformità, uno nel 2027 (per gli anni relativi al periodo 2021-2025) e l'altro nel 2032 (per gli anni 2026-2030). Questo consentirà di tenere conto del potenziale contributo delle attività relative alle </w:t>
      </w:r>
      <w:r>
        <w:rPr>
          <w:noProof/>
          <w:lang w:val="it-CH"/>
        </w:rPr>
        <w:t>superfici coltivate a bosco, ai terreni coltivati e ai pascoli gestiti</w:t>
      </w:r>
      <w:r>
        <w:rPr>
          <w:b/>
          <w:noProof/>
          <w:lang w:val="it-CH"/>
        </w:rPr>
        <w:t xml:space="preserve"> </w:t>
      </w:r>
      <w:r>
        <w:rPr>
          <w:noProof/>
          <w:color w:val="000000" w:themeColor="text1"/>
          <w:lang w:val="it-CH"/>
        </w:rPr>
        <w:t xml:space="preserve">ai sensi del regolamento [           ]. </w:t>
      </w:r>
    </w:p>
    <w:p>
      <w:pPr>
        <w:rPr>
          <w:noProof/>
          <w:color w:val="000000" w:themeColor="text1"/>
          <w:lang w:val="it-CH"/>
        </w:rPr>
      </w:pPr>
      <w:r>
        <w:rPr>
          <w:noProof/>
          <w:color w:val="000000" w:themeColor="text1"/>
          <w:lang w:val="it-CH"/>
        </w:rPr>
        <w:t xml:space="preserve">Per garantire che la valutazione di conformità si basi su dati accurati, la Commissione continuerà ad esaminare gli inventari delle emissioni GES presentati annualmente dagli Stati membri. </w:t>
      </w:r>
    </w:p>
    <w:p>
      <w:pPr>
        <w:pBdr>
          <w:top w:val="nil"/>
          <w:left w:val="nil"/>
          <w:bottom w:val="nil"/>
          <w:right w:val="nil"/>
          <w:between w:val="nil"/>
          <w:bar w:val="nil"/>
        </w:pBdr>
        <w:spacing w:before="0" w:after="240"/>
        <w:rPr>
          <w:noProof/>
          <w:color w:val="000000" w:themeColor="text1"/>
          <w:lang w:val="it-CH"/>
        </w:rPr>
      </w:pPr>
      <w:r>
        <w:rPr>
          <w:noProof/>
          <w:color w:val="000000" w:themeColor="text1"/>
          <w:lang w:val="it-CH"/>
        </w:rPr>
        <w:t xml:space="preserve">Un esame del funzionamento del presente regolamento avrà luogo il 28 febbraio 2024 e successivamente ogni cinque anni. </w:t>
      </w:r>
      <w:r>
        <w:rPr>
          <w:noProof/>
          <w:lang w:val="it-CH"/>
        </w:rPr>
        <w:t>Questo esame valuterà il funzionamento generale del presente regolamento, ad esempio la flessibilità nel trasferimento tra Stati membri di parti delle quote annuali di emissioni, il che è importante per garantire l'efficienza in termini dei costi.</w:t>
      </w:r>
      <w:r>
        <w:rPr>
          <w:noProof/>
          <w:color w:val="000000" w:themeColor="text1"/>
          <w:lang w:val="it-CH"/>
        </w:rPr>
        <w:t xml:space="preserve"> L'esame può anche basarsi sui risultati del bilancio globale dell'accordo di Parigi. </w:t>
      </w:r>
    </w:p>
    <w:p>
      <w:pPr>
        <w:pBdr>
          <w:top w:val="nil"/>
          <w:left w:val="nil"/>
          <w:bottom w:val="nil"/>
          <w:right w:val="nil"/>
          <w:between w:val="nil"/>
          <w:bar w:val="nil"/>
        </w:pBdr>
        <w:spacing w:before="0" w:after="240"/>
        <w:rPr>
          <w:noProof/>
          <w:color w:val="000000" w:themeColor="text1"/>
          <w:lang w:val="it-CH"/>
        </w:rPr>
      </w:pPr>
      <w:r>
        <w:rPr>
          <w:noProof/>
          <w:color w:val="000000" w:themeColor="text1"/>
          <w:lang w:val="it-CH"/>
        </w:rPr>
        <w:t>Oltre ai controlli di conformità con conseguenze giuridicamente vincolanti, i progressi verso gli obiettivi 2030 saranno monitorati ogni anno nell'ambito della relazione sui progressi compiuti pubblicata dalla Commissione ai sensi dell'articolo 21 dell'MMR; tali risultati continueranno ad essere utilizzati nel contesto del Semestre europeo e integrati nella relazione sullo stato dell'Unione dell'energia</w:t>
      </w:r>
      <w:r>
        <w:rPr>
          <w:rStyle w:val="FootnoteReference"/>
          <w:noProof/>
          <w:lang w:val="it-CH"/>
        </w:rPr>
        <w:footnoteReference w:id="12"/>
      </w:r>
      <w:r>
        <w:rPr>
          <w:noProof/>
          <w:color w:val="000000" w:themeColor="text1"/>
          <w:lang w:val="it-CH"/>
        </w:rPr>
        <w:t xml:space="preserve">. Il monitoraggio dei progressi consente di individuare </w:t>
      </w:r>
      <w:r>
        <w:rPr>
          <w:noProof/>
          <w:color w:val="000000" w:themeColor="text1"/>
          <w:lang w:val="it-CH"/>
        </w:rPr>
        <w:lastRenderedPageBreak/>
        <w:t>tempestivamente eventuali problemi qualora alcuni Stati membri registrino ritardi nell'adempimento dei loro obblighi e incentiva l'adozione delle misure necessarie. Le prescrizioni vigenti mantengono l'obbligo per gli Stati membri di elaborare ogni due anni una relazione sulle politiche e misure adottate per raggiungere i loro obiettivi vincolanti previsti dalla presente proposta, nonché sulle loro proiezioni in termini di emissioni.</w:t>
      </w:r>
    </w:p>
    <w:p>
      <w:pPr>
        <w:spacing w:before="0" w:after="200" w:line="276" w:lineRule="auto"/>
        <w:jc w:val="left"/>
        <w:rPr>
          <w:rFonts w:eastAsia="Arial Unicode MS"/>
          <w:b/>
          <w:noProof/>
          <w:u w:color="000000"/>
          <w:bdr w:val="nil"/>
          <w:lang w:val="it-CH"/>
        </w:rPr>
      </w:pPr>
      <w:r>
        <w:rPr>
          <w:noProof/>
          <w:lang w:val="it-CH"/>
        </w:rPr>
        <w:br w:type="page"/>
      </w:r>
      <w:r>
        <w:rPr>
          <w:noProof/>
          <w:lang w:val="it-CH"/>
        </w:rPr>
        <w:lastRenderedPageBreak/>
        <w:t>•</w:t>
      </w:r>
      <w:r>
        <w:rPr>
          <w:noProof/>
          <w:lang w:val="it-CH"/>
        </w:rPr>
        <w:tab/>
      </w:r>
      <w:r>
        <w:rPr>
          <w:b/>
          <w:noProof/>
          <w:lang w:val="it-CH"/>
        </w:rPr>
        <w:t>Illustrazione dettagliata delle singole disposizioni della proposta</w:t>
      </w:r>
    </w:p>
    <w:p>
      <w:pPr>
        <w:spacing w:before="0" w:after="240"/>
        <w:rPr>
          <w:b/>
          <w:noProof/>
          <w:lang w:val="it-CH"/>
        </w:rPr>
      </w:pPr>
      <w:r>
        <w:rPr>
          <w:b/>
          <w:noProof/>
          <w:lang w:val="it-CH"/>
        </w:rPr>
        <w:t>Articolo 1 – Oggetto</w:t>
      </w:r>
    </w:p>
    <w:p>
      <w:pPr>
        <w:rPr>
          <w:noProof/>
          <w:lang w:val="it-CH"/>
        </w:rPr>
      </w:pPr>
      <w:r>
        <w:rPr>
          <w:noProof/>
          <w:lang w:val="it-CH"/>
        </w:rPr>
        <w:t>Questo articolo precisa che il regolamento stabilisce i contributi minimi degli Stati membri per la riduzione delle emissioni per il periodo compreso tra il 2021 e il 2030 e le norme per la determinazione delle assegnazioni annuali di emissioni e della valutazione dei progressi compiuti.</w:t>
      </w:r>
    </w:p>
    <w:p>
      <w:pPr>
        <w:spacing w:before="0" w:after="240"/>
        <w:rPr>
          <w:b/>
          <w:noProof/>
          <w:lang w:val="it-CH"/>
        </w:rPr>
      </w:pPr>
      <w:r>
        <w:rPr>
          <w:b/>
          <w:noProof/>
          <w:lang w:val="it-CH"/>
        </w:rPr>
        <w:t>Articolo 2 – Campo di applicazione</w:t>
      </w:r>
    </w:p>
    <w:p>
      <w:pPr>
        <w:rPr>
          <w:noProof/>
          <w:lang w:val="it-CH"/>
        </w:rPr>
      </w:pPr>
      <w:r>
        <w:rPr>
          <w:noProof/>
          <w:lang w:val="it-CH"/>
        </w:rPr>
        <w:t xml:space="preserve">L'articolo definisce il campo di applicazione del regolamento. Precisa chiaramente che questo regolamento riguarda le emissioni delle categorie di fonti IPCC: energia, processi industriali e uso dei prodotti, agricoltura e rifiuti. Le emissioni provenienti dai settori che rientrano nel sistema ETS dell'UE e nel regolamento [   ] non sono disciplinate nell'ambito del presente regolamento. </w:t>
      </w:r>
    </w:p>
    <w:p>
      <w:pPr>
        <w:rPr>
          <w:b/>
          <w:noProof/>
          <w:lang w:val="it-CH"/>
        </w:rPr>
      </w:pPr>
      <w:r>
        <w:rPr>
          <w:b/>
          <w:noProof/>
          <w:lang w:val="it-CH"/>
        </w:rPr>
        <w:t>Articolo 3 - Definizioni</w:t>
      </w:r>
    </w:p>
    <w:p>
      <w:pPr>
        <w:rPr>
          <w:noProof/>
          <w:lang w:val="it-CH"/>
        </w:rPr>
      </w:pPr>
      <w:r>
        <w:rPr>
          <w:noProof/>
          <w:lang w:val="it-CH"/>
        </w:rPr>
        <w:t>L'articolo definisce il termine gas a effetto serra (GES) in termini di gas a effetto serra che rientrano nel campo di applicazione del presente regolamento.</w:t>
      </w:r>
    </w:p>
    <w:p>
      <w:pPr>
        <w:spacing w:after="240"/>
        <w:rPr>
          <w:b/>
          <w:noProof/>
          <w:lang w:val="it-CH"/>
        </w:rPr>
      </w:pPr>
      <w:r>
        <w:rPr>
          <w:b/>
          <w:noProof/>
          <w:lang w:val="it-CH"/>
        </w:rPr>
        <w:t>Articolo 4 - Livelli annuali di emissioni per il periodo 2021-2030</w:t>
      </w:r>
    </w:p>
    <w:p>
      <w:pPr>
        <w:rPr>
          <w:noProof/>
          <w:lang w:val="it-CH"/>
        </w:rPr>
      </w:pPr>
      <w:r>
        <w:rPr>
          <w:noProof/>
          <w:color w:val="000000" w:themeColor="text1"/>
          <w:lang w:val="it-CH"/>
        </w:rPr>
        <w:t>Questo articolo stabilisce i limiti delle emissioni degli Stati membri nel 2030, di cui all'allegato I, e le modalità di fissazione dei livelli delle emissioni per il periodo 2021-2030. Si mantiene inalterato l'approccio dei limiti vincolanti di emissione annuali stabiliti nell'ESD. I livelli di emissione annuali sono determinati sulla base di una traiettoria lineare che inizia con le emissioni medie per gli anni 2016, 2017 e 2018 basate sui dati più recenti relativi alle emissioni GES verificati. Le assegnazioni annuali di emissioni in termini di CO</w:t>
      </w:r>
      <w:r>
        <w:rPr>
          <w:noProof/>
          <w:color w:val="000000" w:themeColor="text1"/>
          <w:vertAlign w:val="subscript"/>
          <w:lang w:val="it-CH"/>
        </w:rPr>
        <w:t>2</w:t>
      </w:r>
      <w:r>
        <w:rPr>
          <w:noProof/>
          <w:color w:val="000000" w:themeColor="text1"/>
          <w:lang w:val="it-CH"/>
        </w:rPr>
        <w:t xml:space="preserve"> equivalenti per ciascuno Stato membro per ogni anno del periodo di riferimento saranno stabilite in un atto di esecuzione. </w:t>
      </w:r>
    </w:p>
    <w:p>
      <w:pPr>
        <w:rPr>
          <w:b/>
          <w:noProof/>
          <w:lang w:val="it-CH"/>
        </w:rPr>
      </w:pPr>
      <w:r>
        <w:rPr>
          <w:b/>
          <w:noProof/>
          <w:lang w:val="it-CH"/>
        </w:rPr>
        <w:t>Articolo 5 - Strumenti di flessibilità per rispettare i limiti annuali</w:t>
      </w:r>
    </w:p>
    <w:p>
      <w:pPr>
        <w:rPr>
          <w:noProof/>
          <w:lang w:val="it-CH"/>
        </w:rPr>
      </w:pPr>
      <w:r>
        <w:rPr>
          <w:noProof/>
          <w:lang w:val="it-CH"/>
        </w:rPr>
        <w:t>L'articolo definisce gli strumenti di flessibilità a disposizione degli Stati membri per raggiungere i loro limiti annuali, tra cui la flessibilità nel tempo grazie alla pratica dell'"accumulare e prendere a prestito" delle assegnazioni annuali di emissioni nell'ambito del periodo di impegno, e la flessibilità tra Stati membri attraverso i trasferimenti di tali assegnazioni.</w:t>
      </w:r>
    </w:p>
    <w:p>
      <w:pPr>
        <w:jc w:val="left"/>
        <w:rPr>
          <w:b/>
          <w:strike/>
          <w:noProof/>
          <w:lang w:val="it-CH"/>
        </w:rPr>
      </w:pPr>
      <w:r>
        <w:rPr>
          <w:b/>
          <w:noProof/>
          <w:lang w:val="it-CH"/>
        </w:rPr>
        <w:t>Articolo 6 - Strumento di flessibilità per alcuni Stati membri a seguito di una riduzione delle quote ETS dell'UE</w:t>
      </w:r>
    </w:p>
    <w:p>
      <w:pPr>
        <w:rPr>
          <w:noProof/>
          <w:lang w:val="it-CH"/>
        </w:rPr>
      </w:pPr>
      <w:r>
        <w:rPr>
          <w:noProof/>
          <w:color w:val="000000" w:themeColor="text1"/>
          <w:lang w:val="it-CH"/>
        </w:rPr>
        <w:t xml:space="preserve">È stato predisposto un nuovo strumento di flessibilità che consiste nella cancellazione di quote ETS fino ad un limite prestabilito. Gli Stati membri ammissibili decideranno prima del 2020 se vogliono utilizzare questa flessibilità, mentre le quantità precise saranno determinate nell'atto di esecuzione che stabilisce le assegnazioni annuali di emissioni. Questo tipo di flessibilità è a disposizione degli Stati membri elencati nell'allegato II. L'atto di esecuzione di cui all'articolo 4 determinerà anche la quantità massima di quote che uno Stato membro può scegliere di cancellare, in modo che se ne tenga conto ai fini del rispetto dei limiti previsti. </w:t>
      </w:r>
    </w:p>
    <w:p>
      <w:pPr>
        <w:jc w:val="left"/>
        <w:rPr>
          <w:b/>
          <w:noProof/>
          <w:lang w:val="it-CH"/>
        </w:rPr>
      </w:pPr>
      <w:r>
        <w:rPr>
          <w:b/>
          <w:noProof/>
          <w:lang w:val="it-CH"/>
        </w:rPr>
        <w:t>Articolo 7 - Uso supplementare di assorbimenti netti fino a 280 milioni risultanti da terreni disboscati, terreni imboschiti, terre coltivate gestite e pascoli gestiti.</w:t>
      </w:r>
    </w:p>
    <w:p>
      <w:pPr>
        <w:rPr>
          <w:noProof/>
          <w:lang w:val="it-CH"/>
        </w:rPr>
      </w:pPr>
      <w:r>
        <w:rPr>
          <w:noProof/>
          <w:color w:val="000000" w:themeColor="text1"/>
          <w:lang w:val="it-CH"/>
        </w:rPr>
        <w:lastRenderedPageBreak/>
        <w:t>È stato predisposto un nuovo strumento di flessibilità, che consente agli Stati membri, nella misura in cui ne hanno bisogno, di utilizzare una quantità limitata di assorbimenti netti di cui al regolamento [   ] a determinate condizioni. I limiti per ciascuno Stato membro, in termini di CO</w:t>
      </w:r>
      <w:r>
        <w:rPr>
          <w:noProof/>
          <w:color w:val="000000" w:themeColor="text1"/>
          <w:vertAlign w:val="subscript"/>
          <w:lang w:val="it-CH"/>
        </w:rPr>
        <w:t xml:space="preserve">2 </w:t>
      </w:r>
      <w:r>
        <w:rPr>
          <w:noProof/>
          <w:color w:val="000000" w:themeColor="text1"/>
          <w:lang w:val="it-CH"/>
        </w:rPr>
        <w:t>equivalente, sono elencati nell'allegato III.</w:t>
      </w:r>
    </w:p>
    <w:p>
      <w:pPr>
        <w:rPr>
          <w:b/>
          <w:noProof/>
          <w:lang w:val="it-CH"/>
        </w:rPr>
      </w:pPr>
      <w:r>
        <w:rPr>
          <w:b/>
          <w:noProof/>
          <w:lang w:val="it-CH"/>
        </w:rPr>
        <w:t>Articolo 8 – Misure correttive</w:t>
      </w:r>
    </w:p>
    <w:p>
      <w:pPr>
        <w:rPr>
          <w:noProof/>
          <w:lang w:val="it-CH"/>
        </w:rPr>
      </w:pPr>
      <w:r>
        <w:rPr>
          <w:noProof/>
          <w:lang w:val="it-CH"/>
        </w:rPr>
        <w:t xml:space="preserve">Se, sulla base della valutazione annuale svolta dalla Commissione, i progressi di uno Stato membro si discostano dalla sua assegnazione annuale di emissioni, esso dovrà preparare un piano d'azione che prevede misure supplementari da attuare al fine di garantire il rispetto dei suoi obblighi. </w:t>
      </w:r>
    </w:p>
    <w:p>
      <w:pPr>
        <w:rPr>
          <w:b/>
          <w:noProof/>
          <w:lang w:val="it-CH"/>
        </w:rPr>
      </w:pPr>
      <w:r>
        <w:rPr>
          <w:b/>
          <w:noProof/>
          <w:lang w:val="it-CH"/>
        </w:rPr>
        <w:t xml:space="preserve">Articolo 9 – Verifica della conformità </w:t>
      </w:r>
    </w:p>
    <w:p>
      <w:pPr>
        <w:rPr>
          <w:noProof/>
          <w:lang w:val="it-CH"/>
        </w:rPr>
      </w:pPr>
      <w:r>
        <w:rPr>
          <w:noProof/>
          <w:lang w:val="it-CH"/>
        </w:rPr>
        <w:t>Le disposizioni per la verifica della conformità e le misure correttive di cui alla ESD restano in vigore, con l'unica eccezione che vi sarà un controllo di conformità soltanto ogni cinque anni per ciascuno degli anni precedenti del periodo. Qualora dovesse risultare che uno Stato membro non ha rispettato le sue assegnazioni di emissioni annuali per un qualsiasi anno del periodo, si applicheranno misure correttive aggiungendo alle emissioni dell'anno successivo una quantità pari al numero in tonnellate di CO</w:t>
      </w:r>
      <w:r>
        <w:rPr>
          <w:noProof/>
          <w:vertAlign w:val="subscript"/>
          <w:lang w:val="it-CH"/>
        </w:rPr>
        <w:t>2</w:t>
      </w:r>
      <w:r>
        <w:rPr>
          <w:noProof/>
          <w:lang w:val="it-CH"/>
        </w:rPr>
        <w:t xml:space="preserve"> equivalente alle emissioni in eccesso, moltiplicato per un fattore di 1,08. Il diritto di trasferire le AEA sarà sospeso fino a quando lo Stato membro non ottempera alle disposizioni vigenti.</w:t>
      </w:r>
    </w:p>
    <w:p>
      <w:pPr>
        <w:rPr>
          <w:b/>
          <w:noProof/>
          <w:lang w:val="it-CH"/>
        </w:rPr>
      </w:pPr>
      <w:r>
        <w:rPr>
          <w:b/>
          <w:noProof/>
          <w:lang w:val="it-CH"/>
        </w:rPr>
        <w:t xml:space="preserve">Articolo 10 - Adeguamenti </w:t>
      </w:r>
    </w:p>
    <w:p>
      <w:pPr>
        <w:rPr>
          <w:noProof/>
          <w:lang w:val="it-CH"/>
        </w:rPr>
      </w:pPr>
      <w:r>
        <w:rPr>
          <w:noProof/>
          <w:lang w:val="it-CH"/>
        </w:rPr>
        <w:t xml:space="preserve">Per garantire la coerenza dell'obiettivo delle emissioni a livello dell'UE entro il 2030, le eventuali variazioni del campo di applicazione del sistema ETS (per esempio modifica del numero di impianti o di fonti rientranti nel sistema ETS dell'UE) devono necessariamente comportare un adeguamento corrispondente del presente regolamento. L'articolo mantiene la disposizione prevista dall'ESD che illustra in che modo si possono apportare tali modifiche. È previsto anche l'utilizzo di crediti generati ai sensi dell'articolo 24 </w:t>
      </w:r>
      <w:r>
        <w:rPr>
          <w:i/>
          <w:noProof/>
          <w:lang w:val="it-CH"/>
        </w:rPr>
        <w:t>bis</w:t>
      </w:r>
      <w:r>
        <w:rPr>
          <w:noProof/>
          <w:lang w:val="it-CH"/>
        </w:rPr>
        <w:t xml:space="preserve"> dell'ETS dell'UE, mantenendo la flessibilità che esiste nell'ESD. Questo articolo esamina anche la situazione specifica degli Stati membri con limiti positivi nell'ESD e assegnazioni di emissioni crescenti tra il 2017 e il 2020. </w:t>
      </w:r>
    </w:p>
    <w:p>
      <w:pPr>
        <w:rPr>
          <w:b/>
          <w:noProof/>
          <w:lang w:val="it-CH"/>
        </w:rPr>
      </w:pPr>
      <w:r>
        <w:rPr>
          <w:b/>
          <w:noProof/>
          <w:lang w:val="it-CH"/>
        </w:rPr>
        <w:t>Articolo 11 - Registro</w:t>
      </w:r>
    </w:p>
    <w:p>
      <w:pPr>
        <w:rPr>
          <w:noProof/>
          <w:lang w:val="it-CH"/>
        </w:rPr>
      </w:pPr>
      <w:r>
        <w:rPr>
          <w:noProof/>
          <w:lang w:val="it-CH"/>
        </w:rPr>
        <w:t>Mantiene l'attuale attuazione dell'ESD nel regolamento sul registro e la adatta al presente regolamento. Nell'ambito del presente regolamento è necessario garantire una contabilizzazione accurata delle operazioni ed evitare i doppi conteggi.</w:t>
      </w:r>
    </w:p>
    <w:p>
      <w:pPr>
        <w:rPr>
          <w:b/>
          <w:noProof/>
          <w:lang w:val="it-CH"/>
        </w:rPr>
      </w:pPr>
      <w:r>
        <w:rPr>
          <w:b/>
          <w:noProof/>
          <w:lang w:val="it-CH"/>
        </w:rPr>
        <w:t>Articolo 12 - Esercizio della delega</w:t>
      </w:r>
    </w:p>
    <w:p>
      <w:pPr>
        <w:rPr>
          <w:noProof/>
          <w:lang w:val="it-CH"/>
        </w:rPr>
      </w:pPr>
      <w:r>
        <w:rPr>
          <w:noProof/>
          <w:color w:val="000000" w:themeColor="text1"/>
          <w:lang w:val="it-CH"/>
        </w:rPr>
        <w:t>La proposta autorizza la Commissione ad adottare atti delegati secondo le pertinenti procedure.</w:t>
      </w:r>
    </w:p>
    <w:p>
      <w:pPr>
        <w:rPr>
          <w:b/>
          <w:noProof/>
          <w:lang w:val="it-CH"/>
        </w:rPr>
      </w:pPr>
      <w:r>
        <w:rPr>
          <w:b/>
          <w:noProof/>
          <w:lang w:val="it-CH"/>
        </w:rPr>
        <w:t>Articolo 13 - Procedura di comitato</w:t>
      </w:r>
    </w:p>
    <w:p>
      <w:pPr>
        <w:rPr>
          <w:noProof/>
          <w:lang w:val="it-CH"/>
        </w:rPr>
      </w:pPr>
      <w:r>
        <w:rPr>
          <w:noProof/>
          <w:lang w:val="it-CH"/>
        </w:rPr>
        <w:t xml:space="preserve">Si tratta della stessa procedura di comitato dell'ESD che si avvale del comitato sui cambiamenti climatici. </w:t>
      </w:r>
    </w:p>
    <w:p>
      <w:pPr>
        <w:rPr>
          <w:b/>
          <w:noProof/>
          <w:lang w:val="it-CH"/>
        </w:rPr>
      </w:pPr>
      <w:r>
        <w:rPr>
          <w:b/>
          <w:noProof/>
          <w:lang w:val="it-CH"/>
        </w:rPr>
        <w:t>Articolo 14 - Riesame</w:t>
      </w:r>
    </w:p>
    <w:p>
      <w:pPr>
        <w:rPr>
          <w:noProof/>
          <w:color w:val="000000" w:themeColor="text1"/>
          <w:lang w:val="it-CH"/>
        </w:rPr>
      </w:pPr>
      <w:r>
        <w:rPr>
          <w:noProof/>
          <w:color w:val="000000" w:themeColor="text1"/>
          <w:lang w:val="it-CH"/>
        </w:rPr>
        <w:t xml:space="preserve">Nel 2024 e successivamente ogni 5 anni, si procederà all'esame di tutti gli elementi del regolamento per determinare se continuano a rispondere al loro scopo. </w:t>
      </w:r>
    </w:p>
    <w:p>
      <w:pPr>
        <w:rPr>
          <w:b/>
          <w:noProof/>
          <w:color w:val="000000" w:themeColor="text1"/>
          <w:lang w:val="it-CH"/>
        </w:rPr>
      </w:pPr>
      <w:r>
        <w:rPr>
          <w:b/>
          <w:noProof/>
          <w:color w:val="000000" w:themeColor="text1"/>
          <w:lang w:val="it-CH"/>
        </w:rPr>
        <w:t>Articolo 15 - Modifica del regolamento n. 525/2013/UE</w:t>
      </w:r>
    </w:p>
    <w:p>
      <w:pPr>
        <w:rPr>
          <w:noProof/>
          <w:lang w:val="it-CH"/>
        </w:rPr>
      </w:pPr>
      <w:r>
        <w:rPr>
          <w:noProof/>
          <w:lang w:val="it-CH"/>
        </w:rPr>
        <w:lastRenderedPageBreak/>
        <w:t>L'MMR viene modificato al fine di garantire che gli obblighi di comunicazione attualmente applicabili all'EDS siano mantenuti nel quadro di tale regolamento. Gli Stati membri sono tenuti a comunicare annualmente le proprie emissioni GES e continuano a dover segnalare ogni due anni le loro proiezioni e le politiche e le misure attuate per garantire la conformità con i loro obiettivi. Al fine di rafforzare la trasparenza e facilitare i trasferimenti tra gli Stati membri, questi sono anche tenuti a riferire sui volumi che intendono acquistare o vendere, a norma dell'articolo 5.</w:t>
      </w:r>
    </w:p>
    <w:p>
      <w:pPr>
        <w:rPr>
          <w:noProof/>
          <w:lang w:val="it-CH"/>
        </w:rPr>
      </w:pPr>
      <w:r>
        <w:rPr>
          <w:noProof/>
          <w:lang w:val="it-CH"/>
        </w:rPr>
        <w:t>La Commissione seguirà i progressi degli Stati membri in relazioni ai loro limiti di emissione, includendo nella relazione annuale sui progressi compiuti nell'Azione a favore del clima una valutazione sui progressi compiuti dagli Stati membri per assolvere i loro obblighi ai sensi del presente regolamento.</w:t>
      </w:r>
    </w:p>
    <w:p>
      <w:pPr>
        <w:rPr>
          <w:noProof/>
          <w:color w:val="000000" w:themeColor="text1"/>
          <w:lang w:val="it-CH"/>
        </w:rPr>
      </w:pPr>
    </w:p>
    <w:p>
      <w:pPr>
        <w:rPr>
          <w:noProof/>
          <w:lang w:val="it-CH"/>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lang w:val="it-CH"/>
        </w:rPr>
      </w:pPr>
      <w:r>
        <w:rPr>
          <w:noProof/>
          <w:lang w:val="it-CH"/>
        </w:rPr>
        <w:lastRenderedPageBreak/>
        <w:t>2016/0231 (COD)</w:t>
      </w:r>
    </w:p>
    <w:p>
      <w:pPr>
        <w:pStyle w:val="Statut"/>
        <w:rPr>
          <w:noProof/>
          <w:lang w:val="it-CH"/>
        </w:rPr>
      </w:pPr>
      <w:r>
        <w:rPr>
          <w:noProof/>
          <w:lang w:val="it-CH"/>
        </w:rPr>
        <w:t>Proposta di</w:t>
      </w:r>
    </w:p>
    <w:p>
      <w:pPr>
        <w:pStyle w:val="Typedudocument"/>
        <w:rPr>
          <w:noProof/>
          <w:lang w:val="it-CH"/>
        </w:rPr>
      </w:pPr>
      <w:r>
        <w:rPr>
          <w:noProof/>
          <w:lang w:val="it-CH"/>
        </w:rPr>
        <w:t>REGOLAMENTO DEL PARLAMENTO EUROPEO E DEL CONSIGLIO</w:t>
      </w:r>
    </w:p>
    <w:p>
      <w:pPr>
        <w:pStyle w:val="Titreobjet"/>
      </w:pPr>
      <w:r>
        <w:rPr>
          <w:noProof/>
          <w:lang w:val="it-CH"/>
        </w:rPr>
        <w:t>relativo alle riduzioni annuali vincolanti delle emissioni di gas a effetto serra a carico degli Stati membri nel periodo 2021-2030 per un'Unione dell'energia resiliente e per onorare gli impegni assunti a norma dell'accordo di Parigi e recante modifica del regolamento (UE) n. 525/2013 del Parlamento europeo e del Consiglio relativo ad un meccanismo di monitoraggio e comunicazione delle emissioni di gas a effetto serra e di comunicazione di altre informazioni in materia di cambiamenti climatici</w:t>
      </w:r>
    </w:p>
    <w:p>
      <w:pPr>
        <w:pStyle w:val="IntrtEEE"/>
        <w:rPr>
          <w:noProof/>
          <w:lang w:val="it-CH"/>
        </w:rPr>
      </w:pPr>
      <w:r>
        <w:rPr>
          <w:noProof/>
          <w:lang w:val="it-CH"/>
        </w:rPr>
        <w:t xml:space="preserve"> (Testo rilevante ai fini del SEE)</w:t>
      </w:r>
    </w:p>
    <w:p>
      <w:pPr>
        <w:pStyle w:val="Institutionquiagit"/>
        <w:rPr>
          <w:noProof/>
          <w:lang w:val="it-CH"/>
        </w:rPr>
      </w:pPr>
      <w:r>
        <w:rPr>
          <w:noProof/>
          <w:lang w:val="it-CH" w:eastAsia="it-IT" w:bidi="it-IT"/>
        </w:rPr>
        <w:t>IL PARLAMENTO EUROPEO E IL CONSIGLIO DELL'UNIONE EUROPEA,</w:t>
      </w:r>
    </w:p>
    <w:p>
      <w:pPr>
        <w:rPr>
          <w:noProof/>
          <w:lang w:val="it-CH" w:eastAsia="it-IT" w:bidi="it-IT"/>
        </w:rPr>
      </w:pPr>
      <w:r>
        <w:rPr>
          <w:noProof/>
          <w:lang w:val="it-CH" w:eastAsia="it-IT" w:bidi="it-IT"/>
        </w:rPr>
        <w:t>visto il trattato sul funzionamento dell'Unione europea, in particolare l'articolo 192, paragrafo 1,</w:t>
      </w:r>
    </w:p>
    <w:p>
      <w:pPr>
        <w:rPr>
          <w:noProof/>
          <w:lang w:val="it-CH" w:eastAsia="it-IT" w:bidi="it-IT"/>
        </w:rPr>
      </w:pPr>
      <w:r>
        <w:rPr>
          <w:noProof/>
          <w:lang w:val="it-CH" w:eastAsia="it-IT" w:bidi="it-IT"/>
        </w:rPr>
        <w:t>vista la proposta della Commissione europea</w:t>
      </w:r>
      <w:r>
        <w:rPr>
          <w:rStyle w:val="FootnoteReference"/>
          <w:noProof/>
          <w:lang w:val="it-CH" w:eastAsia="it-IT" w:bidi="it-IT"/>
        </w:rPr>
        <w:footnoteReference w:id="13"/>
      </w:r>
      <w:r>
        <w:rPr>
          <w:noProof/>
          <w:lang w:val="it-CH" w:eastAsia="it-IT" w:bidi="it-IT"/>
        </w:rPr>
        <w:t>,</w:t>
      </w:r>
    </w:p>
    <w:p>
      <w:pPr>
        <w:rPr>
          <w:noProof/>
          <w:lang w:val="it-CH" w:eastAsia="it-IT" w:bidi="it-IT"/>
        </w:rPr>
      </w:pPr>
      <w:r>
        <w:rPr>
          <w:noProof/>
          <w:lang w:val="it-CH" w:eastAsia="it-IT" w:bidi="it-IT"/>
        </w:rPr>
        <w:t>previa trasmissione del progetto di atto legislativo ai parlamenti nazionali,</w:t>
      </w:r>
    </w:p>
    <w:p>
      <w:pPr>
        <w:rPr>
          <w:noProof/>
          <w:lang w:val="it-CH" w:eastAsia="it-IT" w:bidi="it-IT"/>
        </w:rPr>
      </w:pPr>
      <w:r>
        <w:rPr>
          <w:noProof/>
          <w:lang w:val="it-CH" w:eastAsia="it-IT" w:bidi="it-IT"/>
        </w:rPr>
        <w:t>visto il parere del Comitato economico e sociale europeo</w:t>
      </w:r>
      <w:r>
        <w:rPr>
          <w:rStyle w:val="FootnoteReference"/>
          <w:noProof/>
          <w:lang w:val="it-CH" w:eastAsia="it-IT" w:bidi="it-IT"/>
        </w:rPr>
        <w:footnoteReference w:id="14"/>
      </w:r>
      <w:r>
        <w:rPr>
          <w:noProof/>
          <w:lang w:val="it-CH" w:eastAsia="it-IT" w:bidi="it-IT"/>
        </w:rPr>
        <w:t>,</w:t>
      </w:r>
    </w:p>
    <w:p>
      <w:pPr>
        <w:rPr>
          <w:noProof/>
          <w:lang w:val="it-CH" w:eastAsia="it-IT" w:bidi="it-IT"/>
        </w:rPr>
      </w:pPr>
      <w:r>
        <w:rPr>
          <w:noProof/>
          <w:lang w:val="it-CH" w:eastAsia="it-IT" w:bidi="it-IT"/>
        </w:rPr>
        <w:t>visto il parere del Comitato delle regioni</w:t>
      </w:r>
      <w:r>
        <w:rPr>
          <w:rStyle w:val="FootnoteReference"/>
          <w:noProof/>
          <w:lang w:val="it-CH" w:eastAsia="it-IT" w:bidi="it-IT"/>
        </w:rPr>
        <w:footnoteReference w:id="15"/>
      </w:r>
      <w:r>
        <w:rPr>
          <w:noProof/>
          <w:lang w:val="it-CH" w:eastAsia="it-IT" w:bidi="it-IT"/>
        </w:rPr>
        <w:t xml:space="preserve">, </w:t>
      </w:r>
    </w:p>
    <w:p>
      <w:pPr>
        <w:rPr>
          <w:noProof/>
          <w:lang w:val="it-CH" w:eastAsia="it-IT" w:bidi="it-IT"/>
        </w:rPr>
      </w:pPr>
      <w:r>
        <w:rPr>
          <w:noProof/>
          <w:lang w:val="it-CH" w:eastAsia="it-IT" w:bidi="it-IT"/>
        </w:rPr>
        <w:t>deliberando secondo la procedura legislativa ordinaria,</w:t>
      </w:r>
    </w:p>
    <w:p>
      <w:pPr>
        <w:rPr>
          <w:noProof/>
          <w:lang w:val="it-CH"/>
        </w:rPr>
      </w:pPr>
      <w:r>
        <w:rPr>
          <w:noProof/>
          <w:lang w:eastAsia="it-IT" w:bidi="it-IT"/>
        </w:rPr>
        <w:t>considerando quanto segue:</w:t>
      </w:r>
    </w:p>
    <w:p>
      <w:pPr>
        <w:pStyle w:val="ManualConsidrant"/>
        <w:rPr>
          <w:noProof/>
          <w:lang w:val="it-CH"/>
        </w:rPr>
      </w:pPr>
      <w:r>
        <w:rPr>
          <w:noProof/>
          <w:lang w:val="it-CH"/>
        </w:rPr>
        <w:t>(1)</w:t>
      </w:r>
      <w:r>
        <w:rPr>
          <w:noProof/>
          <w:lang w:val="it-CH"/>
        </w:rPr>
        <w:tab/>
      </w:r>
      <w:r>
        <w:rPr>
          <w:noProof/>
          <w:lang w:val="it-CH" w:eastAsia="it-IT" w:bidi="it-IT"/>
        </w:rPr>
        <w:t>Un obiettivo vincolante di riduzione delle emissioni di gas a effetto serra in tutti i settori dell'economia dell'Unione di almeno il 40% entro il 2030 rispetto ai livelli del 1990 è stato approvato nelle conclusioni del Consiglio europeo del 23 e 24 ottobre 2014 sul quadro 2030 per le politiche dell'energia e del clima e ribadito nella sessione del marzo 2016. Il Consiglio "Ambiente" del 6 marzo 2015 ha formalmente approvato suddetto obiettivo quale contributo previsto determinato a livello nazionale dell'Unione e dei suoi Stati membri.</w:t>
      </w:r>
    </w:p>
    <w:p>
      <w:pPr>
        <w:pStyle w:val="ManualConsidrant"/>
        <w:rPr>
          <w:noProof/>
          <w:lang w:val="it-CH"/>
        </w:rPr>
      </w:pPr>
      <w:r>
        <w:rPr>
          <w:noProof/>
          <w:lang w:val="it-CH"/>
        </w:rPr>
        <w:t>(2)</w:t>
      </w:r>
      <w:r>
        <w:rPr>
          <w:noProof/>
          <w:lang w:val="it-CH"/>
        </w:rPr>
        <w:tab/>
      </w:r>
      <w:r>
        <w:rPr>
          <w:noProof/>
          <w:lang w:val="it-CH" w:eastAsia="it-IT" w:bidi="it-IT"/>
        </w:rPr>
        <w:t xml:space="preserve">In base alle conclusioni del Consiglio europeo dell'ottobre 2014, l'obiettivo dovrà essere raggiunto collettivamente dall'Unione nel modo più efficace possibile in termini di costi, mediante riduzioni da realizzare entro il 2030 sia nei settori che rientrano nel sistema di scambio di quote di emissioni (ETS) sia negli altri settori, pari rispettivamente, al 43% e al 30% rispetto al 2005, ripartendo lo sforzo in base al prodotto interno lordo (PIL) pro capite. È opportuno che tutti i settori dell'economia contribuiscano a realizzare tali riduzioni e tutti gli Stati membri partecipino a questo sforzo in uno spirito di equilibrio fra equità e solidarietà e che gli obiettivi nazionali </w:t>
      </w:r>
      <w:r>
        <w:rPr>
          <w:noProof/>
          <w:lang w:val="it-CH" w:eastAsia="it-IT" w:bidi="it-IT"/>
        </w:rPr>
        <w:lastRenderedPageBreak/>
        <w:t>per gli Stati membri con un PIL pro capite superiore alla media dell'Unione siano adeguati di conseguenza affinché il principio dell'efficacia rispetto ai costi sia applicato in modo equo ed equilibrato. Il conseguimento di queste riduzioni di gas a effetto serra nelle suddette proporzioni dovrebbe incentivare l'efficienza e l'innovazione nell'economia europea, in special modo promuovendo miglioramenti nell'edilizia, nell'agricoltura, nella gestione dei rifiuti e nei trasporti, nella misura in cui rientrano nel campo di applicazione del presente regolamento.</w:t>
      </w:r>
    </w:p>
    <w:p>
      <w:pPr>
        <w:pStyle w:val="ManualConsidrant"/>
        <w:rPr>
          <w:noProof/>
          <w:lang w:val="it-CH"/>
        </w:rPr>
      </w:pPr>
      <w:r>
        <w:rPr>
          <w:noProof/>
          <w:lang w:val="it-CH"/>
        </w:rPr>
        <w:t>(3)</w:t>
      </w:r>
      <w:r>
        <w:rPr>
          <w:noProof/>
          <w:lang w:val="it-CH"/>
        </w:rPr>
        <w:tab/>
      </w:r>
      <w:r>
        <w:rPr>
          <w:noProof/>
          <w:lang w:val="it-CH" w:eastAsia="it-IT" w:bidi="it-IT"/>
        </w:rPr>
        <w:t>Il 10 giugno 2016 la Commissione ha presentato la proposta di ratifica dell'accordo di Parigi da parte dell'Unione. La presente proposta legislativa è uno degli strumenti d'attuazione dell'impegno preso dall'Unione sottoscrivendo l'accordo di Parigi. L'impegno dell'Unione di ridurre le emissioni in tutti i settori dell'economia è stato confermato dal contributo previsto, determinato a livello nazionale, che l'Unione e i suoi Stati membri hanno presentato al segretariato della Convenzione quadro delle Nazioni Unite sui cambiamenti climatici il 6 marzo 2015.</w:t>
      </w:r>
      <w:r>
        <w:rPr>
          <w:noProof/>
          <w:lang w:val="it-CH"/>
        </w:rPr>
        <w:t xml:space="preserve"> </w:t>
      </w:r>
    </w:p>
    <w:p>
      <w:pPr>
        <w:pStyle w:val="ManualConsidrant"/>
        <w:rPr>
          <w:noProof/>
          <w:lang w:val="it-CH"/>
        </w:rPr>
      </w:pPr>
      <w:r>
        <w:rPr>
          <w:noProof/>
          <w:lang w:val="it-CH"/>
        </w:rPr>
        <w:t>(4)</w:t>
      </w:r>
      <w:r>
        <w:rPr>
          <w:noProof/>
          <w:lang w:val="it-CH"/>
        </w:rPr>
        <w:tab/>
      </w:r>
      <w:r>
        <w:rPr>
          <w:noProof/>
          <w:lang w:val="it-CH" w:eastAsia="it-IT" w:bidi="it-IT"/>
        </w:rPr>
        <w:t>L'accordo di Parigi si sostituisce all'approccio adottato nell'ambito del protocollo di Kyoto del 1997, che non sarà più d'applicazione dopo il 2020.</w:t>
      </w:r>
    </w:p>
    <w:p>
      <w:pPr>
        <w:pStyle w:val="ManualConsidrant"/>
        <w:rPr>
          <w:noProof/>
          <w:lang w:val="it-CH"/>
        </w:rPr>
      </w:pPr>
      <w:r>
        <w:rPr>
          <w:noProof/>
          <w:lang w:val="it-CH"/>
        </w:rPr>
        <w:t>(5)</w:t>
      </w:r>
      <w:r>
        <w:rPr>
          <w:noProof/>
          <w:lang w:val="it-CH"/>
        </w:rPr>
        <w:tab/>
      </w:r>
      <w:r>
        <w:rPr>
          <w:noProof/>
          <w:lang w:val="it-CH" w:eastAsia="it-IT" w:bidi="it-IT"/>
        </w:rPr>
        <w:t>Per realizzare la transizione verso l'energia pulita occorre modificare i comportamenti d'investimento e offrire nuovi incentivi nell'intero spettro delle politiche. Per l'Unione è di primaria importanza la creazione di un'Unione dell'energia resiliente capace di garantire un approvvigionamento energetico sicuro, sostenibile, competitivo e a prezzi ragionevoli ai propri cittadini. Per raggiungere questo obiettivo sarà necessario proseguire con azioni ambiziose per il clima mediante il presente regolamento e compiere progressi riguardo ad altri aspetti dell'Unione dell'energia, come indicato nella strategia quadro per un'Unione dell'energia resiliente con politiche lungimiranti in materia di cambiamenti climatici</w:t>
      </w:r>
      <w:r>
        <w:rPr>
          <w:rStyle w:val="FootnoteReference"/>
          <w:noProof/>
          <w:lang w:val="it-CH" w:eastAsia="it-IT" w:bidi="it-IT"/>
        </w:rPr>
        <w:footnoteReference w:id="16"/>
      </w:r>
      <w:r>
        <w:rPr>
          <w:noProof/>
          <w:lang w:val="it-CH" w:eastAsia="it-IT" w:bidi="it-IT"/>
        </w:rPr>
        <w:t>.</w:t>
      </w:r>
    </w:p>
    <w:p>
      <w:pPr>
        <w:pStyle w:val="ManualConsidrant"/>
        <w:rPr>
          <w:noProof/>
          <w:lang w:val="it-CH"/>
        </w:rPr>
      </w:pPr>
      <w:r>
        <w:rPr>
          <w:noProof/>
          <w:lang w:val="it-CH"/>
        </w:rPr>
        <w:t>(6)</w:t>
      </w:r>
      <w:r>
        <w:rPr>
          <w:noProof/>
          <w:lang w:val="it-CH"/>
        </w:rPr>
        <w:tab/>
      </w:r>
      <w:r>
        <w:rPr>
          <w:noProof/>
          <w:lang w:val="it-CH" w:eastAsia="it-IT" w:bidi="it-IT"/>
        </w:rPr>
        <w:t>Il presente regolamento si applica alle emissioni delle categorie di fonti individuate dal gruppo intergovernativo di esperti sul cambiamento climatico (IPCC), ossia energia, processi industriali e uso dei prodotti, agricoltura e rifiuti, determinate ai sensi del regolamento (UE) n. 525/2013 del Parlamento europeo e del Consiglio</w:t>
      </w:r>
      <w:r>
        <w:rPr>
          <w:rStyle w:val="FootnoteReference"/>
          <w:noProof/>
          <w:lang w:val="it-CH" w:eastAsia="it-IT" w:bidi="it-IT"/>
        </w:rPr>
        <w:footnoteReference w:id="17"/>
      </w:r>
      <w:r>
        <w:rPr>
          <w:noProof/>
          <w:lang w:val="it-CH" w:eastAsia="it-IT" w:bidi="it-IT"/>
        </w:rPr>
        <w:t>, fatta eccezione per le emissioni provenienti dalle attività di cui all'allegato I della direttiva 2003/87/CE del Parlamento europeo e del Consiglio</w:t>
      </w:r>
      <w:r>
        <w:rPr>
          <w:rStyle w:val="FootnoteReference"/>
          <w:noProof/>
          <w:lang w:val="it-CH" w:eastAsia="it-IT" w:bidi="it-IT"/>
        </w:rPr>
        <w:footnoteReference w:id="18"/>
      </w:r>
      <w:r>
        <w:rPr>
          <w:noProof/>
          <w:lang w:val="it-CH" w:eastAsia="it-IT" w:bidi="it-IT"/>
        </w:rPr>
        <w:t>. Il presente regolamento non si applica alle attività contemplate dal regolamento [</w:t>
      </w:r>
      <w:r>
        <w:rPr>
          <w:noProof/>
          <w:lang w:val="it-CH"/>
        </w:rPr>
        <w:t xml:space="preserve">           </w:t>
      </w:r>
      <w:r>
        <w:rPr>
          <w:noProof/>
          <w:lang w:val="it-CH" w:eastAsia="it-IT" w:bidi="it-IT"/>
        </w:rPr>
        <w:t>] [relativo all'inclusione delle emissioni e degli assorbimenti di gas a effetto serra risultanti dall'uso del suolo, dai cambiamenti di uso del suolo e dalla silvicoltura nel quadro 2030 per il clima e l'energia].</w:t>
      </w:r>
    </w:p>
    <w:p>
      <w:pPr>
        <w:pStyle w:val="ManualConsidrant"/>
        <w:rPr>
          <w:noProof/>
          <w:lang w:val="it-CH"/>
        </w:rPr>
      </w:pPr>
      <w:r>
        <w:rPr>
          <w:noProof/>
          <w:lang w:val="it-CH"/>
        </w:rPr>
        <w:t>(7)</w:t>
      </w:r>
      <w:r>
        <w:rPr>
          <w:noProof/>
          <w:lang w:val="it-CH"/>
        </w:rPr>
        <w:tab/>
      </w:r>
      <w:r>
        <w:rPr>
          <w:noProof/>
          <w:lang w:val="it-CH" w:eastAsia="it-IT" w:bidi="it-IT"/>
        </w:rPr>
        <w:t>I dati attualmente contenuti negli inventari nazionali dei gas a effetto serra, nei registri nazionali e nel registro dell'Unione non sono sufficienti a determinare, a livello di singolo Stato membro, le emissioni di CO</w:t>
      </w:r>
      <w:r>
        <w:rPr>
          <w:noProof/>
          <w:vertAlign w:val="subscript"/>
          <w:lang w:val="it-CH" w:eastAsia="it-IT" w:bidi="it-IT"/>
        </w:rPr>
        <w:t>2</w:t>
      </w:r>
      <w:r>
        <w:rPr>
          <w:noProof/>
          <w:lang w:val="it-CH" w:eastAsia="it-IT" w:bidi="it-IT"/>
        </w:rPr>
        <w:t xml:space="preserve"> prodotte dal settore del trasporto aereo a livello nazionale che non sono disciplinate dalla direttiva 2003/87/CE. Nell'adottare gli </w:t>
      </w:r>
      <w:r>
        <w:rPr>
          <w:noProof/>
          <w:lang w:val="it-CH" w:eastAsia="it-IT" w:bidi="it-IT"/>
        </w:rPr>
        <w:lastRenderedPageBreak/>
        <w:t>obblighi di comunicazione, l'Unione non dovrebbe imporre agli Stati membri e alle piccole e medie imprese (PMI) oneri sproporzionati rispetto agli obiettivi perseguiti. Poiché le emissioni di CO</w:t>
      </w:r>
      <w:r>
        <w:rPr>
          <w:noProof/>
          <w:vertAlign w:val="subscript"/>
          <w:lang w:val="it-CH" w:eastAsia="it-IT" w:bidi="it-IT"/>
        </w:rPr>
        <w:t>2</w:t>
      </w:r>
      <w:r>
        <w:rPr>
          <w:noProof/>
          <w:lang w:val="it-CH" w:eastAsia="it-IT" w:bidi="it-IT"/>
        </w:rPr>
        <w:t xml:space="preserve"> prodotte dai voli non disciplinati dalla direttiva 2003/87/CE costituiscono soltanto un'esigua parte delle emissioni totali di gas a effetto serra, subordinarle a obblighi di comunicazione sarebbe ingiustificatamente oneroso alla luce degli attuali obblighi imposti al settore in generale dalla direttiva 2003/87/CE. È pertanto opportuno che ai fini del presente regolamento le emissioni di CO</w:t>
      </w:r>
      <w:r>
        <w:rPr>
          <w:noProof/>
          <w:vertAlign w:val="subscript"/>
          <w:lang w:val="it-CH" w:eastAsia="it-IT" w:bidi="it-IT"/>
        </w:rPr>
        <w:t>2</w:t>
      </w:r>
      <w:r>
        <w:rPr>
          <w:noProof/>
          <w:lang w:val="it-CH" w:eastAsia="it-IT" w:bidi="it-IT"/>
        </w:rPr>
        <w:t xml:space="preserve"> risultanti da fonti di categoria IPCC "1.A.3.A trasporto aereo" siano considerate pari a zero.</w:t>
      </w:r>
    </w:p>
    <w:p>
      <w:pPr>
        <w:pStyle w:val="ManualConsidrant"/>
        <w:rPr>
          <w:noProof/>
          <w:lang w:val="it-CH"/>
        </w:rPr>
      </w:pPr>
      <w:r>
        <w:rPr>
          <w:noProof/>
          <w:lang w:val="it-CH"/>
        </w:rPr>
        <w:t>(8)</w:t>
      </w:r>
      <w:r>
        <w:rPr>
          <w:noProof/>
          <w:lang w:val="it-CH"/>
        </w:rPr>
        <w:tab/>
      </w:r>
      <w:r>
        <w:rPr>
          <w:noProof/>
          <w:lang w:val="it-CH" w:eastAsia="it-IT" w:bidi="it-IT"/>
        </w:rPr>
        <w:t>È auspicabile che la riduzione che ciascuno Stato membro deve effettuare per raggiungere il livello stabilito per il 2030 sia determinata rispetto ai livelli delle sue emissioni riesaminate di gas a effetto serra del 2005 contemplate dal presente regolamento, tranne le emissioni verificate prodotte da impianti in esercizio nel 2005 ma inclusi nell'ETS UE successivamente. Le assegnazioni annuali di emissioni per il periodo dal 2021 al 2030 dovrebbero essere determinate sulla base dei dati presentati dagli Stati membri e riesaminati dalla Commissione.</w:t>
      </w:r>
    </w:p>
    <w:p>
      <w:pPr>
        <w:pStyle w:val="ManualConsidrant"/>
        <w:rPr>
          <w:noProof/>
          <w:szCs w:val="24"/>
          <w:lang w:val="it-CH"/>
        </w:rPr>
      </w:pPr>
      <w:r>
        <w:rPr>
          <w:noProof/>
          <w:lang w:val="it-CH"/>
        </w:rPr>
        <w:t>(9)</w:t>
      </w:r>
      <w:r>
        <w:rPr>
          <w:noProof/>
          <w:lang w:val="it-CH"/>
        </w:rPr>
        <w:tab/>
      </w:r>
      <w:r>
        <w:rPr>
          <w:noProof/>
          <w:lang w:val="it-CH" w:eastAsia="it-IT" w:bidi="it-IT"/>
        </w:rPr>
        <w:t>L'approccio adottato nella decisione n. 406/2009/CE del Parlamento europeo e del Consiglio</w:t>
      </w:r>
      <w:r>
        <w:rPr>
          <w:rStyle w:val="FootnoteReference"/>
          <w:noProof/>
          <w:lang w:val="it-CH" w:eastAsia="it-IT" w:bidi="it-IT"/>
        </w:rPr>
        <w:footnoteReference w:id="19"/>
      </w:r>
      <w:r>
        <w:rPr>
          <w:noProof/>
          <w:lang w:val="it-CH" w:eastAsia="it-IT" w:bidi="it-IT"/>
        </w:rPr>
        <w:t>, che fissa per ciascuno Stato membro un limite annuale vincolante, dovrebbe continuare a essere utilizzato anche nel periodo 2021-2030, impostando una traiettoria che inizia nel 2020 al livello delle sue emissioni medie di gas serra nel periodo 2016-2018 e termina nel 2030 per ciascun Stato membro. È previsto un adeguamento dell'assegnazione 2021 per gli Stati membri con un limite positivo a norma della decisione n. 406/2009/CE e un aumento delle assegnazioni annue di emissioni tra il 2017 e il 2020 stabilito ai sensi delle decisioni. 2013/162/UE e 2013/634/UE, per rispecchiare la capacità di aumento delle emissioni in quel periodo. Il Consiglio europeo ha concluso che la disponibilità e l'impiego degli attuali strumenti di flessibilità nei settori non coperti dal sistema ETS dovrebbero essere rafforzati in misura significativa per garantire l'efficacia in termini di costi dello sforzo collettivo dell'Unione e la convergenza delle emissioni pro capite entro il 2030.</w:t>
      </w:r>
      <w:r>
        <w:rPr>
          <w:noProof/>
          <w:lang w:val="it-CH"/>
        </w:rPr>
        <w:t xml:space="preserve"> </w:t>
      </w:r>
    </w:p>
    <w:p>
      <w:pPr>
        <w:pStyle w:val="ManualConsidrant"/>
        <w:rPr>
          <w:noProof/>
          <w:szCs w:val="24"/>
          <w:lang w:val="it-CH"/>
        </w:rPr>
      </w:pPr>
      <w:r>
        <w:rPr>
          <w:noProof/>
          <w:lang w:val="it-CH"/>
        </w:rPr>
        <w:t>(10)</w:t>
      </w:r>
      <w:r>
        <w:rPr>
          <w:noProof/>
          <w:lang w:val="it-CH"/>
        </w:rPr>
        <w:tab/>
      </w:r>
      <w:r>
        <w:rPr>
          <w:noProof/>
          <w:lang w:val="it-CH" w:eastAsia="it-IT" w:bidi="it-IT"/>
        </w:rPr>
        <w:t>È introdotto un nuovo strumento di flessibilità una tantum con cui s'intende agevolare il conseguimento degli obiettivi per gli Stati membri aventi obiettivi nazionali di riduzione notevolmente superiori sia alla media dell'Unione sia al loro potenziale di riduzione realizzabile in modo efficace in termini di costi, nonché per gli Stati membri che nel 2013 non hanno assegnato quote gratuite agli impianti industriali, come illustrato nella valutazione d'impatto</w:t>
      </w:r>
      <w:r>
        <w:rPr>
          <w:rStyle w:val="FootnoteReference"/>
          <w:noProof/>
          <w:lang w:val="it-CH" w:eastAsia="it-IT" w:bidi="it-IT"/>
        </w:rPr>
        <w:footnoteReference w:id="20"/>
      </w:r>
      <w:r>
        <w:rPr>
          <w:noProof/>
          <w:lang w:val="it-CH" w:eastAsia="it-IT" w:bidi="it-IT"/>
        </w:rPr>
        <w:t>.</w:t>
      </w:r>
    </w:p>
    <w:p>
      <w:pPr>
        <w:pStyle w:val="ManualConsidrant"/>
        <w:rPr>
          <w:noProof/>
          <w:lang w:val="it-CH"/>
        </w:rPr>
      </w:pPr>
      <w:r>
        <w:rPr>
          <w:noProof/>
          <w:lang w:val="it-CH"/>
        </w:rPr>
        <w:t>(11)</w:t>
      </w:r>
      <w:r>
        <w:rPr>
          <w:noProof/>
          <w:lang w:val="it-CH"/>
        </w:rPr>
        <w:tab/>
      </w:r>
      <w:r>
        <w:rPr>
          <w:noProof/>
          <w:lang w:val="it-CH" w:eastAsia="it-IT" w:bidi="it-IT"/>
        </w:rPr>
        <w:t>Una serie di misure dell'Unione rafforza la capacità degli Stati membri di rispettare gli impegni assunti sul fronte del clima ed è determinante per conseguire le necessarie riduzioni delle emissioni nei settori disciplinati dal presente regolamento. Si tratta in particolare della legislazione in materia di gas fluorurati a effetto serra, riduzione delle emissioni di CO</w:t>
      </w:r>
      <w:r>
        <w:rPr>
          <w:noProof/>
          <w:vertAlign w:val="subscript"/>
          <w:lang w:val="it-CH" w:eastAsia="it-IT" w:bidi="it-IT"/>
        </w:rPr>
        <w:t>2</w:t>
      </w:r>
      <w:r>
        <w:rPr>
          <w:noProof/>
          <w:lang w:val="it-CH" w:eastAsia="it-IT" w:bidi="it-IT"/>
        </w:rPr>
        <w:t xml:space="preserve"> dei veicoli stradali, prestazione energetica dell'edilizia, fonti rinnovabili di energia, efficienza energetica ed economia circolare, nonché degli strumenti unionali di finanziamento destinati a investimenti nel settore del clima.</w:t>
      </w:r>
    </w:p>
    <w:p>
      <w:pPr>
        <w:pStyle w:val="ManualConsidrant"/>
        <w:rPr>
          <w:noProof/>
          <w:lang w:val="it-CH"/>
        </w:rPr>
      </w:pPr>
      <w:r>
        <w:rPr>
          <w:noProof/>
          <w:lang w:val="it-CH"/>
        </w:rPr>
        <w:lastRenderedPageBreak/>
        <w:t>(12)</w:t>
      </w:r>
      <w:r>
        <w:rPr>
          <w:noProof/>
          <w:lang w:val="it-CH"/>
        </w:rPr>
        <w:tab/>
      </w:r>
      <w:r>
        <w:rPr>
          <w:noProof/>
          <w:lang w:val="it-CH" w:eastAsia="it-IT" w:bidi="it-IT"/>
        </w:rPr>
        <w:t>Il regolamento [</w:t>
      </w:r>
      <w:r>
        <w:rPr>
          <w:noProof/>
          <w:lang w:val="it-CH"/>
        </w:rPr>
        <w:t xml:space="preserve">           </w:t>
      </w:r>
      <w:r>
        <w:rPr>
          <w:noProof/>
          <w:lang w:val="it-CH" w:eastAsia="it-IT" w:bidi="it-IT"/>
        </w:rPr>
        <w:t>] [relativo all'inclusione delle emissioni e degli assorbimenti di gas a effetto serra risultanti dall'uso del suolo, dai cambiamenti di uso del suolo e dalla silvicoltura nel quadro 2030 per le politiche del clima e dell'energia] stabilisce le norme di contabilizzazione delle emissioni e degli assorbimenti dei gas a effetto serra derivanti dall'uso del suolo, dai cambiamenti di uso del suolo e dalla silvicoltura (LULUCF). Dato che il risultato ambientale per cui è inteso il presente regolamento, ossia la riduzione dei livelli di emissioni di gas a effetto serra, varia se si tiene conto degli assorbimenti e delle emissioni, fino a una quantità pari alla somma del loro totale netto, risultanti da terreni disboscati, terreni imboschiti, terre coltivate gestite e pascoli gestiti ai termini del regolamento [</w:t>
      </w:r>
      <w:r>
        <w:rPr>
          <w:noProof/>
          <w:lang w:val="it-CH"/>
        </w:rPr>
        <w:t xml:space="preserve">       </w:t>
      </w:r>
      <w:r>
        <w:rPr>
          <w:noProof/>
          <w:lang w:val="it-CH" w:eastAsia="it-IT" w:bidi="it-IT"/>
        </w:rPr>
        <w:t>], si dovrebbe offrire agli Stati membri un'ulteriore possibilità di onorare i propri impegni, se necessario, introducendo uno strumento di flessibilità che consenta di tenere conto della quantità massima di 280 milioni di tonnellate di CO</w:t>
      </w:r>
      <w:r>
        <w:rPr>
          <w:noProof/>
          <w:vertAlign w:val="subscript"/>
          <w:lang w:val="it-CH" w:eastAsia="it-IT" w:bidi="it-IT"/>
        </w:rPr>
        <w:t>2</w:t>
      </w:r>
      <w:r>
        <w:rPr>
          <w:noProof/>
          <w:lang w:val="it-CH" w:eastAsia="it-IT" w:bidi="it-IT"/>
        </w:rPr>
        <w:t xml:space="preserve"> equivalente di tali assorbimenti, suddivisa tra gli Stati membri in base ai valori di cui all'allegato III. Quando l'atto delegato per aggiornare i livelli di riferimento per le foreste sulla base dei piani nazionali di contabilizzazione forestale a norma dell'articolo 8, paragrafo 6, del regolamento [LULUCF] è adottato, il potere di adottare atti conformemente all'articolo 290 del trattato sul funzionamento dell'Unione europea dovrebbe, in relazione all'articolo 7, essere delegato alla Commissione per rispecchiare un contributo della categoria contabile dei terreni forestali gestiti nella flessibilità prevista da tale articolo. Prima di adottare atti delegati di questo tipo, la Commissione dovrebbe valutare la validità della contabilità per i terreni forestali gestiti rispetto ai dati disponibili, in particolare la coerenza tra i tassi di utilizzazione previsti e quelli effettivi. Il presente regolamento dovrebbe inoltre dare facoltà agli Stati membri di eliminare volontariamente determinate quantità di emissioni annuali assegnategli affinché siano prese in considerazione in sede di valutazione della conformità degli Stati membri agli obblighi del regolamento [</w:t>
      </w:r>
      <w:r>
        <w:rPr>
          <w:noProof/>
          <w:lang w:val="it-CH"/>
        </w:rPr>
        <w:t xml:space="preserve">      </w:t>
      </w:r>
      <w:r>
        <w:rPr>
          <w:noProof/>
          <w:lang w:val="it-CH" w:eastAsia="it-IT" w:bidi="it-IT"/>
        </w:rPr>
        <w:t>].</w:t>
      </w:r>
    </w:p>
    <w:p>
      <w:pPr>
        <w:pStyle w:val="ManualConsidrant"/>
        <w:rPr>
          <w:noProof/>
          <w:lang w:val="it-CH"/>
        </w:rPr>
      </w:pPr>
      <w:r>
        <w:rPr>
          <w:noProof/>
          <w:lang w:val="it-CH"/>
        </w:rPr>
        <w:t>(13)</w:t>
      </w:r>
      <w:r>
        <w:rPr>
          <w:noProof/>
          <w:lang w:val="it-CH"/>
        </w:rPr>
        <w:tab/>
      </w:r>
      <w:r>
        <w:rPr>
          <w:noProof/>
          <w:lang w:val="it-CH" w:eastAsia="it-IT" w:bidi="it-IT"/>
        </w:rPr>
        <w:t>Per garantire che la comunicazione e la verifica delle emissioni di gas a effetto serra e di altre informazioni necessarie a valutare l'andamento delle assegnazioni annuali delle emissioni degli Stati membri avvengano all'insegna dell'efficienza, della trasparenza e dell'efficacia dei costi, gli obblighi di comunicazione e di valutazione annuali a norma del presente regolamento sono integrati con i pertinenti articoli del regolamento (UE) n. 525/2013, che dovrebbe pertanto essere modificato di conseguenza. La modifica del suddetto regolamento dovrebbe anche garantire che i progressi realizzati dagli Stati membri nel ridurre le emissioni continuino a essere valutati ogni anno, tenendo conto dell'evoluzione delle politiche e delle misure dell'Unione, nonché delle informazioni trasmesse dagli Stati membri. Ogni due anni la valutazione dovrebbe vertere anche sulle proiezioni dei progressi dell'Unione attesi per tenere fede agli impegni di riduzione e dagli Stati membri per adempiere gli obblighi ad essi incombenti. L'applicazione delle deduzioni dovrebbe tuttavia essere presa in considerazione soltanto ogni cinque anni, in modo da tenere conto del contributo potenziale dei terreni disboscati, dei terreni imboschiti, delle terre coltivate gestite e dei pascoli gestiti a norma del regolamento [</w:t>
      </w:r>
      <w:r>
        <w:rPr>
          <w:noProof/>
          <w:lang w:val="it-CH"/>
        </w:rPr>
        <w:t xml:space="preserve">           </w:t>
      </w:r>
      <w:r>
        <w:rPr>
          <w:noProof/>
          <w:lang w:val="it-CH" w:eastAsia="it-IT" w:bidi="it-IT"/>
        </w:rPr>
        <w:t>]. Ciò non pregiudica l'obbligo della Commissione di garantire il rispetto degli obblighi degli Stati membri derivanti dal presente regolamento o il potere della Commissione di avviare procedimenti di infrazione a tal fine.</w:t>
      </w:r>
      <w:r>
        <w:rPr>
          <w:noProof/>
          <w:lang w:val="it-CH"/>
        </w:rPr>
        <w:t xml:space="preserve"> </w:t>
      </w:r>
    </w:p>
    <w:p>
      <w:pPr>
        <w:pStyle w:val="ManualConsidrant"/>
        <w:rPr>
          <w:noProof/>
          <w:lang w:val="it-CH"/>
        </w:rPr>
      </w:pPr>
      <w:r>
        <w:rPr>
          <w:noProof/>
          <w:lang w:val="it-CH"/>
        </w:rPr>
        <w:t>(14)</w:t>
      </w:r>
      <w:r>
        <w:rPr>
          <w:noProof/>
          <w:lang w:val="it-CH"/>
        </w:rPr>
        <w:tab/>
      </w:r>
      <w:r>
        <w:rPr>
          <w:noProof/>
          <w:lang w:val="it-CH" w:eastAsia="it-IT" w:bidi="it-IT"/>
        </w:rPr>
        <w:t xml:space="preserve">Per potenziare l'efficacia globale rispetto ai costi delle riduzione totali, gli Stati membri dovrebbero poter trasferire ad altri Stati membri parte della loro </w:t>
      </w:r>
      <w:r>
        <w:rPr>
          <w:noProof/>
          <w:lang w:val="it-CH" w:eastAsia="it-IT" w:bidi="it-IT"/>
        </w:rPr>
        <w:lastRenderedPageBreak/>
        <w:t>assegnazione annuale di emissioni. È opportuno garantire che tali trasferimenti siano effettuati in totale trasparenza, ad esempio con modalità reciprocamente concordate come la vendita all'asta, il ricorso a intermediari del mercato operanti a titolo di agenti o accordi bilaterali.</w:t>
      </w:r>
    </w:p>
    <w:p>
      <w:pPr>
        <w:pStyle w:val="ManualConsidrant"/>
        <w:rPr>
          <w:noProof/>
          <w:lang w:val="it-CH"/>
        </w:rPr>
      </w:pPr>
      <w:r>
        <w:rPr>
          <w:noProof/>
          <w:lang w:val="it-CH"/>
        </w:rPr>
        <w:t>(15)</w:t>
      </w:r>
      <w:r>
        <w:rPr>
          <w:noProof/>
          <w:lang w:val="it-CH"/>
        </w:rPr>
        <w:tab/>
      </w:r>
      <w:r>
        <w:rPr>
          <w:noProof/>
          <w:lang w:val="it-CH" w:eastAsia="it-IT" w:bidi="it-IT"/>
        </w:rPr>
        <w:t>Il compito dell'Agenzia europea dell'ambiente è promuovere lo sviluppo sostenibile e contribuire a un miglioramento significativo e misurabile dell'ambiente in Europa, fornendo informazioni tempestive, mirate, pertinenti e attendibili ai responsabili delle politiche, alle istituzioni pubbliche e ai cittadini. L'Agenzia europea dell'ambiente dovrebbe assistere la Commissione, laddove necessario, in linea con il suo programma di lavoro annuale.</w:t>
      </w:r>
    </w:p>
    <w:p>
      <w:pPr>
        <w:pStyle w:val="ManualConsidrant"/>
        <w:rPr>
          <w:noProof/>
          <w:lang w:val="it-CH"/>
        </w:rPr>
      </w:pPr>
      <w:r>
        <w:rPr>
          <w:noProof/>
          <w:lang w:val="it-CH"/>
        </w:rPr>
        <w:t>(16)</w:t>
      </w:r>
      <w:r>
        <w:rPr>
          <w:noProof/>
          <w:lang w:val="it-CH"/>
        </w:rPr>
        <w:tab/>
      </w:r>
      <w:r>
        <w:rPr>
          <w:noProof/>
          <w:lang w:val="it-CH" w:eastAsia="it-IT" w:bidi="it-IT"/>
        </w:rPr>
        <w:t>Al fine di garantire la corretta contabilizzazione delle transazioni effettuate a norma del presente regolamento, compreso il ricorso agli strumenti di flessibilità e l'applicazione dei controlli di conformità, è opportuno, riguardo all'articolo 11, delegare alla Commissione il potere di adottare atti conformemente all'articolo 290 del trattato sul funzionamento dell'Unione europea. Le disposizioni necessarie dovrebbero essere contenute in uno strumento unico che combini le disposizioni contabili a norma della direttiva 2003/87/CE, del regolamento (UE) n. 525/2013, del regolamento [</w:t>
      </w:r>
      <w:r>
        <w:rPr>
          <w:rFonts w:eastAsia="Times New Roman"/>
          <w:noProof/>
          <w:szCs w:val="24"/>
          <w:lang w:val="it-CH" w:eastAsia="en-GB"/>
        </w:rPr>
        <w:t xml:space="preserve">     </w:t>
      </w:r>
      <w:r>
        <w:rPr>
          <w:noProof/>
          <w:lang w:val="it-CH" w:eastAsia="it-IT" w:bidi="it-IT"/>
        </w:rPr>
        <w:t>] e del presente regolamento. È di particolare importanza che durante i lavori preparatori la Commissione svolga adeguate consultazioni, anche a livello di esperti, nel rispetto dei principi stabiliti nell'accordo interistituzionale "Legiferare meglio" del 13 aprile 2016. In particolare, al fine di garantire un'equa partecipazione alla preparazione degli atti delegati, il Parlamento europeo e il Consiglio ricevono tutti i documenti contemporaneamente agli esperti degli Stati membri, e i loro esperti hanno sistematicamente accesso alle riunioni dei gruppi di esperti della Commissione incaricati della preparazione di tali atti delegati.</w:t>
      </w:r>
      <w:r>
        <w:rPr>
          <w:noProof/>
          <w:lang w:val="it-CH" w:eastAsia="en-GB"/>
        </w:rPr>
        <w:t xml:space="preserve"> </w:t>
      </w:r>
    </w:p>
    <w:p>
      <w:pPr>
        <w:pStyle w:val="ManualConsidrant"/>
        <w:rPr>
          <w:noProof/>
          <w:lang w:val="it-CH"/>
        </w:rPr>
      </w:pPr>
      <w:r>
        <w:rPr>
          <w:noProof/>
          <w:lang w:val="it-CH"/>
        </w:rPr>
        <w:t>(17)</w:t>
      </w:r>
      <w:r>
        <w:rPr>
          <w:noProof/>
          <w:lang w:val="it-CH"/>
        </w:rPr>
        <w:tab/>
      </w:r>
      <w:r>
        <w:rPr>
          <w:noProof/>
          <w:lang w:val="it-CH" w:eastAsia="it-IT" w:bidi="it-IT"/>
        </w:rPr>
        <w:t>È opportuno attribuire alla Commissione competenze di esecuzione al fine di garantire condizioni uniformi di esecuzione dell'articolo 4 in base al quale saranno determinati i limiti annuali di emissioni degli Stati membri. È altresì opportuno che tali competenze siano esercitate conformemente al regolamento (UE) n. 182/2011 del Parlamento europeo e del Consiglio</w:t>
      </w:r>
      <w:r>
        <w:rPr>
          <w:rStyle w:val="FootnoteReference"/>
          <w:noProof/>
          <w:lang w:val="it-CH" w:eastAsia="it-IT" w:bidi="it-IT"/>
        </w:rPr>
        <w:footnoteReference w:id="21"/>
      </w:r>
      <w:r>
        <w:rPr>
          <w:noProof/>
          <w:lang w:val="it-CH" w:eastAsia="it-IT" w:bidi="it-IT"/>
        </w:rPr>
        <w:t>.</w:t>
      </w:r>
    </w:p>
    <w:p>
      <w:pPr>
        <w:pStyle w:val="ManualConsidrant"/>
        <w:rPr>
          <w:noProof/>
          <w:lang w:val="it-CH"/>
        </w:rPr>
      </w:pPr>
      <w:r>
        <w:rPr>
          <w:noProof/>
          <w:lang w:val="it-CH"/>
        </w:rPr>
        <w:t>(18)</w:t>
      </w:r>
      <w:r>
        <w:rPr>
          <w:noProof/>
          <w:lang w:val="it-CH"/>
        </w:rPr>
        <w:tab/>
      </w:r>
      <w:r>
        <w:rPr>
          <w:noProof/>
          <w:lang w:val="it-CH" w:eastAsia="it-IT" w:bidi="it-IT"/>
        </w:rPr>
        <w:t>Il presente regolamento non dovrebbe pregiudicare obiettivi nazionali più rigorosi.</w:t>
      </w:r>
    </w:p>
    <w:p>
      <w:pPr>
        <w:pStyle w:val="ManualConsidrant"/>
        <w:rPr>
          <w:noProof/>
          <w:lang w:val="it-CH"/>
        </w:rPr>
      </w:pPr>
      <w:r>
        <w:rPr>
          <w:noProof/>
          <w:lang w:val="it-CH"/>
        </w:rPr>
        <w:t>(19)</w:t>
      </w:r>
      <w:r>
        <w:rPr>
          <w:noProof/>
          <w:lang w:val="it-CH"/>
        </w:rPr>
        <w:tab/>
      </w:r>
      <w:r>
        <w:rPr>
          <w:noProof/>
          <w:lang w:val="it-CH" w:eastAsia="it-IT" w:bidi="it-IT"/>
        </w:rPr>
        <w:t xml:space="preserve">Qualsiasi adeguamento del campo d'applicazione di cui agli articoli 11, 24, 24 </w:t>
      </w:r>
      <w:r>
        <w:rPr>
          <w:i/>
          <w:noProof/>
          <w:lang w:val="it-CH" w:eastAsia="it-IT" w:bidi="it-IT"/>
        </w:rPr>
        <w:t>bis</w:t>
      </w:r>
      <w:r>
        <w:rPr>
          <w:noProof/>
          <w:lang w:val="it-CH" w:eastAsia="it-IT" w:bidi="it-IT"/>
        </w:rPr>
        <w:t xml:space="preserve"> e 27 della direttiva 2003/87/CE del Parlamento europeo e del Consiglio</w:t>
      </w:r>
      <w:r>
        <w:rPr>
          <w:rStyle w:val="FootnoteReference"/>
          <w:noProof/>
          <w:lang w:val="it-CH" w:eastAsia="it-IT" w:bidi="it-IT"/>
        </w:rPr>
        <w:footnoteReference w:id="22"/>
      </w:r>
      <w:r>
        <w:rPr>
          <w:noProof/>
          <w:lang w:val="it-CH" w:eastAsia="it-IT" w:bidi="it-IT"/>
        </w:rPr>
        <w:t xml:space="preserve"> dovrebbe comportare l'adeguamento corrispondente della quantità massima di emissioni di gas a effetto serra contemplate dal presente regolamento. Di conseguenza, gli Stati membri che includano nei loro impegni a norma del presente regolamento emissioni supplementari relative a impianti precedentemente disciplinati dalla direttiva 2003/87/CE dovrebbero attuare politiche e misure supplementari nei settori contemplati dal presente regolamento al fine di ridurre tali emissioni.</w:t>
      </w:r>
    </w:p>
    <w:p>
      <w:pPr>
        <w:pStyle w:val="ManualConsidrant"/>
        <w:rPr>
          <w:noProof/>
          <w:lang w:val="it-CH"/>
        </w:rPr>
      </w:pPr>
      <w:r>
        <w:rPr>
          <w:noProof/>
          <w:lang w:val="it-CH"/>
        </w:rPr>
        <w:lastRenderedPageBreak/>
        <w:t>(20)</w:t>
      </w:r>
      <w:r>
        <w:rPr>
          <w:noProof/>
          <w:lang w:val="it-CH"/>
        </w:rPr>
        <w:tab/>
      </w:r>
      <w:r>
        <w:rPr>
          <w:noProof/>
          <w:lang w:val="it-CH" w:eastAsia="it-IT" w:bidi="it-IT"/>
        </w:rPr>
        <w:t>Il presente regolamento dovrebbe essere riesaminato nel 2024 e successivamente ogni cinque anni al fine di valutarne il funzionamento generale. Il riesame dovrebbe tener conto dell'evoluzione delle situazioni nazionali e dei risultati del bilancio mondiale dell'accordo di Parigi.</w:t>
      </w:r>
      <w:r>
        <w:rPr>
          <w:noProof/>
          <w:lang w:val="it-CH"/>
        </w:rPr>
        <w:t xml:space="preserve"> </w:t>
      </w:r>
    </w:p>
    <w:p>
      <w:pPr>
        <w:pStyle w:val="ManualConsidrant"/>
        <w:rPr>
          <w:noProof/>
          <w:lang w:val="it-CH"/>
        </w:rPr>
      </w:pPr>
      <w:r>
        <w:rPr>
          <w:noProof/>
          <w:lang w:val="it-CH"/>
        </w:rPr>
        <w:t>(21)</w:t>
      </w:r>
      <w:r>
        <w:rPr>
          <w:noProof/>
          <w:lang w:val="it-CH"/>
        </w:rPr>
        <w:tab/>
      </w:r>
      <w:r>
        <w:rPr>
          <w:noProof/>
          <w:lang w:val="it-CH" w:eastAsia="it-IT" w:bidi="it-IT"/>
        </w:rPr>
        <w:t>Poiché gli obiettivi del presente regolamento non possono essere conseguiti in misura sufficiente dagli Stati membri e possono dunque, a motivo della portata e degli effetti dello stesso, essere conseguiti meglio a livello di Unione, quest'ultima può intervenire in base al principio di sussidiarietà sancito dall'articolo 5 del trattato sull'Unione europea. Il presente regolamento si limita a quanto è necessario per conseguire tali obiettivi in ottemperanza al principio di proporzionalità enunciato nello stesso articolo,</w:t>
      </w:r>
    </w:p>
    <w:p>
      <w:pPr>
        <w:rPr>
          <w:noProof/>
          <w:lang w:val="it-CH"/>
        </w:rPr>
      </w:pPr>
    </w:p>
    <w:p>
      <w:pPr>
        <w:pStyle w:val="Formuledadoption"/>
        <w:rPr>
          <w:noProof/>
          <w:lang w:val="it-CH"/>
        </w:rPr>
      </w:pPr>
      <w:r>
        <w:rPr>
          <w:noProof/>
          <w:lang w:val="it-CH"/>
        </w:rPr>
        <w:t>HANNO ADOTTATO IL PRESENTE REGOLAMENTO:</w:t>
      </w:r>
    </w:p>
    <w:p>
      <w:pPr>
        <w:pStyle w:val="Titrearticle"/>
        <w:rPr>
          <w:noProof/>
          <w:lang w:val="it-CH"/>
        </w:rPr>
      </w:pPr>
      <w:r>
        <w:rPr>
          <w:noProof/>
          <w:lang w:val="it-CH"/>
        </w:rPr>
        <w:t>Articolo 1</w:t>
      </w:r>
    </w:p>
    <w:p>
      <w:pPr>
        <w:pStyle w:val="Titrearticle"/>
        <w:spacing w:before="120"/>
        <w:rPr>
          <w:i w:val="0"/>
          <w:noProof/>
          <w:lang w:val="it-CH"/>
        </w:rPr>
      </w:pPr>
      <w:r>
        <w:rPr>
          <w:b/>
          <w:i w:val="0"/>
          <w:noProof/>
          <w:lang w:val="it-CH" w:eastAsia="it-IT" w:bidi="it-IT"/>
        </w:rPr>
        <w:t>Oggetto</w:t>
      </w:r>
    </w:p>
    <w:p>
      <w:pPr>
        <w:rPr>
          <w:i/>
          <w:noProof/>
          <w:lang w:val="it-CH"/>
        </w:rPr>
      </w:pPr>
      <w:r>
        <w:rPr>
          <w:noProof/>
          <w:lang w:val="it-CH" w:eastAsia="it-IT" w:bidi="it-IT"/>
        </w:rPr>
        <w:t>Il presente regolamento stabilisce gli obblighi relativi ai contributi minimi degli Stati membri all'impegno di riduzione delle emissioni di gas a effetto serra assunto dall'Unione per il periodo compreso tra il 2021 e il 2030, e le norme relative alla determinazione delle assegnazioni annuali di emissioni e alla valutazione dei progressi compiuti dagli Stati membri nell'apporto dei rispettivi contributi minimi.</w:t>
      </w:r>
    </w:p>
    <w:p>
      <w:pPr>
        <w:pStyle w:val="Titrearticle"/>
        <w:rPr>
          <w:noProof/>
          <w:lang w:val="it-CH"/>
        </w:rPr>
      </w:pPr>
      <w:r>
        <w:rPr>
          <w:noProof/>
          <w:lang w:val="it-CH"/>
        </w:rPr>
        <w:t>Articolo 2</w:t>
      </w:r>
    </w:p>
    <w:p>
      <w:pPr>
        <w:pStyle w:val="Titrearticle"/>
        <w:spacing w:before="120"/>
        <w:rPr>
          <w:b/>
          <w:i w:val="0"/>
          <w:noProof/>
          <w:lang w:val="it-CH"/>
        </w:rPr>
      </w:pPr>
      <w:r>
        <w:rPr>
          <w:b/>
          <w:i w:val="0"/>
          <w:noProof/>
          <w:lang w:val="it-CH" w:eastAsia="it-IT" w:bidi="it-IT"/>
        </w:rPr>
        <w:t>Campo di applicazione</w:t>
      </w:r>
    </w:p>
    <w:p>
      <w:pPr>
        <w:pStyle w:val="ManualNumPar1"/>
        <w:rPr>
          <w:noProof/>
          <w:lang w:val="it-CH"/>
        </w:rPr>
      </w:pPr>
      <w:r>
        <w:rPr>
          <w:noProof/>
          <w:lang w:val="it-CH"/>
        </w:rPr>
        <w:t>1.</w:t>
      </w:r>
      <w:r>
        <w:rPr>
          <w:noProof/>
          <w:lang w:val="it-CH"/>
        </w:rPr>
        <w:tab/>
      </w:r>
      <w:r>
        <w:rPr>
          <w:noProof/>
          <w:lang w:val="it-CH" w:eastAsia="it-IT" w:bidi="it-IT"/>
        </w:rPr>
        <w:t>Il presente regolamento si applica alle emissioni di gas a effetto serra delle categorie di fonti IPCC "energia", "processi industriali e uso dei prodotti", "agricoltura" e "rifiuti" determinate ai sensi del regolamento (UE) n. 525/2013, escluse le emissioni risultanti dalle attività di cui all'allegato I della direttiva 2003/87/CE.</w:t>
      </w:r>
      <w:r>
        <w:rPr>
          <w:noProof/>
          <w:lang w:val="it-CH"/>
        </w:rPr>
        <w:t xml:space="preserve"> </w:t>
      </w:r>
    </w:p>
    <w:p>
      <w:pPr>
        <w:pStyle w:val="ManualNumPar1"/>
        <w:rPr>
          <w:noProof/>
          <w:lang w:val="it-CH"/>
        </w:rPr>
      </w:pPr>
      <w:r>
        <w:rPr>
          <w:noProof/>
          <w:lang w:val="it-CH"/>
        </w:rPr>
        <w:t>2.</w:t>
      </w:r>
      <w:r>
        <w:rPr>
          <w:noProof/>
          <w:lang w:val="it-CH"/>
        </w:rPr>
        <w:tab/>
      </w:r>
      <w:r>
        <w:rPr>
          <w:noProof/>
          <w:lang w:val="it-CH" w:eastAsia="it-IT" w:bidi="it-IT"/>
        </w:rPr>
        <w:t>Il presente regolamento non si applica alle emissioni e agli assorbimenti di gas a effetto serra disciplinati dal regolamento [</w:t>
      </w:r>
      <w:r>
        <w:rPr>
          <w:noProof/>
          <w:lang w:val="it-CH"/>
        </w:rPr>
        <w:t xml:space="preserve">           </w:t>
      </w:r>
      <w:r>
        <w:rPr>
          <w:noProof/>
          <w:lang w:val="it-CH" w:eastAsia="it-IT" w:bidi="it-IT"/>
        </w:rPr>
        <w:t>][LULUCF].</w:t>
      </w:r>
      <w:r>
        <w:rPr>
          <w:noProof/>
          <w:lang w:val="it-CH"/>
        </w:rPr>
        <w:t xml:space="preserve"> </w:t>
      </w:r>
    </w:p>
    <w:p>
      <w:pPr>
        <w:pStyle w:val="ManualNumPar1"/>
        <w:rPr>
          <w:noProof/>
          <w:lang w:val="it-CH"/>
        </w:rPr>
      </w:pPr>
      <w:r>
        <w:rPr>
          <w:noProof/>
          <w:lang w:val="it-CH"/>
        </w:rPr>
        <w:t>3.</w:t>
      </w:r>
      <w:r>
        <w:rPr>
          <w:noProof/>
          <w:lang w:val="it-CH"/>
        </w:rPr>
        <w:tab/>
      </w:r>
      <w:r>
        <w:rPr>
          <w:noProof/>
          <w:lang w:val="it-CH" w:eastAsia="it-IT" w:bidi="it-IT"/>
        </w:rPr>
        <w:t>Ai fini del presente regolamento, le emissioni di CO</w:t>
      </w:r>
      <w:r>
        <w:rPr>
          <w:noProof/>
          <w:vertAlign w:val="subscript"/>
          <w:lang w:val="it-CH" w:eastAsia="it-IT" w:bidi="it-IT"/>
        </w:rPr>
        <w:t>2</w:t>
      </w:r>
      <w:r>
        <w:rPr>
          <w:noProof/>
          <w:lang w:val="it-CH" w:eastAsia="it-IT" w:bidi="it-IT"/>
        </w:rPr>
        <w:t xml:space="preserve"> risultanti da fonti di categoria IPCC "1.A.3.A trasporto aereo" sono considerate pari a zero.</w:t>
      </w:r>
    </w:p>
    <w:p>
      <w:pPr>
        <w:pStyle w:val="Text1"/>
        <w:ind w:left="0"/>
        <w:rPr>
          <w:noProof/>
          <w:lang w:val="it-CH"/>
        </w:rPr>
      </w:pPr>
    </w:p>
    <w:p>
      <w:pPr>
        <w:pStyle w:val="Text1"/>
        <w:ind w:left="0"/>
        <w:jc w:val="center"/>
        <w:rPr>
          <w:i/>
          <w:noProof/>
          <w:lang w:val="it-CH"/>
        </w:rPr>
      </w:pPr>
      <w:r>
        <w:rPr>
          <w:i/>
          <w:noProof/>
          <w:lang w:val="it-CH"/>
        </w:rPr>
        <w:t>Articolo 3</w:t>
      </w:r>
    </w:p>
    <w:p>
      <w:pPr>
        <w:pStyle w:val="Titrearticle"/>
        <w:spacing w:before="120"/>
        <w:rPr>
          <w:b/>
          <w:i w:val="0"/>
          <w:noProof/>
          <w:lang w:val="it-CH"/>
        </w:rPr>
      </w:pPr>
      <w:r>
        <w:rPr>
          <w:b/>
          <w:i w:val="0"/>
          <w:noProof/>
          <w:lang w:val="it-CH" w:eastAsia="it-IT" w:bidi="it-IT"/>
        </w:rPr>
        <w:t>Definizioni</w:t>
      </w:r>
    </w:p>
    <w:p>
      <w:pPr>
        <w:pStyle w:val="ManualNumPar1"/>
        <w:ind w:left="0" w:firstLine="0"/>
        <w:rPr>
          <w:noProof/>
          <w:lang w:val="it-CH"/>
        </w:rPr>
      </w:pPr>
      <w:r>
        <w:rPr>
          <w:noProof/>
          <w:lang w:val="it-CH" w:eastAsia="it-IT" w:bidi="it-IT"/>
        </w:rPr>
        <w:t>Ai fini del presente regolamento s'intende per:</w:t>
      </w:r>
    </w:p>
    <w:p>
      <w:pPr>
        <w:pStyle w:val="ManualNumPar1"/>
        <w:rPr>
          <w:noProof/>
          <w:lang w:val="it-CH"/>
        </w:rPr>
      </w:pPr>
      <w:r>
        <w:rPr>
          <w:noProof/>
          <w:lang w:val="it-CH"/>
        </w:rPr>
        <w:t>1.</w:t>
      </w:r>
      <w:r>
        <w:rPr>
          <w:noProof/>
          <w:lang w:val="it-CH"/>
        </w:rPr>
        <w:tab/>
      </w:r>
      <w:r>
        <w:rPr>
          <w:noProof/>
          <w:lang w:val="it-CH" w:eastAsia="it-IT" w:bidi="it-IT"/>
        </w:rPr>
        <w:t>"emissioni di gas a effetto serra", le emissioni di biossido di carbonio (CO</w:t>
      </w:r>
      <w:r>
        <w:rPr>
          <w:noProof/>
          <w:vertAlign w:val="subscript"/>
          <w:lang w:val="it-CH" w:eastAsia="it-IT" w:bidi="it-IT"/>
        </w:rPr>
        <w:t>2</w:t>
      </w:r>
      <w:r>
        <w:rPr>
          <w:noProof/>
          <w:lang w:val="it-CH" w:eastAsia="it-IT" w:bidi="it-IT"/>
        </w:rPr>
        <w:t>), metano (CH</w:t>
      </w:r>
      <w:r>
        <w:rPr>
          <w:noProof/>
          <w:vertAlign w:val="subscript"/>
          <w:lang w:val="it-CH" w:eastAsia="it-IT" w:bidi="it-IT"/>
        </w:rPr>
        <w:t>4</w:t>
      </w:r>
      <w:r>
        <w:rPr>
          <w:noProof/>
          <w:lang w:val="it-CH" w:eastAsia="it-IT" w:bidi="it-IT"/>
        </w:rPr>
        <w:t>), protossido di azoto (N</w:t>
      </w:r>
      <w:r>
        <w:rPr>
          <w:noProof/>
          <w:vertAlign w:val="subscript"/>
          <w:lang w:val="it-CH" w:eastAsia="it-IT" w:bidi="it-IT"/>
        </w:rPr>
        <w:t>2</w:t>
      </w:r>
      <w:r>
        <w:rPr>
          <w:noProof/>
          <w:lang w:val="it-CH" w:eastAsia="it-IT" w:bidi="it-IT"/>
        </w:rPr>
        <w:t>O), idrofluorocarburi (HFC), perfluorocarburi (PFC), trifluoruro di azoto (NF</w:t>
      </w:r>
      <w:r>
        <w:rPr>
          <w:noProof/>
          <w:vertAlign w:val="subscript"/>
          <w:lang w:val="it-CH" w:eastAsia="it-IT" w:bidi="it-IT"/>
        </w:rPr>
        <w:t>3</w:t>
      </w:r>
      <w:r>
        <w:rPr>
          <w:noProof/>
          <w:lang w:val="it-CH" w:eastAsia="it-IT" w:bidi="it-IT"/>
        </w:rPr>
        <w:t>) e esafluoruro di zolfo (SF</w:t>
      </w:r>
      <w:r>
        <w:rPr>
          <w:noProof/>
          <w:vertAlign w:val="subscript"/>
          <w:lang w:val="it-CH" w:eastAsia="it-IT" w:bidi="it-IT"/>
        </w:rPr>
        <w:t>6</w:t>
      </w:r>
      <w:r>
        <w:rPr>
          <w:noProof/>
          <w:lang w:val="it-CH" w:eastAsia="it-IT" w:bidi="it-IT"/>
        </w:rPr>
        <w:t>) espresse in tonnellate di biossido di carbonio equivalente, determinate ai sensi del regolamento (UE) n. 525/2013 e rientranti nel campo d'applicazione del presente regolamento;</w:t>
      </w:r>
    </w:p>
    <w:p>
      <w:pPr>
        <w:pStyle w:val="ManualNumPar1"/>
        <w:rPr>
          <w:noProof/>
          <w:lang w:val="it-CH"/>
        </w:rPr>
      </w:pPr>
      <w:r>
        <w:rPr>
          <w:noProof/>
          <w:lang w:val="it-CH"/>
        </w:rPr>
        <w:t>2.</w:t>
      </w:r>
      <w:r>
        <w:rPr>
          <w:noProof/>
          <w:lang w:val="it-CH"/>
        </w:rPr>
        <w:tab/>
      </w:r>
      <w:r>
        <w:rPr>
          <w:noProof/>
          <w:lang w:val="it-CH" w:eastAsia="it-IT" w:bidi="it-IT"/>
        </w:rPr>
        <w:t>"assegnazioni annuali di emissioni", le emissioni massime di gas a effetto serra consentite per ogni anno tra il 2021 e il 2030, determinate ai sensi dell'articolo 4, paragrafo 3, e dell'articolo 10.</w:t>
      </w:r>
    </w:p>
    <w:p>
      <w:pPr>
        <w:pStyle w:val="Titrearticle"/>
        <w:rPr>
          <w:noProof/>
          <w:lang w:val="it-CH"/>
        </w:rPr>
      </w:pPr>
      <w:r>
        <w:rPr>
          <w:noProof/>
          <w:lang w:val="it-CH"/>
        </w:rPr>
        <w:t>Articolo 4</w:t>
      </w:r>
    </w:p>
    <w:p>
      <w:pPr>
        <w:pStyle w:val="Titrearticle"/>
        <w:spacing w:before="120"/>
        <w:rPr>
          <w:b/>
          <w:i w:val="0"/>
          <w:noProof/>
          <w:lang w:val="it-CH"/>
        </w:rPr>
      </w:pPr>
      <w:r>
        <w:rPr>
          <w:b/>
          <w:i w:val="0"/>
          <w:noProof/>
          <w:lang w:val="it-CH" w:eastAsia="it-IT" w:bidi="it-IT"/>
        </w:rPr>
        <w:t>Livelli annuali di emissioni per il periodo 2021-2030</w:t>
      </w:r>
    </w:p>
    <w:p>
      <w:pPr>
        <w:pStyle w:val="ManualNumPar1"/>
        <w:rPr>
          <w:noProof/>
          <w:lang w:val="it-CH"/>
        </w:rPr>
      </w:pPr>
      <w:r>
        <w:rPr>
          <w:noProof/>
          <w:lang w:val="it-CH"/>
        </w:rPr>
        <w:t>1.</w:t>
      </w:r>
      <w:r>
        <w:rPr>
          <w:noProof/>
          <w:lang w:val="it-CH"/>
        </w:rPr>
        <w:tab/>
      </w:r>
      <w:r>
        <w:rPr>
          <w:noProof/>
          <w:lang w:val="it-CH" w:eastAsia="it-IT" w:bidi="it-IT"/>
        </w:rPr>
        <w:t>Entro il 2030 gli Stati membri limitano le loro emissioni di gas a effetto serra almeno della percentuale stabilita per ciascuno di essi nell'allegato I della presente decisione rispetto ai livelli nazionali del 2005 determinati a norma del paragrafo 3.</w:t>
      </w:r>
    </w:p>
    <w:p>
      <w:pPr>
        <w:pStyle w:val="ManualNumPar1"/>
        <w:rPr>
          <w:noProof/>
          <w:lang w:val="it-CH"/>
        </w:rPr>
      </w:pPr>
      <w:r>
        <w:rPr>
          <w:noProof/>
          <w:lang w:val="it-CH"/>
        </w:rPr>
        <w:t>2.</w:t>
      </w:r>
      <w:r>
        <w:rPr>
          <w:noProof/>
          <w:lang w:val="it-CH"/>
        </w:rPr>
        <w:tab/>
      </w:r>
      <w:r>
        <w:rPr>
          <w:noProof/>
          <w:lang w:val="it-CH" w:eastAsia="it-IT" w:bidi="it-IT"/>
        </w:rPr>
        <w:t>Fatti salvi gli strumenti di flessibilità di cui agli articoli 5, 6 e 7 e l'adeguamento di cui all'articolo 10, paragrafo 2, e tenuto conto delle eventuali deduzioni derivanti dall'applicazione dell'articolo 7 della decisione n. 406/2009/CE, lo Stato membro assicura che le emissioni di gas a effetto serra per ogni anno compreso tra il 2021 e il 2029 non superino il livello definito da una traiettoria lineare che inizia nel 2020 con il livello medio delle sue emissioni di gas serra degli anni 2016, 2017 e 2018, determinato a norma del paragrafo 3, e che termina nel 2030 con il limite fissato per tale Stato membro nell'allegato I del presente regolamento.</w:t>
      </w:r>
    </w:p>
    <w:p>
      <w:pPr>
        <w:pStyle w:val="ManualNumPar1"/>
        <w:rPr>
          <w:noProof/>
          <w:lang w:val="it-CH"/>
        </w:rPr>
      </w:pPr>
      <w:r>
        <w:rPr>
          <w:noProof/>
          <w:lang w:val="it-CH"/>
        </w:rPr>
        <w:t>3.</w:t>
      </w:r>
      <w:r>
        <w:rPr>
          <w:noProof/>
          <w:lang w:val="it-CH"/>
        </w:rPr>
        <w:tab/>
      </w:r>
      <w:r>
        <w:rPr>
          <w:noProof/>
          <w:lang w:val="it-CH" w:eastAsia="it-IT" w:bidi="it-IT"/>
        </w:rPr>
        <w:t>La Commissione adotta un atto di esecuzione che stabilisce le assegnazioni annuali di emissioni per il periodo compreso tra il 2021 e il 2030 espresse in tonnellate di CO</w:t>
      </w:r>
      <w:r>
        <w:rPr>
          <w:noProof/>
          <w:vertAlign w:val="subscript"/>
          <w:lang w:val="it-CH" w:eastAsia="it-IT" w:bidi="it-IT"/>
        </w:rPr>
        <w:t>2</w:t>
      </w:r>
      <w:r>
        <w:rPr>
          <w:noProof/>
          <w:lang w:val="it-CH" w:eastAsia="it-IT" w:bidi="it-IT"/>
        </w:rPr>
        <w:t xml:space="preserve"> equivalente, come specificato nei paragrafi 1 e 2. Ai fini del suddetto atto di esecuzione, la Commissione procede a un riesame completo dell'ultimo inventario nazionale per gli anni 2005 e dal 2016 al 2018, presentati dagli Stati membri a norma dell'articolo 7 del regolamento (UE) n. 525/2013.</w:t>
      </w:r>
    </w:p>
    <w:p>
      <w:pPr>
        <w:pStyle w:val="ManualNumPar1"/>
        <w:rPr>
          <w:noProof/>
          <w:lang w:val="it-CH"/>
        </w:rPr>
      </w:pPr>
      <w:r>
        <w:rPr>
          <w:noProof/>
          <w:lang w:val="it-CH"/>
        </w:rPr>
        <w:t>4.</w:t>
      </w:r>
      <w:r>
        <w:rPr>
          <w:noProof/>
          <w:lang w:val="it-CH"/>
        </w:rPr>
        <w:tab/>
      </w:r>
      <w:r>
        <w:rPr>
          <w:noProof/>
          <w:lang w:val="it-CH" w:eastAsia="it-IT" w:bidi="it-IT"/>
        </w:rPr>
        <w:t>Il suddetto atto di esecuzione specifica altresì, sulla base delle percentuali comunicate dagli Stati membri a norma dell'articolo 6, paragrafo 2, le quantità di cui si può tenere conto ai fini della conformità a norma dell'articolo 9 tra il 2021 e il 2030. Se la somma delle quantità di tutti gli Stati membri supera di 100 milioni la quantità totale collettiva, le quantità per ciascuno Stato membro sono ridotte proporzionalmente in modo che la quantità totale collettiva non sia superata.</w:t>
      </w:r>
    </w:p>
    <w:p>
      <w:pPr>
        <w:pStyle w:val="ManualNumPar1"/>
        <w:rPr>
          <w:noProof/>
          <w:lang w:val="it-CH"/>
        </w:rPr>
      </w:pPr>
      <w:r>
        <w:rPr>
          <w:noProof/>
          <w:lang w:val="it-CH"/>
        </w:rPr>
        <w:t>5.</w:t>
      </w:r>
      <w:r>
        <w:rPr>
          <w:noProof/>
          <w:lang w:val="it-CH"/>
        </w:rPr>
        <w:tab/>
      </w:r>
      <w:r>
        <w:rPr>
          <w:noProof/>
          <w:lang w:val="it-CH" w:eastAsia="it-IT" w:bidi="it-IT"/>
        </w:rPr>
        <w:t>Il suddetto atto di esecuzione è adottato secondo la procedura di esame di cui all'articolo 13.</w:t>
      </w:r>
    </w:p>
    <w:p>
      <w:pPr>
        <w:pStyle w:val="Titrearticle"/>
        <w:rPr>
          <w:noProof/>
          <w:lang w:val="it-CH"/>
        </w:rPr>
      </w:pPr>
      <w:r>
        <w:rPr>
          <w:noProof/>
          <w:lang w:val="it-CH" w:eastAsia="it-IT" w:bidi="it-IT"/>
        </w:rPr>
        <w:t>Articolo 5</w:t>
      </w:r>
    </w:p>
    <w:p>
      <w:pPr>
        <w:pStyle w:val="Titrearticle"/>
        <w:spacing w:before="120"/>
        <w:rPr>
          <w:b/>
          <w:i w:val="0"/>
          <w:noProof/>
          <w:lang w:val="it-CH"/>
        </w:rPr>
      </w:pPr>
      <w:r>
        <w:rPr>
          <w:b/>
          <w:i w:val="0"/>
          <w:noProof/>
          <w:lang w:val="it-CH" w:eastAsia="it-IT" w:bidi="it-IT"/>
        </w:rPr>
        <w:t>Strumenti di flessibilità per rispettare i limiti annuali</w:t>
      </w:r>
    </w:p>
    <w:p>
      <w:pPr>
        <w:pStyle w:val="ManualNumPar1"/>
        <w:ind w:left="709" w:hanging="709"/>
        <w:rPr>
          <w:noProof/>
          <w:lang w:val="it-CH"/>
        </w:rPr>
      </w:pPr>
      <w:r>
        <w:rPr>
          <w:noProof/>
          <w:lang w:val="it-CH"/>
        </w:rPr>
        <w:t>1.</w:t>
      </w:r>
      <w:r>
        <w:rPr>
          <w:noProof/>
          <w:lang w:val="it-CH"/>
        </w:rPr>
        <w:tab/>
      </w:r>
      <w:r>
        <w:rPr>
          <w:noProof/>
          <w:lang w:val="it-CH" w:eastAsia="it-IT" w:bidi="it-IT"/>
        </w:rPr>
        <w:t>Gli Stati membri possono utilizzare gli strumenti di flessibilità di cui ai paragrafi da 2 a 6 e agli articoli 6 e 7.</w:t>
      </w:r>
    </w:p>
    <w:p>
      <w:pPr>
        <w:pStyle w:val="ManualNumPar1"/>
        <w:ind w:left="709" w:hanging="709"/>
        <w:rPr>
          <w:noProof/>
          <w:lang w:val="it-CH"/>
        </w:rPr>
      </w:pPr>
      <w:r>
        <w:rPr>
          <w:noProof/>
          <w:lang w:val="it-CH"/>
        </w:rPr>
        <w:t>2.</w:t>
      </w:r>
      <w:r>
        <w:rPr>
          <w:noProof/>
          <w:lang w:val="it-CH"/>
        </w:rPr>
        <w:tab/>
      </w:r>
      <w:r>
        <w:rPr>
          <w:noProof/>
          <w:lang w:val="it-CH" w:eastAsia="it-IT" w:bidi="it-IT"/>
        </w:rPr>
        <w:t>Per gli anni del periodo compreso tra il 2021 e il 2029 uno Stato membro può prendere a prestito fino al 5% dalla sua assegnazione annuale di emissioni per l'anno successivo.</w:t>
      </w:r>
      <w:r>
        <w:rPr>
          <w:noProof/>
          <w:lang w:val="it-CH"/>
        </w:rPr>
        <w:t xml:space="preserve"> </w:t>
      </w:r>
    </w:p>
    <w:p>
      <w:pPr>
        <w:pStyle w:val="ManualNumPar1"/>
        <w:ind w:left="709" w:hanging="709"/>
        <w:rPr>
          <w:noProof/>
          <w:lang w:val="it-CH"/>
        </w:rPr>
      </w:pPr>
      <w:r>
        <w:rPr>
          <w:noProof/>
          <w:lang w:val="it-CH"/>
        </w:rPr>
        <w:t>3</w:t>
      </w:r>
      <w:r>
        <w:rPr>
          <w:noProof/>
          <w:lang w:val="it-CH"/>
        </w:rPr>
        <w:tab/>
      </w:r>
      <w:r>
        <w:rPr>
          <w:noProof/>
          <w:lang w:val="it-CH" w:eastAsia="it-IT" w:bidi="it-IT"/>
        </w:rPr>
        <w:t>Lo Stato membro le cui emissioni di gas a effetto serra per un determinato anno sono inferiori all'assegnazione annuale per quell'anno può, tenuto conto del ricorso agli strumenti di flessibilità di cui al presente articolo e all'articolo 6, riportare la parte in eccesso dell'assegnazione annuale di emissioni agli anni successivi, fino al 2030.</w:t>
      </w:r>
    </w:p>
    <w:p>
      <w:pPr>
        <w:pStyle w:val="ManualNumPar1"/>
        <w:ind w:left="709" w:hanging="709"/>
        <w:rPr>
          <w:noProof/>
          <w:lang w:val="it-CH"/>
        </w:rPr>
      </w:pPr>
      <w:r>
        <w:rPr>
          <w:noProof/>
          <w:lang w:val="it-CH"/>
        </w:rPr>
        <w:t>4.</w:t>
      </w:r>
      <w:r>
        <w:rPr>
          <w:noProof/>
          <w:lang w:val="it-CH"/>
        </w:rPr>
        <w:tab/>
      </w:r>
      <w:r>
        <w:rPr>
          <w:noProof/>
          <w:lang w:val="it-CH" w:eastAsia="it-IT" w:bidi="it-IT"/>
        </w:rPr>
        <w:t>Uno Stato membro può trasferire ad altri Stati membri fino al 5% dell'assegnazione annuale di emissioni per un dato anno. Lo Stato membro ricevente può usare tale quantità ai fini della conformità a norma dell'articolo 9 per l'anno in questione o per anni successivi, fino al 2030.</w:t>
      </w:r>
    </w:p>
    <w:p>
      <w:pPr>
        <w:pStyle w:val="ManualNumPar1"/>
        <w:ind w:left="709" w:hanging="709"/>
        <w:rPr>
          <w:bCs/>
          <w:noProof/>
          <w:lang w:val="it-CH"/>
        </w:rPr>
      </w:pPr>
      <w:r>
        <w:rPr>
          <w:bCs/>
          <w:noProof/>
          <w:lang w:val="it-CH"/>
        </w:rPr>
        <w:t>5.</w:t>
      </w:r>
      <w:r>
        <w:rPr>
          <w:bCs/>
          <w:noProof/>
          <w:lang w:val="it-CH"/>
        </w:rPr>
        <w:tab/>
      </w:r>
      <w:r>
        <w:rPr>
          <w:noProof/>
          <w:lang w:val="it-CH" w:eastAsia="it-IT" w:bidi="it-IT"/>
        </w:rPr>
        <w:t>Uno Stato membro può trasferire ad altri Stati membri la parte dell'assegnazione annuale di emissioni in eccesso rispetto alle sue emissioni di gas a effetto serra relative all'anno in questione, tenuto conto del ricorso agli strumenti di flessibilità di cui ai paragrafi da 2 a 4 e all'articolo 6. Lo Stato membro ricevente può usare tale quantità ai fini della conformità a norma dell'articolo 9 per l'anno in questione o per anni successivi, fino al 2030.</w:t>
      </w:r>
    </w:p>
    <w:p>
      <w:pPr>
        <w:pStyle w:val="ManualNumPar1"/>
        <w:ind w:left="709" w:hanging="709"/>
        <w:rPr>
          <w:noProof/>
          <w:lang w:val="it-CH" w:eastAsia="en-GB"/>
        </w:rPr>
      </w:pPr>
      <w:r>
        <w:rPr>
          <w:noProof/>
          <w:lang w:val="it-CH" w:eastAsia="en-GB"/>
        </w:rPr>
        <w:t>6.</w:t>
      </w:r>
      <w:r>
        <w:rPr>
          <w:noProof/>
          <w:lang w:val="it-CH" w:eastAsia="en-GB"/>
        </w:rPr>
        <w:tab/>
      </w:r>
      <w:r>
        <w:rPr>
          <w:noProof/>
          <w:lang w:val="it-CH" w:eastAsia="it-IT" w:bidi="it-IT"/>
        </w:rPr>
        <w:t xml:space="preserve">Gli Stati membri possono utilizzare i crediti derivanti da progetti ad essi rilasciati a norma dell'articolo 24 </w:t>
      </w:r>
      <w:r>
        <w:rPr>
          <w:i/>
          <w:noProof/>
          <w:lang w:val="it-CH" w:eastAsia="it-IT" w:bidi="it-IT"/>
        </w:rPr>
        <w:t>bis</w:t>
      </w:r>
      <w:r>
        <w:rPr>
          <w:noProof/>
          <w:lang w:val="it-CH" w:eastAsia="it-IT" w:bidi="it-IT"/>
        </w:rPr>
        <w:t>, paragrafo 1, della direttiva 2003/87/CE ai fini della conformità a norma dell'articolo 9, senza limiti quantitativi di alcun tipo ed evitando la doppia contabilizzazione.</w:t>
      </w:r>
    </w:p>
    <w:p>
      <w:pPr>
        <w:keepNext/>
        <w:spacing w:before="360"/>
        <w:jc w:val="center"/>
        <w:rPr>
          <w:i/>
          <w:noProof/>
          <w:lang w:val="it-CH"/>
        </w:rPr>
      </w:pPr>
      <w:r>
        <w:rPr>
          <w:i/>
          <w:noProof/>
          <w:lang w:val="it-CH"/>
        </w:rPr>
        <w:t>Articolo 6</w:t>
      </w:r>
    </w:p>
    <w:p>
      <w:pPr>
        <w:pStyle w:val="Titrearticle"/>
        <w:spacing w:before="120"/>
        <w:rPr>
          <w:b/>
          <w:i w:val="0"/>
          <w:noProof/>
          <w:lang w:val="it-CH"/>
        </w:rPr>
      </w:pPr>
      <w:r>
        <w:rPr>
          <w:b/>
          <w:i w:val="0"/>
          <w:noProof/>
          <w:lang w:val="it-CH" w:eastAsia="it-IT" w:bidi="it-IT"/>
        </w:rPr>
        <w:t>Strumento di flessibilità per alcuni Stati membri a seguito di una riduzione delle quote ETS UE</w:t>
      </w:r>
    </w:p>
    <w:p>
      <w:pPr>
        <w:pStyle w:val="ManualNumPar1"/>
        <w:rPr>
          <w:noProof/>
          <w:lang w:val="it-CH"/>
        </w:rPr>
      </w:pPr>
      <w:r>
        <w:rPr>
          <w:noProof/>
          <w:lang w:val="it-CH"/>
        </w:rPr>
        <w:t>1.</w:t>
      </w:r>
      <w:r>
        <w:rPr>
          <w:noProof/>
          <w:lang w:val="it-CH"/>
        </w:rPr>
        <w:tab/>
      </w:r>
      <w:r>
        <w:rPr>
          <w:noProof/>
          <w:lang w:val="it-CH" w:eastAsia="it-IT" w:bidi="it-IT"/>
        </w:rPr>
        <w:t>Gli Stati membri interessati da una cancellazione limitata delle quote ETS UE ai termini dell'articolo 3, lettera a), della direttiva 2003/87/CE, fino a un massimo di 100 milioni, che ai fini della conformità a norma del presente regolamento possono far considerare tali quote, collettivamente, figurano nell'allegato II del regolamento stesso.</w:t>
      </w:r>
    </w:p>
    <w:p>
      <w:pPr>
        <w:pStyle w:val="ManualNumPar1"/>
        <w:rPr>
          <w:noProof/>
          <w:lang w:val="it-CH"/>
        </w:rPr>
      </w:pPr>
      <w:r>
        <w:rPr>
          <w:noProof/>
          <w:color w:val="000000" w:themeColor="text1"/>
          <w:lang w:val="it-CH"/>
        </w:rPr>
        <w:t>2.</w:t>
      </w:r>
      <w:r>
        <w:rPr>
          <w:noProof/>
          <w:color w:val="000000" w:themeColor="text1"/>
          <w:lang w:val="it-CH"/>
        </w:rPr>
        <w:tab/>
      </w:r>
      <w:r>
        <w:rPr>
          <w:noProof/>
          <w:lang w:val="it-CH" w:eastAsia="it-IT" w:bidi="it-IT"/>
        </w:rPr>
        <w:t>Gli Stati membri che figurano nell'allegato II notificano alla Commissione, entro il 31 dicembre 2019, l'eventuale intenzione di avvalersi di una cancellazione limitata di quote fino alla rispettiva percentuale indicata nell'allegato II, ai fini della conformità a norma dell'articolo 9.</w:t>
      </w:r>
    </w:p>
    <w:p>
      <w:pPr>
        <w:pStyle w:val="ManualNumPar1"/>
        <w:rPr>
          <w:noProof/>
          <w:lang w:val="it-CH"/>
        </w:rPr>
      </w:pPr>
      <w:r>
        <w:rPr>
          <w:noProof/>
          <w:lang w:val="it-CH"/>
        </w:rPr>
        <w:t>3.</w:t>
      </w:r>
      <w:r>
        <w:rPr>
          <w:noProof/>
          <w:lang w:val="it-CH"/>
        </w:rPr>
        <w:tab/>
      </w:r>
      <w:r>
        <w:rPr>
          <w:noProof/>
          <w:lang w:val="it-CH" w:eastAsia="it-IT" w:bidi="it-IT"/>
        </w:rPr>
        <w:t>Su richiesta di uno Stato membro, l'amministratore centrale designato a norma dell'articolo 20 della direttiva 2003/87/CE ("l'amministratore centrale") tiene conto della quantità di cui all'articolo 4, paragrafo 4, ai fini della conformità dello Stato membro a norma dell'articolo 9. Un decimo della quantità di quote determinata a norma dell'articolo 4, paragrafo 4, è cancellato a norma dell'articolo 12, paragrafo 4, della direttiva 2003/87/CE per ciascun anno del periodo compreso tra il 2021 e il 2030.</w:t>
      </w:r>
    </w:p>
    <w:p>
      <w:pPr>
        <w:spacing w:before="0" w:after="200" w:line="276" w:lineRule="auto"/>
        <w:jc w:val="left"/>
        <w:rPr>
          <w:i/>
          <w:noProof/>
          <w:lang w:val="it-CH"/>
        </w:rPr>
      </w:pPr>
    </w:p>
    <w:p>
      <w:pPr>
        <w:pStyle w:val="Titrearticle"/>
        <w:rPr>
          <w:noProof/>
          <w:lang w:val="it-CH"/>
        </w:rPr>
      </w:pPr>
      <w:r>
        <w:rPr>
          <w:noProof/>
          <w:lang w:val="it-CH"/>
        </w:rPr>
        <w:t>Articolo 7</w:t>
      </w:r>
    </w:p>
    <w:p>
      <w:pPr>
        <w:pStyle w:val="NormalCentered"/>
        <w:keepNext/>
        <w:rPr>
          <w:b/>
          <w:noProof/>
          <w:lang w:val="it-CH"/>
        </w:rPr>
      </w:pPr>
      <w:r>
        <w:rPr>
          <w:b/>
          <w:noProof/>
          <w:lang w:val="it-CH" w:eastAsia="it-IT" w:bidi="it-IT"/>
        </w:rPr>
        <w:t>Uso supplementare di assorbimenti netti fino a 280 milioni risultanti da terreni disboscati, terreni imboschiti, terre coltivate gestite e pascoli gestiti</w:t>
      </w:r>
      <w:r>
        <w:rPr>
          <w:b/>
          <w:noProof/>
          <w:lang w:val="it-CH"/>
        </w:rPr>
        <w:t xml:space="preserve"> </w:t>
      </w:r>
    </w:p>
    <w:p>
      <w:pPr>
        <w:pStyle w:val="ManualNumPar1"/>
        <w:ind w:left="720" w:hanging="720"/>
        <w:rPr>
          <w:noProof/>
          <w:lang w:val="it-CH"/>
        </w:rPr>
      </w:pPr>
      <w:r>
        <w:rPr>
          <w:noProof/>
          <w:color w:val="000000" w:themeColor="text1"/>
          <w:lang w:val="it-CH"/>
        </w:rPr>
        <w:t>1.</w:t>
      </w:r>
      <w:r>
        <w:rPr>
          <w:noProof/>
          <w:color w:val="000000" w:themeColor="text1"/>
          <w:lang w:val="it-CH"/>
        </w:rPr>
        <w:tab/>
      </w:r>
      <w:r>
        <w:rPr>
          <w:noProof/>
          <w:lang w:val="it-CH" w:eastAsia="it-IT" w:bidi="it-IT"/>
        </w:rPr>
        <w:t>Se le emissioni di uno Stato membro superano la sua assegnazione annuale, è possibile tenere conto ai fini della conformità a norma dell'articolo 9 per l'anno in questione, fino a una quantità pari alla somma degli assorbimenti netti totali e delle emissioni nette totali, risultanti dalle categorie contabili combinate "terreni disboscati", "terreni imboschiti", "terre coltivate gestite" e "pascoli gestiti" di cui all'articolo 2 del regolamento [</w:t>
      </w:r>
      <w:r>
        <w:rPr>
          <w:noProof/>
          <w:color w:val="000000" w:themeColor="text1"/>
          <w:lang w:val="it-CH"/>
        </w:rPr>
        <w:t xml:space="preserve">    </w:t>
      </w:r>
      <w:r>
        <w:rPr>
          <w:noProof/>
          <w:lang w:val="it-CH" w:eastAsia="it-IT" w:bidi="it-IT"/>
        </w:rPr>
        <w:t>] [LULUCF], a condizione che:</w:t>
      </w:r>
      <w:r>
        <w:rPr>
          <w:noProof/>
          <w:lang w:val="it-CH"/>
        </w:rPr>
        <w:t xml:space="preserve"> </w:t>
      </w:r>
    </w:p>
    <w:p>
      <w:pPr>
        <w:pStyle w:val="ManualNumPar1"/>
        <w:ind w:left="720" w:firstLine="0"/>
        <w:rPr>
          <w:noProof/>
          <w:color w:val="000000" w:themeColor="text1"/>
          <w:lang w:val="it-CH"/>
        </w:rPr>
      </w:pPr>
      <w:r>
        <w:rPr>
          <w:noProof/>
          <w:color w:val="000000" w:themeColor="text1"/>
          <w:lang w:val="it-CH" w:eastAsia="it-IT" w:bidi="it-IT"/>
        </w:rPr>
        <w:t>a) la quantità cumulativa considerata per lo Stato membro per tutti gli anni del periodo compreso tra il 2021 e il 2030 non superi il livello stabilito nell'allegato III per tale Stato membro;</w:t>
      </w:r>
    </w:p>
    <w:p>
      <w:pPr>
        <w:pStyle w:val="ManualNumPar1"/>
        <w:ind w:left="720" w:firstLine="0"/>
        <w:rPr>
          <w:noProof/>
          <w:color w:val="000000" w:themeColor="text1"/>
          <w:lang w:val="it-CH"/>
        </w:rPr>
      </w:pPr>
      <w:r>
        <w:rPr>
          <w:noProof/>
          <w:color w:val="000000" w:themeColor="text1"/>
          <w:lang w:val="it-CH" w:eastAsia="it-IT" w:bidi="it-IT"/>
        </w:rPr>
        <w:t>b) tale quantità sia eccedentaria rispetto agli obblighi dello Stato membro a norma dell'articolo 4 del regolamento [</w:t>
      </w:r>
      <w:r>
        <w:rPr>
          <w:noProof/>
          <w:color w:val="000000" w:themeColor="text1"/>
          <w:lang w:val="it-CH"/>
        </w:rPr>
        <w:t xml:space="preserve">     </w:t>
      </w:r>
      <w:r>
        <w:rPr>
          <w:noProof/>
          <w:color w:val="000000" w:themeColor="text1"/>
          <w:lang w:val="it-CH" w:eastAsia="it-IT" w:bidi="it-IT"/>
        </w:rPr>
        <w:t>][LULUCF];</w:t>
      </w:r>
    </w:p>
    <w:p>
      <w:pPr>
        <w:pStyle w:val="ManualNumPar1"/>
        <w:ind w:left="720" w:firstLine="0"/>
        <w:rPr>
          <w:noProof/>
          <w:color w:val="000000" w:themeColor="text1"/>
          <w:lang w:val="it-CH"/>
        </w:rPr>
      </w:pPr>
      <w:r>
        <w:rPr>
          <w:noProof/>
          <w:lang w:val="it-CH" w:eastAsia="it-IT" w:bidi="it-IT"/>
        </w:rPr>
        <w:t>c) lo Stato membro non abbia acquisito da altri Stati membri più assorbimenti netti a norma del regolamento [</w:t>
      </w:r>
      <w:r>
        <w:rPr>
          <w:noProof/>
          <w:color w:val="000000" w:themeColor="text1"/>
          <w:lang w:val="it-CH"/>
        </w:rPr>
        <w:t xml:space="preserve">     </w:t>
      </w:r>
      <w:r>
        <w:rPr>
          <w:noProof/>
          <w:lang w:val="it-CH" w:eastAsia="it-IT" w:bidi="it-IT"/>
        </w:rPr>
        <w:t>][LULUCF] di quelli che ha trasferito;</w:t>
      </w:r>
      <w:r>
        <w:rPr>
          <w:noProof/>
          <w:color w:val="000000" w:themeColor="text1"/>
          <w:lang w:val="it-CH" w:eastAsia="it-IT" w:bidi="it-IT"/>
        </w:rPr>
        <w:t xml:space="preserve"> e</w:t>
      </w:r>
    </w:p>
    <w:p>
      <w:pPr>
        <w:pStyle w:val="ManualNumPar1"/>
        <w:ind w:left="720" w:firstLine="0"/>
        <w:rPr>
          <w:noProof/>
          <w:color w:val="000000" w:themeColor="text1"/>
          <w:lang w:val="it-CH"/>
        </w:rPr>
      </w:pPr>
      <w:r>
        <w:rPr>
          <w:noProof/>
          <w:lang w:val="it-CH" w:eastAsia="it-IT" w:bidi="it-IT"/>
        </w:rPr>
        <w:t>d) lo Stato membro abbia rispettato le disposizioni del regolamento [</w:t>
      </w:r>
      <w:r>
        <w:rPr>
          <w:noProof/>
          <w:color w:val="000000" w:themeColor="text1"/>
          <w:lang w:val="it-CH"/>
        </w:rPr>
        <w:t xml:space="preserve">     </w:t>
      </w:r>
      <w:r>
        <w:rPr>
          <w:noProof/>
          <w:lang w:val="it-CH" w:eastAsia="it-IT" w:bidi="it-IT"/>
        </w:rPr>
        <w:t>] [LULUCF].</w:t>
      </w:r>
    </w:p>
    <w:p>
      <w:pPr>
        <w:pStyle w:val="ManualNumPar1"/>
        <w:ind w:left="720" w:hanging="720"/>
        <w:rPr>
          <w:noProof/>
          <w:color w:val="000000" w:themeColor="text1"/>
          <w:lang w:val="it-CH"/>
        </w:rPr>
      </w:pPr>
      <w:r>
        <w:rPr>
          <w:noProof/>
          <w:color w:val="000000" w:themeColor="text1"/>
          <w:lang w:val="it-CH"/>
        </w:rPr>
        <w:t xml:space="preserve">2. </w:t>
      </w:r>
      <w:r>
        <w:rPr>
          <w:noProof/>
          <w:color w:val="000000" w:themeColor="text1"/>
          <w:lang w:val="it-CH"/>
        </w:rPr>
        <w:tab/>
      </w:r>
      <w:r>
        <w:rPr>
          <w:noProof/>
          <w:lang w:val="it-CH" w:eastAsia="it-IT" w:bidi="it-IT"/>
        </w:rPr>
        <w:t>Laddove l'atto delegato per aggiornare i livelli di riferimento per le foreste sulla base dei piani nazionali di contabilizzazione forestale a norma dell'articolo 8, paragrafo 6, del regolamento [LULUCF] è adottato, alla Commissione è conferito il potere di adottare un atto delegato per modificare il paragrafo 1 del presente articolo al fine di tenere conto di un contributo della categoria contabile dei terreni forestali gestiti a norma dell'articolo 12 del presente regolamento.</w:t>
      </w:r>
    </w:p>
    <w:p>
      <w:pPr>
        <w:pStyle w:val="Titrearticle"/>
        <w:rPr>
          <w:noProof/>
          <w:lang w:val="it-CH"/>
        </w:rPr>
      </w:pPr>
      <w:r>
        <w:rPr>
          <w:noProof/>
          <w:lang w:val="it-CH" w:eastAsia="it-IT" w:bidi="it-IT"/>
        </w:rPr>
        <w:t>Articolo 8</w:t>
      </w:r>
    </w:p>
    <w:p>
      <w:pPr>
        <w:pStyle w:val="NormalCentered"/>
        <w:keepNext/>
        <w:rPr>
          <w:b/>
          <w:noProof/>
          <w:lang w:val="it-CH"/>
        </w:rPr>
      </w:pPr>
      <w:r>
        <w:rPr>
          <w:b/>
          <w:noProof/>
          <w:lang w:val="it-CH" w:eastAsia="it-IT" w:bidi="it-IT"/>
        </w:rPr>
        <w:t>Misure correttive</w:t>
      </w:r>
    </w:p>
    <w:p>
      <w:pPr>
        <w:pStyle w:val="ManualNumPar1"/>
        <w:rPr>
          <w:noProof/>
          <w:lang w:val="it-CH"/>
        </w:rPr>
      </w:pPr>
      <w:r>
        <w:rPr>
          <w:noProof/>
          <w:lang w:val="it-CH"/>
        </w:rPr>
        <w:t>1.</w:t>
      </w:r>
      <w:r>
        <w:rPr>
          <w:noProof/>
          <w:lang w:val="it-CH"/>
        </w:rPr>
        <w:tab/>
      </w:r>
      <w:r>
        <w:rPr>
          <w:noProof/>
          <w:lang w:val="it-CH" w:eastAsia="it-IT" w:bidi="it-IT"/>
        </w:rPr>
        <w:t>Lo Stato membro che secondo la valutazione effettuata a norma dell'articolo 21 del regolamento (UE) n. 525/2013 non registra progressi in misura sufficiente, entro tre mesi presenta alla Commissione un piano d'azione che comprende:</w:t>
      </w:r>
    </w:p>
    <w:p>
      <w:pPr>
        <w:pStyle w:val="ManualNumPar2"/>
        <w:ind w:hanging="130"/>
        <w:rPr>
          <w:noProof/>
          <w:lang w:val="it-CH"/>
        </w:rPr>
      </w:pPr>
      <w:r>
        <w:rPr>
          <w:noProof/>
          <w:lang w:val="it-CH" w:eastAsia="it-IT" w:bidi="it-IT"/>
        </w:rPr>
        <w:t>a) gli interventi predisposti al fine di adempiere gli obblighi specifici a norma dell'articolo 4, sotto forma di politiche e misure nazionali e attuando l'azione dell'Unione;</w:t>
      </w:r>
    </w:p>
    <w:p>
      <w:pPr>
        <w:pStyle w:val="ManualNumPar2"/>
        <w:ind w:hanging="130"/>
        <w:rPr>
          <w:noProof/>
          <w:lang w:val="it-CH"/>
        </w:rPr>
      </w:pPr>
      <w:r>
        <w:rPr>
          <w:noProof/>
          <w:lang w:val="it-CH" w:eastAsia="it-IT" w:bidi="it-IT"/>
        </w:rPr>
        <w:t>b) un calendario di attuazione di tali interventi, che consenta di valutarne i progressi annuali.</w:t>
      </w:r>
    </w:p>
    <w:p>
      <w:pPr>
        <w:pStyle w:val="ManualNumPar1"/>
        <w:rPr>
          <w:noProof/>
          <w:lang w:val="it-CH"/>
        </w:rPr>
      </w:pPr>
      <w:r>
        <w:rPr>
          <w:noProof/>
          <w:lang w:val="it-CH"/>
        </w:rPr>
        <w:t>2</w:t>
      </w:r>
      <w:r>
        <w:rPr>
          <w:noProof/>
          <w:lang w:val="it-CH" w:eastAsia="en-GB"/>
        </w:rPr>
        <w:t>.</w:t>
      </w:r>
      <w:r>
        <w:rPr>
          <w:noProof/>
          <w:lang w:val="it-CH" w:eastAsia="en-GB"/>
        </w:rPr>
        <w:tab/>
      </w:r>
      <w:r>
        <w:rPr>
          <w:noProof/>
          <w:lang w:val="it-CH" w:eastAsia="it-IT" w:bidi="it-IT"/>
        </w:rPr>
        <w:t>L'Agenzia europea dell'ambiente assiste la Commissione nelle attività di valutazione dei piani d'azione in linea con il suo programma di lavoro annuale.</w:t>
      </w:r>
    </w:p>
    <w:p>
      <w:pPr>
        <w:pStyle w:val="Titrearticle"/>
        <w:rPr>
          <w:noProof/>
          <w:lang w:val="it-CH"/>
        </w:rPr>
      </w:pPr>
      <w:r>
        <w:rPr>
          <w:noProof/>
          <w:lang w:val="it-CH" w:eastAsia="it-IT" w:bidi="it-IT"/>
        </w:rPr>
        <w:t>Articolo 9</w:t>
      </w:r>
    </w:p>
    <w:p>
      <w:pPr>
        <w:pStyle w:val="Titrearticle"/>
        <w:spacing w:before="120"/>
        <w:rPr>
          <w:b/>
          <w:i w:val="0"/>
          <w:noProof/>
          <w:lang w:val="it-CH"/>
        </w:rPr>
      </w:pPr>
      <w:r>
        <w:rPr>
          <w:b/>
          <w:i w:val="0"/>
          <w:noProof/>
          <w:lang w:val="it-CH" w:eastAsia="it-IT" w:bidi="it-IT"/>
        </w:rPr>
        <w:t>Verifica della conformità</w:t>
      </w:r>
      <w:r>
        <w:rPr>
          <w:b/>
          <w:i w:val="0"/>
          <w:noProof/>
          <w:lang w:val="it-CH"/>
        </w:rPr>
        <w:t xml:space="preserve"> </w:t>
      </w:r>
    </w:p>
    <w:p>
      <w:pPr>
        <w:pStyle w:val="ManualNumPar1"/>
        <w:rPr>
          <w:noProof/>
          <w:lang w:val="it-CH"/>
        </w:rPr>
      </w:pPr>
      <w:r>
        <w:rPr>
          <w:noProof/>
          <w:lang w:val="it-CH"/>
        </w:rPr>
        <w:t>1.</w:t>
      </w:r>
      <w:r>
        <w:rPr>
          <w:noProof/>
          <w:lang w:val="it-CH"/>
        </w:rPr>
        <w:tab/>
      </w:r>
      <w:r>
        <w:rPr>
          <w:noProof/>
          <w:lang w:val="it-CH" w:eastAsia="it-IT" w:bidi="it-IT"/>
        </w:rPr>
        <w:t>Nel 2027 e nel 2032, se le emissioni riesaminate di gas a effetto serra di uno Stato membro superano la sua assegnazione annuale di emissioni per uno degli anni del periodo, ai sensi del paragrafo 2 del presente articolo e degli strumenti di flessibilità utilizzati a norma degli articoli 5 e 7, si applicano le misure seguenti:</w:t>
      </w:r>
    </w:p>
    <w:p>
      <w:pPr>
        <w:pStyle w:val="ManualNumPar1"/>
        <w:ind w:hanging="130"/>
        <w:rPr>
          <w:noProof/>
          <w:lang w:val="it-CH"/>
        </w:rPr>
      </w:pPr>
      <w:r>
        <w:rPr>
          <w:noProof/>
          <w:lang w:val="it-CH" w:eastAsia="it-IT" w:bidi="it-IT"/>
        </w:rPr>
        <w:t>a)</w:t>
      </w:r>
      <w:r>
        <w:rPr>
          <w:noProof/>
          <w:lang w:val="it-CH" w:eastAsia="it-IT" w:bidi="it-IT"/>
        </w:rPr>
        <w:tab/>
        <w:t>si aggiunge alle emissioni dello Stato membro dell'anno successivo una quantità pari all'ammontare, in tonnellate di CO</w:t>
      </w:r>
      <w:r>
        <w:rPr>
          <w:noProof/>
          <w:vertAlign w:val="subscript"/>
          <w:lang w:val="it-CH" w:eastAsia="it-IT" w:bidi="it-IT"/>
        </w:rPr>
        <w:t>2</w:t>
      </w:r>
      <w:r>
        <w:rPr>
          <w:noProof/>
          <w:lang w:val="it-CH" w:eastAsia="it-IT" w:bidi="it-IT"/>
        </w:rPr>
        <w:t xml:space="preserve"> equivalente, delle emissioni eccedentarie di gas a effetto serra moltiplicata per un fattore di 1,08, in conformità alle misure adottate a norma dell'articolo 11; e</w:t>
      </w:r>
    </w:p>
    <w:p>
      <w:pPr>
        <w:pStyle w:val="ManualNumPar1"/>
        <w:ind w:hanging="130"/>
        <w:rPr>
          <w:noProof/>
          <w:lang w:val="it-CH"/>
        </w:rPr>
      </w:pPr>
      <w:r>
        <w:rPr>
          <w:noProof/>
          <w:lang w:val="it-CH" w:eastAsia="it-IT" w:bidi="it-IT"/>
        </w:rPr>
        <w:t>b)</w:t>
      </w:r>
      <w:r>
        <w:rPr>
          <w:noProof/>
          <w:lang w:val="it-CH" w:eastAsia="it-IT" w:bidi="it-IT"/>
        </w:rPr>
        <w:tab/>
        <w:t>è temporaneamente vietato allo Stato membro trasferire una parte dell'assegnazione annuale di emissioni a un altro Stato membro fino a quando non ottempera al presente regolamento. L'amministratore centrale dispone tale divieto nel registro di cui all'articolo 11.</w:t>
      </w:r>
    </w:p>
    <w:p>
      <w:pPr>
        <w:pStyle w:val="ManualNumPar1"/>
        <w:rPr>
          <w:noProof/>
          <w:lang w:val="it-CH"/>
        </w:rPr>
      </w:pPr>
      <w:r>
        <w:rPr>
          <w:noProof/>
          <w:lang w:val="it-CH" w:eastAsia="en-GB"/>
        </w:rPr>
        <w:t xml:space="preserve">2. </w:t>
      </w:r>
      <w:r>
        <w:rPr>
          <w:noProof/>
          <w:lang w:val="it-CH" w:eastAsia="en-GB"/>
        </w:rPr>
        <w:tab/>
      </w:r>
      <w:r>
        <w:rPr>
          <w:noProof/>
          <w:lang w:val="it-CH" w:eastAsia="it-IT" w:bidi="it-IT"/>
        </w:rPr>
        <w:t>Se le emissioni di gas a effetto serra di uno Stato membro nel periodo compreso tra il 2021 e il 2025 o tra il 2026 e il 2030 ai sensi del regolamento [</w:t>
      </w:r>
      <w:r>
        <w:rPr>
          <w:noProof/>
          <w:lang w:val="it-CH"/>
        </w:rPr>
        <w:t xml:space="preserve">     </w:t>
      </w:r>
      <w:r>
        <w:rPr>
          <w:noProof/>
          <w:lang w:val="it-CH" w:eastAsia="it-IT" w:bidi="it-IT"/>
        </w:rPr>
        <w:t>] sono superiori agli assorbimenti determinati a norma dell'articolo 12 del medesimo regolamento, si deduce dall'assegnazione annuale di emissioni dello Stato membro una quantità pari all'ammontare, in tonnellate di CO</w:t>
      </w:r>
      <w:r>
        <w:rPr>
          <w:noProof/>
          <w:vertAlign w:val="subscript"/>
          <w:lang w:val="it-CH" w:eastAsia="it-IT" w:bidi="it-IT"/>
        </w:rPr>
        <w:t>2</w:t>
      </w:r>
      <w:r>
        <w:rPr>
          <w:noProof/>
          <w:lang w:val="it-CH" w:eastAsia="it-IT" w:bidi="it-IT"/>
        </w:rPr>
        <w:t xml:space="preserve"> equivalente, di tali emissioni eccedentarie di gas a effetto serra per gli anni pertinenti.</w:t>
      </w:r>
    </w:p>
    <w:p>
      <w:pPr>
        <w:pStyle w:val="Titrearticle"/>
        <w:rPr>
          <w:noProof/>
          <w:lang w:val="it-CH"/>
        </w:rPr>
      </w:pPr>
      <w:r>
        <w:rPr>
          <w:noProof/>
          <w:lang w:val="it-CH" w:eastAsia="it-IT" w:bidi="it-IT"/>
        </w:rPr>
        <w:t>Articolo 10</w:t>
      </w:r>
    </w:p>
    <w:p>
      <w:pPr>
        <w:pStyle w:val="Titrearticle"/>
        <w:spacing w:before="120"/>
        <w:rPr>
          <w:b/>
          <w:i w:val="0"/>
          <w:noProof/>
          <w:lang w:val="it-CH"/>
        </w:rPr>
      </w:pPr>
      <w:r>
        <w:rPr>
          <w:b/>
          <w:i w:val="0"/>
          <w:noProof/>
          <w:lang w:val="it-CH" w:eastAsia="it-IT" w:bidi="it-IT"/>
        </w:rPr>
        <w:t>Adeguamenti</w:t>
      </w:r>
      <w:r>
        <w:rPr>
          <w:b/>
          <w:i w:val="0"/>
          <w:noProof/>
          <w:lang w:val="it-CH"/>
        </w:rPr>
        <w:t xml:space="preserve"> </w:t>
      </w:r>
    </w:p>
    <w:p>
      <w:pPr>
        <w:pStyle w:val="ManualNumPar1"/>
        <w:ind w:left="720" w:hanging="578"/>
        <w:rPr>
          <w:noProof/>
          <w:lang w:val="it-CH"/>
        </w:rPr>
      </w:pPr>
      <w:r>
        <w:rPr>
          <w:noProof/>
          <w:lang w:val="it-CH"/>
        </w:rPr>
        <w:t>1.</w:t>
      </w:r>
      <w:r>
        <w:rPr>
          <w:noProof/>
          <w:lang w:val="it-CH"/>
        </w:rPr>
        <w:tab/>
      </w:r>
      <w:r>
        <w:rPr>
          <w:noProof/>
          <w:lang w:val="it-CH" w:eastAsia="it-IT" w:bidi="it-IT"/>
        </w:rPr>
        <w:t>Le assegnazioni annuali degli Stati membri a norma dell'articolo 4 del presente regolamento sono adeguate in modo da rispecchiare:</w:t>
      </w:r>
      <w:r>
        <w:rPr>
          <w:noProof/>
          <w:lang w:val="it-CH"/>
        </w:rPr>
        <w:t xml:space="preserve"> </w:t>
      </w:r>
    </w:p>
    <w:p>
      <w:pPr>
        <w:pStyle w:val="ManualNumPar1"/>
        <w:ind w:hanging="130"/>
        <w:rPr>
          <w:noProof/>
          <w:lang w:val="it-CH"/>
        </w:rPr>
      </w:pPr>
      <w:r>
        <w:rPr>
          <w:noProof/>
          <w:lang w:val="it-CH" w:eastAsia="it-IT" w:bidi="it-IT"/>
        </w:rPr>
        <w:t>a) gli adeguamenti apportati al numero di quote di emissioni di gas a effetto serra rilasciate in applicazione dell'articolo 11 della direttiva 2003/87/CE in seguito a una modifica delle fonti contemplate dalla medesima direttiva;</w:t>
      </w:r>
    </w:p>
    <w:p>
      <w:pPr>
        <w:pStyle w:val="ManualNumPar1"/>
        <w:ind w:hanging="130"/>
        <w:rPr>
          <w:noProof/>
          <w:lang w:val="it-CH"/>
        </w:rPr>
      </w:pPr>
      <w:r>
        <w:rPr>
          <w:noProof/>
          <w:lang w:val="it-CH" w:eastAsia="it-IT" w:bidi="it-IT"/>
        </w:rPr>
        <w:t xml:space="preserve">b) gli adeguamenti apportati al numero di quote o crediti rilasciati rispettivamente in applicazione degli articoli 24 e 24 </w:t>
      </w:r>
      <w:r>
        <w:rPr>
          <w:i/>
          <w:noProof/>
          <w:lang w:val="it-CH" w:eastAsia="it-IT" w:bidi="it-IT"/>
        </w:rPr>
        <w:t>bis</w:t>
      </w:r>
      <w:r>
        <w:rPr>
          <w:noProof/>
          <w:lang w:val="it-CH" w:eastAsia="it-IT" w:bidi="it-IT"/>
        </w:rPr>
        <w:t xml:space="preserve"> della direttiva 2003/87/CE in relazione alle riduzioni delle emissioni in uno Stato membro; e</w:t>
      </w:r>
    </w:p>
    <w:p>
      <w:pPr>
        <w:pStyle w:val="ManualNumPar1"/>
        <w:ind w:hanging="130"/>
        <w:rPr>
          <w:noProof/>
          <w:lang w:val="it-CH"/>
        </w:rPr>
      </w:pPr>
      <w:r>
        <w:rPr>
          <w:noProof/>
          <w:lang w:val="it-CH" w:eastAsia="it-IT" w:bidi="it-IT"/>
        </w:rPr>
        <w:t>c) gli adeguamenti apportati al numero di quote di emissioni di gas a effetto serra degli impianti esclusi dall'ETS UE a norma dell'articolo 27 della direttiva 2003/87/CE per il periodo in cui sono esclusi.</w:t>
      </w:r>
    </w:p>
    <w:p>
      <w:pPr>
        <w:pStyle w:val="ManualNumPar1"/>
        <w:ind w:left="720" w:hanging="578"/>
        <w:rPr>
          <w:noProof/>
          <w:lang w:val="it-CH"/>
        </w:rPr>
      </w:pPr>
      <w:r>
        <w:rPr>
          <w:noProof/>
          <w:lang w:val="it-CH"/>
        </w:rPr>
        <w:t>2.</w:t>
      </w:r>
      <w:r>
        <w:rPr>
          <w:noProof/>
          <w:lang w:val="it-CH"/>
        </w:rPr>
        <w:tab/>
      </w:r>
      <w:r>
        <w:rPr>
          <w:noProof/>
          <w:lang w:val="it-CH" w:eastAsia="it-IT" w:bidi="it-IT"/>
        </w:rPr>
        <w:t>L'importo riportato nell'allegato IV del presente regolamento viene aggiunto all'assegnazione per l'anno 2021 per ciascun Stato membro di cui a tale allegato.</w:t>
      </w:r>
    </w:p>
    <w:p>
      <w:pPr>
        <w:pStyle w:val="ManualNumPar1"/>
        <w:ind w:left="720" w:hanging="578"/>
        <w:rPr>
          <w:noProof/>
          <w:lang w:val="it-CH"/>
        </w:rPr>
      </w:pPr>
      <w:r>
        <w:rPr>
          <w:noProof/>
          <w:lang w:val="it-CH"/>
        </w:rPr>
        <w:t>3.</w:t>
      </w:r>
      <w:r>
        <w:rPr>
          <w:noProof/>
          <w:lang w:val="it-CH"/>
        </w:rPr>
        <w:tab/>
      </w:r>
      <w:r>
        <w:rPr>
          <w:noProof/>
          <w:lang w:val="it-CH" w:eastAsia="it-IT" w:bidi="it-IT"/>
        </w:rPr>
        <w:t>La Commissione pubblica i valori risultanti da tali adeguamenti.</w:t>
      </w:r>
    </w:p>
    <w:p>
      <w:pPr>
        <w:pStyle w:val="Titrearticle"/>
        <w:rPr>
          <w:noProof/>
          <w:lang w:val="it-CH"/>
        </w:rPr>
      </w:pPr>
      <w:r>
        <w:rPr>
          <w:noProof/>
          <w:lang w:val="it-CH" w:eastAsia="it-IT" w:bidi="it-IT"/>
        </w:rPr>
        <w:t>Articolo 11</w:t>
      </w:r>
    </w:p>
    <w:p>
      <w:pPr>
        <w:pStyle w:val="Titrearticle"/>
        <w:spacing w:before="120"/>
        <w:rPr>
          <w:b/>
          <w:i w:val="0"/>
          <w:noProof/>
          <w:lang w:val="it-CH"/>
        </w:rPr>
      </w:pPr>
      <w:r>
        <w:rPr>
          <w:b/>
          <w:i w:val="0"/>
          <w:noProof/>
          <w:lang w:val="it-CH" w:eastAsia="it-IT" w:bidi="it-IT"/>
        </w:rPr>
        <w:t>Registro</w:t>
      </w:r>
    </w:p>
    <w:p>
      <w:pPr>
        <w:pStyle w:val="ManualNumPar1"/>
        <w:rPr>
          <w:noProof/>
          <w:lang w:val="it-CH"/>
        </w:rPr>
      </w:pPr>
      <w:r>
        <w:rPr>
          <w:noProof/>
          <w:lang w:val="it-CH"/>
        </w:rPr>
        <w:t>1.</w:t>
      </w:r>
      <w:r>
        <w:rPr>
          <w:noProof/>
          <w:lang w:val="it-CH"/>
        </w:rPr>
        <w:tab/>
      </w:r>
      <w:r>
        <w:rPr>
          <w:noProof/>
          <w:lang w:val="it-CH" w:eastAsia="it-IT" w:bidi="it-IT"/>
        </w:rPr>
        <w:t>La Commissione assicura una contabilizzazione accurata a norma del presente regolamento per mezzo del registro dell'Unione istituito conformemente all'articolo 10 del regolamento (UE) n. 525/2013, che comprende le assegnazioni annuali di emissioni, gli strumenti di flessibilità utilizzati a norma degli articoli 4 e 7, la conformità a norma dell'articolo 9 e la modifica del campo d'applicazione a norma dell'articolo 10 del presente regolamento. L'amministratore centrale effettua un controllo automatizzato di ciascuna transazione a norma del presente regolamento e, qualora necessario, blocca le transazioni per accertarsi che non siano state commesse irregolarità. Queste informazioni sono rese pubbliche.</w:t>
      </w:r>
    </w:p>
    <w:p>
      <w:pPr>
        <w:pStyle w:val="ManualNumPar1"/>
        <w:rPr>
          <w:noProof/>
          <w:lang w:val="it-CH"/>
        </w:rPr>
      </w:pPr>
      <w:r>
        <w:rPr>
          <w:noProof/>
          <w:lang w:val="it-CH"/>
        </w:rPr>
        <w:t>2.</w:t>
      </w:r>
      <w:r>
        <w:rPr>
          <w:noProof/>
          <w:lang w:val="it-CH"/>
        </w:rPr>
        <w:tab/>
      </w:r>
      <w:r>
        <w:rPr>
          <w:noProof/>
          <w:lang w:val="it-CH" w:eastAsia="it-IT" w:bidi="it-IT"/>
        </w:rPr>
        <w:t>Al fine di attuare il paragrafo 1, alla Commissione è conferito il potere di adottare atti delegati conformemente all'articolo 12.</w:t>
      </w:r>
    </w:p>
    <w:p>
      <w:pPr>
        <w:pStyle w:val="Titrearticle"/>
        <w:rPr>
          <w:noProof/>
          <w:lang w:val="it-CH"/>
        </w:rPr>
      </w:pPr>
      <w:r>
        <w:rPr>
          <w:noProof/>
          <w:lang w:val="it-CH" w:eastAsia="it-IT" w:bidi="it-IT"/>
        </w:rPr>
        <w:t>Articolo 12</w:t>
      </w:r>
    </w:p>
    <w:p>
      <w:pPr>
        <w:pStyle w:val="Titrearticle"/>
        <w:spacing w:before="120"/>
        <w:rPr>
          <w:b/>
          <w:i w:val="0"/>
          <w:noProof/>
          <w:lang w:val="it-CH"/>
        </w:rPr>
      </w:pPr>
      <w:r>
        <w:rPr>
          <w:b/>
          <w:i w:val="0"/>
          <w:noProof/>
          <w:lang w:val="it-CH" w:eastAsia="it-IT" w:bidi="it-IT"/>
        </w:rPr>
        <w:t>Esercizio della delega</w:t>
      </w:r>
    </w:p>
    <w:p>
      <w:pPr>
        <w:pStyle w:val="ManualNumPar1"/>
        <w:rPr>
          <w:noProof/>
          <w:lang w:val="it-CH" w:eastAsia="en-GB"/>
        </w:rPr>
      </w:pPr>
      <w:r>
        <w:rPr>
          <w:noProof/>
          <w:lang w:val="it-CH"/>
        </w:rPr>
        <w:t xml:space="preserve">1. </w:t>
      </w:r>
      <w:r>
        <w:rPr>
          <w:noProof/>
          <w:lang w:val="it-CH"/>
        </w:rPr>
        <w:tab/>
      </w:r>
      <w:r>
        <w:rPr>
          <w:noProof/>
          <w:lang w:val="it-CH" w:eastAsia="it-IT" w:bidi="it-IT"/>
        </w:rPr>
        <w:t>Il potere di adottare atti delegati è conferito alla Commissione alle condizioni stabilite nel presente articolo.</w:t>
      </w:r>
    </w:p>
    <w:p>
      <w:pPr>
        <w:pStyle w:val="ManualNumPar1"/>
        <w:rPr>
          <w:noProof/>
          <w:szCs w:val="24"/>
          <w:lang w:val="it-CH" w:eastAsia="en-GB"/>
        </w:rPr>
      </w:pPr>
      <w:r>
        <w:rPr>
          <w:noProof/>
          <w:lang w:val="it-CH" w:eastAsia="en-GB"/>
        </w:rPr>
        <w:t xml:space="preserve">2. </w:t>
      </w:r>
      <w:r>
        <w:rPr>
          <w:noProof/>
          <w:lang w:val="it-CH" w:eastAsia="en-GB"/>
        </w:rPr>
        <w:tab/>
      </w:r>
      <w:r>
        <w:rPr>
          <w:noProof/>
          <w:lang w:val="it-CH" w:eastAsia="it-IT" w:bidi="it-IT"/>
        </w:rPr>
        <w:t>Il potere di adottare gli atti delegati di cui all'articolo 7, paragrafo 2, e all'articolo 11, è conferito alla Commissione per una durata indeterminata a decorrere dall'entrata in vigore del presente regolamento.</w:t>
      </w:r>
    </w:p>
    <w:p>
      <w:pPr>
        <w:pStyle w:val="ManualNumPar1"/>
        <w:rPr>
          <w:noProof/>
          <w:lang w:val="it-CH" w:eastAsia="en-GB"/>
        </w:rPr>
      </w:pPr>
      <w:r>
        <w:rPr>
          <w:noProof/>
          <w:lang w:val="it-CH" w:eastAsia="en-GB"/>
        </w:rPr>
        <w:t xml:space="preserve">3. </w:t>
      </w:r>
      <w:r>
        <w:rPr>
          <w:noProof/>
          <w:lang w:val="it-CH" w:eastAsia="en-GB"/>
        </w:rPr>
        <w:tab/>
      </w:r>
      <w:r>
        <w:rPr>
          <w:noProof/>
          <w:lang w:val="it-CH" w:eastAsia="it-IT" w:bidi="it-IT"/>
        </w:rPr>
        <w:t xml:space="preserve">La delega di potere di cui all'articolo 7, paragrafo 2, e all'articolo 11, può essere revocata in qualsiasi momento dal Parlamento europeo o dal Consiglio. La decisione di revoca pone fine alla delega di potere ivi specificata. Gli effetti della decisione decorrono dal giorno successivo alla pubblicazione della decisione nella </w:t>
      </w:r>
      <w:r>
        <w:rPr>
          <w:i/>
          <w:noProof/>
          <w:lang w:val="it-CH" w:eastAsia="it-IT" w:bidi="it-IT"/>
        </w:rPr>
        <w:t>Gazzetta ufficiale dell'Unione europea</w:t>
      </w:r>
      <w:r>
        <w:rPr>
          <w:noProof/>
          <w:lang w:val="it-CH" w:eastAsia="it-IT" w:bidi="it-IT"/>
        </w:rPr>
        <w:t xml:space="preserve"> o da una data successiva ivi specificata. Essa non pregiudica la validità degli atti delegati già in vigore.</w:t>
      </w:r>
    </w:p>
    <w:p>
      <w:pPr>
        <w:pStyle w:val="ManualNumPar1"/>
        <w:rPr>
          <w:noProof/>
          <w:lang w:val="it-CH" w:eastAsia="en-GB"/>
        </w:rPr>
      </w:pPr>
      <w:r>
        <w:rPr>
          <w:noProof/>
          <w:lang w:val="it-CH" w:eastAsia="en-GB"/>
        </w:rPr>
        <w:t>4.</w:t>
      </w:r>
      <w:r>
        <w:rPr>
          <w:noProof/>
          <w:lang w:val="it-CH" w:eastAsia="en-GB"/>
        </w:rPr>
        <w:tab/>
      </w:r>
      <w:r>
        <w:rPr>
          <w:noProof/>
          <w:lang w:val="it-CH" w:eastAsia="it-IT" w:bidi="it-IT"/>
        </w:rPr>
        <w:t>Prima dell'adozione di un atto delegato la Commissione consulta gli esperti designati da ciascuno Stato membro nel rispetto dei principi stabiliti nell'accordo interistituzionale "Legiferare meglio" del 13 aprile 2016.</w:t>
      </w:r>
    </w:p>
    <w:p>
      <w:pPr>
        <w:pStyle w:val="ManualNumPar1"/>
        <w:rPr>
          <w:noProof/>
          <w:lang w:val="it-CH" w:eastAsia="en-GB"/>
        </w:rPr>
      </w:pPr>
      <w:r>
        <w:rPr>
          <w:noProof/>
          <w:lang w:val="it-CH" w:eastAsia="en-GB"/>
        </w:rPr>
        <w:t xml:space="preserve">5. </w:t>
      </w:r>
      <w:r>
        <w:rPr>
          <w:noProof/>
          <w:lang w:val="it-CH" w:eastAsia="en-GB"/>
        </w:rPr>
        <w:tab/>
      </w:r>
      <w:r>
        <w:rPr>
          <w:noProof/>
          <w:lang w:val="it-CH" w:eastAsia="it-IT" w:bidi="it-IT"/>
        </w:rPr>
        <w:t>Non appena adotta un atto delegato, la Commissione ne dà contestualmente notifica al Parlamento europeo e al Consiglio.</w:t>
      </w:r>
    </w:p>
    <w:p>
      <w:pPr>
        <w:pStyle w:val="ManualNumPar1"/>
        <w:rPr>
          <w:noProof/>
          <w:lang w:val="it-CH"/>
        </w:rPr>
      </w:pPr>
      <w:r>
        <w:rPr>
          <w:noProof/>
          <w:lang w:val="it-CH" w:eastAsia="en-GB"/>
        </w:rPr>
        <w:t xml:space="preserve">6. </w:t>
      </w:r>
      <w:r>
        <w:rPr>
          <w:noProof/>
          <w:lang w:val="it-CH" w:eastAsia="en-GB"/>
        </w:rPr>
        <w:tab/>
      </w:r>
      <w:r>
        <w:rPr>
          <w:noProof/>
          <w:lang w:val="it-CH" w:eastAsia="it-IT" w:bidi="it-IT"/>
        </w:rPr>
        <w:t>L'atto delegato adottato ai sensi dell'articolo 7, paragrafo 2, e dell'articolo 11, entra in vigore solo se né il Parlamento europeo né il Consiglio hanno sollevato obiezioni entro il termine di due mesi dalla data in cui esso è stato loro notificato o se, prima della scadenza di tale termine, sia il Parlamento europeo che il Consiglio hanno informato la Commissione che non intendono sollevare obiezioni. Tale termine è prorogato di due mesi su iniziativa del Parlamento europeo o del Consiglio.</w:t>
      </w:r>
    </w:p>
    <w:p>
      <w:pPr>
        <w:pStyle w:val="Titrearticle"/>
        <w:rPr>
          <w:i w:val="0"/>
          <w:noProof/>
          <w:lang w:val="it-CH"/>
        </w:rPr>
      </w:pPr>
      <w:r>
        <w:rPr>
          <w:noProof/>
          <w:lang w:val="it-CH" w:eastAsia="it-IT" w:bidi="it-IT"/>
        </w:rPr>
        <w:t>Articolo 13</w:t>
      </w:r>
    </w:p>
    <w:p>
      <w:pPr>
        <w:pStyle w:val="Titrearticle"/>
        <w:spacing w:before="120"/>
        <w:rPr>
          <w:b/>
          <w:i w:val="0"/>
          <w:noProof/>
          <w:lang w:val="it-CH"/>
        </w:rPr>
      </w:pPr>
      <w:r>
        <w:rPr>
          <w:b/>
          <w:i w:val="0"/>
          <w:noProof/>
          <w:lang w:val="it-CH" w:eastAsia="it-IT" w:bidi="it-IT"/>
        </w:rPr>
        <w:t>Procedura di comitato</w:t>
      </w:r>
    </w:p>
    <w:p>
      <w:pPr>
        <w:pStyle w:val="ManualNumPar1"/>
        <w:rPr>
          <w:noProof/>
          <w:lang w:val="it-CH" w:eastAsia="en-GB"/>
        </w:rPr>
      </w:pPr>
      <w:r>
        <w:rPr>
          <w:noProof/>
          <w:lang w:val="it-CH"/>
        </w:rPr>
        <w:t xml:space="preserve">1. </w:t>
      </w:r>
      <w:r>
        <w:rPr>
          <w:noProof/>
          <w:lang w:val="it-CH"/>
        </w:rPr>
        <w:tab/>
      </w:r>
      <w:r>
        <w:rPr>
          <w:noProof/>
          <w:lang w:val="it-CH" w:eastAsia="it-IT" w:bidi="it-IT"/>
        </w:rPr>
        <w:t>La Commissione è assistita dal comitato sui cambiamenti climatici istituito dal regolamento (UE) n. 525/2013. Si tratta di un comitato ai sensi del regolamento (UE) n. 182/2011.</w:t>
      </w:r>
    </w:p>
    <w:p>
      <w:pPr>
        <w:pStyle w:val="ManualNumPar1"/>
        <w:rPr>
          <w:noProof/>
          <w:lang w:val="it-CH" w:eastAsia="en-GB"/>
        </w:rPr>
      </w:pPr>
      <w:r>
        <w:rPr>
          <w:noProof/>
          <w:lang w:val="it-CH" w:eastAsia="en-GB"/>
        </w:rPr>
        <w:t xml:space="preserve">2. </w:t>
      </w:r>
      <w:r>
        <w:rPr>
          <w:noProof/>
          <w:lang w:val="it-CH" w:eastAsia="en-GB"/>
        </w:rPr>
        <w:tab/>
      </w:r>
      <w:r>
        <w:rPr>
          <w:noProof/>
          <w:lang w:val="it-CH" w:eastAsia="it-IT" w:bidi="it-IT"/>
        </w:rPr>
        <w:t>Nei casi in cui è fatto riferimento al presente paragrafo, si applica l'articolo 5 del regolamento (UE) n. 182/2011.</w:t>
      </w:r>
      <w:r>
        <w:rPr>
          <w:noProof/>
          <w:lang w:val="it-CH" w:eastAsia="en-GB"/>
        </w:rPr>
        <w:t xml:space="preserve"> </w:t>
      </w:r>
    </w:p>
    <w:p>
      <w:pPr>
        <w:pStyle w:val="Titrearticle"/>
        <w:rPr>
          <w:i w:val="0"/>
          <w:noProof/>
          <w:lang w:val="it-CH"/>
        </w:rPr>
      </w:pPr>
      <w:r>
        <w:rPr>
          <w:noProof/>
          <w:lang w:val="it-CH" w:eastAsia="it-IT" w:bidi="it-IT"/>
        </w:rPr>
        <w:t>Articolo 14</w:t>
      </w:r>
    </w:p>
    <w:p>
      <w:pPr>
        <w:pStyle w:val="Titrearticle"/>
        <w:spacing w:before="120"/>
        <w:rPr>
          <w:b/>
          <w:i w:val="0"/>
          <w:noProof/>
          <w:lang w:val="it-CH"/>
        </w:rPr>
      </w:pPr>
      <w:r>
        <w:rPr>
          <w:b/>
          <w:i w:val="0"/>
          <w:noProof/>
          <w:lang w:val="it-CH" w:eastAsia="it-IT" w:bidi="it-IT"/>
        </w:rPr>
        <w:t>Riesame</w:t>
      </w:r>
    </w:p>
    <w:p>
      <w:pPr>
        <w:rPr>
          <w:noProof/>
          <w:lang w:val="it-CH"/>
        </w:rPr>
      </w:pPr>
      <w:r>
        <w:rPr>
          <w:noProof/>
          <w:lang w:val="it-CH" w:eastAsia="it-IT" w:bidi="it-IT"/>
        </w:rPr>
        <w:t>La Commissione riferisce al Parlamento europeo e al Consiglio, entro il 28 febbraio 2024 e successivamente ogni cinque anni, circa il funzionamento del presente regolamento, il suo contributo all'obiettivo globale dell'Unione di riduzione delle emissioni di gas a effetto serra per il 2030 e il suo contributo al conseguimento dei traguardi stabiliti dall'accordo di Parigi, potendo eventualmente formulare proposte.</w:t>
      </w:r>
    </w:p>
    <w:p>
      <w:pPr>
        <w:pStyle w:val="Titrearticle"/>
        <w:rPr>
          <w:noProof/>
          <w:lang w:val="it-CH"/>
        </w:rPr>
      </w:pPr>
      <w:r>
        <w:rPr>
          <w:noProof/>
          <w:lang w:val="it-CH" w:eastAsia="it-IT" w:bidi="it-IT"/>
        </w:rPr>
        <w:t>Articolo 15</w:t>
      </w:r>
    </w:p>
    <w:p>
      <w:pPr>
        <w:pStyle w:val="Titrearticle"/>
        <w:spacing w:before="120"/>
        <w:rPr>
          <w:b/>
          <w:i w:val="0"/>
          <w:noProof/>
          <w:lang w:val="it-CH"/>
        </w:rPr>
      </w:pPr>
      <w:r>
        <w:rPr>
          <w:b/>
          <w:i w:val="0"/>
          <w:noProof/>
          <w:lang w:val="it-CH" w:eastAsia="it-IT" w:bidi="it-IT"/>
        </w:rPr>
        <w:t>Modifica del regolamento (UE) n. 525/2013</w:t>
      </w:r>
      <w:r>
        <w:rPr>
          <w:b/>
          <w:i w:val="0"/>
          <w:noProof/>
          <w:lang w:val="it-CH"/>
        </w:rPr>
        <w:t xml:space="preserve"> </w:t>
      </w:r>
    </w:p>
    <w:p>
      <w:pPr>
        <w:pStyle w:val="Text1"/>
        <w:ind w:left="0"/>
        <w:rPr>
          <w:noProof/>
          <w:szCs w:val="24"/>
          <w:lang w:val="it-CH"/>
        </w:rPr>
      </w:pPr>
      <w:r>
        <w:rPr>
          <w:noProof/>
          <w:lang w:val="it-CH" w:eastAsia="it-IT" w:bidi="it-IT"/>
        </w:rPr>
        <w:t>Il regolamento (UE) n. 525/2013 è così modificato:</w:t>
      </w:r>
    </w:p>
    <w:p>
      <w:pPr>
        <w:pStyle w:val="ManualNumPar1"/>
        <w:rPr>
          <w:noProof/>
          <w:lang w:val="it-CH"/>
        </w:rPr>
      </w:pPr>
      <w:r>
        <w:rPr>
          <w:noProof/>
          <w:lang w:val="it-CH" w:eastAsia="it-IT" w:bidi="it-IT"/>
        </w:rPr>
        <w:t>1. L'articolo 7, paragrafo 1, è così modificato:</w:t>
      </w:r>
    </w:p>
    <w:p>
      <w:pPr>
        <w:pStyle w:val="ManualNumPar1"/>
        <w:rPr>
          <w:bCs/>
          <w:noProof/>
          <w:lang w:val="it-CH"/>
        </w:rPr>
      </w:pPr>
      <w:r>
        <w:rPr>
          <w:noProof/>
          <w:lang w:val="it-CH" w:eastAsia="it-IT" w:bidi="it-IT"/>
        </w:rPr>
        <w:t xml:space="preserve">a) è inserita la lettera seguente a </w:t>
      </w:r>
      <w:r>
        <w:rPr>
          <w:i/>
          <w:noProof/>
          <w:lang w:val="it-CH" w:eastAsia="it-IT" w:bidi="it-IT"/>
        </w:rPr>
        <w:t>bis</w:t>
      </w:r>
      <w:r>
        <w:rPr>
          <w:noProof/>
          <w:lang w:val="it-CH" w:eastAsia="it-IT" w:bidi="it-IT"/>
        </w:rPr>
        <w:t>:</w:t>
      </w:r>
    </w:p>
    <w:p>
      <w:pPr>
        <w:pStyle w:val="ManualNumPar1"/>
        <w:rPr>
          <w:bCs/>
          <w:noProof/>
          <w:lang w:val="it-CH"/>
        </w:rPr>
      </w:pPr>
      <w:r>
        <w:rPr>
          <w:noProof/>
          <w:lang w:val="it-CH" w:eastAsia="it-IT" w:bidi="it-IT"/>
        </w:rPr>
        <w:t xml:space="preserve">"a </w:t>
      </w:r>
      <w:r>
        <w:rPr>
          <w:i/>
          <w:noProof/>
          <w:lang w:val="it-CH" w:eastAsia="it-IT" w:bidi="it-IT"/>
        </w:rPr>
        <w:t>bis</w:t>
      </w:r>
      <w:r>
        <w:rPr>
          <w:noProof/>
          <w:lang w:val="it-CH" w:eastAsia="it-IT" w:bidi="it-IT"/>
        </w:rPr>
        <w:t>)</w:t>
      </w:r>
      <w:r>
        <w:rPr>
          <w:noProof/>
          <w:lang w:val="it-CH" w:eastAsia="it-IT" w:bidi="it-IT"/>
        </w:rPr>
        <w:tab/>
        <w:t>e decorrere dal 2023, le rispettive emissioni di origine antropica dei gas a effetto serra di cui all'articolo 2 del regolamento [ESR] relativo alle riduzioni annuali vincolanti delle emissioni di gas a effetto serra a carico degli Stati membri nel periodo 2021-2030 per l'anno X-2, conformemente alle prescrizioni dell'UNFCCC in materia di comunicazione;".</w:t>
      </w:r>
    </w:p>
    <w:p>
      <w:pPr>
        <w:pStyle w:val="ManualNumPar1"/>
        <w:rPr>
          <w:noProof/>
          <w:lang w:val="it-CH"/>
        </w:rPr>
      </w:pPr>
      <w:r>
        <w:rPr>
          <w:noProof/>
          <w:lang w:val="it-CH"/>
        </w:rPr>
        <w:t>2.</w:t>
      </w:r>
      <w:r>
        <w:rPr>
          <w:noProof/>
          <w:lang w:val="it-CH"/>
        </w:rPr>
        <w:tab/>
      </w:r>
      <w:r>
        <w:rPr>
          <w:noProof/>
          <w:lang w:val="it-CH" w:eastAsia="it-IT" w:bidi="it-IT"/>
        </w:rPr>
        <w:t>All'articolo 7, paragrafo 1, il secondo comma è sostituito dal seguente:</w:t>
      </w:r>
    </w:p>
    <w:p>
      <w:pPr>
        <w:pStyle w:val="ManualNumPar1"/>
        <w:ind w:hanging="130"/>
        <w:rPr>
          <w:noProof/>
          <w:lang w:val="it-CH"/>
        </w:rPr>
      </w:pPr>
      <w:r>
        <w:rPr>
          <w:noProof/>
          <w:lang w:val="it-CH" w:eastAsia="it-IT" w:bidi="it-IT"/>
        </w:rPr>
        <w:t>"Gli Stati membri informano ogni anno la Commissione nelle rispettive relazioni dell'intenzione di avvalersi degli strumenti di flessibilità di cui all'articolo 5, paragrafi 4 e 5, del regolamento [ESR] relativo alle riduzioni annuali vincolanti delle emissioni di gas a effetto serra a carico degli Stati membri nel periodo 2021-2030.".</w:t>
      </w:r>
    </w:p>
    <w:p>
      <w:pPr>
        <w:pStyle w:val="ManualNumPar1"/>
        <w:rPr>
          <w:noProof/>
          <w:lang w:val="it-CH"/>
        </w:rPr>
      </w:pPr>
      <w:r>
        <w:rPr>
          <w:noProof/>
          <w:lang w:val="it-CH"/>
        </w:rPr>
        <w:t>3.</w:t>
      </w:r>
      <w:r>
        <w:rPr>
          <w:noProof/>
          <w:lang w:val="it-CH"/>
        </w:rPr>
        <w:tab/>
      </w:r>
      <w:r>
        <w:rPr>
          <w:noProof/>
          <w:lang w:val="it-CH" w:eastAsia="it-IT" w:bidi="it-IT"/>
        </w:rPr>
        <w:t>All'articolo 13, paragrafo 1, lettera c), è aggiunto il punto seguente viii):</w:t>
      </w:r>
    </w:p>
    <w:p>
      <w:pPr>
        <w:pStyle w:val="ManualNumPar1"/>
        <w:rPr>
          <w:noProof/>
          <w:lang w:val="it-CH"/>
        </w:rPr>
      </w:pPr>
      <w:r>
        <w:rPr>
          <w:noProof/>
          <w:lang w:val="it-CH"/>
        </w:rPr>
        <w:t>"viii).</w:t>
      </w:r>
      <w:r>
        <w:rPr>
          <w:noProof/>
          <w:lang w:val="it-CH"/>
        </w:rPr>
        <w:tab/>
      </w:r>
      <w:r>
        <w:rPr>
          <w:noProof/>
          <w:lang w:val="it-CH" w:eastAsia="it-IT" w:bidi="it-IT"/>
        </w:rPr>
        <w:t>a decorrere dal 2023, informazioni riguardanti le politiche e le misure nazionali attuate dagli Stati membri allo scopo di adempiere i propri obblighi a norma del regolamento [ESR] relativo alle riduzioni annuali vincolanti delle emissioni di gas a effetto serra a carico degli Stati membri nel periodo 2021-2030, e informazioni riguardanti le politiche e le misure nazionali supplementari programmate per limitare le emissioni di gas a effetto serra al di là degli impegni assunti a norma del suddetto regolamento;".</w:t>
      </w:r>
    </w:p>
    <w:p>
      <w:pPr>
        <w:pStyle w:val="ManualNumPar1"/>
        <w:rPr>
          <w:noProof/>
          <w:lang w:val="it-CH"/>
        </w:rPr>
      </w:pPr>
      <w:r>
        <w:rPr>
          <w:noProof/>
          <w:lang w:val="it-CH"/>
        </w:rPr>
        <w:t>4.</w:t>
      </w:r>
      <w:r>
        <w:rPr>
          <w:noProof/>
          <w:lang w:val="it-CH"/>
        </w:rPr>
        <w:tab/>
      </w:r>
      <w:r>
        <w:rPr>
          <w:noProof/>
          <w:lang w:val="it-CH" w:eastAsia="it-IT" w:bidi="it-IT"/>
        </w:rPr>
        <w:t>All'articolo 14, paragrafo 1, è aggiunta la lettera seguente f):</w:t>
      </w:r>
    </w:p>
    <w:p>
      <w:pPr>
        <w:pStyle w:val="ManualNumPar1"/>
        <w:rPr>
          <w:noProof/>
          <w:lang w:val="it-CH"/>
        </w:rPr>
      </w:pPr>
      <w:r>
        <w:rPr>
          <w:noProof/>
          <w:lang w:val="it-CH"/>
        </w:rPr>
        <w:t>"f)</w:t>
      </w:r>
      <w:r>
        <w:rPr>
          <w:noProof/>
          <w:lang w:val="it-CH"/>
        </w:rPr>
        <w:tab/>
      </w:r>
      <w:r>
        <w:rPr>
          <w:noProof/>
          <w:lang w:val="it-CH" w:eastAsia="it-IT" w:bidi="it-IT"/>
        </w:rPr>
        <w:t>a decorrere dal 2023, le proiezioni totali dei gas a effetto serra e stime separate delle emissioni di gas a effetto serra previste per le fonti di emissione disciplinate dalla direttiva 2003/87/CE e dal regolamento [ESR] relativo alle riduzioni annuali vincolanti delle emissioni di gas a effetto serra a carico degli Stati membri nel periodo 2021-2030.".</w:t>
      </w:r>
    </w:p>
    <w:p>
      <w:pPr>
        <w:pStyle w:val="ManualNumPar1"/>
        <w:rPr>
          <w:noProof/>
          <w:lang w:val="it-CH"/>
        </w:rPr>
      </w:pPr>
      <w:r>
        <w:rPr>
          <w:noProof/>
          <w:lang w:val="it-CH"/>
        </w:rPr>
        <w:t xml:space="preserve">5. </w:t>
      </w:r>
      <w:r>
        <w:rPr>
          <w:noProof/>
          <w:lang w:val="it-CH" w:eastAsia="it-IT" w:bidi="it-IT"/>
        </w:rPr>
        <w:t>All'articolo 21, paragrafo 1, è inserita la lettera seguente c):</w:t>
      </w:r>
    </w:p>
    <w:p>
      <w:pPr>
        <w:pStyle w:val="ManualNumPar1"/>
        <w:rPr>
          <w:noProof/>
          <w:lang w:val="it-CH"/>
        </w:rPr>
      </w:pPr>
      <w:r>
        <w:rPr>
          <w:noProof/>
          <w:lang w:val="it-CH"/>
        </w:rPr>
        <w:t xml:space="preserve">"c) </w:t>
      </w:r>
      <w:r>
        <w:rPr>
          <w:noProof/>
          <w:lang w:val="it-CH" w:eastAsia="it-IT" w:bidi="it-IT"/>
        </w:rPr>
        <w:t>gli obblighi a norma dell'articolo 4 del regolamento [ESR] relativo alle riduzioni annuali vincolanti delle emissioni di gas a effetto serra a carico degli Stati membri nel periodo 2021-2030. La valutazione tiene conto dell'evoluzione delle politiche e delle misure dell'Unione nonché delle informazioni comunicate dagli Stati membri. Ogni due anni la valutazione verte anche sulle proiezioni dei progressi compiuti dall'Unione nel mantenimento degli impegni di riduzione assunti e dagli Stati membri nell'adempimento degli obblighi ad essi incombenti.".</w:t>
      </w:r>
    </w:p>
    <w:p>
      <w:pPr>
        <w:pStyle w:val="ManualNumPar1"/>
        <w:rPr>
          <w:noProof/>
          <w:lang w:val="it-CH"/>
        </w:rPr>
      </w:pPr>
      <w:r>
        <w:rPr>
          <w:noProof/>
          <w:lang w:val="it-CH"/>
        </w:rPr>
        <w:t xml:space="preserve">6. </w:t>
      </w:r>
      <w:r>
        <w:rPr>
          <w:noProof/>
          <w:lang w:val="it-CH" w:eastAsia="it-IT" w:bidi="it-IT"/>
        </w:rPr>
        <w:t>All'articolo 21 è aggiunto il paragrafo seguente 4:</w:t>
      </w:r>
    </w:p>
    <w:p>
      <w:pPr>
        <w:pStyle w:val="ManualNumPar1"/>
        <w:rPr>
          <w:noProof/>
          <w:lang w:val="it-CH"/>
        </w:rPr>
      </w:pPr>
      <w:r>
        <w:rPr>
          <w:noProof/>
          <w:lang w:val="it-CH"/>
        </w:rPr>
        <w:t>"</w:t>
      </w:r>
      <w:r>
        <w:rPr>
          <w:noProof/>
          <w:lang w:val="it-CH" w:eastAsia="it-IT" w:bidi="it-IT"/>
        </w:rPr>
        <w:t>La Commissione può formulare pareri sui piani d'azione presentati dagli Stati membri ai sensi dell'articolo 8, paragrafo 1, del regolamento [ESR] relativo alle riduzioni annuali vincolanti delle emissioni di gas a effetto serra a carico degli Stati membri nel periodo 2021-2030.".</w:t>
      </w:r>
    </w:p>
    <w:p>
      <w:pPr>
        <w:pStyle w:val="Titrearticle"/>
        <w:rPr>
          <w:noProof/>
          <w:lang w:val="it-CH"/>
        </w:rPr>
      </w:pPr>
      <w:r>
        <w:rPr>
          <w:noProof/>
          <w:lang w:val="it-CH" w:eastAsia="it-IT" w:bidi="it-IT"/>
        </w:rPr>
        <w:t>Articolo 16</w:t>
      </w:r>
    </w:p>
    <w:p>
      <w:pPr>
        <w:pStyle w:val="Titrearticle"/>
        <w:spacing w:before="120"/>
        <w:rPr>
          <w:b/>
          <w:i w:val="0"/>
          <w:noProof/>
          <w:lang w:val="it-CH"/>
        </w:rPr>
      </w:pPr>
      <w:r>
        <w:rPr>
          <w:b/>
          <w:i w:val="0"/>
          <w:noProof/>
          <w:lang w:val="it-CH" w:eastAsia="it-IT" w:bidi="it-IT"/>
        </w:rPr>
        <w:t>Entrata in vigore</w:t>
      </w:r>
    </w:p>
    <w:p>
      <w:pPr>
        <w:rPr>
          <w:noProof/>
          <w:lang w:val="it-CH"/>
        </w:rPr>
      </w:pPr>
      <w:r>
        <w:rPr>
          <w:noProof/>
          <w:lang w:val="it-CH" w:eastAsia="it-IT" w:bidi="it-IT"/>
        </w:rPr>
        <w:t xml:space="preserve">Il presente regolamento entra in vigore il ventesimo giorno successivo alla pubblicazione nella </w:t>
      </w:r>
      <w:r>
        <w:rPr>
          <w:i/>
          <w:noProof/>
          <w:lang w:val="it-CH" w:eastAsia="it-IT" w:bidi="it-IT"/>
        </w:rPr>
        <w:t>Gazzetta ufficiale dell'Unione europea</w:t>
      </w:r>
      <w:r>
        <w:rPr>
          <w:noProof/>
          <w:lang w:val="it-CH" w:eastAsia="it-IT" w:bidi="it-IT"/>
        </w:rPr>
        <w:t>.</w:t>
      </w:r>
    </w:p>
    <w:p>
      <w:pPr>
        <w:rPr>
          <w:noProof/>
          <w:lang w:val="it-CH"/>
        </w:rPr>
      </w:pPr>
    </w:p>
    <w:p>
      <w:pPr>
        <w:keepNext/>
        <w:keepLines/>
        <w:rPr>
          <w:noProof/>
          <w:lang w:val="it-CH"/>
        </w:rPr>
      </w:pPr>
      <w:r>
        <w:rPr>
          <w:noProof/>
          <w:lang w:val="it-CH" w:eastAsia="it-IT" w:bidi="it-IT"/>
        </w:rPr>
        <w:t>Il presente regolamento è obbligatorio in tutti i suoi elementi e direttamente applicabile in ciascuno degli Stati membri.</w:t>
      </w:r>
    </w:p>
    <w:p>
      <w:pPr>
        <w:pStyle w:val="Fait"/>
        <w:rPr>
          <w:noProof/>
          <w:lang w:val="it-CH"/>
        </w:rPr>
      </w:pPr>
      <w:r>
        <w:rPr>
          <w:noProof/>
          <w:lang w:val="it-CH"/>
        </w:rPr>
        <w:t>Fatto a Bruxelles, il</w:t>
      </w:r>
    </w:p>
    <w:p>
      <w:pPr>
        <w:pStyle w:val="Institutionquisigne"/>
        <w:rPr>
          <w:noProof/>
          <w:lang w:val="it-CH"/>
        </w:rPr>
      </w:pPr>
      <w:r>
        <w:rPr>
          <w:noProof/>
          <w:lang w:val="it-CH"/>
        </w:rPr>
        <w:t>Per il Parlamento europeo</w:t>
      </w:r>
      <w:r>
        <w:rPr>
          <w:noProof/>
          <w:lang w:val="it-CH"/>
        </w:rPr>
        <w:tab/>
        <w:t>Per il Consiglio</w:t>
      </w:r>
    </w:p>
    <w:p>
      <w:pPr>
        <w:pStyle w:val="Personnequisigne"/>
        <w:rPr>
          <w:noProof/>
          <w:lang w:val="it-CH"/>
        </w:rPr>
      </w:pPr>
      <w:r>
        <w:rPr>
          <w:noProof/>
          <w:lang w:val="it-CH"/>
        </w:rPr>
        <w:t>Il presidente</w:t>
      </w:r>
      <w:r>
        <w:rPr>
          <w:noProof/>
          <w:lang w:val="it-CH"/>
        </w:rPr>
        <w:tab/>
        <w:t>Il presidente</w:t>
      </w:r>
    </w:p>
    <w:p>
      <w:pPr>
        <w:rPr>
          <w:noProof/>
          <w:lang w:val="it-CH"/>
        </w:rPr>
        <w:sectPr>
          <w:pgSz w:w="11907" w:h="16839"/>
          <w:pgMar w:top="1134" w:right="1417" w:bottom="1134" w:left="1417" w:header="709" w:footer="709" w:gutter="0"/>
          <w:cols w:space="708"/>
          <w:docGrid w:linePitch="360"/>
        </w:sectPr>
      </w:pPr>
    </w:p>
    <w:p>
      <w:pPr>
        <w:pStyle w:val="Fichefinanciretitre"/>
        <w:rPr>
          <w:noProof/>
          <w:lang w:val="it-CH"/>
        </w:rPr>
      </w:pPr>
      <w:r>
        <w:rPr>
          <w:noProof/>
          <w:lang w:val="it-CH"/>
        </w:rPr>
        <w:t>SCHEDA FINANZIARIA LEGISLATIVA</w:t>
      </w:r>
    </w:p>
    <w:p>
      <w:pPr>
        <w:pStyle w:val="ManualHeading1"/>
        <w:rPr>
          <w:noProof/>
          <w:lang w:val="it-CH"/>
        </w:rPr>
      </w:pPr>
      <w:r>
        <w:rPr>
          <w:noProof/>
          <w:lang w:val="it-CH"/>
        </w:rPr>
        <w:t>1.</w:t>
      </w:r>
      <w:r>
        <w:rPr>
          <w:noProof/>
          <w:lang w:val="it-CH"/>
        </w:rPr>
        <w:tab/>
        <w:t xml:space="preserve">CONTESTO DELLA PROPOSTA/INIZIATIVA </w:t>
      </w:r>
    </w:p>
    <w:p>
      <w:pPr>
        <w:pStyle w:val="ManualHeading2"/>
        <w:rPr>
          <w:b w:val="0"/>
          <w:noProof/>
          <w:lang w:val="it-CH"/>
        </w:rPr>
      </w:pPr>
      <w:r>
        <w:rPr>
          <w:noProof/>
          <w:lang w:val="it-CH"/>
        </w:rPr>
        <w:tab/>
      </w:r>
      <w:r>
        <w:rPr>
          <w:b w:val="0"/>
          <w:noProof/>
          <w:lang w:val="it-CH"/>
        </w:rPr>
        <w:t>1.1.</w:t>
      </w:r>
      <w:r>
        <w:rPr>
          <w:b w:val="0"/>
          <w:noProof/>
          <w:lang w:val="it-CH"/>
        </w:rPr>
        <w:tab/>
        <w:t>Titolo della proposta/iniziativa</w:t>
      </w:r>
    </w:p>
    <w:p>
      <w:pPr>
        <w:pStyle w:val="ManualHeading2"/>
        <w:rPr>
          <w:b w:val="0"/>
          <w:noProof/>
          <w:lang w:val="it-CH"/>
        </w:rPr>
      </w:pPr>
      <w:r>
        <w:rPr>
          <w:b w:val="0"/>
          <w:noProof/>
          <w:lang w:val="it-CH"/>
        </w:rPr>
        <w:tab/>
        <w:t>1.2.</w:t>
      </w:r>
      <w:r>
        <w:rPr>
          <w:b w:val="0"/>
          <w:noProof/>
          <w:lang w:val="it-CH"/>
        </w:rPr>
        <w:tab/>
        <w:t>Settore/settori interessati nella struttura ABM/ABB</w:t>
      </w:r>
    </w:p>
    <w:p>
      <w:pPr>
        <w:pStyle w:val="ManualHeading2"/>
        <w:rPr>
          <w:b w:val="0"/>
          <w:noProof/>
          <w:lang w:val="it-CH"/>
        </w:rPr>
      </w:pPr>
      <w:r>
        <w:rPr>
          <w:b w:val="0"/>
          <w:noProof/>
          <w:lang w:val="it-CH"/>
        </w:rPr>
        <w:tab/>
        <w:t>1.3.</w:t>
      </w:r>
      <w:r>
        <w:rPr>
          <w:b w:val="0"/>
          <w:noProof/>
          <w:lang w:val="it-CH"/>
        </w:rPr>
        <w:tab/>
        <w:t xml:space="preserve">Natura della proposta/iniziativa </w:t>
      </w:r>
    </w:p>
    <w:p>
      <w:pPr>
        <w:pStyle w:val="ManualHeading2"/>
        <w:rPr>
          <w:b w:val="0"/>
          <w:noProof/>
          <w:lang w:val="it-CH"/>
        </w:rPr>
      </w:pPr>
      <w:r>
        <w:rPr>
          <w:b w:val="0"/>
          <w:noProof/>
          <w:lang w:val="it-CH"/>
        </w:rPr>
        <w:tab/>
        <w:t>1.4.</w:t>
      </w:r>
      <w:r>
        <w:rPr>
          <w:b w:val="0"/>
          <w:noProof/>
          <w:lang w:val="it-CH"/>
        </w:rPr>
        <w:tab/>
        <w:t xml:space="preserve">Obiettivi </w:t>
      </w:r>
    </w:p>
    <w:p>
      <w:pPr>
        <w:pStyle w:val="ManualHeading2"/>
        <w:rPr>
          <w:b w:val="0"/>
          <w:noProof/>
          <w:lang w:val="it-CH"/>
        </w:rPr>
      </w:pPr>
      <w:r>
        <w:rPr>
          <w:b w:val="0"/>
          <w:noProof/>
          <w:lang w:val="it-CH"/>
        </w:rPr>
        <w:tab/>
        <w:t>1.5.</w:t>
      </w:r>
      <w:r>
        <w:rPr>
          <w:b w:val="0"/>
          <w:noProof/>
          <w:lang w:val="it-CH"/>
        </w:rPr>
        <w:tab/>
        <w:t xml:space="preserve">Motivazione della proposta/iniziativa </w:t>
      </w:r>
    </w:p>
    <w:p>
      <w:pPr>
        <w:pStyle w:val="ManualHeading2"/>
        <w:rPr>
          <w:b w:val="0"/>
          <w:noProof/>
          <w:lang w:val="it-CH"/>
        </w:rPr>
      </w:pPr>
      <w:r>
        <w:rPr>
          <w:b w:val="0"/>
          <w:noProof/>
          <w:lang w:val="it-CH"/>
        </w:rPr>
        <w:tab/>
        <w:t>1.6.</w:t>
      </w:r>
      <w:r>
        <w:rPr>
          <w:b w:val="0"/>
          <w:noProof/>
          <w:lang w:val="it-CH"/>
        </w:rPr>
        <w:tab/>
        <w:t xml:space="preserve">Durata e incidenza finanziaria </w:t>
      </w:r>
    </w:p>
    <w:p>
      <w:pPr>
        <w:pStyle w:val="ManualHeading2"/>
        <w:rPr>
          <w:b w:val="0"/>
          <w:noProof/>
          <w:lang w:val="it-CH"/>
        </w:rPr>
      </w:pPr>
      <w:r>
        <w:rPr>
          <w:b w:val="0"/>
          <w:noProof/>
          <w:lang w:val="it-CH"/>
        </w:rPr>
        <w:tab/>
        <w:t>1.7.</w:t>
      </w:r>
      <w:r>
        <w:rPr>
          <w:b w:val="0"/>
          <w:noProof/>
          <w:lang w:val="it-CH"/>
        </w:rPr>
        <w:tab/>
        <w:t xml:space="preserve">Modalità di gestione previste </w:t>
      </w:r>
    </w:p>
    <w:p>
      <w:pPr>
        <w:pStyle w:val="ManualHeading1"/>
        <w:rPr>
          <w:noProof/>
          <w:lang w:val="it-CH"/>
        </w:rPr>
      </w:pPr>
      <w:r>
        <w:rPr>
          <w:noProof/>
          <w:lang w:val="it-CH"/>
        </w:rPr>
        <w:t>2.</w:t>
      </w:r>
      <w:r>
        <w:rPr>
          <w:noProof/>
          <w:lang w:val="it-CH"/>
        </w:rPr>
        <w:tab/>
        <w:t xml:space="preserve">MISURE DI GESTIONE </w:t>
      </w:r>
    </w:p>
    <w:p>
      <w:pPr>
        <w:pStyle w:val="ManualHeading2"/>
        <w:rPr>
          <w:b w:val="0"/>
          <w:noProof/>
          <w:lang w:val="it-CH"/>
        </w:rPr>
      </w:pPr>
      <w:r>
        <w:rPr>
          <w:b w:val="0"/>
          <w:noProof/>
          <w:lang w:val="it-CH"/>
        </w:rPr>
        <w:tab/>
        <w:t>2.1.</w:t>
      </w:r>
      <w:r>
        <w:rPr>
          <w:b w:val="0"/>
          <w:noProof/>
          <w:lang w:val="it-CH"/>
        </w:rPr>
        <w:tab/>
        <w:t xml:space="preserve">Disposizioni in materia di monitoraggio e di relazioni </w:t>
      </w:r>
    </w:p>
    <w:p>
      <w:pPr>
        <w:pStyle w:val="ManualHeading2"/>
        <w:rPr>
          <w:b w:val="0"/>
          <w:noProof/>
          <w:lang w:val="it-CH"/>
        </w:rPr>
      </w:pPr>
      <w:r>
        <w:rPr>
          <w:b w:val="0"/>
          <w:noProof/>
          <w:lang w:val="it-CH"/>
        </w:rPr>
        <w:tab/>
        <w:t>2.2.</w:t>
      </w:r>
      <w:r>
        <w:rPr>
          <w:b w:val="0"/>
          <w:noProof/>
          <w:lang w:val="it-CH"/>
        </w:rPr>
        <w:tab/>
        <w:t xml:space="preserve">Sistema di gestione e di controllo </w:t>
      </w:r>
    </w:p>
    <w:p>
      <w:pPr>
        <w:pStyle w:val="ManualHeading2"/>
        <w:rPr>
          <w:b w:val="0"/>
          <w:noProof/>
          <w:lang w:val="it-CH"/>
        </w:rPr>
      </w:pPr>
      <w:r>
        <w:rPr>
          <w:b w:val="0"/>
          <w:noProof/>
          <w:lang w:val="it-CH"/>
        </w:rPr>
        <w:tab/>
        <w:t>2.3.</w:t>
      </w:r>
      <w:r>
        <w:rPr>
          <w:b w:val="0"/>
          <w:noProof/>
          <w:lang w:val="it-CH"/>
        </w:rPr>
        <w:tab/>
        <w:t xml:space="preserve">Misure di prevenzione delle frodi e delle irregolarità </w:t>
      </w:r>
    </w:p>
    <w:p>
      <w:pPr>
        <w:pStyle w:val="ManualHeading1"/>
        <w:rPr>
          <w:noProof/>
          <w:lang w:val="it-CH"/>
        </w:rPr>
      </w:pPr>
      <w:r>
        <w:rPr>
          <w:noProof/>
          <w:lang w:val="it-CH"/>
        </w:rPr>
        <w:t>3.</w:t>
      </w:r>
      <w:r>
        <w:rPr>
          <w:noProof/>
          <w:lang w:val="it-CH"/>
        </w:rPr>
        <w:tab/>
        <w:t xml:space="preserve">INCIDENZA FINANZIARIA PREVISTA DELLA PROPOSTA/INIZIATIVA </w:t>
      </w:r>
    </w:p>
    <w:p>
      <w:pPr>
        <w:pStyle w:val="ManualHeading2"/>
        <w:rPr>
          <w:b w:val="0"/>
          <w:noProof/>
          <w:lang w:val="it-CH"/>
        </w:rPr>
      </w:pPr>
      <w:r>
        <w:rPr>
          <w:b w:val="0"/>
          <w:noProof/>
          <w:lang w:val="it-CH"/>
        </w:rPr>
        <w:tab/>
        <w:t>3.1.</w:t>
      </w:r>
      <w:r>
        <w:rPr>
          <w:b w:val="0"/>
          <w:noProof/>
          <w:lang w:val="it-CH"/>
        </w:rPr>
        <w:tab/>
        <w:t xml:space="preserve">Rubrica/rubriche del quadro finanziario pluriennale e linea/linee di bilancio di spesa interessate </w:t>
      </w:r>
    </w:p>
    <w:p>
      <w:pPr>
        <w:pStyle w:val="ManualHeading2"/>
        <w:rPr>
          <w:noProof/>
          <w:lang w:val="it-CH"/>
        </w:rPr>
      </w:pPr>
      <w:r>
        <w:rPr>
          <w:b w:val="0"/>
          <w:noProof/>
          <w:lang w:val="it-CH"/>
        </w:rPr>
        <w:tab/>
        <w:t>3.2.</w:t>
      </w:r>
      <w:r>
        <w:rPr>
          <w:b w:val="0"/>
          <w:noProof/>
          <w:lang w:val="it-CH"/>
        </w:rPr>
        <w:tab/>
        <w:t>Incidenza prevista sulle spese</w:t>
      </w:r>
      <w:r>
        <w:rPr>
          <w:noProof/>
          <w:lang w:val="it-CH"/>
        </w:rPr>
        <w:t xml:space="preserve"> </w:t>
      </w:r>
    </w:p>
    <w:p>
      <w:pPr>
        <w:pStyle w:val="ManualHeading3"/>
        <w:rPr>
          <w:noProof/>
          <w:lang w:val="it-CH"/>
        </w:rPr>
      </w:pPr>
      <w:r>
        <w:rPr>
          <w:noProof/>
          <w:lang w:val="it-CH"/>
        </w:rPr>
        <w:tab/>
        <w:t>3.2.1.</w:t>
      </w:r>
      <w:r>
        <w:rPr>
          <w:noProof/>
          <w:lang w:val="it-CH"/>
        </w:rPr>
        <w:tab/>
        <w:t xml:space="preserve">Sintesi dell'incidenza prevista sulle spese </w:t>
      </w:r>
    </w:p>
    <w:p>
      <w:pPr>
        <w:pStyle w:val="ManualHeading3"/>
        <w:rPr>
          <w:noProof/>
          <w:lang w:val="it-CH"/>
        </w:rPr>
      </w:pPr>
      <w:r>
        <w:rPr>
          <w:noProof/>
          <w:lang w:val="it-CH"/>
        </w:rPr>
        <w:tab/>
        <w:t>3.2.2.</w:t>
      </w:r>
      <w:r>
        <w:rPr>
          <w:noProof/>
          <w:lang w:val="it-CH"/>
        </w:rPr>
        <w:tab/>
        <w:t xml:space="preserve">Incidenza prevista sugli stanziamenti operativi </w:t>
      </w:r>
    </w:p>
    <w:p>
      <w:pPr>
        <w:pStyle w:val="ManualHeading3"/>
        <w:rPr>
          <w:noProof/>
          <w:lang w:val="it-CH"/>
        </w:rPr>
      </w:pPr>
      <w:r>
        <w:rPr>
          <w:noProof/>
          <w:lang w:val="it-CH"/>
        </w:rPr>
        <w:tab/>
        <w:t>3.2.3. Incidenza prevista sugli stanziamenti di natura amministrativa</w:t>
      </w:r>
    </w:p>
    <w:p>
      <w:pPr>
        <w:pStyle w:val="ManualHeading3"/>
        <w:rPr>
          <w:noProof/>
          <w:lang w:val="it-CH"/>
        </w:rPr>
      </w:pPr>
      <w:r>
        <w:rPr>
          <w:noProof/>
          <w:lang w:val="it-CH"/>
        </w:rPr>
        <w:tab/>
        <w:t>3.2.4.</w:t>
      </w:r>
      <w:r>
        <w:rPr>
          <w:noProof/>
          <w:lang w:val="it-CH"/>
        </w:rPr>
        <w:tab/>
        <w:t>Compatibilità con il quadro finanziario pluriennale attuale</w:t>
      </w:r>
    </w:p>
    <w:p>
      <w:pPr>
        <w:pStyle w:val="ManualHeading3"/>
        <w:rPr>
          <w:noProof/>
          <w:lang w:val="it-CH"/>
        </w:rPr>
      </w:pPr>
      <w:r>
        <w:rPr>
          <w:noProof/>
          <w:lang w:val="it-CH"/>
        </w:rPr>
        <w:tab/>
        <w:t>3.2.5.</w:t>
      </w:r>
      <w:r>
        <w:rPr>
          <w:noProof/>
          <w:lang w:val="it-CH"/>
        </w:rPr>
        <w:tab/>
        <w:t xml:space="preserve">Partecipazione di terzi al finanziamento </w:t>
      </w:r>
    </w:p>
    <w:p>
      <w:pPr>
        <w:pStyle w:val="ManualHeading2"/>
        <w:jc w:val="left"/>
        <w:rPr>
          <w:b w:val="0"/>
          <w:noProof/>
          <w:lang w:val="it-CH"/>
        </w:rPr>
        <w:sectPr>
          <w:pgSz w:w="11907" w:h="16840" w:code="9"/>
          <w:pgMar w:top="1134" w:right="1418" w:bottom="1134" w:left="1418" w:header="709" w:footer="709" w:gutter="0"/>
          <w:cols w:space="708"/>
          <w:docGrid w:linePitch="360"/>
        </w:sectPr>
      </w:pPr>
      <w:r>
        <w:rPr>
          <w:b w:val="0"/>
          <w:noProof/>
          <w:lang w:val="it-CH"/>
        </w:rPr>
        <w:tab/>
        <w:t>3.3.</w:t>
      </w:r>
      <w:r>
        <w:rPr>
          <w:b w:val="0"/>
          <w:noProof/>
          <w:lang w:val="it-CH"/>
        </w:rPr>
        <w:tab/>
        <w:t>Incidenza prevista sulle entrate</w:t>
      </w:r>
    </w:p>
    <w:p>
      <w:pPr>
        <w:jc w:val="center"/>
        <w:rPr>
          <w:noProof/>
          <w:lang w:val="it-CH"/>
        </w:rPr>
      </w:pPr>
      <w:r>
        <w:rPr>
          <w:b/>
          <w:noProof/>
          <w:u w:val="single"/>
          <w:lang w:val="it-CH"/>
        </w:rPr>
        <w:t>SCHEDA FINANZIARIA LEGISLATIVA</w:t>
      </w:r>
    </w:p>
    <w:p>
      <w:pPr>
        <w:pStyle w:val="ManualHeading1"/>
        <w:rPr>
          <w:noProof/>
          <w:lang w:val="it-CH"/>
        </w:rPr>
      </w:pPr>
      <w:r>
        <w:rPr>
          <w:noProof/>
          <w:lang w:val="it-CH"/>
        </w:rPr>
        <w:t>1.</w:t>
      </w:r>
      <w:r>
        <w:rPr>
          <w:noProof/>
          <w:lang w:val="it-CH"/>
        </w:rPr>
        <w:tab/>
        <w:t xml:space="preserve">CONTESTO DELLA PROPOSTA/INIZIATIVA </w:t>
      </w:r>
    </w:p>
    <w:p>
      <w:pPr>
        <w:pStyle w:val="ManualHeading2"/>
        <w:rPr>
          <w:noProof/>
          <w:lang w:val="it-CH"/>
        </w:rPr>
      </w:pPr>
      <w:r>
        <w:rPr>
          <w:noProof/>
          <w:lang w:val="it-CH"/>
        </w:rPr>
        <w:t>1.1.</w:t>
      </w:r>
      <w:r>
        <w:rPr>
          <w:noProof/>
          <w:lang w:val="it-CH"/>
        </w:rPr>
        <w:tab/>
        <w:t xml:space="preserve">Titolo della proposta/iniziativa </w:t>
      </w:r>
    </w:p>
    <w:p>
      <w:pPr>
        <w:pStyle w:val="Text1"/>
        <w:pBdr>
          <w:top w:val="single" w:sz="4" w:space="1" w:color="auto"/>
          <w:left w:val="single" w:sz="4" w:space="4" w:color="auto"/>
          <w:bottom w:val="single" w:sz="4" w:space="1" w:color="auto"/>
          <w:right w:val="single" w:sz="4" w:space="4" w:color="auto"/>
        </w:pBdr>
        <w:rPr>
          <w:noProof/>
          <w:lang w:val="it-CH"/>
        </w:rPr>
      </w:pPr>
      <w:r>
        <w:rPr>
          <w:noProof/>
          <w:lang w:val="it-CH"/>
        </w:rPr>
        <w:t>Regolamento del Parlamento europeo e del Consiglio relativo alle riduzioni annuali vincolanti delle emissioni di gas serra a carico degli Stati membri nel periodo 2021</w:t>
      </w:r>
      <w:r>
        <w:rPr>
          <w:noProof/>
          <w:lang w:val="it-CH"/>
        </w:rPr>
        <w:noBreakHyphen/>
        <w:t>2030 per un'Unione dell'energia resiliente e per onorare gli impegni assunti a norma dell'accordo di Parigi.</w:t>
      </w:r>
    </w:p>
    <w:p>
      <w:pPr>
        <w:pStyle w:val="ManualHeading2"/>
        <w:rPr>
          <w:noProof/>
          <w:szCs w:val="24"/>
          <w:lang w:val="it-CH"/>
        </w:rPr>
      </w:pPr>
      <w:r>
        <w:rPr>
          <w:noProof/>
          <w:lang w:val="it-CH"/>
        </w:rPr>
        <w:t>1.2.</w:t>
      </w:r>
      <w:r>
        <w:rPr>
          <w:noProof/>
          <w:lang w:val="it-CH"/>
        </w:rPr>
        <w:tab/>
        <w:t>Settore/settori interessati nella struttura ABM/ABB</w:t>
      </w:r>
      <w:r>
        <w:rPr>
          <w:rStyle w:val="FootnoteReference"/>
          <w:noProof/>
          <w:lang w:val="it-CH"/>
        </w:rPr>
        <w:footnoteReference w:id="23"/>
      </w:r>
      <w:r>
        <w:rPr>
          <w:i/>
          <w:noProof/>
          <w:lang w:val="it-CH"/>
        </w:rPr>
        <w:t xml:space="preserve"> </w:t>
      </w:r>
    </w:p>
    <w:p>
      <w:pPr>
        <w:pStyle w:val="Text1"/>
        <w:pBdr>
          <w:top w:val="single" w:sz="4" w:space="1" w:color="auto"/>
          <w:left w:val="single" w:sz="4" w:space="4" w:color="auto"/>
          <w:bottom w:val="single" w:sz="4" w:space="1" w:color="auto"/>
          <w:right w:val="single" w:sz="4" w:space="4" w:color="auto"/>
        </w:pBdr>
        <w:rPr>
          <w:noProof/>
          <w:lang w:val="it-CH"/>
        </w:rPr>
      </w:pPr>
      <w:r>
        <w:rPr>
          <w:noProof/>
          <w:lang w:val="it-CH"/>
        </w:rPr>
        <w:t>Ambito della politica: Azione per il clima</w:t>
      </w:r>
    </w:p>
    <w:p>
      <w:pPr>
        <w:pStyle w:val="Text1"/>
        <w:pBdr>
          <w:top w:val="single" w:sz="4" w:space="1" w:color="auto"/>
          <w:left w:val="single" w:sz="4" w:space="4" w:color="auto"/>
          <w:bottom w:val="single" w:sz="4" w:space="1" w:color="auto"/>
          <w:right w:val="single" w:sz="4" w:space="4" w:color="auto"/>
        </w:pBdr>
        <w:rPr>
          <w:noProof/>
          <w:lang w:val="it-CH"/>
        </w:rPr>
      </w:pPr>
      <w:r>
        <w:rPr>
          <w:noProof/>
          <w:lang w:val="it-CH"/>
        </w:rPr>
        <w:t>Attività ABB: Azione per il clima a livello internazionale e dell'Unione (codice ABB 34 02 01)</w:t>
      </w:r>
    </w:p>
    <w:p>
      <w:pPr>
        <w:pStyle w:val="ManualHeading2"/>
        <w:rPr>
          <w:bCs/>
          <w:noProof/>
          <w:szCs w:val="24"/>
          <w:lang w:val="it-CH"/>
        </w:rPr>
      </w:pPr>
      <w:r>
        <w:rPr>
          <w:noProof/>
          <w:lang w:val="it-CH"/>
        </w:rPr>
        <w:t>1.3.</w:t>
      </w:r>
      <w:r>
        <w:rPr>
          <w:noProof/>
          <w:lang w:val="it-CH"/>
        </w:rPr>
        <w:tab/>
        <w:t xml:space="preserve">Natura della proposta/iniziativa </w:t>
      </w:r>
    </w:p>
    <w:p>
      <w:pPr>
        <w:pStyle w:val="Text1"/>
        <w:rPr>
          <w:b/>
          <w:noProof/>
          <w:sz w:val="22"/>
          <w:lang w:val="it-CH"/>
        </w:rPr>
      </w:pPr>
      <w:r>
        <w:rPr>
          <w:noProof/>
          <w:sz w:val="22"/>
          <w:lang w:val="it-CH"/>
        </w:rPr>
        <w:sym w:font="Wingdings" w:char="F0A8"/>
      </w:r>
      <w:r>
        <w:rPr>
          <w:b/>
          <w:i/>
          <w:noProof/>
          <w:sz w:val="22"/>
          <w:lang w:val="it-CH"/>
        </w:rPr>
        <w:t xml:space="preserve"> </w:t>
      </w:r>
      <w:r>
        <w:rPr>
          <w:noProof/>
          <w:lang w:val="it-CH"/>
        </w:rPr>
        <w:t xml:space="preserve">La proposta/iniziativa riguarda </w:t>
      </w:r>
      <w:r>
        <w:rPr>
          <w:b/>
          <w:noProof/>
          <w:lang w:val="it-CH"/>
        </w:rPr>
        <w:t>una nuova azione</w:t>
      </w:r>
      <w:r>
        <w:rPr>
          <w:b/>
          <w:noProof/>
          <w:sz w:val="22"/>
          <w:lang w:val="it-CH"/>
        </w:rPr>
        <w:t xml:space="preserve"> </w:t>
      </w:r>
    </w:p>
    <w:p>
      <w:pPr>
        <w:pStyle w:val="Text1"/>
        <w:rPr>
          <w:noProof/>
          <w:sz w:val="22"/>
          <w:lang w:val="it-CH"/>
        </w:rPr>
      </w:pPr>
      <w:r>
        <w:rPr>
          <w:noProof/>
          <w:sz w:val="22"/>
          <w:lang w:val="it-CH"/>
        </w:rPr>
        <w:sym w:font="Wingdings" w:char="F0A8"/>
      </w:r>
      <w:r>
        <w:rPr>
          <w:i/>
          <w:noProof/>
          <w:sz w:val="22"/>
          <w:lang w:val="it-CH"/>
        </w:rPr>
        <w:t xml:space="preserve"> </w:t>
      </w:r>
      <w:r>
        <w:rPr>
          <w:noProof/>
          <w:lang w:val="it-CH"/>
        </w:rPr>
        <w:t xml:space="preserve">La proposta/iniziativa riguarda </w:t>
      </w:r>
      <w:r>
        <w:rPr>
          <w:b/>
          <w:noProof/>
          <w:lang w:val="it-CH"/>
        </w:rPr>
        <w:t>una nuova azione a seguito di un progetto pilota/un'azione preparatoria</w:t>
      </w:r>
      <w:r>
        <w:rPr>
          <w:rStyle w:val="FootnoteReference"/>
          <w:noProof/>
          <w:lang w:val="it-CH"/>
        </w:rPr>
        <w:footnoteReference w:id="24"/>
      </w:r>
      <w:r>
        <w:rPr>
          <w:noProof/>
          <w:sz w:val="22"/>
          <w:lang w:val="it-CH"/>
        </w:rPr>
        <w:t xml:space="preserve"> </w:t>
      </w:r>
    </w:p>
    <w:p>
      <w:pPr>
        <w:pStyle w:val="Text1"/>
        <w:rPr>
          <w:noProof/>
          <w:sz w:val="22"/>
          <w:lang w:val="it-CH"/>
        </w:rPr>
      </w:pPr>
      <w:r>
        <w:rPr>
          <w:noProof/>
          <w:lang w:val="it-CH"/>
        </w:rPr>
        <w:t xml:space="preserve">X La proposta/iniziativa riguarda </w:t>
      </w:r>
      <w:r>
        <w:rPr>
          <w:b/>
          <w:noProof/>
          <w:lang w:val="it-CH"/>
        </w:rPr>
        <w:t>la proroga di un'azione esistente</w:t>
      </w:r>
      <w:r>
        <w:rPr>
          <w:noProof/>
          <w:sz w:val="22"/>
          <w:lang w:val="it-CH"/>
        </w:rPr>
        <w:t xml:space="preserve"> </w:t>
      </w:r>
    </w:p>
    <w:p>
      <w:pPr>
        <w:pStyle w:val="Text1"/>
        <w:rPr>
          <w:noProof/>
          <w:lang w:val="it-CH"/>
        </w:rPr>
      </w:pPr>
      <w:r>
        <w:rPr>
          <w:noProof/>
          <w:sz w:val="22"/>
          <w:lang w:val="it-CH"/>
        </w:rPr>
        <w:sym w:font="Wingdings" w:char="F0A8"/>
      </w:r>
      <w:r>
        <w:rPr>
          <w:i/>
          <w:noProof/>
          <w:sz w:val="22"/>
          <w:lang w:val="it-CH"/>
        </w:rPr>
        <w:t xml:space="preserve"> </w:t>
      </w:r>
      <w:r>
        <w:rPr>
          <w:noProof/>
          <w:lang w:val="it-CH"/>
        </w:rPr>
        <w:t xml:space="preserve">La proposta/iniziativa riguarda </w:t>
      </w:r>
      <w:r>
        <w:rPr>
          <w:b/>
          <w:noProof/>
          <w:lang w:val="it-CH"/>
        </w:rPr>
        <w:t>un'azione riorientata verso una nuova azione</w:t>
      </w:r>
      <w:r>
        <w:rPr>
          <w:noProof/>
          <w:lang w:val="it-CH"/>
        </w:rPr>
        <w:t xml:space="preserve"> </w:t>
      </w:r>
    </w:p>
    <w:p>
      <w:pPr>
        <w:pStyle w:val="ManualHeading2"/>
        <w:rPr>
          <w:bCs/>
          <w:noProof/>
          <w:szCs w:val="24"/>
          <w:lang w:val="it-CH"/>
        </w:rPr>
      </w:pPr>
      <w:r>
        <w:rPr>
          <w:noProof/>
          <w:lang w:val="it-CH"/>
        </w:rPr>
        <w:t>1.4.</w:t>
      </w:r>
      <w:r>
        <w:rPr>
          <w:noProof/>
          <w:lang w:val="it-CH"/>
        </w:rPr>
        <w:tab/>
        <w:t>Obiettivi</w:t>
      </w:r>
    </w:p>
    <w:p>
      <w:pPr>
        <w:pStyle w:val="ManualHeading3"/>
        <w:rPr>
          <w:noProof/>
          <w:lang w:val="it-CH"/>
        </w:rPr>
      </w:pPr>
      <w:r>
        <w:rPr>
          <w:noProof/>
          <w:lang w:val="it-CH"/>
        </w:rPr>
        <w:t>1.4.1.</w:t>
      </w:r>
      <w:r>
        <w:rPr>
          <w:noProof/>
          <w:lang w:val="it-CH"/>
        </w:rPr>
        <w:tab/>
        <w:t xml:space="preserve">Obiettivi strategici pluriennali della Commissione oggetto della proposta/iniziativa </w:t>
      </w:r>
    </w:p>
    <w:p>
      <w:pPr>
        <w:pStyle w:val="Text1"/>
        <w:pBdr>
          <w:top w:val="single" w:sz="4" w:space="1" w:color="auto"/>
          <w:left w:val="single" w:sz="4" w:space="4" w:color="auto"/>
          <w:bottom w:val="single" w:sz="4" w:space="1" w:color="auto"/>
          <w:right w:val="single" w:sz="4" w:space="4" w:color="auto"/>
        </w:pBdr>
        <w:rPr>
          <w:noProof/>
          <w:lang w:val="it-CH"/>
        </w:rPr>
      </w:pPr>
      <w:r>
        <w:rPr>
          <w:noProof/>
          <w:lang w:val="it-CH"/>
        </w:rPr>
        <w:t>La proposta fa parte della normativa di attuazione del pacchetto 2030 per il clima e l'energia approvato dal Consiglio europeo nel mese di ottobre 2014, per raggiungere l'obiettivo UE di riduzione delle emissioni dei gas serra entro il 2030 di almeno il 40% rispetto al 1990 a livello nazionale, in modo efficace rispetto ai costi, e per contribuire a limitare il riscaldamento globale.</w:t>
      </w:r>
    </w:p>
    <w:p>
      <w:pPr>
        <w:pStyle w:val="Text1"/>
        <w:pBdr>
          <w:top w:val="single" w:sz="4" w:space="1" w:color="auto"/>
          <w:left w:val="single" w:sz="4" w:space="4" w:color="auto"/>
          <w:bottom w:val="single" w:sz="4" w:space="1" w:color="auto"/>
          <w:right w:val="single" w:sz="4" w:space="4" w:color="auto"/>
        </w:pBdr>
        <w:rPr>
          <w:noProof/>
          <w:lang w:val="it-CH"/>
        </w:rPr>
      </w:pPr>
      <w:r>
        <w:rPr>
          <w:noProof/>
          <w:lang w:val="it-CH"/>
        </w:rPr>
        <w:t>La proposta fa parte delle dieci priorità politiche della Commissione ed è un elemento importante del quadro strategico per l'Unione dell'energia.</w:t>
      </w:r>
    </w:p>
    <w:p>
      <w:pPr>
        <w:pStyle w:val="ManualHeading3"/>
        <w:rPr>
          <w:bCs/>
          <w:noProof/>
          <w:szCs w:val="24"/>
          <w:lang w:val="it-CH"/>
        </w:rPr>
      </w:pPr>
      <w:r>
        <w:rPr>
          <w:noProof/>
          <w:lang w:val="it-CH"/>
        </w:rPr>
        <w:t>1.4.2.</w:t>
      </w:r>
      <w:r>
        <w:rPr>
          <w:noProof/>
          <w:lang w:val="it-CH"/>
        </w:rPr>
        <w:tab/>
        <w:t xml:space="preserve">Obiettivi specifici e attività ABM/ABB interessate </w:t>
      </w:r>
    </w:p>
    <w:p>
      <w:pPr>
        <w:pStyle w:val="Text1"/>
        <w:pBdr>
          <w:top w:val="single" w:sz="4" w:space="1" w:color="auto"/>
          <w:left w:val="single" w:sz="4" w:space="4" w:color="auto"/>
          <w:bottom w:val="single" w:sz="4" w:space="1" w:color="auto"/>
          <w:right w:val="single" w:sz="4" w:space="4" w:color="auto"/>
        </w:pBdr>
        <w:rPr>
          <w:noProof/>
          <w:u w:val="single"/>
          <w:lang w:val="it-CH"/>
        </w:rPr>
      </w:pPr>
      <w:r>
        <w:rPr>
          <w:noProof/>
          <w:u w:val="single"/>
          <w:lang w:val="it-CH"/>
        </w:rPr>
        <w:t>Obiettivo specifico 1</w:t>
      </w:r>
    </w:p>
    <w:p>
      <w:pPr>
        <w:pStyle w:val="Text1"/>
        <w:pBdr>
          <w:top w:val="single" w:sz="4" w:space="1" w:color="auto"/>
          <w:left w:val="single" w:sz="4" w:space="4" w:color="auto"/>
          <w:bottom w:val="single" w:sz="4" w:space="1" w:color="auto"/>
          <w:right w:val="single" w:sz="4" w:space="4" w:color="auto"/>
        </w:pBdr>
        <w:rPr>
          <w:noProof/>
          <w:lang w:val="it-CH"/>
        </w:rPr>
      </w:pPr>
      <w:r>
        <w:rPr>
          <w:noProof/>
          <w:lang w:val="it-CH"/>
        </w:rPr>
        <w:t>Monitorare i progressi compiuti e verificare il rispetto degli obblighi di riduzione delle emissioni degli Stati membri in conformità alla proposta, al fine di raggiungere a livello europeo una riduzione del 30% delle emissioni GES nei settori non ETS rispetto al 2005 in modo equo e efficiente rispetto ai costi e che garantisca l'integrità ambientale.</w:t>
      </w:r>
    </w:p>
    <w:p>
      <w:pPr>
        <w:pStyle w:val="Text1"/>
        <w:pBdr>
          <w:top w:val="single" w:sz="4" w:space="1" w:color="auto"/>
          <w:left w:val="single" w:sz="4" w:space="4" w:color="auto"/>
          <w:bottom w:val="single" w:sz="4" w:space="1" w:color="auto"/>
          <w:right w:val="single" w:sz="4" w:space="4" w:color="auto"/>
        </w:pBdr>
        <w:rPr>
          <w:noProof/>
          <w:u w:val="single"/>
          <w:lang w:val="it-CH"/>
        </w:rPr>
      </w:pPr>
      <w:r>
        <w:rPr>
          <w:noProof/>
          <w:u w:val="single"/>
          <w:lang w:val="it-CH"/>
        </w:rPr>
        <w:t>Attività ABM/ABB interessate</w:t>
      </w:r>
    </w:p>
    <w:p>
      <w:pPr>
        <w:pStyle w:val="Text1"/>
        <w:pBdr>
          <w:top w:val="single" w:sz="4" w:space="1" w:color="auto"/>
          <w:left w:val="single" w:sz="4" w:space="4" w:color="auto"/>
          <w:bottom w:val="single" w:sz="4" w:space="1" w:color="auto"/>
          <w:right w:val="single" w:sz="4" w:space="4" w:color="auto"/>
        </w:pBdr>
        <w:rPr>
          <w:noProof/>
          <w:lang w:val="it-CH"/>
        </w:rPr>
      </w:pPr>
      <w:r>
        <w:rPr>
          <w:noProof/>
          <w:lang w:val="it-CH"/>
        </w:rPr>
        <w:t xml:space="preserve">Azione per il clima </w:t>
      </w:r>
    </w:p>
    <w:p>
      <w:pPr>
        <w:pStyle w:val="ManualHeading3"/>
        <w:rPr>
          <w:bCs/>
          <w:noProof/>
          <w:szCs w:val="24"/>
          <w:lang w:val="it-CH"/>
        </w:rPr>
      </w:pPr>
      <w:r>
        <w:rPr>
          <w:noProof/>
          <w:lang w:val="it-CH"/>
        </w:rPr>
        <w:br w:type="page"/>
        <w:t>1.4.3.</w:t>
      </w:r>
      <w:r>
        <w:rPr>
          <w:noProof/>
          <w:lang w:val="it-CH"/>
        </w:rPr>
        <w:tab/>
        <w:t>Risultati e incidenza previsti</w:t>
      </w:r>
    </w:p>
    <w:p>
      <w:pPr>
        <w:pStyle w:val="Text1"/>
        <w:rPr>
          <w:i/>
          <w:noProof/>
          <w:sz w:val="20"/>
          <w:lang w:val="it-CH"/>
        </w:rPr>
      </w:pPr>
      <w:r>
        <w:rPr>
          <w:i/>
          <w:noProof/>
          <w:sz w:val="20"/>
          <w:lang w:val="it-CH"/>
        </w:rPr>
        <w:t>Precisare gli effetti che la proposta/iniziativa dovrebbe avere sui beneficiari/gruppi interessati.</w:t>
      </w:r>
    </w:p>
    <w:p>
      <w:pPr>
        <w:pStyle w:val="Text1"/>
        <w:pBdr>
          <w:top w:val="single" w:sz="4" w:space="1" w:color="auto"/>
          <w:left w:val="single" w:sz="4" w:space="4" w:color="auto"/>
          <w:bottom w:val="single" w:sz="4" w:space="1" w:color="auto"/>
          <w:right w:val="single" w:sz="4" w:space="4" w:color="auto"/>
        </w:pBdr>
        <w:rPr>
          <w:noProof/>
          <w:lang w:val="it-CH"/>
        </w:rPr>
      </w:pPr>
      <w:r>
        <w:rPr>
          <w:noProof/>
          <w:lang w:val="it-CH"/>
        </w:rPr>
        <w:t>La proposta assicurerà un livello di riduzione del 30% delle emissioni di gas serra a livello europeo nei settori non-ETS entro il 2030 in confronto a quelli del 2005.</w:t>
      </w:r>
    </w:p>
    <w:p>
      <w:pPr>
        <w:pStyle w:val="Text1"/>
        <w:pBdr>
          <w:top w:val="single" w:sz="4" w:space="1" w:color="auto"/>
          <w:left w:val="single" w:sz="4" w:space="4" w:color="auto"/>
          <w:bottom w:val="single" w:sz="4" w:space="1" w:color="auto"/>
          <w:right w:val="single" w:sz="4" w:space="4" w:color="auto"/>
        </w:pBdr>
        <w:rPr>
          <w:noProof/>
          <w:lang w:val="it-CH"/>
        </w:rPr>
      </w:pPr>
      <w:r>
        <w:rPr>
          <w:noProof/>
          <w:lang w:val="it-CH"/>
        </w:rPr>
        <w:t>La proposta fissa obiettivi nazionali non-ETS che si basano principalmente sul PIL pro capite, affrontando in questo modo la principale preoccupazione degli Stati membri relativa all'equità. Le modifiche dell'obiettivo previste per gli Stati membri con un alto reddito, così come il miglioramento delle flessibilità nuove ed esistenti, consentono il raggiungimento dell'obiettivo in modo economicamente efficiente. Per garantire l'integrità ambientale generale, il punto di partenza del 2021 della traiettoria verso l'obiettivo deve essere stabilito in base alle emissioni storiche e le nuove flessibilità devono essere limitate per non rischiare di disattendere l'impegno dell'UE sul piano internazionale nell'ambito delle riduzioni nazionali delle emissioni di gas serra di almeno il 40% rispetto al 1990 entro il 2030.</w:t>
      </w:r>
    </w:p>
    <w:p>
      <w:pPr>
        <w:pStyle w:val="Text1"/>
        <w:pBdr>
          <w:top w:val="single" w:sz="4" w:space="1" w:color="auto"/>
          <w:left w:val="single" w:sz="4" w:space="4" w:color="auto"/>
          <w:bottom w:val="single" w:sz="4" w:space="1" w:color="auto"/>
          <w:right w:val="single" w:sz="4" w:space="4" w:color="auto"/>
        </w:pBdr>
        <w:rPr>
          <w:noProof/>
          <w:lang w:val="it-CH"/>
        </w:rPr>
      </w:pPr>
      <w:r>
        <w:rPr>
          <w:noProof/>
          <w:lang w:val="it-CH"/>
        </w:rPr>
        <w:t xml:space="preserve">Si consigliano controlli di conformità meno frequenti, cioè ogni cinque anni invece che ogni anno; ciò ridurrà l'onere amministrativo per gli Stati membri e la Commissione europea. Non esistono obblighi di comunicazione diretta o altre conseguenze amministrative per le imprese, le PMI e le micro-imprese. </w:t>
      </w:r>
    </w:p>
    <w:p>
      <w:pPr>
        <w:pStyle w:val="Text1"/>
        <w:pBdr>
          <w:top w:val="single" w:sz="4" w:space="1" w:color="auto"/>
          <w:left w:val="single" w:sz="4" w:space="4" w:color="auto"/>
          <w:bottom w:val="single" w:sz="4" w:space="1" w:color="auto"/>
          <w:right w:val="single" w:sz="4" w:space="4" w:color="auto"/>
        </w:pBdr>
        <w:rPr>
          <w:noProof/>
          <w:lang w:val="it-CH"/>
        </w:rPr>
      </w:pPr>
      <w:r>
        <w:rPr>
          <w:noProof/>
          <w:lang w:val="it-CH"/>
        </w:rPr>
        <w:t>La proposta è rivolta agli Stati membri in qualità di attori istituzionali. La politica proposta deve essere attuata a livello nazionale e riguarda quindi la maggior parte delle loro amministrazioni nazionali. A seconda della natura e della portata delle misure nazionali attuate dai singoli Stati membri, queste interesseranno vari attori nei settori in questione</w:t>
      </w:r>
      <w:r>
        <w:t>.</w:t>
      </w:r>
    </w:p>
    <w:p>
      <w:pPr>
        <w:pStyle w:val="Text1"/>
        <w:pBdr>
          <w:top w:val="single" w:sz="4" w:space="1" w:color="auto"/>
          <w:left w:val="single" w:sz="4" w:space="4" w:color="auto"/>
          <w:bottom w:val="single" w:sz="4" w:space="1" w:color="auto"/>
          <w:right w:val="single" w:sz="4" w:space="4" w:color="auto"/>
        </w:pBdr>
        <w:rPr>
          <w:noProof/>
          <w:lang w:val="it-CH"/>
        </w:rPr>
      </w:pPr>
      <w:r>
        <w:rPr>
          <w:noProof/>
          <w:lang w:val="it-CH"/>
        </w:rPr>
        <w:t>Ulteriori effetti dipenderanno dalle politiche nazionali e dalle misure scelte in ogni singolo paese</w:t>
      </w:r>
      <w:r>
        <w:t>.</w:t>
      </w:r>
    </w:p>
    <w:p>
      <w:pPr>
        <w:pStyle w:val="ManualHeading3"/>
        <w:rPr>
          <w:bCs/>
          <w:noProof/>
          <w:szCs w:val="24"/>
          <w:lang w:val="it-CH"/>
        </w:rPr>
      </w:pPr>
      <w:r>
        <w:rPr>
          <w:noProof/>
          <w:lang w:val="it-CH"/>
        </w:rPr>
        <w:t>1.4.4.</w:t>
      </w:r>
      <w:r>
        <w:rPr>
          <w:noProof/>
          <w:lang w:val="it-CH"/>
        </w:rPr>
        <w:tab/>
        <w:t xml:space="preserve">Indicatori di risultato e di incidenza </w:t>
      </w:r>
    </w:p>
    <w:p>
      <w:pPr>
        <w:pStyle w:val="Text1"/>
        <w:rPr>
          <w:i/>
          <w:noProof/>
          <w:sz w:val="20"/>
          <w:lang w:val="it-CH"/>
        </w:rPr>
      </w:pPr>
      <w:r>
        <w:rPr>
          <w:i/>
          <w:noProof/>
          <w:sz w:val="20"/>
          <w:lang w:val="it-CH"/>
        </w:rPr>
        <w:t>Precisare gli indicatori che permettono di seguire l'attuazione della proposta/iniziativa.</w:t>
      </w:r>
    </w:p>
    <w:p>
      <w:pPr>
        <w:pStyle w:val="Text1"/>
        <w:pBdr>
          <w:top w:val="single" w:sz="4" w:space="1" w:color="auto"/>
          <w:left w:val="single" w:sz="4" w:space="4" w:color="auto"/>
          <w:bottom w:val="single" w:sz="4" w:space="1" w:color="auto"/>
          <w:right w:val="single" w:sz="4" w:space="4" w:color="auto"/>
        </w:pBdr>
        <w:rPr>
          <w:noProof/>
          <w:lang w:val="it-CH"/>
        </w:rPr>
      </w:pPr>
      <w:r>
        <w:rPr>
          <w:noProof/>
          <w:lang w:val="it-CH"/>
        </w:rPr>
        <w:t>Indicatore n.1: Livello di riduzione delle emissioni di gas serra non-ETS nell'UE.</w:t>
      </w:r>
    </w:p>
    <w:p>
      <w:pPr>
        <w:pStyle w:val="Text1"/>
        <w:pBdr>
          <w:top w:val="single" w:sz="4" w:space="1" w:color="auto"/>
          <w:left w:val="single" w:sz="4" w:space="4" w:color="auto"/>
          <w:bottom w:val="single" w:sz="4" w:space="1" w:color="auto"/>
          <w:right w:val="single" w:sz="4" w:space="4" w:color="auto"/>
        </w:pBdr>
        <w:rPr>
          <w:noProof/>
          <w:lang w:val="it-CH"/>
        </w:rPr>
      </w:pPr>
      <w:r>
        <w:rPr>
          <w:noProof/>
          <w:lang w:val="it-CH"/>
        </w:rPr>
        <w:t>Indicatore n.2: Livelli di riduzione delle emissioni negli Stati membri.</w:t>
      </w:r>
    </w:p>
    <w:p>
      <w:pPr>
        <w:pStyle w:val="ManualHeading2"/>
        <w:rPr>
          <w:bCs/>
          <w:noProof/>
          <w:szCs w:val="24"/>
          <w:lang w:val="it-CH"/>
        </w:rPr>
      </w:pPr>
      <w:r>
        <w:rPr>
          <w:noProof/>
          <w:lang w:val="it-CH"/>
        </w:rPr>
        <w:t>1.5.</w:t>
      </w:r>
      <w:r>
        <w:rPr>
          <w:noProof/>
          <w:lang w:val="it-CH"/>
        </w:rPr>
        <w:tab/>
        <w:t xml:space="preserve">Motivazione della proposta/iniziativa </w:t>
      </w:r>
    </w:p>
    <w:p>
      <w:pPr>
        <w:pStyle w:val="ManualHeading3"/>
        <w:rPr>
          <w:noProof/>
          <w:lang w:val="it-CH"/>
        </w:rPr>
      </w:pPr>
      <w:r>
        <w:rPr>
          <w:noProof/>
          <w:lang w:val="it-CH"/>
        </w:rPr>
        <w:t>1.5.1.</w:t>
      </w:r>
      <w:r>
        <w:rPr>
          <w:noProof/>
          <w:lang w:val="it-CH"/>
        </w:rPr>
        <w:tab/>
        <w:t xml:space="preserve">Necessità nel breve e lungo termine </w:t>
      </w:r>
    </w:p>
    <w:p>
      <w:pPr>
        <w:pStyle w:val="Text1"/>
        <w:pBdr>
          <w:top w:val="single" w:sz="4" w:space="1" w:color="auto"/>
          <w:left w:val="single" w:sz="4" w:space="4" w:color="auto"/>
          <w:bottom w:val="single" w:sz="4" w:space="1" w:color="auto"/>
          <w:right w:val="single" w:sz="4" w:space="4" w:color="auto"/>
        </w:pBdr>
        <w:rPr>
          <w:noProof/>
          <w:lang w:val="it-CH"/>
        </w:rPr>
      </w:pPr>
      <w:r>
        <w:rPr>
          <w:noProof/>
          <w:lang w:val="it-CH"/>
        </w:rPr>
        <w:t>Gli Stati membri devono raggiungere i loro obiettivi nazionali di riduzione delle emissioni entro il 2030. Dovranno attuare le politiche, le misure e le disposizioni di legge e amministrative necessarie a livello nazionale per conformarsi alla proposta. La Commissione dovrà mettere a punto le relative misure di attuazione per il periodo successivo al 2020.</w:t>
      </w:r>
    </w:p>
    <w:p>
      <w:pPr>
        <w:pStyle w:val="ManualHeading3"/>
        <w:rPr>
          <w:bCs/>
          <w:noProof/>
          <w:szCs w:val="24"/>
          <w:lang w:val="it-CH"/>
        </w:rPr>
      </w:pPr>
      <w:r>
        <w:rPr>
          <w:noProof/>
          <w:lang w:val="it-CH"/>
        </w:rPr>
        <w:t>1.5.2.</w:t>
      </w:r>
      <w:r>
        <w:rPr>
          <w:noProof/>
          <w:lang w:val="it-CH"/>
        </w:rPr>
        <w:tab/>
        <w:t>Valore aggiunto dell'intervento dell'Unione europea</w:t>
      </w:r>
    </w:p>
    <w:p>
      <w:pPr>
        <w:pStyle w:val="Text1"/>
        <w:pBdr>
          <w:top w:val="single" w:sz="4" w:space="1" w:color="auto"/>
          <w:left w:val="single" w:sz="4" w:space="4" w:color="auto"/>
          <w:bottom w:val="single" w:sz="4" w:space="1" w:color="auto"/>
          <w:right w:val="single" w:sz="4" w:space="4" w:color="auto"/>
        </w:pBdr>
        <w:rPr>
          <w:noProof/>
          <w:lang w:val="it-CH"/>
        </w:rPr>
      </w:pPr>
      <w:r>
        <w:rPr>
          <w:noProof/>
          <w:lang w:val="it-CH"/>
        </w:rPr>
        <w:t>Il cambiamento climatico è un problema transfrontaliero. Poiché l'obiettivo dell'azione proposta non può essere sufficientemente realizzato dagli Stati membri che agiscono individualmente, è necessario il coordinamento dell'azione per il clima a livello europeo e, ove possibile, a livello globale e l'azione dell'UE è giustificata sulla base del principio di sussidiarietà. L'UE e i suoi Stati membri partecipano congiuntamente all'attuazione dell'accordo di Parigi. L'azione congiunta consente all'UE di affrontare le questioni di equità ed efficienza, raggiungendo al contempo un ambizioso obiettivo ambientale. Gli articoli da 191 a 193 del TFUE confermano le competenze dell'UE in materia di cambiamenti climatici.</w:t>
      </w:r>
    </w:p>
    <w:p>
      <w:pPr>
        <w:pStyle w:val="ManualHeading3"/>
        <w:rPr>
          <w:bCs/>
          <w:noProof/>
          <w:szCs w:val="24"/>
          <w:lang w:val="it-CH"/>
        </w:rPr>
      </w:pPr>
      <w:r>
        <w:rPr>
          <w:noProof/>
          <w:lang w:val="it-CH"/>
        </w:rPr>
        <w:t>1.5.3.</w:t>
      </w:r>
      <w:r>
        <w:rPr>
          <w:noProof/>
          <w:lang w:val="it-CH"/>
        </w:rPr>
        <w:tab/>
        <w:t>Insegnamenti tratti da esperienze analoghe</w:t>
      </w:r>
    </w:p>
    <w:p>
      <w:pPr>
        <w:pStyle w:val="Text1"/>
        <w:pBdr>
          <w:top w:val="single" w:sz="4" w:space="1" w:color="auto"/>
          <w:left w:val="single" w:sz="4" w:space="4" w:color="auto"/>
          <w:bottom w:val="single" w:sz="4" w:space="1" w:color="auto"/>
          <w:right w:val="single" w:sz="4" w:space="4" w:color="auto"/>
        </w:pBdr>
        <w:rPr>
          <w:noProof/>
          <w:lang w:val="it-CH"/>
        </w:rPr>
      </w:pPr>
      <w:r>
        <w:rPr>
          <w:noProof/>
          <w:lang w:val="it-CH"/>
        </w:rPr>
        <w:t>Mentre l'attuale decisione sulla condivisione degli sforzi (ESD) è ancora nelle prime fasi di attuazione, si può ritenere che gli impegni degli Stati membri siano riusciti, almeno in parte, ad incentivare nuove politiche e misure nazionali che promuovono riduzioni efficaci delle emissioni di gas serra nel campo di applicazione dell'ESD. Questo effetto è stato rafforzato dal fatto che l'ESD è stata avviata insieme a varie altre politiche climatiche ed energetiche dell'UE nell'ambito del pacchetto 2020, in particolare sull'efficienza energetica e le energie rinnovabili. Per diversi settori ESD, compresi l'edilizia, i trasporti, l'agricoltura e i rifiuti, una parte significativa delle riduzioni delle emissioni dei gas serra ottenute finora può essere attribuita a fattori quali le evoluzioni tecnologiche, che sono influenzate dagli interventi strategici legati al pacchetto 2020. Nel complesso, l'ESD ha portato gli Stati membri a diventare più attivi nell'esaminare nuove misure per ridurre le emissioni nei diversi settori e nel migliorarne l'impostazione. Si è riscontrato che l'ESD ha determinato un limitato un onere amministrativo aggiuntivo per gli Stati membri, e probabilmente sarà possibile ridurre ulteriormente i costi amministrativi a livello UE.</w:t>
      </w:r>
    </w:p>
    <w:p>
      <w:pPr>
        <w:pStyle w:val="ManualHeading3"/>
        <w:rPr>
          <w:bCs/>
          <w:noProof/>
          <w:szCs w:val="24"/>
          <w:lang w:val="it-CH"/>
        </w:rPr>
      </w:pPr>
      <w:r>
        <w:rPr>
          <w:noProof/>
          <w:lang w:val="it-CH"/>
        </w:rPr>
        <w:t>1.5.4.</w:t>
      </w:r>
      <w:r>
        <w:rPr>
          <w:noProof/>
          <w:lang w:val="it-CH"/>
        </w:rPr>
        <w:tab/>
        <w:t>Compatibilità ed eventuale sinergia con altri strumenti pertinenti</w:t>
      </w:r>
    </w:p>
    <w:p>
      <w:pPr>
        <w:pStyle w:val="Text1"/>
        <w:pBdr>
          <w:top w:val="single" w:sz="4" w:space="1" w:color="auto"/>
          <w:left w:val="single" w:sz="4" w:space="4" w:color="auto"/>
          <w:bottom w:val="single" w:sz="4" w:space="1" w:color="auto"/>
          <w:right w:val="single" w:sz="4" w:space="4" w:color="auto"/>
        </w:pBdr>
        <w:rPr>
          <w:noProof/>
          <w:lang w:val="it-CH"/>
        </w:rPr>
      </w:pPr>
      <w:r>
        <w:rPr>
          <w:noProof/>
          <w:lang w:val="it-CH"/>
        </w:rPr>
        <w:t>La proposta mantiene l'attuale meccanismo di condivisione degli sforzi a livello europeo per i settori non ETS fino al 2030 ed è parte integrante del quadro strategico 2030 per il clima e l'energia, nonché della strategia della Commissione per un'Unione dell'energia resiliente con una politica lungimirante verso i cambiamenti climatici. In particolare, contribuisce a realizzare la quarta dimensione dell'Unione dell'energia per la decarbonizzazione dell'economia</w:t>
      </w:r>
      <w:r>
        <w:t xml:space="preserve">. </w:t>
      </w:r>
    </w:p>
    <w:p>
      <w:pPr>
        <w:pStyle w:val="Text1"/>
        <w:pBdr>
          <w:top w:val="single" w:sz="4" w:space="1" w:color="auto"/>
          <w:left w:val="single" w:sz="4" w:space="4" w:color="auto"/>
          <w:bottom w:val="single" w:sz="4" w:space="1" w:color="auto"/>
          <w:right w:val="single" w:sz="4" w:space="4" w:color="auto"/>
        </w:pBdr>
        <w:rPr>
          <w:noProof/>
          <w:lang w:val="it-CH"/>
        </w:rPr>
      </w:pPr>
      <w:r>
        <w:rPr>
          <w:noProof/>
          <w:lang w:val="it-CH"/>
        </w:rPr>
        <w:t>È coerente con altre parti del pacchetto dell'Unione dell'energia, come ad esempio il pacchetto sull'efficienza energetica, che pone una forte attenzione sull'efficienza energetica degli edifici, il pacchetto sull'energia rinnovabile, così come l'iniziativa sulla decarbonizzazione del settore dei trasporti.</w:t>
      </w:r>
    </w:p>
    <w:p>
      <w:pPr>
        <w:pStyle w:val="Text1"/>
        <w:pBdr>
          <w:top w:val="single" w:sz="4" w:space="1" w:color="auto"/>
          <w:left w:val="single" w:sz="4" w:space="4" w:color="auto"/>
          <w:bottom w:val="single" w:sz="4" w:space="1" w:color="auto"/>
          <w:right w:val="single" w:sz="4" w:space="4" w:color="auto"/>
        </w:pBdr>
        <w:rPr>
          <w:noProof/>
          <w:lang w:val="it-CH"/>
        </w:rPr>
      </w:pPr>
      <w:r>
        <w:rPr>
          <w:noProof/>
          <w:lang w:val="it-CH"/>
        </w:rPr>
        <w:t>Gli Stati membri sono responsabili dell'attuazione di politiche e misure idonee a soddisfare i propri obblighi, alcuni dei quali si prevede che contribuiscano al rispetto degli impegni dell'UE in materia di energia rinnovabile ed efficienza energetica.</w:t>
      </w:r>
    </w:p>
    <w:p>
      <w:pPr>
        <w:pStyle w:val="ManualHeading2"/>
        <w:rPr>
          <w:bCs/>
          <w:noProof/>
          <w:szCs w:val="24"/>
          <w:lang w:val="it-CH"/>
        </w:rPr>
      </w:pPr>
      <w:r>
        <w:rPr>
          <w:noProof/>
          <w:lang w:val="it-CH"/>
        </w:rPr>
        <w:br w:type="page"/>
        <w:t>1.6.</w:t>
      </w:r>
      <w:r>
        <w:rPr>
          <w:noProof/>
          <w:lang w:val="it-CH"/>
        </w:rPr>
        <w:tab/>
        <w:t xml:space="preserve">Durata e incidenza finanziaria </w:t>
      </w:r>
    </w:p>
    <w:p>
      <w:pPr>
        <w:pStyle w:val="Text1"/>
        <w:rPr>
          <w:noProof/>
          <w:lang w:val="it-CH"/>
        </w:rPr>
      </w:pPr>
      <w:r>
        <w:rPr>
          <w:noProof/>
          <w:lang w:val="it-CH"/>
        </w:rPr>
        <w:t xml:space="preserve">X Proposta/iniziativa di </w:t>
      </w:r>
      <w:r>
        <w:rPr>
          <w:b/>
          <w:noProof/>
          <w:lang w:val="it-CH"/>
        </w:rPr>
        <w:t xml:space="preserve">durata limitata </w:t>
      </w:r>
    </w:p>
    <w:p>
      <w:pPr>
        <w:pStyle w:val="ListDash2"/>
        <w:rPr>
          <w:noProof/>
          <w:lang w:val="it-CH"/>
        </w:rPr>
      </w:pPr>
      <w:r>
        <w:rPr>
          <w:noProof/>
          <w:lang w:val="it-CH"/>
        </w:rPr>
        <w:sym w:font="Wingdings" w:char="F0A8"/>
      </w:r>
      <w:r>
        <w:rPr>
          <w:noProof/>
          <w:lang w:val="it-CH"/>
        </w:rPr>
        <w:t xml:space="preserve">Proposta/iniziativa in vigore dal 2021 al 2030 </w:t>
      </w:r>
    </w:p>
    <w:p>
      <w:pPr>
        <w:pStyle w:val="ListDash2"/>
        <w:rPr>
          <w:noProof/>
          <w:lang w:val="it-CH"/>
        </w:rPr>
      </w:pPr>
      <w:r>
        <w:rPr>
          <w:noProof/>
          <w:lang w:val="it-CH"/>
        </w:rPr>
        <w:sym w:font="Wingdings" w:char="F0A8"/>
      </w:r>
      <w:r>
        <w:rPr>
          <w:noProof/>
          <w:lang w:val="it-CH"/>
        </w:rPr>
        <w:t xml:space="preserve">Incidenza finanziaria dal 2019 al 2031 </w:t>
      </w:r>
    </w:p>
    <w:p>
      <w:pPr>
        <w:pStyle w:val="Text1"/>
        <w:rPr>
          <w:noProof/>
          <w:lang w:val="it-CH"/>
        </w:rPr>
      </w:pPr>
      <w:r>
        <w:rPr>
          <w:noProof/>
          <w:lang w:val="it-CH"/>
        </w:rPr>
        <w:sym w:font="Wingdings" w:char="F0A8"/>
      </w:r>
      <w:r>
        <w:rPr>
          <w:noProof/>
          <w:lang w:val="it-CH"/>
        </w:rPr>
        <w:t xml:space="preserve">Proposta/iniziativa di </w:t>
      </w:r>
      <w:r>
        <w:rPr>
          <w:b/>
          <w:noProof/>
          <w:lang w:val="it-CH"/>
        </w:rPr>
        <w:t>durata illimitata</w:t>
      </w:r>
    </w:p>
    <w:p>
      <w:pPr>
        <w:pStyle w:val="ListDash1"/>
        <w:rPr>
          <w:noProof/>
          <w:lang w:val="it-CH"/>
        </w:rPr>
      </w:pPr>
      <w:r>
        <w:rPr>
          <w:noProof/>
          <w:lang w:val="it-CH"/>
        </w:rPr>
        <w:t>Attuazione con un periodo di avviamento dal AAAA al AAAA</w:t>
      </w:r>
    </w:p>
    <w:p>
      <w:pPr>
        <w:pStyle w:val="ListDash1"/>
        <w:rPr>
          <w:noProof/>
          <w:lang w:val="it-CH"/>
        </w:rPr>
      </w:pPr>
      <w:r>
        <w:rPr>
          <w:noProof/>
          <w:lang w:val="it-CH"/>
        </w:rPr>
        <w:t>e successivo funzionamento a pieno ritmo.</w:t>
      </w:r>
    </w:p>
    <w:p>
      <w:pPr>
        <w:pStyle w:val="ManualHeading2"/>
        <w:rPr>
          <w:bCs/>
          <w:noProof/>
          <w:szCs w:val="24"/>
          <w:lang w:val="it-CH"/>
        </w:rPr>
      </w:pPr>
      <w:r>
        <w:rPr>
          <w:noProof/>
          <w:lang w:val="it-CH"/>
        </w:rPr>
        <w:t>1.7.</w:t>
      </w:r>
      <w:r>
        <w:rPr>
          <w:noProof/>
          <w:lang w:val="it-CH"/>
        </w:rPr>
        <w:tab/>
        <w:t>Modalità di gestione previste</w:t>
      </w:r>
      <w:r>
        <w:rPr>
          <w:rStyle w:val="FootnoteReference"/>
          <w:noProof/>
          <w:lang w:val="it-CH"/>
        </w:rPr>
        <w:footnoteReference w:id="25"/>
      </w:r>
      <w:r>
        <w:rPr>
          <w:noProof/>
          <w:lang w:val="it-CH"/>
        </w:rPr>
        <w:t xml:space="preserve"> </w:t>
      </w:r>
    </w:p>
    <w:p>
      <w:pPr>
        <w:pStyle w:val="Text1"/>
        <w:rPr>
          <w:noProof/>
          <w:lang w:val="it-CH"/>
        </w:rPr>
      </w:pPr>
      <w:r>
        <w:rPr>
          <w:b/>
          <w:noProof/>
          <w:lang w:val="it-CH"/>
        </w:rPr>
        <w:t>X Gestione diretta</w:t>
      </w:r>
      <w:r>
        <w:rPr>
          <w:noProof/>
          <w:lang w:val="it-CH"/>
        </w:rPr>
        <w:t xml:space="preserve"> a opera della Commissione</w:t>
      </w:r>
    </w:p>
    <w:p>
      <w:pPr>
        <w:pStyle w:val="ListDash2"/>
        <w:rPr>
          <w:rFonts w:cs="EUAlbertina"/>
          <w:noProof/>
          <w:lang w:val="it-CH"/>
        </w:rPr>
      </w:pPr>
      <w:r>
        <w:rPr>
          <w:noProof/>
          <w:lang w:val="it-CH"/>
        </w:rPr>
        <w:sym w:font="Wingdings" w:char="F0A8"/>
      </w:r>
      <w:r>
        <w:rPr>
          <w:noProof/>
          <w:lang w:val="it-CH"/>
        </w:rPr>
        <w:t xml:space="preserve"> a opera dei suoi servizi, compreso il personale delle delegazioni dell'Unione </w:t>
      </w:r>
    </w:p>
    <w:p>
      <w:pPr>
        <w:pStyle w:val="ListDash2"/>
        <w:rPr>
          <w:noProof/>
          <w:lang w:val="it-CH"/>
        </w:rPr>
      </w:pPr>
      <w:r>
        <w:rPr>
          <w:noProof/>
          <w:lang w:val="it-CH"/>
        </w:rPr>
        <w:sym w:font="Wingdings" w:char="F0A8"/>
      </w:r>
      <w:r>
        <w:rPr>
          <w:noProof/>
          <w:lang w:val="it-CH"/>
        </w:rPr>
        <w:tab/>
        <w:t xml:space="preserve">dalle agenzie esecutive </w:t>
      </w:r>
    </w:p>
    <w:p>
      <w:pPr>
        <w:pStyle w:val="Text1"/>
        <w:rPr>
          <w:noProof/>
          <w:lang w:val="it-CH"/>
        </w:rPr>
      </w:pPr>
      <w:r>
        <w:rPr>
          <w:noProof/>
          <w:lang w:val="it-CH"/>
        </w:rPr>
        <w:sym w:font="Wingdings" w:char="F0A8"/>
      </w:r>
      <w:r>
        <w:rPr>
          <w:noProof/>
          <w:lang w:val="it-CH"/>
        </w:rPr>
        <w:t xml:space="preserve"> </w:t>
      </w:r>
      <w:r>
        <w:rPr>
          <w:b/>
          <w:noProof/>
          <w:lang w:val="it-CH"/>
        </w:rPr>
        <w:t xml:space="preserve">Gestione condivisa </w:t>
      </w:r>
      <w:r>
        <w:rPr>
          <w:noProof/>
          <w:lang w:val="it-CH"/>
        </w:rPr>
        <w:t xml:space="preserve">con gli Stati membri </w:t>
      </w:r>
    </w:p>
    <w:p>
      <w:pPr>
        <w:pStyle w:val="Text1"/>
        <w:rPr>
          <w:noProof/>
          <w:lang w:val="it-CH"/>
        </w:rPr>
      </w:pPr>
      <w:r>
        <w:rPr>
          <w:noProof/>
          <w:lang w:val="it-CH"/>
        </w:rPr>
        <w:sym w:font="Wingdings" w:char="F0A8"/>
      </w:r>
      <w:r>
        <w:rPr>
          <w:noProof/>
          <w:lang w:val="it-CH"/>
        </w:rPr>
        <w:t xml:space="preserve"> </w:t>
      </w:r>
      <w:r>
        <w:rPr>
          <w:b/>
          <w:noProof/>
          <w:lang w:val="it-CH"/>
        </w:rPr>
        <w:t>Gestione indiretta</w:t>
      </w:r>
      <w:r>
        <w:rPr>
          <w:noProof/>
          <w:lang w:val="it-CH"/>
        </w:rPr>
        <w:t xml:space="preserve"> con compiti di esecuzione del bilancio affidati:</w:t>
      </w:r>
    </w:p>
    <w:p>
      <w:pPr>
        <w:pStyle w:val="ListDash2"/>
        <w:rPr>
          <w:noProof/>
          <w:lang w:val="it-CH"/>
        </w:rPr>
      </w:pPr>
      <w:r>
        <w:rPr>
          <w:noProof/>
          <w:lang w:val="it-CH"/>
        </w:rPr>
        <w:sym w:font="Wingdings" w:char="F0A8"/>
      </w:r>
      <w:r>
        <w:rPr>
          <w:noProof/>
          <w:lang w:val="it-CH"/>
        </w:rPr>
        <w:t xml:space="preserve"> a paesi terzi o organismi da questi designati;</w:t>
      </w:r>
    </w:p>
    <w:p>
      <w:pPr>
        <w:pStyle w:val="ListDash2"/>
        <w:rPr>
          <w:noProof/>
          <w:lang w:val="it-CH"/>
        </w:rPr>
      </w:pPr>
      <w:r>
        <w:rPr>
          <w:noProof/>
          <w:lang w:val="it-CH"/>
        </w:rPr>
        <w:sym w:font="Wingdings" w:char="F0A8"/>
      </w:r>
      <w:r>
        <w:rPr>
          <w:noProof/>
          <w:lang w:val="it-CH"/>
        </w:rPr>
        <w:t xml:space="preserve"> a organizzazioni internazionali e rispettive agenzie (specificare);</w:t>
      </w:r>
    </w:p>
    <w:p>
      <w:pPr>
        <w:pStyle w:val="ListDash2"/>
        <w:rPr>
          <w:noProof/>
          <w:lang w:val="it-CH"/>
        </w:rPr>
      </w:pPr>
      <w:r>
        <w:rPr>
          <w:noProof/>
          <w:lang w:val="it-CH"/>
        </w:rPr>
        <w:sym w:font="Wingdings" w:char="F0A8"/>
      </w:r>
      <w:r>
        <w:rPr>
          <w:noProof/>
          <w:lang w:val="it-CH"/>
        </w:rPr>
        <w:t xml:space="preserve"> alla BEI e al Fondo europeo per gli investimenti;</w:t>
      </w:r>
    </w:p>
    <w:p>
      <w:pPr>
        <w:pStyle w:val="ListDash2"/>
        <w:rPr>
          <w:noProof/>
          <w:lang w:val="it-CH"/>
        </w:rPr>
      </w:pPr>
      <w:r>
        <w:rPr>
          <w:noProof/>
          <w:lang w:val="it-CH"/>
        </w:rPr>
        <w:sym w:font="Wingdings" w:char="F0A8"/>
      </w:r>
      <w:r>
        <w:rPr>
          <w:noProof/>
          <w:lang w:val="it-CH"/>
        </w:rPr>
        <w:t xml:space="preserve"> agli organismi di cui agli articoli 208 e 209 del regolamento finanziario;</w:t>
      </w:r>
    </w:p>
    <w:p>
      <w:pPr>
        <w:pStyle w:val="ListDash2"/>
        <w:rPr>
          <w:noProof/>
          <w:lang w:val="it-CH"/>
        </w:rPr>
      </w:pPr>
      <w:r>
        <w:rPr>
          <w:noProof/>
          <w:lang w:val="it-CH"/>
        </w:rPr>
        <w:sym w:font="Wingdings" w:char="F0A8"/>
      </w:r>
      <w:r>
        <w:rPr>
          <w:noProof/>
          <w:lang w:val="it-CH"/>
        </w:rPr>
        <w:t xml:space="preserve"> a organismi di diritto pubblico;</w:t>
      </w:r>
    </w:p>
    <w:p>
      <w:pPr>
        <w:pStyle w:val="ListDash2"/>
        <w:rPr>
          <w:noProof/>
          <w:lang w:val="it-CH"/>
        </w:rPr>
      </w:pPr>
      <w:r>
        <w:rPr>
          <w:noProof/>
          <w:lang w:val="it-CH"/>
        </w:rPr>
        <w:sym w:font="Wingdings" w:char="F0A8"/>
      </w:r>
      <w:r>
        <w:rPr>
          <w:noProof/>
          <w:lang w:val="it-CH"/>
        </w:rPr>
        <w:t xml:space="preserve"> a organismi di diritto privato investiti di attribuzioni di servizio pubblico nella misura in cui presentano sufficienti garanzie finanziarie;</w:t>
      </w:r>
    </w:p>
    <w:p>
      <w:pPr>
        <w:pStyle w:val="ListDash2"/>
        <w:rPr>
          <w:noProof/>
          <w:lang w:val="it-CH"/>
        </w:rPr>
      </w:pPr>
      <w:r>
        <w:rPr>
          <w:noProof/>
          <w:lang w:val="it-CH"/>
        </w:rPr>
        <w:sym w:font="Wingdings" w:char="F0A8"/>
      </w:r>
      <w:r>
        <w:rPr>
          <w:noProof/>
          <w:lang w:val="it-CH"/>
        </w:rPr>
        <w:t xml:space="preserve"> a organismi di diritto privato di uno Stato membro preposti all'attuazione di un partenariato pubblico-privato e che presentano sufficienti garanzie finanziarie;</w:t>
      </w:r>
    </w:p>
    <w:p>
      <w:pPr>
        <w:pStyle w:val="ListDash2"/>
        <w:rPr>
          <w:noProof/>
          <w:lang w:val="it-CH"/>
        </w:rPr>
      </w:pPr>
      <w:r>
        <w:rPr>
          <w:noProof/>
          <w:lang w:val="it-CH"/>
        </w:rPr>
        <w:sym w:font="Wingdings" w:char="F0A8"/>
      </w:r>
      <w:r>
        <w:rPr>
          <w:noProof/>
          <w:lang w:val="it-CH"/>
        </w:rPr>
        <w:t xml:space="preserve"> alle persone incaricate di attuare azioni specifiche nel settore della PESC a norma del titolo V del TUE, che devono essere indicate nel pertinente atto di base.</w:t>
      </w:r>
    </w:p>
    <w:p>
      <w:pPr>
        <w:pStyle w:val="ListDash2"/>
        <w:rPr>
          <w:i/>
          <w:noProof/>
          <w:sz w:val="18"/>
          <w:u w:val="single"/>
          <w:lang w:val="it-CH"/>
        </w:rPr>
      </w:pPr>
      <w:r>
        <w:rPr>
          <w:i/>
          <w:noProof/>
          <w:sz w:val="18"/>
          <w:lang w:val="it-CH"/>
        </w:rPr>
        <w:t>Se è indicata più di una modalità, fornire ulteriori informazioni alla voce "Osservazioni".</w:t>
      </w:r>
    </w:p>
    <w:p>
      <w:pPr>
        <w:rPr>
          <w:noProof/>
          <w:lang w:val="it-CH"/>
        </w:rPr>
      </w:pPr>
      <w:r>
        <w:rPr>
          <w:noProof/>
          <w:lang w:val="it-CH"/>
        </w:rPr>
        <w:t xml:space="preserve">Osservazioni </w:t>
      </w:r>
    </w:p>
    <w:p>
      <w:pPr>
        <w:pBdr>
          <w:top w:val="single" w:sz="4" w:space="1" w:color="auto"/>
          <w:left w:val="single" w:sz="4" w:space="4" w:color="auto"/>
          <w:bottom w:val="single" w:sz="4" w:space="1" w:color="auto"/>
          <w:right w:val="single" w:sz="4" w:space="4" w:color="auto"/>
        </w:pBdr>
        <w:rPr>
          <w:noProof/>
          <w:lang w:val="it-CH"/>
        </w:rPr>
      </w:pPr>
      <w:r>
        <w:rPr>
          <w:noProof/>
          <w:lang w:val="it-CH"/>
        </w:rPr>
        <w:t>La proposta costituisce il seguito della decisione vigente n. 406/2009/CE (decisione sulla condivisione degli sforzi) con gli stessi obblighi di monitoraggio e comunicazione per gli Stati membri e gli stessi compiti di gestione per la Commissione. L'Agenzia europea dell'ambiente continuerà a coadiuvare la Commissione nel monitoraggio dei progressi compiuti dagli Stati membri per adempiere ai loro obblighi ai sensi della proposta.</w:t>
      </w:r>
    </w:p>
    <w:p>
      <w:pPr>
        <w:rPr>
          <w:noProof/>
          <w:lang w:val="it-CH"/>
        </w:rPr>
        <w:sectPr>
          <w:pgSz w:w="11907" w:h="16840" w:code="9"/>
          <w:pgMar w:top="1134" w:right="1418" w:bottom="1134" w:left="1418" w:header="709" w:footer="709" w:gutter="0"/>
          <w:cols w:space="708"/>
          <w:docGrid w:linePitch="360"/>
        </w:sectPr>
      </w:pPr>
    </w:p>
    <w:p>
      <w:pPr>
        <w:pStyle w:val="ManualHeading1"/>
        <w:rPr>
          <w:bCs/>
          <w:noProof/>
          <w:szCs w:val="24"/>
          <w:lang w:val="it-CH"/>
        </w:rPr>
      </w:pPr>
      <w:r>
        <w:rPr>
          <w:noProof/>
          <w:lang w:val="it-CH"/>
        </w:rPr>
        <w:t>2.</w:t>
      </w:r>
      <w:r>
        <w:rPr>
          <w:noProof/>
          <w:lang w:val="it-CH"/>
        </w:rPr>
        <w:tab/>
        <w:t xml:space="preserve">MISURE DI GESTIONE </w:t>
      </w:r>
    </w:p>
    <w:p>
      <w:pPr>
        <w:pStyle w:val="ManualHeading2"/>
        <w:rPr>
          <w:noProof/>
          <w:lang w:val="it-CH"/>
        </w:rPr>
      </w:pPr>
      <w:r>
        <w:rPr>
          <w:noProof/>
          <w:lang w:val="it-CH"/>
        </w:rPr>
        <w:t>2.1.</w:t>
      </w:r>
      <w:r>
        <w:rPr>
          <w:noProof/>
          <w:lang w:val="it-CH"/>
        </w:rPr>
        <w:tab/>
        <w:t xml:space="preserve">Disposizioni in materia di monitoraggio e di relazioni </w:t>
      </w:r>
    </w:p>
    <w:p>
      <w:pPr>
        <w:pStyle w:val="Text1"/>
        <w:rPr>
          <w:i/>
          <w:noProof/>
          <w:sz w:val="20"/>
          <w:u w:val="single"/>
          <w:lang w:val="it-CH"/>
        </w:rPr>
      </w:pPr>
      <w:r>
        <w:rPr>
          <w:i/>
          <w:noProof/>
          <w:sz w:val="20"/>
          <w:lang w:val="it-CH"/>
        </w:rPr>
        <w:t>Precisare frequenza e condizioni.</w:t>
      </w:r>
    </w:p>
    <w:p>
      <w:pPr>
        <w:pStyle w:val="Text1"/>
        <w:pBdr>
          <w:top w:val="single" w:sz="4" w:space="1" w:color="auto"/>
          <w:left w:val="single" w:sz="4" w:space="4" w:color="auto"/>
          <w:bottom w:val="single" w:sz="4" w:space="1" w:color="auto"/>
          <w:right w:val="single" w:sz="4" w:space="4" w:color="auto"/>
        </w:pBdr>
        <w:rPr>
          <w:noProof/>
          <w:lang w:val="it-CH"/>
        </w:rPr>
      </w:pPr>
      <w:r>
        <w:rPr>
          <w:noProof/>
          <w:lang w:val="it-CH"/>
        </w:rPr>
        <w:t>Il monitoraggio dei progressi e la valutazione della conformità si baseranno sul quadro globale di monitoraggio, comunicazione e verifica definito in parte nell'ESD e in parte nel regolamento sul meccanismo di monitoraggio (regolamento (UE) n. 525/2013) e nelle relative disposizioni di applicazione. Il ciclo di comunicazione e controllo della conformità equilibrato definito nell'ESD sarà mantenuto nella presente proposta. Gli Stati membri sono sempre tenuti a rispettare i limiti di emissione annuali e una traiettoria lineare nel periodo 2021-2030 anche se la verifica di conformità effettiva sarà effettuata ogni 5 anni invece che ogni anno.</w:t>
      </w:r>
    </w:p>
    <w:p>
      <w:pPr>
        <w:pStyle w:val="Text1"/>
        <w:pBdr>
          <w:top w:val="single" w:sz="4" w:space="1" w:color="auto"/>
          <w:left w:val="single" w:sz="4" w:space="4" w:color="auto"/>
          <w:bottom w:val="single" w:sz="4" w:space="1" w:color="auto"/>
          <w:right w:val="single" w:sz="4" w:space="4" w:color="auto"/>
        </w:pBdr>
        <w:rPr>
          <w:noProof/>
          <w:color w:val="000000" w:themeColor="text1"/>
          <w:lang w:val="it-CH"/>
        </w:rPr>
      </w:pPr>
      <w:r>
        <w:rPr>
          <w:noProof/>
          <w:color w:val="000000" w:themeColor="text1"/>
          <w:lang w:val="it-CH"/>
        </w:rPr>
        <w:t>Per</w:t>
      </w:r>
      <w:r>
        <w:rPr>
          <w:noProof/>
          <w:lang w:val="it-CH"/>
        </w:rPr>
        <w:t xml:space="preserve"> garantire che la valutazione di conformità si basi su dati accurati, gli inventari delle emissioni dei gas serra (GES) presentati dagli Stati membri continueranno ad essere esaminati dalla Commissione.</w:t>
      </w:r>
      <w:r>
        <w:rPr>
          <w:noProof/>
          <w:color w:val="000000" w:themeColor="text1"/>
          <w:lang w:val="it-CH"/>
        </w:rPr>
        <w:t xml:space="preserve"> L'Agenzia europea dell'ambiente continuerà a coordinare il controllo della trasparenza, della precisione, della coerenza, della comparabilità e della completezza delle informazioni fornite. </w:t>
      </w:r>
    </w:p>
    <w:p>
      <w:pPr>
        <w:pStyle w:val="Text1"/>
        <w:pBdr>
          <w:top w:val="single" w:sz="4" w:space="1" w:color="auto"/>
          <w:left w:val="single" w:sz="4" w:space="4" w:color="auto"/>
          <w:bottom w:val="single" w:sz="4" w:space="1" w:color="auto"/>
          <w:right w:val="single" w:sz="4" w:space="4" w:color="auto"/>
        </w:pBdr>
        <w:rPr>
          <w:noProof/>
          <w:lang w:val="it-CH"/>
        </w:rPr>
      </w:pPr>
      <w:r>
        <w:rPr>
          <w:noProof/>
          <w:color w:val="000000" w:themeColor="text1"/>
          <w:lang w:val="it-CH"/>
        </w:rPr>
        <w:t>Sono mantenute le prescrizioni vigenti, in base alle quali gli Stati membri devono riferire ogni due anni sulle politiche e le misure adottate al fine di rispettare gli impegni previsti dalla proposta, nonché sulle loro proiezioni delle emissioni.</w:t>
      </w:r>
    </w:p>
    <w:p>
      <w:pPr>
        <w:pStyle w:val="ManualHeading2"/>
        <w:rPr>
          <w:bCs/>
          <w:noProof/>
          <w:szCs w:val="24"/>
          <w:lang w:val="it-CH"/>
        </w:rPr>
      </w:pPr>
      <w:r>
        <w:rPr>
          <w:noProof/>
          <w:lang w:val="it-CH"/>
        </w:rPr>
        <w:t>2.2.</w:t>
      </w:r>
      <w:r>
        <w:rPr>
          <w:noProof/>
          <w:lang w:val="it-CH"/>
        </w:rPr>
        <w:tab/>
        <w:t xml:space="preserve">Sistema di gestione e di controllo </w:t>
      </w:r>
    </w:p>
    <w:p>
      <w:pPr>
        <w:pStyle w:val="ManualHeading3"/>
        <w:rPr>
          <w:noProof/>
          <w:lang w:val="it-CH"/>
        </w:rPr>
      </w:pPr>
      <w:r>
        <w:rPr>
          <w:noProof/>
          <w:lang w:val="it-CH"/>
        </w:rPr>
        <w:t>2.2.1.</w:t>
      </w:r>
      <w:r>
        <w:rPr>
          <w:noProof/>
          <w:lang w:val="it-CH"/>
        </w:rPr>
        <w:tab/>
        <w:t xml:space="preserve">Rischi individuati </w:t>
      </w:r>
    </w:p>
    <w:p>
      <w:pPr>
        <w:pStyle w:val="Text1"/>
        <w:pBdr>
          <w:top w:val="single" w:sz="4" w:space="1" w:color="auto"/>
          <w:left w:val="single" w:sz="4" w:space="4" w:color="auto"/>
          <w:bottom w:val="single" w:sz="4" w:space="1" w:color="auto"/>
          <w:right w:val="single" w:sz="4" w:space="4" w:color="auto"/>
        </w:pBdr>
        <w:rPr>
          <w:noProof/>
          <w:lang w:val="it-CH"/>
        </w:rPr>
      </w:pPr>
      <w:r>
        <w:rPr>
          <w:noProof/>
          <w:lang w:val="it-CH"/>
        </w:rPr>
        <w:t>Stati membri che non comunicano o non comunicano per tempo le loro emissioni annuali di gas serra.</w:t>
      </w:r>
    </w:p>
    <w:p>
      <w:pPr>
        <w:pStyle w:val="ManualHeading3"/>
        <w:rPr>
          <w:bCs/>
          <w:noProof/>
          <w:szCs w:val="24"/>
          <w:lang w:val="it-CH"/>
        </w:rPr>
      </w:pPr>
      <w:r>
        <w:rPr>
          <w:noProof/>
          <w:lang w:val="it-CH"/>
        </w:rPr>
        <w:t>2.2.2.</w:t>
      </w:r>
      <w:r>
        <w:rPr>
          <w:noProof/>
          <w:lang w:val="it-CH"/>
        </w:rPr>
        <w:tab/>
        <w:t>Informazioni riguardanti il sistema di controllo interno istituito</w:t>
      </w:r>
    </w:p>
    <w:p>
      <w:pPr>
        <w:pStyle w:val="Text1"/>
        <w:pBdr>
          <w:top w:val="single" w:sz="4" w:space="1" w:color="auto"/>
          <w:left w:val="single" w:sz="4" w:space="4" w:color="auto"/>
          <w:bottom w:val="single" w:sz="4" w:space="1" w:color="auto"/>
          <w:right w:val="single" w:sz="4" w:space="4" w:color="auto"/>
        </w:pBdr>
        <w:rPr>
          <w:noProof/>
          <w:lang w:val="it-CH"/>
        </w:rPr>
      </w:pPr>
      <w:r>
        <w:rPr>
          <w:noProof/>
          <w:lang w:val="it-CH"/>
        </w:rPr>
        <w:t>Grazie all'attuale sistema di relazioni annuali consolidato per le emissioni di gas serra degli Stati membri, previsto dal regolamento sul meccanismo di monitoraggio, esistono delle procedure per garantire che le comunicazioni delle emissioni arrivino per tempo e che ogni Stato membro che non rispetta gli obblighi di comunicazione possa beneficiare di assistenza.</w:t>
      </w:r>
    </w:p>
    <w:p>
      <w:pPr>
        <w:pStyle w:val="ManualHeading3"/>
        <w:rPr>
          <w:noProof/>
          <w:lang w:val="it-CH"/>
        </w:rPr>
      </w:pPr>
      <w:r>
        <w:rPr>
          <w:noProof/>
          <w:lang w:val="it-CH"/>
        </w:rPr>
        <w:t>2.2.3.</w:t>
      </w:r>
      <w:r>
        <w:rPr>
          <w:noProof/>
          <w:lang w:val="it-CH"/>
        </w:rPr>
        <w:tab/>
        <w:t xml:space="preserve">Stima dei costi e dei benefici dei controlli e valutazione del previsto livello di rischio di errore </w:t>
      </w:r>
    </w:p>
    <w:p>
      <w:pPr>
        <w:pStyle w:val="Text1"/>
        <w:pBdr>
          <w:top w:val="single" w:sz="4" w:space="1" w:color="auto"/>
          <w:left w:val="single" w:sz="4" w:space="4" w:color="auto"/>
          <w:bottom w:val="single" w:sz="4" w:space="1" w:color="auto"/>
          <w:right w:val="single" w:sz="4" w:space="4" w:color="auto"/>
        </w:pBdr>
        <w:rPr>
          <w:noProof/>
          <w:lang w:val="it-CH"/>
        </w:rPr>
      </w:pPr>
      <w:r>
        <w:rPr>
          <w:noProof/>
          <w:lang w:val="it-CH"/>
        </w:rPr>
        <w:t>Il rischio di errore non è applicabile.</w:t>
      </w:r>
    </w:p>
    <w:p>
      <w:pPr>
        <w:pStyle w:val="ManualHeading2"/>
        <w:rPr>
          <w:bCs/>
          <w:noProof/>
          <w:szCs w:val="24"/>
          <w:lang w:val="it-CH"/>
        </w:rPr>
      </w:pPr>
      <w:r>
        <w:rPr>
          <w:noProof/>
          <w:lang w:val="it-CH"/>
        </w:rPr>
        <w:t>2.3.</w:t>
      </w:r>
      <w:r>
        <w:rPr>
          <w:noProof/>
          <w:lang w:val="it-CH"/>
        </w:rPr>
        <w:tab/>
        <w:t xml:space="preserve">Misure di prevenzione delle frodi e delle irregolarità </w:t>
      </w:r>
    </w:p>
    <w:p>
      <w:pPr>
        <w:pStyle w:val="Text1"/>
        <w:rPr>
          <w:i/>
          <w:noProof/>
          <w:sz w:val="20"/>
          <w:lang w:val="it-CH"/>
        </w:rPr>
      </w:pPr>
      <w:r>
        <w:rPr>
          <w:i/>
          <w:noProof/>
          <w:sz w:val="20"/>
          <w:lang w:val="it-CH"/>
        </w:rPr>
        <w:t>Precisare le misure di prevenzione e tutela in vigore o previste.</w:t>
      </w:r>
    </w:p>
    <w:p>
      <w:pPr>
        <w:pStyle w:val="Text1"/>
        <w:pBdr>
          <w:top w:val="single" w:sz="4" w:space="1" w:color="auto"/>
          <w:left w:val="single" w:sz="4" w:space="4" w:color="auto"/>
          <w:bottom w:val="single" w:sz="4" w:space="1" w:color="auto"/>
          <w:right w:val="single" w:sz="4" w:space="4" w:color="auto"/>
        </w:pBdr>
        <w:rPr>
          <w:noProof/>
          <w:lang w:val="it-CH"/>
        </w:rPr>
      </w:pPr>
      <w:r>
        <w:rPr>
          <w:noProof/>
          <w:lang w:val="it-CH"/>
        </w:rPr>
        <w:t>Il monitoraggio dei progressi degli Stati membri rispetto ai loro impegni derivanti dalla presente proposta si basa su un sistema esistente e consolidato per il controllo qualità e la verifica delle loro relazioni annuali sulle emissioni di gas serra. Ciò garantisce che le eventuali lacune o irregolarità nei dati riportati sulle emissioni siano affrontate e corrette per tempo in vista del controllo di conformità.</w:t>
      </w:r>
    </w:p>
    <w:p>
      <w:pPr>
        <w:rPr>
          <w:noProof/>
          <w:lang w:val="it-CH"/>
        </w:rPr>
        <w:sectPr>
          <w:pgSz w:w="11907" w:h="16840" w:code="9"/>
          <w:pgMar w:top="1134" w:right="1418" w:bottom="1134" w:left="1418" w:header="709" w:footer="709" w:gutter="0"/>
          <w:cols w:space="708"/>
          <w:docGrid w:linePitch="360"/>
        </w:sectPr>
      </w:pPr>
    </w:p>
    <w:p>
      <w:pPr>
        <w:pStyle w:val="ManualHeading1"/>
        <w:rPr>
          <w:bCs/>
          <w:noProof/>
          <w:szCs w:val="24"/>
          <w:lang w:val="it-CH"/>
        </w:rPr>
      </w:pPr>
      <w:r>
        <w:rPr>
          <w:noProof/>
          <w:lang w:val="it-CH"/>
        </w:rPr>
        <w:t>3.</w:t>
      </w:r>
      <w:r>
        <w:rPr>
          <w:noProof/>
          <w:lang w:val="it-CH"/>
        </w:rPr>
        <w:tab/>
        <w:t xml:space="preserve">INCIDENZA FINANZIARIA PREVISTA DELLA PROPOSTA/INIZIATIVA </w:t>
      </w:r>
    </w:p>
    <w:p>
      <w:pPr>
        <w:pStyle w:val="ManualHeading2"/>
        <w:rPr>
          <w:noProof/>
          <w:lang w:val="it-CH"/>
        </w:rPr>
      </w:pPr>
      <w:r>
        <w:rPr>
          <w:noProof/>
          <w:lang w:val="it-CH"/>
        </w:rPr>
        <w:t>3.1.</w:t>
      </w:r>
      <w:r>
        <w:rPr>
          <w:noProof/>
          <w:lang w:val="it-CH"/>
        </w:rPr>
        <w:tab/>
        <w:t xml:space="preserve">Rubrica/rubriche del quadro finanziario pluriennale e linea/linee di bilancio di spesa interessate </w:t>
      </w:r>
    </w:p>
    <w:p>
      <w:pPr>
        <w:pStyle w:val="ListBullet1"/>
        <w:rPr>
          <w:noProof/>
          <w:lang w:val="it-CH"/>
        </w:rPr>
      </w:pPr>
      <w:r>
        <w:rPr>
          <w:noProof/>
          <w:lang w:val="it-CH"/>
        </w:rPr>
        <w:t xml:space="preserve">Linee di bilancio esistenti </w:t>
      </w:r>
    </w:p>
    <w:p>
      <w:pPr>
        <w:pStyle w:val="Text1"/>
        <w:rPr>
          <w:noProof/>
          <w:lang w:val="it-CH"/>
        </w:rPr>
      </w:pPr>
      <w:r>
        <w:rPr>
          <w:noProof/>
          <w:u w:val="single"/>
          <w:lang w:val="it-CH"/>
        </w:rPr>
        <w:t>Secondo l'ordine</w:t>
      </w:r>
      <w:r>
        <w:rPr>
          <w:noProof/>
          <w:lang w:val="it-CH"/>
        </w:rPr>
        <w:t xml:space="preserve"> delle rubriche del quadro finanziario pluriennale e delle linee di bilancio.</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22"/>
                <w:lang w:val="it-CH"/>
              </w:rPr>
            </w:pPr>
            <w:r>
              <w:rPr>
                <w:noProof/>
                <w:sz w:val="18"/>
                <w:lang w:val="it-CH"/>
              </w:rPr>
              <w:t>Rubrica del quadro finanziario pluriennale</w:t>
            </w:r>
          </w:p>
        </w:tc>
        <w:tc>
          <w:tcPr>
            <w:tcW w:w="3960" w:type="dxa"/>
            <w:vAlign w:val="center"/>
          </w:tcPr>
          <w:p>
            <w:pPr>
              <w:spacing w:before="60" w:after="60"/>
              <w:jc w:val="center"/>
              <w:rPr>
                <w:noProof/>
                <w:sz w:val="22"/>
                <w:lang w:val="it-CH"/>
              </w:rPr>
            </w:pPr>
            <w:r>
              <w:rPr>
                <w:noProof/>
                <w:sz w:val="20"/>
                <w:lang w:val="it-CH"/>
              </w:rPr>
              <w:t>Linea di bilancio</w:t>
            </w:r>
          </w:p>
        </w:tc>
        <w:tc>
          <w:tcPr>
            <w:tcW w:w="1080" w:type="dxa"/>
            <w:vAlign w:val="center"/>
          </w:tcPr>
          <w:p>
            <w:pPr>
              <w:spacing w:before="60" w:after="60"/>
              <w:jc w:val="center"/>
              <w:rPr>
                <w:noProof/>
                <w:sz w:val="22"/>
                <w:lang w:val="it-CH"/>
              </w:rPr>
            </w:pPr>
            <w:r>
              <w:rPr>
                <w:noProof/>
                <w:sz w:val="18"/>
                <w:lang w:val="it-CH"/>
              </w:rPr>
              <w:t xml:space="preserve">Natura della </w:t>
            </w:r>
            <w:r>
              <w:rPr>
                <w:noProof/>
                <w:sz w:val="22"/>
                <w:lang w:val="it-CH"/>
              </w:rPr>
              <w:br/>
            </w:r>
            <w:r>
              <w:rPr>
                <w:noProof/>
                <w:sz w:val="18"/>
                <w:lang w:val="it-CH"/>
              </w:rPr>
              <w:t>spesa</w:t>
            </w:r>
          </w:p>
        </w:tc>
        <w:tc>
          <w:tcPr>
            <w:tcW w:w="4440" w:type="dxa"/>
            <w:gridSpan w:val="4"/>
            <w:vAlign w:val="center"/>
          </w:tcPr>
          <w:p>
            <w:pPr>
              <w:spacing w:before="60" w:after="60"/>
              <w:jc w:val="center"/>
              <w:rPr>
                <w:noProof/>
                <w:sz w:val="22"/>
                <w:lang w:val="it-CH"/>
              </w:rPr>
            </w:pPr>
            <w:r>
              <w:rPr>
                <w:noProof/>
                <w:sz w:val="20"/>
                <w:lang w:val="it-CH"/>
              </w:rPr>
              <w:t xml:space="preserve">Partecipazione </w:t>
            </w:r>
          </w:p>
        </w:tc>
      </w:tr>
      <w:tr>
        <w:tc>
          <w:tcPr>
            <w:tcW w:w="1080" w:type="dxa"/>
            <w:vMerge/>
            <w:vAlign w:val="center"/>
          </w:tcPr>
          <w:p>
            <w:pPr>
              <w:jc w:val="center"/>
              <w:rPr>
                <w:noProof/>
                <w:sz w:val="22"/>
                <w:lang w:val="it-CH"/>
              </w:rPr>
            </w:pPr>
          </w:p>
        </w:tc>
        <w:tc>
          <w:tcPr>
            <w:tcW w:w="3960" w:type="dxa"/>
            <w:vAlign w:val="center"/>
          </w:tcPr>
          <w:p>
            <w:pPr>
              <w:rPr>
                <w:noProof/>
                <w:sz w:val="22"/>
                <w:lang w:val="it-CH"/>
              </w:rPr>
            </w:pPr>
          </w:p>
        </w:tc>
        <w:tc>
          <w:tcPr>
            <w:tcW w:w="1080" w:type="dxa"/>
            <w:vAlign w:val="center"/>
          </w:tcPr>
          <w:p>
            <w:pPr>
              <w:jc w:val="center"/>
              <w:rPr>
                <w:noProof/>
                <w:sz w:val="22"/>
                <w:lang w:val="it-CH"/>
              </w:rPr>
            </w:pPr>
            <w:r>
              <w:rPr>
                <w:noProof/>
                <w:sz w:val="18"/>
                <w:lang w:val="it-CH"/>
              </w:rPr>
              <w:t>Diff./Non diff.</w:t>
            </w:r>
            <w:r>
              <w:rPr>
                <w:rStyle w:val="FootnoteReference"/>
                <w:noProof/>
                <w:lang w:val="it-CH"/>
              </w:rPr>
              <w:footnoteReference w:id="26"/>
            </w:r>
          </w:p>
        </w:tc>
        <w:tc>
          <w:tcPr>
            <w:tcW w:w="956" w:type="dxa"/>
            <w:vAlign w:val="center"/>
          </w:tcPr>
          <w:p>
            <w:pPr>
              <w:jc w:val="center"/>
              <w:rPr>
                <w:noProof/>
                <w:sz w:val="22"/>
                <w:lang w:val="it-CH"/>
              </w:rPr>
            </w:pPr>
            <w:r>
              <w:rPr>
                <w:noProof/>
                <w:sz w:val="18"/>
                <w:lang w:val="it-CH"/>
              </w:rPr>
              <w:t>di paesi EFTA</w:t>
            </w:r>
            <w:r>
              <w:rPr>
                <w:rStyle w:val="FootnoteReference"/>
                <w:noProof/>
                <w:lang w:val="it-CH"/>
              </w:rPr>
              <w:footnoteReference w:id="27"/>
            </w:r>
          </w:p>
          <w:p>
            <w:pPr>
              <w:spacing w:before="0" w:after="0"/>
              <w:jc w:val="center"/>
              <w:rPr>
                <w:b/>
                <w:noProof/>
                <w:sz w:val="18"/>
                <w:lang w:val="it-CH"/>
              </w:rPr>
            </w:pPr>
          </w:p>
        </w:tc>
        <w:tc>
          <w:tcPr>
            <w:tcW w:w="1080" w:type="dxa"/>
            <w:vAlign w:val="center"/>
          </w:tcPr>
          <w:p>
            <w:pPr>
              <w:jc w:val="center"/>
              <w:rPr>
                <w:noProof/>
                <w:sz w:val="22"/>
                <w:lang w:val="it-CH"/>
              </w:rPr>
            </w:pPr>
            <w:r>
              <w:rPr>
                <w:noProof/>
                <w:sz w:val="18"/>
                <w:lang w:val="it-CH"/>
              </w:rPr>
              <w:t>dai paesi candidati</w:t>
            </w:r>
            <w:r>
              <w:rPr>
                <w:rStyle w:val="FootnoteReference"/>
                <w:noProof/>
                <w:lang w:val="it-CH"/>
              </w:rPr>
              <w:footnoteReference w:id="28"/>
            </w:r>
          </w:p>
          <w:p>
            <w:pPr>
              <w:spacing w:before="0" w:after="0"/>
              <w:jc w:val="center"/>
              <w:rPr>
                <w:noProof/>
                <w:sz w:val="18"/>
                <w:lang w:val="it-CH"/>
              </w:rPr>
            </w:pPr>
          </w:p>
        </w:tc>
        <w:tc>
          <w:tcPr>
            <w:tcW w:w="956" w:type="dxa"/>
            <w:vAlign w:val="center"/>
          </w:tcPr>
          <w:p>
            <w:pPr>
              <w:jc w:val="center"/>
              <w:rPr>
                <w:noProof/>
                <w:sz w:val="18"/>
                <w:lang w:val="it-CH"/>
              </w:rPr>
            </w:pPr>
            <w:r>
              <w:rPr>
                <w:noProof/>
                <w:sz w:val="18"/>
                <w:lang w:val="it-CH"/>
              </w:rPr>
              <w:t>di paesi terzi</w:t>
            </w:r>
          </w:p>
        </w:tc>
        <w:tc>
          <w:tcPr>
            <w:tcW w:w="1448" w:type="dxa"/>
            <w:vAlign w:val="center"/>
          </w:tcPr>
          <w:p>
            <w:pPr>
              <w:jc w:val="center"/>
              <w:rPr>
                <w:noProof/>
                <w:sz w:val="22"/>
                <w:lang w:val="it-CH"/>
              </w:rPr>
            </w:pPr>
            <w:r>
              <w:rPr>
                <w:noProof/>
                <w:sz w:val="16"/>
                <w:lang w:val="it-CH"/>
              </w:rPr>
              <w:t>ai sensi dell'articolo 21, paragrafo 2, lettera b), del regolamento finanziario</w:t>
            </w:r>
          </w:p>
        </w:tc>
      </w:tr>
      <w:tr>
        <w:tc>
          <w:tcPr>
            <w:tcW w:w="1080" w:type="dxa"/>
            <w:vAlign w:val="center"/>
          </w:tcPr>
          <w:p>
            <w:pPr>
              <w:jc w:val="center"/>
              <w:rPr>
                <w:noProof/>
                <w:sz w:val="22"/>
                <w:lang w:val="it-CH"/>
              </w:rPr>
            </w:pPr>
            <w:r>
              <w:rPr>
                <w:noProof/>
                <w:sz w:val="22"/>
                <w:lang w:val="it-CH"/>
              </w:rPr>
              <w:t>2</w:t>
            </w:r>
          </w:p>
        </w:tc>
        <w:tc>
          <w:tcPr>
            <w:tcW w:w="3960" w:type="dxa"/>
            <w:vAlign w:val="center"/>
          </w:tcPr>
          <w:p>
            <w:pPr>
              <w:spacing w:before="60"/>
              <w:rPr>
                <w:noProof/>
                <w:sz w:val="22"/>
                <w:lang w:val="it-CH"/>
              </w:rPr>
            </w:pPr>
            <w:r>
              <w:rPr>
                <w:noProof/>
                <w:sz w:val="22"/>
                <w:lang w:val="it-CH"/>
              </w:rPr>
              <w:t>34.02.01</w:t>
            </w:r>
            <w:r>
              <w:rPr>
                <w:rStyle w:val="FootnoteReference"/>
                <w:noProof/>
                <w:sz w:val="22"/>
                <w:lang w:val="it-CH"/>
              </w:rPr>
              <w:footnoteReference w:id="29"/>
            </w:r>
          </w:p>
        </w:tc>
        <w:tc>
          <w:tcPr>
            <w:tcW w:w="1080" w:type="dxa"/>
            <w:vAlign w:val="center"/>
          </w:tcPr>
          <w:p>
            <w:pPr>
              <w:jc w:val="center"/>
              <w:rPr>
                <w:noProof/>
                <w:color w:val="0000FF"/>
                <w:sz w:val="22"/>
                <w:lang w:val="it-CH"/>
              </w:rPr>
            </w:pPr>
            <w:r>
              <w:rPr>
                <w:noProof/>
                <w:sz w:val="22"/>
                <w:lang w:val="it-CH"/>
              </w:rPr>
              <w:t>Diff.</w:t>
            </w:r>
          </w:p>
        </w:tc>
        <w:tc>
          <w:tcPr>
            <w:tcW w:w="956" w:type="dxa"/>
            <w:vAlign w:val="center"/>
          </w:tcPr>
          <w:p>
            <w:pPr>
              <w:jc w:val="center"/>
              <w:rPr>
                <w:noProof/>
                <w:sz w:val="22"/>
                <w:lang w:val="it-CH"/>
              </w:rPr>
            </w:pPr>
            <w:r>
              <w:rPr>
                <w:noProof/>
                <w:sz w:val="22"/>
                <w:lang w:val="it-CH"/>
              </w:rPr>
              <w:t>NO</w:t>
            </w:r>
          </w:p>
        </w:tc>
        <w:tc>
          <w:tcPr>
            <w:tcW w:w="1080" w:type="dxa"/>
            <w:vAlign w:val="center"/>
          </w:tcPr>
          <w:p>
            <w:pPr>
              <w:jc w:val="center"/>
              <w:rPr>
                <w:noProof/>
                <w:sz w:val="22"/>
                <w:lang w:val="it-CH"/>
              </w:rPr>
            </w:pPr>
            <w:r>
              <w:rPr>
                <w:noProof/>
                <w:sz w:val="22"/>
                <w:lang w:val="it-CH"/>
              </w:rPr>
              <w:t>NO</w:t>
            </w:r>
          </w:p>
        </w:tc>
        <w:tc>
          <w:tcPr>
            <w:tcW w:w="956" w:type="dxa"/>
            <w:vAlign w:val="center"/>
          </w:tcPr>
          <w:p>
            <w:pPr>
              <w:jc w:val="center"/>
              <w:rPr>
                <w:noProof/>
                <w:sz w:val="22"/>
                <w:lang w:val="it-CH"/>
              </w:rPr>
            </w:pPr>
            <w:r>
              <w:rPr>
                <w:noProof/>
                <w:sz w:val="22"/>
                <w:lang w:val="it-CH"/>
              </w:rPr>
              <w:t>NO</w:t>
            </w:r>
          </w:p>
        </w:tc>
        <w:tc>
          <w:tcPr>
            <w:tcW w:w="1448" w:type="dxa"/>
            <w:vAlign w:val="center"/>
          </w:tcPr>
          <w:p>
            <w:pPr>
              <w:jc w:val="center"/>
              <w:rPr>
                <w:noProof/>
                <w:sz w:val="22"/>
                <w:lang w:val="it-CH"/>
              </w:rPr>
            </w:pPr>
            <w:r>
              <w:rPr>
                <w:noProof/>
                <w:sz w:val="22"/>
                <w:lang w:val="it-CH"/>
              </w:rPr>
              <w:t>NO</w:t>
            </w:r>
          </w:p>
        </w:tc>
      </w:tr>
      <w:tr>
        <w:tc>
          <w:tcPr>
            <w:tcW w:w="1080" w:type="dxa"/>
            <w:vAlign w:val="center"/>
          </w:tcPr>
          <w:p>
            <w:pPr>
              <w:jc w:val="center"/>
              <w:rPr>
                <w:noProof/>
                <w:sz w:val="22"/>
                <w:lang w:val="it-CH"/>
              </w:rPr>
            </w:pPr>
            <w:r>
              <w:rPr>
                <w:noProof/>
                <w:sz w:val="22"/>
                <w:lang w:val="it-CH"/>
              </w:rPr>
              <w:t>2</w:t>
            </w:r>
          </w:p>
        </w:tc>
        <w:tc>
          <w:tcPr>
            <w:tcW w:w="3960" w:type="dxa"/>
            <w:vAlign w:val="center"/>
          </w:tcPr>
          <w:p>
            <w:pPr>
              <w:spacing w:before="60"/>
              <w:rPr>
                <w:noProof/>
                <w:sz w:val="22"/>
                <w:lang w:val="it-CH"/>
              </w:rPr>
            </w:pPr>
            <w:r>
              <w:rPr>
                <w:noProof/>
                <w:sz w:val="22"/>
                <w:lang w:val="it-CH"/>
              </w:rPr>
              <w:t>07.02.06</w:t>
            </w:r>
            <w:r>
              <w:rPr>
                <w:rStyle w:val="FootnoteReference"/>
                <w:noProof/>
                <w:sz w:val="22"/>
                <w:lang w:val="it-CH"/>
              </w:rPr>
              <w:footnoteReference w:id="30"/>
            </w:r>
          </w:p>
        </w:tc>
        <w:tc>
          <w:tcPr>
            <w:tcW w:w="1080" w:type="dxa"/>
            <w:vAlign w:val="center"/>
          </w:tcPr>
          <w:p>
            <w:pPr>
              <w:jc w:val="center"/>
              <w:rPr>
                <w:noProof/>
                <w:color w:val="0000FF"/>
                <w:sz w:val="22"/>
                <w:lang w:val="it-CH"/>
              </w:rPr>
            </w:pPr>
            <w:r>
              <w:rPr>
                <w:noProof/>
                <w:sz w:val="22"/>
                <w:lang w:val="it-CH"/>
              </w:rPr>
              <w:t>Diff.</w:t>
            </w:r>
          </w:p>
        </w:tc>
        <w:tc>
          <w:tcPr>
            <w:tcW w:w="956" w:type="dxa"/>
            <w:vAlign w:val="center"/>
          </w:tcPr>
          <w:p>
            <w:pPr>
              <w:jc w:val="center"/>
              <w:rPr>
                <w:noProof/>
                <w:sz w:val="22"/>
                <w:lang w:val="it-CH"/>
              </w:rPr>
            </w:pPr>
            <w:r>
              <w:rPr>
                <w:noProof/>
                <w:sz w:val="22"/>
                <w:lang w:val="it-CH"/>
              </w:rPr>
              <w:t>SÌ</w:t>
            </w:r>
          </w:p>
        </w:tc>
        <w:tc>
          <w:tcPr>
            <w:tcW w:w="1080" w:type="dxa"/>
          </w:tcPr>
          <w:p>
            <w:pPr>
              <w:jc w:val="center"/>
              <w:rPr>
                <w:noProof/>
                <w:lang w:val="it-CH"/>
              </w:rPr>
            </w:pPr>
            <w:r>
              <w:rPr>
                <w:noProof/>
                <w:sz w:val="22"/>
                <w:lang w:val="it-CH"/>
              </w:rPr>
              <w:t>SÌ</w:t>
            </w:r>
          </w:p>
        </w:tc>
        <w:tc>
          <w:tcPr>
            <w:tcW w:w="956" w:type="dxa"/>
          </w:tcPr>
          <w:p>
            <w:pPr>
              <w:jc w:val="center"/>
              <w:rPr>
                <w:noProof/>
                <w:lang w:val="it-CH"/>
              </w:rPr>
            </w:pPr>
            <w:r>
              <w:rPr>
                <w:noProof/>
                <w:sz w:val="22"/>
                <w:lang w:val="it-CH"/>
              </w:rPr>
              <w:t>SÌ</w:t>
            </w:r>
          </w:p>
        </w:tc>
        <w:tc>
          <w:tcPr>
            <w:tcW w:w="1448" w:type="dxa"/>
            <w:vAlign w:val="center"/>
          </w:tcPr>
          <w:p>
            <w:pPr>
              <w:jc w:val="center"/>
              <w:rPr>
                <w:noProof/>
                <w:sz w:val="22"/>
                <w:lang w:val="it-CH"/>
              </w:rPr>
            </w:pPr>
            <w:r>
              <w:rPr>
                <w:noProof/>
                <w:sz w:val="22"/>
                <w:lang w:val="it-CH"/>
              </w:rPr>
              <w:t>NO</w:t>
            </w:r>
          </w:p>
        </w:tc>
      </w:tr>
      <w:tr>
        <w:tc>
          <w:tcPr>
            <w:tcW w:w="1080" w:type="dxa"/>
            <w:vAlign w:val="center"/>
          </w:tcPr>
          <w:p>
            <w:pPr>
              <w:jc w:val="center"/>
              <w:rPr>
                <w:noProof/>
                <w:sz w:val="22"/>
                <w:lang w:val="it-CH"/>
              </w:rPr>
            </w:pPr>
            <w:r>
              <w:rPr>
                <w:noProof/>
                <w:sz w:val="22"/>
                <w:lang w:val="it-CH"/>
              </w:rPr>
              <w:t>5</w:t>
            </w:r>
          </w:p>
        </w:tc>
        <w:tc>
          <w:tcPr>
            <w:tcW w:w="3960" w:type="dxa"/>
            <w:vAlign w:val="center"/>
          </w:tcPr>
          <w:p>
            <w:pPr>
              <w:spacing w:before="60"/>
              <w:rPr>
                <w:noProof/>
                <w:sz w:val="22"/>
                <w:lang w:val="it-CH"/>
              </w:rPr>
            </w:pPr>
            <w:r>
              <w:rPr>
                <w:noProof/>
                <w:sz w:val="22"/>
                <w:lang w:val="it-CH"/>
              </w:rPr>
              <w:t>34,01%</w:t>
            </w:r>
          </w:p>
        </w:tc>
        <w:tc>
          <w:tcPr>
            <w:tcW w:w="1080" w:type="dxa"/>
            <w:vAlign w:val="center"/>
          </w:tcPr>
          <w:p>
            <w:pPr>
              <w:jc w:val="center"/>
              <w:rPr>
                <w:noProof/>
                <w:sz w:val="22"/>
                <w:lang w:val="it-CH"/>
              </w:rPr>
            </w:pPr>
            <w:r>
              <w:rPr>
                <w:noProof/>
                <w:sz w:val="22"/>
                <w:lang w:val="it-CH"/>
              </w:rPr>
              <w:t>Non diff.</w:t>
            </w:r>
          </w:p>
        </w:tc>
        <w:tc>
          <w:tcPr>
            <w:tcW w:w="956" w:type="dxa"/>
            <w:vAlign w:val="center"/>
          </w:tcPr>
          <w:p>
            <w:pPr>
              <w:jc w:val="center"/>
              <w:rPr>
                <w:noProof/>
                <w:sz w:val="22"/>
                <w:lang w:val="it-CH"/>
              </w:rPr>
            </w:pPr>
            <w:r>
              <w:rPr>
                <w:noProof/>
                <w:sz w:val="22"/>
                <w:lang w:val="it-CH"/>
              </w:rPr>
              <w:t>NO</w:t>
            </w:r>
          </w:p>
        </w:tc>
        <w:tc>
          <w:tcPr>
            <w:tcW w:w="1080" w:type="dxa"/>
            <w:vAlign w:val="center"/>
          </w:tcPr>
          <w:p>
            <w:pPr>
              <w:jc w:val="center"/>
              <w:rPr>
                <w:noProof/>
                <w:sz w:val="22"/>
                <w:lang w:val="it-CH"/>
              </w:rPr>
            </w:pPr>
            <w:r>
              <w:rPr>
                <w:noProof/>
                <w:sz w:val="22"/>
                <w:lang w:val="it-CH"/>
              </w:rPr>
              <w:t>NO</w:t>
            </w:r>
          </w:p>
        </w:tc>
        <w:tc>
          <w:tcPr>
            <w:tcW w:w="956" w:type="dxa"/>
            <w:vAlign w:val="center"/>
          </w:tcPr>
          <w:p>
            <w:pPr>
              <w:jc w:val="center"/>
              <w:rPr>
                <w:noProof/>
                <w:sz w:val="22"/>
                <w:lang w:val="it-CH"/>
              </w:rPr>
            </w:pPr>
            <w:r>
              <w:rPr>
                <w:noProof/>
                <w:sz w:val="22"/>
                <w:lang w:val="it-CH"/>
              </w:rPr>
              <w:t>NO</w:t>
            </w:r>
          </w:p>
        </w:tc>
        <w:tc>
          <w:tcPr>
            <w:tcW w:w="1448" w:type="dxa"/>
            <w:vAlign w:val="center"/>
          </w:tcPr>
          <w:p>
            <w:pPr>
              <w:jc w:val="center"/>
              <w:rPr>
                <w:noProof/>
                <w:sz w:val="22"/>
                <w:lang w:val="it-CH"/>
              </w:rPr>
            </w:pPr>
            <w:r>
              <w:rPr>
                <w:noProof/>
                <w:sz w:val="22"/>
                <w:lang w:val="it-CH"/>
              </w:rPr>
              <w:t>NO</w:t>
            </w:r>
          </w:p>
        </w:tc>
      </w:tr>
    </w:tbl>
    <w:p>
      <w:pPr>
        <w:pStyle w:val="ListBullet1"/>
        <w:rPr>
          <w:noProof/>
          <w:lang w:val="it-CH"/>
        </w:rPr>
      </w:pPr>
      <w:r>
        <w:rPr>
          <w:noProof/>
          <w:lang w:val="it-CH"/>
        </w:rPr>
        <w:t xml:space="preserve">Nuove linee di bilancio di cui è chiesta la creazione: </w:t>
      </w:r>
      <w:r>
        <w:rPr>
          <w:b/>
          <w:noProof/>
          <w:lang w:val="it-CH"/>
        </w:rPr>
        <w:t>Non applicabile</w:t>
      </w:r>
      <w:r>
        <w:rPr>
          <w:noProof/>
          <w:lang w:val="it-CH"/>
        </w:rPr>
        <w:t xml:space="preserve"> </w:t>
      </w:r>
    </w:p>
    <w:p>
      <w:pPr>
        <w:pStyle w:val="Text1"/>
        <w:rPr>
          <w:i/>
          <w:noProof/>
          <w:sz w:val="20"/>
          <w:lang w:val="it-CH"/>
        </w:rPr>
      </w:pPr>
      <w:r>
        <w:rPr>
          <w:i/>
          <w:noProof/>
          <w:u w:val="single"/>
          <w:lang w:val="it-CH"/>
        </w:rPr>
        <w:t>Secondo</w:t>
      </w:r>
      <w:r>
        <w:rPr>
          <w:noProof/>
          <w:u w:val="single"/>
          <w:lang w:val="it-CH"/>
        </w:rPr>
        <w:t xml:space="preserve"> </w:t>
      </w:r>
      <w:r>
        <w:rPr>
          <w:i/>
          <w:noProof/>
          <w:u w:val="single"/>
          <w:lang w:val="it-CH"/>
        </w:rPr>
        <w:t>l'ordine</w:t>
      </w:r>
      <w:r>
        <w:rPr>
          <w:i/>
          <w:noProof/>
          <w:lang w:val="it-CH"/>
        </w:rPr>
        <w:t xml:space="preserve"> delle rubriche del quadro finanziario pluriennale e delle linee di bilancio.</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18"/>
                <w:szCs w:val="18"/>
                <w:lang w:val="it-CH"/>
              </w:rPr>
            </w:pPr>
            <w:r>
              <w:rPr>
                <w:noProof/>
                <w:sz w:val="18"/>
                <w:lang w:val="it-CH"/>
              </w:rPr>
              <w:t>Rubrica del quadro finanziario pluriennale</w:t>
            </w:r>
          </w:p>
        </w:tc>
        <w:tc>
          <w:tcPr>
            <w:tcW w:w="3960" w:type="dxa"/>
            <w:vAlign w:val="center"/>
          </w:tcPr>
          <w:p>
            <w:pPr>
              <w:spacing w:before="60" w:after="60"/>
              <w:jc w:val="center"/>
              <w:rPr>
                <w:noProof/>
                <w:sz w:val="22"/>
                <w:lang w:val="it-CH"/>
              </w:rPr>
            </w:pPr>
            <w:r>
              <w:rPr>
                <w:noProof/>
                <w:sz w:val="20"/>
                <w:szCs w:val="20"/>
                <w:lang w:val="it-CH"/>
              </w:rPr>
              <w:t>Linea di bilancio</w:t>
            </w:r>
          </w:p>
        </w:tc>
        <w:tc>
          <w:tcPr>
            <w:tcW w:w="1080" w:type="dxa"/>
            <w:vAlign w:val="center"/>
          </w:tcPr>
          <w:p>
            <w:pPr>
              <w:spacing w:before="60" w:after="60"/>
              <w:jc w:val="center"/>
              <w:rPr>
                <w:noProof/>
                <w:sz w:val="22"/>
                <w:lang w:val="it-CH"/>
              </w:rPr>
            </w:pPr>
            <w:r>
              <w:rPr>
                <w:noProof/>
                <w:sz w:val="18"/>
                <w:lang w:val="it-CH"/>
              </w:rPr>
              <w:t>Natura della</w:t>
            </w:r>
            <w:r>
              <w:rPr>
                <w:noProof/>
                <w:sz w:val="22"/>
                <w:lang w:val="it-CH"/>
              </w:rPr>
              <w:br/>
            </w:r>
            <w:r>
              <w:rPr>
                <w:noProof/>
                <w:sz w:val="20"/>
                <w:szCs w:val="20"/>
                <w:lang w:val="it-CH"/>
              </w:rPr>
              <w:t>spesa</w:t>
            </w:r>
          </w:p>
        </w:tc>
        <w:tc>
          <w:tcPr>
            <w:tcW w:w="4440" w:type="dxa"/>
            <w:gridSpan w:val="4"/>
            <w:vAlign w:val="center"/>
          </w:tcPr>
          <w:p>
            <w:pPr>
              <w:spacing w:before="60" w:after="60"/>
              <w:jc w:val="center"/>
              <w:rPr>
                <w:noProof/>
                <w:sz w:val="22"/>
                <w:lang w:val="it-CH"/>
              </w:rPr>
            </w:pPr>
            <w:r>
              <w:rPr>
                <w:noProof/>
                <w:sz w:val="20"/>
                <w:szCs w:val="20"/>
                <w:lang w:val="it-CH"/>
              </w:rPr>
              <w:t>Partecipazione</w:t>
            </w:r>
          </w:p>
        </w:tc>
      </w:tr>
      <w:tr>
        <w:tc>
          <w:tcPr>
            <w:tcW w:w="1080" w:type="dxa"/>
            <w:vMerge/>
            <w:vAlign w:val="center"/>
          </w:tcPr>
          <w:p>
            <w:pPr>
              <w:jc w:val="center"/>
              <w:rPr>
                <w:noProof/>
                <w:sz w:val="22"/>
                <w:lang w:val="it-CH"/>
              </w:rPr>
            </w:pPr>
          </w:p>
        </w:tc>
        <w:tc>
          <w:tcPr>
            <w:tcW w:w="3960" w:type="dxa"/>
            <w:vAlign w:val="center"/>
          </w:tcPr>
          <w:p>
            <w:pPr>
              <w:rPr>
                <w:noProof/>
                <w:sz w:val="22"/>
                <w:lang w:val="it-CH"/>
              </w:rPr>
            </w:pPr>
            <w:r>
              <w:rPr>
                <w:noProof/>
                <w:sz w:val="20"/>
                <w:lang w:val="it-CH"/>
              </w:rPr>
              <w:t xml:space="preserve">Numero </w:t>
            </w:r>
            <w:r>
              <w:rPr>
                <w:noProof/>
                <w:sz w:val="22"/>
                <w:lang w:val="it-CH"/>
              </w:rPr>
              <w:br/>
            </w:r>
            <w:r>
              <w:rPr>
                <w:noProof/>
                <w:sz w:val="20"/>
                <w:lang w:val="it-CH"/>
              </w:rPr>
              <w:t>[Denominazione………………………………………]</w:t>
            </w:r>
          </w:p>
        </w:tc>
        <w:tc>
          <w:tcPr>
            <w:tcW w:w="1080" w:type="dxa"/>
            <w:vAlign w:val="center"/>
          </w:tcPr>
          <w:p>
            <w:pPr>
              <w:jc w:val="center"/>
              <w:rPr>
                <w:noProof/>
                <w:sz w:val="22"/>
                <w:lang w:val="it-CH"/>
              </w:rPr>
            </w:pPr>
            <w:r>
              <w:rPr>
                <w:noProof/>
                <w:sz w:val="18"/>
                <w:lang w:val="it-CH"/>
              </w:rPr>
              <w:t>Diff./Non diff.</w:t>
            </w:r>
          </w:p>
        </w:tc>
        <w:tc>
          <w:tcPr>
            <w:tcW w:w="956" w:type="dxa"/>
            <w:vAlign w:val="center"/>
          </w:tcPr>
          <w:p>
            <w:pPr>
              <w:jc w:val="center"/>
              <w:rPr>
                <w:noProof/>
                <w:sz w:val="18"/>
                <w:lang w:val="it-CH"/>
              </w:rPr>
            </w:pPr>
            <w:r>
              <w:rPr>
                <w:noProof/>
                <w:sz w:val="18"/>
                <w:lang w:val="it-CH"/>
              </w:rPr>
              <w:t>di paesi EFTA</w:t>
            </w:r>
          </w:p>
        </w:tc>
        <w:tc>
          <w:tcPr>
            <w:tcW w:w="1080" w:type="dxa"/>
            <w:vAlign w:val="center"/>
          </w:tcPr>
          <w:p>
            <w:pPr>
              <w:jc w:val="center"/>
              <w:rPr>
                <w:noProof/>
                <w:sz w:val="18"/>
                <w:lang w:val="it-CH"/>
              </w:rPr>
            </w:pPr>
            <w:r>
              <w:rPr>
                <w:noProof/>
                <w:sz w:val="18"/>
                <w:lang w:val="it-CH"/>
              </w:rPr>
              <w:t>dai paesi candidati</w:t>
            </w:r>
          </w:p>
        </w:tc>
        <w:tc>
          <w:tcPr>
            <w:tcW w:w="956" w:type="dxa"/>
            <w:vAlign w:val="center"/>
          </w:tcPr>
          <w:p>
            <w:pPr>
              <w:jc w:val="center"/>
              <w:rPr>
                <w:noProof/>
                <w:sz w:val="18"/>
                <w:lang w:val="it-CH"/>
              </w:rPr>
            </w:pPr>
            <w:r>
              <w:rPr>
                <w:noProof/>
                <w:sz w:val="18"/>
                <w:lang w:val="it-CH"/>
              </w:rPr>
              <w:t>di paesi terzi</w:t>
            </w:r>
          </w:p>
        </w:tc>
        <w:tc>
          <w:tcPr>
            <w:tcW w:w="1448" w:type="dxa"/>
            <w:vAlign w:val="center"/>
          </w:tcPr>
          <w:p>
            <w:pPr>
              <w:jc w:val="center"/>
              <w:rPr>
                <w:noProof/>
                <w:sz w:val="22"/>
                <w:lang w:val="it-CH"/>
              </w:rPr>
            </w:pPr>
            <w:r>
              <w:rPr>
                <w:noProof/>
                <w:sz w:val="16"/>
                <w:lang w:val="it-CH"/>
              </w:rPr>
              <w:t>ai sensi dell'articolo 21, paragrafo 2, lettera b), del regolamento finanziario</w:t>
            </w:r>
          </w:p>
        </w:tc>
      </w:tr>
      <w:tr>
        <w:tc>
          <w:tcPr>
            <w:tcW w:w="1080" w:type="dxa"/>
            <w:vAlign w:val="center"/>
          </w:tcPr>
          <w:p>
            <w:pPr>
              <w:jc w:val="center"/>
              <w:rPr>
                <w:noProof/>
                <w:color w:val="0000FF"/>
                <w:sz w:val="22"/>
                <w:lang w:val="it-CH"/>
              </w:rPr>
            </w:pPr>
          </w:p>
        </w:tc>
        <w:tc>
          <w:tcPr>
            <w:tcW w:w="3960" w:type="dxa"/>
            <w:vAlign w:val="center"/>
          </w:tcPr>
          <w:p>
            <w:pPr>
              <w:spacing w:before="60"/>
              <w:rPr>
                <w:noProof/>
                <w:sz w:val="22"/>
                <w:lang w:val="it-CH"/>
              </w:rPr>
            </w:pPr>
            <w:r>
              <w:rPr>
                <w:noProof/>
                <w:sz w:val="22"/>
                <w:lang w:val="it-CH"/>
              </w:rPr>
              <w:t>[XX.YY.YY.YY]</w:t>
            </w:r>
          </w:p>
          <w:p>
            <w:pPr>
              <w:spacing w:after="60"/>
              <w:rPr>
                <w:noProof/>
                <w:color w:val="0000FF"/>
                <w:sz w:val="22"/>
                <w:lang w:val="it-CH"/>
              </w:rPr>
            </w:pPr>
          </w:p>
        </w:tc>
        <w:tc>
          <w:tcPr>
            <w:tcW w:w="1080" w:type="dxa"/>
            <w:vAlign w:val="center"/>
          </w:tcPr>
          <w:p>
            <w:pPr>
              <w:jc w:val="center"/>
              <w:rPr>
                <w:noProof/>
                <w:color w:val="0000FF"/>
                <w:sz w:val="22"/>
                <w:lang w:val="it-CH"/>
              </w:rPr>
            </w:pPr>
          </w:p>
        </w:tc>
        <w:tc>
          <w:tcPr>
            <w:tcW w:w="956" w:type="dxa"/>
            <w:vAlign w:val="center"/>
          </w:tcPr>
          <w:p>
            <w:pPr>
              <w:jc w:val="center"/>
              <w:rPr>
                <w:noProof/>
                <w:sz w:val="22"/>
                <w:lang w:val="it-CH"/>
              </w:rPr>
            </w:pPr>
            <w:r>
              <w:rPr>
                <w:noProof/>
                <w:sz w:val="22"/>
                <w:lang w:val="it-CH"/>
              </w:rPr>
              <w:t>SÌ/NO</w:t>
            </w:r>
          </w:p>
        </w:tc>
        <w:tc>
          <w:tcPr>
            <w:tcW w:w="1080" w:type="dxa"/>
            <w:vAlign w:val="center"/>
          </w:tcPr>
          <w:p>
            <w:pPr>
              <w:jc w:val="center"/>
              <w:rPr>
                <w:noProof/>
                <w:color w:val="0000FF"/>
                <w:sz w:val="18"/>
                <w:lang w:val="it-CH"/>
              </w:rPr>
            </w:pPr>
            <w:r>
              <w:rPr>
                <w:noProof/>
                <w:sz w:val="22"/>
                <w:lang w:val="it-CH"/>
              </w:rPr>
              <w:t>SÌ/NO</w:t>
            </w:r>
          </w:p>
        </w:tc>
        <w:tc>
          <w:tcPr>
            <w:tcW w:w="956" w:type="dxa"/>
            <w:vAlign w:val="center"/>
          </w:tcPr>
          <w:p>
            <w:pPr>
              <w:jc w:val="center"/>
              <w:rPr>
                <w:noProof/>
                <w:color w:val="0000FF"/>
                <w:sz w:val="18"/>
                <w:lang w:val="it-CH"/>
              </w:rPr>
            </w:pPr>
            <w:r>
              <w:rPr>
                <w:noProof/>
                <w:sz w:val="22"/>
                <w:lang w:val="it-CH"/>
              </w:rPr>
              <w:t>SÌ/NO</w:t>
            </w:r>
          </w:p>
        </w:tc>
        <w:tc>
          <w:tcPr>
            <w:tcW w:w="1448" w:type="dxa"/>
            <w:vAlign w:val="center"/>
          </w:tcPr>
          <w:p>
            <w:pPr>
              <w:jc w:val="center"/>
              <w:rPr>
                <w:noProof/>
                <w:sz w:val="22"/>
                <w:lang w:val="it-CH"/>
              </w:rPr>
            </w:pPr>
            <w:r>
              <w:rPr>
                <w:noProof/>
                <w:sz w:val="22"/>
                <w:lang w:val="it-CH"/>
              </w:rPr>
              <w:t>SÌ/NO</w:t>
            </w:r>
          </w:p>
        </w:tc>
      </w:tr>
    </w:tbl>
    <w:p>
      <w:pPr>
        <w:rPr>
          <w:noProof/>
          <w:lang w:val="it-CH"/>
        </w:rPr>
        <w:sectPr>
          <w:pgSz w:w="11907" w:h="16840" w:code="1"/>
          <w:pgMar w:top="1134" w:right="1418" w:bottom="1134" w:left="1418" w:header="709" w:footer="709" w:gutter="0"/>
          <w:cols w:space="708"/>
          <w:docGrid w:linePitch="360"/>
        </w:sectPr>
      </w:pPr>
    </w:p>
    <w:p>
      <w:pPr>
        <w:pStyle w:val="ManualHeading2"/>
        <w:rPr>
          <w:bCs/>
          <w:noProof/>
          <w:szCs w:val="24"/>
          <w:lang w:val="it-CH"/>
        </w:rPr>
      </w:pPr>
      <w:r>
        <w:rPr>
          <w:noProof/>
          <w:lang w:val="it-CH"/>
        </w:rPr>
        <w:t>3.2.</w:t>
      </w:r>
      <w:r>
        <w:rPr>
          <w:noProof/>
          <w:lang w:val="it-CH"/>
        </w:rPr>
        <w:tab/>
        <w:t>Incidenza prevista sulle spese</w:t>
      </w:r>
    </w:p>
    <w:p>
      <w:pPr>
        <w:pStyle w:val="Text1"/>
        <w:rPr>
          <w:noProof/>
          <w:lang w:val="it-CH"/>
        </w:rPr>
      </w:pPr>
      <w:r>
        <w:rPr>
          <w:noProof/>
          <w:lang w:val="it-CH"/>
        </w:rPr>
        <w:t>]</w:t>
      </w:r>
    </w:p>
    <w:p>
      <w:pPr>
        <w:pStyle w:val="ManualHeading3"/>
        <w:rPr>
          <w:noProof/>
          <w:u w:val="single"/>
          <w:lang w:val="it-CH"/>
        </w:rPr>
      </w:pPr>
      <w:r>
        <w:rPr>
          <w:noProof/>
          <w:lang w:val="it-CH"/>
        </w:rPr>
        <w:t>3.2.1.</w:t>
      </w:r>
      <w:r>
        <w:rPr>
          <w:noProof/>
          <w:lang w:val="it-CH"/>
        </w:rPr>
        <w:tab/>
        <w:t xml:space="preserve">Sintesi dell'incidenza prevista sulle spese </w:t>
      </w:r>
    </w:p>
    <w:p>
      <w:pPr>
        <w:jc w:val="right"/>
        <w:rPr>
          <w:noProof/>
          <w:sz w:val="20"/>
          <w:lang w:val="it-CH"/>
        </w:rPr>
      </w:pPr>
      <w:r>
        <w:rPr>
          <w:noProof/>
          <w:sz w:val="20"/>
          <w:lang w:val="it-CH"/>
        </w:rPr>
        <w:t>Mio EUR (al terzo decimale)</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lang w:val="it-CH"/>
              </w:rPr>
            </w:pPr>
            <w:r>
              <w:rPr>
                <w:b/>
                <w:noProof/>
                <w:sz w:val="22"/>
                <w:lang w:val="it-CH"/>
              </w:rPr>
              <w:t xml:space="preserve">Rubrica del quadro finanziario </w:t>
            </w:r>
            <w:r>
              <w:rPr>
                <w:noProof/>
                <w:sz w:val="22"/>
                <w:lang w:val="it-CH"/>
              </w:rPr>
              <w:br/>
            </w:r>
            <w:r>
              <w:rPr>
                <w:b/>
                <w:noProof/>
                <w:sz w:val="22"/>
                <w:lang w:val="it-CH"/>
              </w:rPr>
              <w:t xml:space="preserve">pluriennale </w:t>
            </w:r>
          </w:p>
        </w:tc>
        <w:tc>
          <w:tcPr>
            <w:tcW w:w="1080" w:type="dxa"/>
            <w:vAlign w:val="center"/>
          </w:tcPr>
          <w:p>
            <w:pPr>
              <w:spacing w:before="60" w:after="60"/>
              <w:jc w:val="center"/>
              <w:rPr>
                <w:noProof/>
                <w:sz w:val="22"/>
                <w:lang w:val="it-CH"/>
              </w:rPr>
            </w:pPr>
            <w:r>
              <w:rPr>
                <w:noProof/>
                <w:sz w:val="22"/>
                <w:lang w:val="it-CH"/>
              </w:rPr>
              <w:t>Numero</w:t>
            </w:r>
          </w:p>
        </w:tc>
        <w:tc>
          <w:tcPr>
            <w:tcW w:w="7817" w:type="dxa"/>
            <w:vAlign w:val="center"/>
          </w:tcPr>
          <w:p>
            <w:pPr>
              <w:spacing w:before="60" w:after="60"/>
              <w:rPr>
                <w:noProof/>
                <w:sz w:val="22"/>
                <w:lang w:val="it-CH"/>
              </w:rPr>
            </w:pPr>
            <w:r>
              <w:rPr>
                <w:noProof/>
                <w:sz w:val="22"/>
                <w:lang w:val="it-CH"/>
              </w:rPr>
              <w:t>Crescita sostenibile: Risorse naturali</w:t>
            </w:r>
          </w:p>
        </w:tc>
      </w:tr>
    </w:tbl>
    <w:p>
      <w:pPr>
        <w:rPr>
          <w:noProof/>
          <w:sz w:val="16"/>
          <w:lang w:val="it-CH"/>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tc>
          <w:tcPr>
            <w:tcW w:w="3960" w:type="dxa"/>
            <w:vAlign w:val="center"/>
          </w:tcPr>
          <w:p>
            <w:pPr>
              <w:jc w:val="center"/>
              <w:rPr>
                <w:noProof/>
                <w:sz w:val="22"/>
                <w:lang w:val="it-CH"/>
              </w:rPr>
            </w:pPr>
            <w:r>
              <w:rPr>
                <w:noProof/>
                <w:sz w:val="22"/>
                <w:lang w:val="it-CH"/>
              </w:rPr>
              <w:t>DG: CLIMA</w:t>
            </w:r>
          </w:p>
        </w:tc>
        <w:tc>
          <w:tcPr>
            <w:tcW w:w="1560" w:type="dxa"/>
            <w:gridSpan w:val="2"/>
          </w:tcPr>
          <w:p>
            <w:pPr>
              <w:rPr>
                <w:noProof/>
                <w:sz w:val="20"/>
                <w:lang w:val="it-CH"/>
              </w:rPr>
            </w:pPr>
          </w:p>
        </w:tc>
        <w:tc>
          <w:tcPr>
            <w:tcW w:w="534" w:type="dxa"/>
          </w:tcPr>
          <w:p>
            <w:pPr>
              <w:jc w:val="center"/>
              <w:rPr>
                <w:noProof/>
                <w:sz w:val="20"/>
                <w:lang w:val="it-CH"/>
              </w:rPr>
            </w:pPr>
          </w:p>
        </w:tc>
        <w:tc>
          <w:tcPr>
            <w:tcW w:w="868" w:type="dxa"/>
            <w:vAlign w:val="center"/>
          </w:tcPr>
          <w:p>
            <w:pPr>
              <w:jc w:val="center"/>
              <w:rPr>
                <w:noProof/>
                <w:sz w:val="20"/>
                <w:lang w:val="it-CH"/>
              </w:rPr>
            </w:pPr>
            <w:r>
              <w:rPr>
                <w:noProof/>
                <w:sz w:val="20"/>
                <w:lang w:val="it-CH"/>
              </w:rPr>
              <w:t>Anno</w:t>
            </w:r>
            <w:r>
              <w:rPr>
                <w:noProof/>
                <w:sz w:val="22"/>
                <w:lang w:val="it-CH"/>
              </w:rPr>
              <w:br/>
            </w:r>
            <w:r>
              <w:rPr>
                <w:b/>
                <w:noProof/>
                <w:sz w:val="20"/>
                <w:lang w:val="it-CH"/>
              </w:rPr>
              <w:t>2017</w:t>
            </w:r>
          </w:p>
        </w:tc>
        <w:tc>
          <w:tcPr>
            <w:tcW w:w="868" w:type="dxa"/>
            <w:vAlign w:val="center"/>
          </w:tcPr>
          <w:p>
            <w:pPr>
              <w:jc w:val="center"/>
              <w:rPr>
                <w:noProof/>
                <w:sz w:val="20"/>
                <w:lang w:val="it-CH"/>
              </w:rPr>
            </w:pPr>
            <w:r>
              <w:rPr>
                <w:noProof/>
                <w:sz w:val="20"/>
                <w:lang w:val="it-CH"/>
              </w:rPr>
              <w:t>Anno</w:t>
            </w:r>
            <w:r>
              <w:rPr>
                <w:noProof/>
                <w:sz w:val="22"/>
                <w:lang w:val="it-CH"/>
              </w:rPr>
              <w:br/>
            </w:r>
            <w:r>
              <w:rPr>
                <w:b/>
                <w:noProof/>
                <w:sz w:val="20"/>
                <w:lang w:val="it-CH"/>
              </w:rPr>
              <w:t>2018</w:t>
            </w:r>
          </w:p>
        </w:tc>
        <w:tc>
          <w:tcPr>
            <w:tcW w:w="868" w:type="dxa"/>
            <w:vAlign w:val="center"/>
          </w:tcPr>
          <w:p>
            <w:pPr>
              <w:jc w:val="center"/>
              <w:rPr>
                <w:noProof/>
                <w:sz w:val="20"/>
                <w:lang w:val="it-CH"/>
              </w:rPr>
            </w:pPr>
            <w:r>
              <w:rPr>
                <w:noProof/>
                <w:sz w:val="20"/>
                <w:lang w:val="it-CH"/>
              </w:rPr>
              <w:t>Anno</w:t>
            </w:r>
            <w:r>
              <w:rPr>
                <w:noProof/>
                <w:sz w:val="22"/>
                <w:lang w:val="it-CH"/>
              </w:rPr>
              <w:br/>
            </w:r>
            <w:r>
              <w:rPr>
                <w:b/>
                <w:noProof/>
                <w:sz w:val="20"/>
                <w:lang w:val="it-CH"/>
              </w:rPr>
              <w:t>2019</w:t>
            </w:r>
          </w:p>
        </w:tc>
        <w:tc>
          <w:tcPr>
            <w:tcW w:w="868" w:type="dxa"/>
            <w:vAlign w:val="center"/>
          </w:tcPr>
          <w:p>
            <w:pPr>
              <w:jc w:val="center"/>
              <w:rPr>
                <w:noProof/>
                <w:sz w:val="20"/>
                <w:lang w:val="it-CH"/>
              </w:rPr>
            </w:pPr>
            <w:r>
              <w:rPr>
                <w:noProof/>
                <w:sz w:val="20"/>
                <w:lang w:val="it-CH"/>
              </w:rPr>
              <w:t>Anno</w:t>
            </w:r>
            <w:r>
              <w:rPr>
                <w:noProof/>
                <w:sz w:val="22"/>
                <w:lang w:val="it-CH"/>
              </w:rPr>
              <w:br/>
            </w:r>
            <w:r>
              <w:rPr>
                <w:b/>
                <w:noProof/>
                <w:sz w:val="20"/>
                <w:lang w:val="it-CH"/>
              </w:rPr>
              <w:t>2020</w:t>
            </w:r>
          </w:p>
        </w:tc>
        <w:tc>
          <w:tcPr>
            <w:tcW w:w="2604" w:type="dxa"/>
            <w:gridSpan w:val="3"/>
            <w:vAlign w:val="center"/>
          </w:tcPr>
          <w:p>
            <w:pPr>
              <w:jc w:val="center"/>
              <w:rPr>
                <w:b/>
                <w:noProof/>
                <w:sz w:val="18"/>
                <w:lang w:val="it-CH"/>
              </w:rPr>
            </w:pPr>
          </w:p>
        </w:tc>
        <w:tc>
          <w:tcPr>
            <w:tcW w:w="1777" w:type="dxa"/>
            <w:vAlign w:val="center"/>
          </w:tcPr>
          <w:p>
            <w:pPr>
              <w:jc w:val="center"/>
              <w:rPr>
                <w:b/>
                <w:noProof/>
                <w:sz w:val="20"/>
                <w:lang w:val="it-CH"/>
              </w:rPr>
            </w:pPr>
            <w:r>
              <w:rPr>
                <w:b/>
                <w:noProof/>
                <w:sz w:val="20"/>
                <w:lang w:val="it-CH"/>
              </w:rPr>
              <w:t>TOTALE</w:t>
            </w:r>
          </w:p>
        </w:tc>
      </w:tr>
      <w:tr>
        <w:trPr>
          <w:trHeight w:val="213"/>
        </w:trPr>
        <w:tc>
          <w:tcPr>
            <w:tcW w:w="6054" w:type="dxa"/>
            <w:gridSpan w:val="4"/>
            <w:vAlign w:val="center"/>
          </w:tcPr>
          <w:p>
            <w:pPr>
              <w:spacing w:before="20" w:after="20"/>
              <w:rPr>
                <w:noProof/>
                <w:sz w:val="21"/>
                <w:lang w:val="it-CH"/>
              </w:rPr>
            </w:pPr>
            <w:r>
              <w:rPr>
                <w:noProof/>
                <w:sz w:val="21"/>
                <w:lang w:val="it-CH"/>
              </w:rPr>
              <w:sym w:font="Wingdings" w:char="F09F"/>
            </w:r>
            <w:r>
              <w:rPr>
                <w:noProof/>
                <w:sz w:val="21"/>
                <w:lang w:val="it-CH"/>
              </w:rPr>
              <w:t xml:space="preserve"> </w:t>
            </w:r>
            <w:r>
              <w:rPr>
                <w:noProof/>
                <w:lang w:val="it-CH"/>
              </w:rPr>
              <w:t>Stanziamenti operativi</w:t>
            </w:r>
          </w:p>
        </w:tc>
        <w:tc>
          <w:tcPr>
            <w:tcW w:w="868" w:type="dxa"/>
            <w:vAlign w:val="center"/>
          </w:tcPr>
          <w:p>
            <w:pPr>
              <w:rPr>
                <w:noProof/>
                <w:sz w:val="20"/>
                <w:lang w:val="it-CH"/>
              </w:rPr>
            </w:pPr>
          </w:p>
        </w:tc>
        <w:tc>
          <w:tcPr>
            <w:tcW w:w="868" w:type="dxa"/>
            <w:vAlign w:val="center"/>
          </w:tcPr>
          <w:p>
            <w:pPr>
              <w:rPr>
                <w:noProof/>
                <w:sz w:val="20"/>
                <w:lang w:val="it-CH"/>
              </w:rPr>
            </w:pPr>
          </w:p>
        </w:tc>
        <w:tc>
          <w:tcPr>
            <w:tcW w:w="868" w:type="dxa"/>
            <w:vAlign w:val="center"/>
          </w:tcPr>
          <w:p>
            <w:pPr>
              <w:rPr>
                <w:noProof/>
                <w:sz w:val="20"/>
                <w:lang w:val="it-CH"/>
              </w:rPr>
            </w:pPr>
          </w:p>
        </w:tc>
        <w:tc>
          <w:tcPr>
            <w:tcW w:w="868" w:type="dxa"/>
            <w:vAlign w:val="center"/>
          </w:tcPr>
          <w:p>
            <w:pPr>
              <w:rPr>
                <w:noProof/>
                <w:sz w:val="20"/>
                <w:lang w:val="it-CH"/>
              </w:rPr>
            </w:pPr>
          </w:p>
        </w:tc>
        <w:tc>
          <w:tcPr>
            <w:tcW w:w="868" w:type="dxa"/>
            <w:vAlign w:val="center"/>
          </w:tcPr>
          <w:p>
            <w:pPr>
              <w:rPr>
                <w:noProof/>
                <w:sz w:val="20"/>
                <w:lang w:val="it-CH"/>
              </w:rPr>
            </w:pPr>
          </w:p>
        </w:tc>
        <w:tc>
          <w:tcPr>
            <w:tcW w:w="868" w:type="dxa"/>
            <w:vAlign w:val="center"/>
          </w:tcPr>
          <w:p>
            <w:pPr>
              <w:rPr>
                <w:noProof/>
                <w:sz w:val="20"/>
                <w:lang w:val="it-CH"/>
              </w:rPr>
            </w:pPr>
          </w:p>
        </w:tc>
        <w:tc>
          <w:tcPr>
            <w:tcW w:w="868" w:type="dxa"/>
            <w:vAlign w:val="center"/>
          </w:tcPr>
          <w:p>
            <w:pPr>
              <w:rPr>
                <w:b/>
                <w:noProof/>
                <w:sz w:val="20"/>
                <w:lang w:val="it-CH"/>
              </w:rPr>
            </w:pPr>
          </w:p>
        </w:tc>
        <w:tc>
          <w:tcPr>
            <w:tcW w:w="1777" w:type="dxa"/>
            <w:vAlign w:val="center"/>
          </w:tcPr>
          <w:p>
            <w:pPr>
              <w:rPr>
                <w:b/>
                <w:noProof/>
                <w:sz w:val="20"/>
                <w:lang w:val="it-CH"/>
              </w:rPr>
            </w:pPr>
          </w:p>
        </w:tc>
      </w:tr>
      <w:tr>
        <w:trPr>
          <w:trHeight w:val="277"/>
        </w:trPr>
        <w:tc>
          <w:tcPr>
            <w:tcW w:w="3960" w:type="dxa"/>
            <w:vMerge w:val="restart"/>
            <w:vAlign w:val="center"/>
          </w:tcPr>
          <w:p>
            <w:pPr>
              <w:rPr>
                <w:noProof/>
                <w:sz w:val="22"/>
                <w:lang w:val="it-CH"/>
              </w:rPr>
            </w:pPr>
            <w:r>
              <w:rPr>
                <w:noProof/>
                <w:sz w:val="20"/>
                <w:lang w:val="it-CH"/>
              </w:rPr>
              <w:t>34 02 01</w:t>
            </w:r>
          </w:p>
        </w:tc>
        <w:tc>
          <w:tcPr>
            <w:tcW w:w="1440" w:type="dxa"/>
            <w:vAlign w:val="center"/>
          </w:tcPr>
          <w:p>
            <w:pPr>
              <w:spacing w:before="20" w:after="20"/>
              <w:rPr>
                <w:noProof/>
                <w:sz w:val="18"/>
                <w:lang w:val="it-CH"/>
              </w:rPr>
            </w:pPr>
            <w:r>
              <w:rPr>
                <w:noProof/>
                <w:sz w:val="18"/>
                <w:lang w:val="it-CH"/>
              </w:rPr>
              <w:t>Impegni</w:t>
            </w:r>
          </w:p>
        </w:tc>
        <w:tc>
          <w:tcPr>
            <w:tcW w:w="654" w:type="dxa"/>
            <w:gridSpan w:val="2"/>
            <w:vAlign w:val="center"/>
          </w:tcPr>
          <w:p>
            <w:pPr>
              <w:spacing w:before="20" w:after="20"/>
              <w:jc w:val="center"/>
              <w:rPr>
                <w:noProof/>
                <w:sz w:val="14"/>
                <w:lang w:val="it-CH"/>
              </w:rPr>
            </w:pPr>
            <w:r>
              <w:rPr>
                <w:noProof/>
                <w:sz w:val="14"/>
                <w:lang w:val="it-CH"/>
              </w:rPr>
              <w:t>(1)</w:t>
            </w:r>
          </w:p>
        </w:tc>
        <w:tc>
          <w:tcPr>
            <w:tcW w:w="868" w:type="dxa"/>
            <w:vAlign w:val="center"/>
          </w:tcPr>
          <w:p>
            <w:pPr>
              <w:spacing w:before="20" w:after="20"/>
              <w:jc w:val="right"/>
              <w:rPr>
                <w:noProof/>
                <w:sz w:val="20"/>
                <w:lang w:val="it-CH"/>
              </w:rPr>
            </w:pPr>
          </w:p>
        </w:tc>
        <w:tc>
          <w:tcPr>
            <w:tcW w:w="868" w:type="dxa"/>
            <w:vAlign w:val="center"/>
          </w:tcPr>
          <w:p>
            <w:pPr>
              <w:spacing w:before="20" w:after="20"/>
              <w:jc w:val="right"/>
              <w:rPr>
                <w:noProof/>
                <w:sz w:val="20"/>
                <w:lang w:val="it-CH"/>
              </w:rPr>
            </w:pPr>
          </w:p>
        </w:tc>
        <w:tc>
          <w:tcPr>
            <w:tcW w:w="868" w:type="dxa"/>
            <w:vAlign w:val="center"/>
          </w:tcPr>
          <w:p>
            <w:pPr>
              <w:spacing w:before="20" w:after="20"/>
              <w:jc w:val="right"/>
              <w:rPr>
                <w:noProof/>
                <w:sz w:val="20"/>
                <w:lang w:val="it-CH"/>
              </w:rPr>
            </w:pPr>
            <w:r>
              <w:rPr>
                <w:noProof/>
                <w:sz w:val="20"/>
                <w:lang w:val="it-CH"/>
              </w:rPr>
              <w:t>0,900</w:t>
            </w:r>
          </w:p>
        </w:tc>
        <w:tc>
          <w:tcPr>
            <w:tcW w:w="868" w:type="dxa"/>
            <w:vAlign w:val="center"/>
          </w:tcPr>
          <w:p>
            <w:pPr>
              <w:spacing w:before="20" w:after="20"/>
              <w:jc w:val="right"/>
              <w:rPr>
                <w:noProof/>
                <w:sz w:val="20"/>
                <w:lang w:val="it-CH"/>
              </w:rPr>
            </w:pPr>
          </w:p>
        </w:tc>
        <w:tc>
          <w:tcPr>
            <w:tcW w:w="868" w:type="dxa"/>
            <w:vAlign w:val="center"/>
          </w:tcPr>
          <w:p>
            <w:pPr>
              <w:spacing w:before="20" w:after="20"/>
              <w:jc w:val="right"/>
              <w:rPr>
                <w:noProof/>
                <w:sz w:val="20"/>
                <w:lang w:val="it-CH"/>
              </w:rPr>
            </w:pPr>
          </w:p>
        </w:tc>
        <w:tc>
          <w:tcPr>
            <w:tcW w:w="868" w:type="dxa"/>
            <w:vAlign w:val="center"/>
          </w:tcPr>
          <w:p>
            <w:pPr>
              <w:spacing w:before="20" w:after="20"/>
              <w:jc w:val="right"/>
              <w:rPr>
                <w:noProof/>
                <w:sz w:val="20"/>
                <w:lang w:val="it-CH"/>
              </w:rPr>
            </w:pPr>
          </w:p>
        </w:tc>
        <w:tc>
          <w:tcPr>
            <w:tcW w:w="868" w:type="dxa"/>
            <w:vAlign w:val="center"/>
          </w:tcPr>
          <w:p>
            <w:pPr>
              <w:spacing w:before="20" w:after="20"/>
              <w:jc w:val="right"/>
              <w:rPr>
                <w:b/>
                <w:noProof/>
                <w:sz w:val="20"/>
                <w:lang w:val="it-CH"/>
              </w:rPr>
            </w:pPr>
          </w:p>
        </w:tc>
        <w:tc>
          <w:tcPr>
            <w:tcW w:w="1777" w:type="dxa"/>
            <w:vAlign w:val="center"/>
          </w:tcPr>
          <w:p>
            <w:pPr>
              <w:spacing w:before="20" w:after="20"/>
              <w:jc w:val="right"/>
              <w:rPr>
                <w:b/>
                <w:noProof/>
                <w:sz w:val="20"/>
                <w:lang w:val="it-CH"/>
              </w:rPr>
            </w:pPr>
            <w:r>
              <w:rPr>
                <w:b/>
                <w:noProof/>
                <w:sz w:val="20"/>
                <w:lang w:val="it-CH"/>
              </w:rPr>
              <w:t>0,900</w:t>
            </w:r>
          </w:p>
        </w:tc>
      </w:tr>
      <w:tr>
        <w:tc>
          <w:tcPr>
            <w:tcW w:w="3960" w:type="dxa"/>
            <w:vMerge/>
          </w:tcPr>
          <w:p>
            <w:pPr>
              <w:jc w:val="center"/>
              <w:rPr>
                <w:noProof/>
                <w:sz w:val="20"/>
                <w:lang w:val="it-CH"/>
              </w:rPr>
            </w:pPr>
          </w:p>
        </w:tc>
        <w:tc>
          <w:tcPr>
            <w:tcW w:w="1440" w:type="dxa"/>
            <w:vAlign w:val="center"/>
          </w:tcPr>
          <w:p>
            <w:pPr>
              <w:spacing w:before="20" w:after="20"/>
              <w:rPr>
                <w:noProof/>
                <w:sz w:val="18"/>
                <w:lang w:val="it-CH"/>
              </w:rPr>
            </w:pPr>
            <w:r>
              <w:rPr>
                <w:noProof/>
                <w:sz w:val="18"/>
                <w:lang w:val="it-CH"/>
              </w:rPr>
              <w:t>Pagamenti</w:t>
            </w:r>
          </w:p>
        </w:tc>
        <w:tc>
          <w:tcPr>
            <w:tcW w:w="654" w:type="dxa"/>
            <w:gridSpan w:val="2"/>
            <w:vAlign w:val="center"/>
          </w:tcPr>
          <w:p>
            <w:pPr>
              <w:spacing w:before="20" w:after="20"/>
              <w:jc w:val="center"/>
              <w:rPr>
                <w:noProof/>
                <w:sz w:val="14"/>
                <w:lang w:val="it-CH"/>
              </w:rPr>
            </w:pPr>
            <w:r>
              <w:rPr>
                <w:noProof/>
                <w:sz w:val="14"/>
                <w:lang w:val="it-CH"/>
              </w:rPr>
              <w:t>(2)</w:t>
            </w:r>
          </w:p>
        </w:tc>
        <w:tc>
          <w:tcPr>
            <w:tcW w:w="868" w:type="dxa"/>
            <w:vAlign w:val="center"/>
          </w:tcPr>
          <w:p>
            <w:pPr>
              <w:spacing w:before="20" w:after="20"/>
              <w:jc w:val="right"/>
              <w:rPr>
                <w:noProof/>
                <w:sz w:val="20"/>
                <w:lang w:val="it-CH"/>
              </w:rPr>
            </w:pPr>
          </w:p>
        </w:tc>
        <w:tc>
          <w:tcPr>
            <w:tcW w:w="868" w:type="dxa"/>
            <w:vAlign w:val="center"/>
          </w:tcPr>
          <w:p>
            <w:pPr>
              <w:spacing w:before="20" w:after="20"/>
              <w:jc w:val="right"/>
              <w:rPr>
                <w:noProof/>
                <w:sz w:val="20"/>
                <w:lang w:val="it-CH"/>
              </w:rPr>
            </w:pPr>
          </w:p>
        </w:tc>
        <w:tc>
          <w:tcPr>
            <w:tcW w:w="868" w:type="dxa"/>
            <w:vAlign w:val="center"/>
          </w:tcPr>
          <w:p>
            <w:pPr>
              <w:spacing w:before="20" w:after="20"/>
              <w:jc w:val="right"/>
              <w:rPr>
                <w:noProof/>
                <w:sz w:val="20"/>
                <w:lang w:val="it-CH"/>
              </w:rPr>
            </w:pPr>
            <w:r>
              <w:rPr>
                <w:noProof/>
                <w:sz w:val="20"/>
                <w:lang w:val="it-CH"/>
              </w:rPr>
              <w:t>0,540</w:t>
            </w:r>
          </w:p>
        </w:tc>
        <w:tc>
          <w:tcPr>
            <w:tcW w:w="868" w:type="dxa"/>
            <w:vAlign w:val="center"/>
          </w:tcPr>
          <w:p>
            <w:pPr>
              <w:spacing w:before="20" w:after="20"/>
              <w:jc w:val="right"/>
              <w:rPr>
                <w:noProof/>
                <w:sz w:val="20"/>
                <w:lang w:val="it-CH"/>
              </w:rPr>
            </w:pPr>
            <w:r>
              <w:rPr>
                <w:noProof/>
                <w:sz w:val="20"/>
                <w:lang w:val="it-CH"/>
              </w:rPr>
              <w:t>0,360</w:t>
            </w:r>
          </w:p>
        </w:tc>
        <w:tc>
          <w:tcPr>
            <w:tcW w:w="868" w:type="dxa"/>
            <w:vAlign w:val="center"/>
          </w:tcPr>
          <w:p>
            <w:pPr>
              <w:spacing w:before="20" w:after="20"/>
              <w:jc w:val="right"/>
              <w:rPr>
                <w:noProof/>
                <w:sz w:val="20"/>
                <w:lang w:val="it-CH"/>
              </w:rPr>
            </w:pPr>
          </w:p>
        </w:tc>
        <w:tc>
          <w:tcPr>
            <w:tcW w:w="868" w:type="dxa"/>
            <w:vAlign w:val="center"/>
          </w:tcPr>
          <w:p>
            <w:pPr>
              <w:spacing w:before="20" w:after="20"/>
              <w:jc w:val="right"/>
              <w:rPr>
                <w:noProof/>
                <w:sz w:val="20"/>
                <w:lang w:val="it-CH"/>
              </w:rPr>
            </w:pPr>
          </w:p>
        </w:tc>
        <w:tc>
          <w:tcPr>
            <w:tcW w:w="868" w:type="dxa"/>
            <w:vAlign w:val="center"/>
          </w:tcPr>
          <w:p>
            <w:pPr>
              <w:spacing w:before="20" w:after="20"/>
              <w:jc w:val="right"/>
              <w:rPr>
                <w:noProof/>
                <w:sz w:val="20"/>
                <w:lang w:val="it-CH"/>
              </w:rPr>
            </w:pPr>
          </w:p>
        </w:tc>
        <w:tc>
          <w:tcPr>
            <w:tcW w:w="1777" w:type="dxa"/>
            <w:vAlign w:val="center"/>
          </w:tcPr>
          <w:p>
            <w:pPr>
              <w:spacing w:before="20" w:after="20"/>
              <w:jc w:val="right"/>
              <w:rPr>
                <w:b/>
                <w:noProof/>
                <w:sz w:val="20"/>
                <w:lang w:val="it-CH"/>
              </w:rPr>
            </w:pPr>
            <w:r>
              <w:rPr>
                <w:b/>
                <w:noProof/>
                <w:sz w:val="20"/>
                <w:lang w:val="it-CH"/>
              </w:rPr>
              <w:t>0,900</w:t>
            </w:r>
          </w:p>
        </w:tc>
      </w:tr>
      <w:tr>
        <w:tc>
          <w:tcPr>
            <w:tcW w:w="3960" w:type="dxa"/>
            <w:vMerge w:val="restart"/>
            <w:vAlign w:val="center"/>
          </w:tcPr>
          <w:p>
            <w:pPr>
              <w:rPr>
                <w:noProof/>
                <w:sz w:val="22"/>
                <w:lang w:val="it-CH"/>
              </w:rPr>
            </w:pPr>
            <w:r>
              <w:rPr>
                <w:noProof/>
                <w:sz w:val="20"/>
                <w:lang w:val="it-CH"/>
              </w:rPr>
              <w:t>07 02 06</w:t>
            </w:r>
          </w:p>
        </w:tc>
        <w:tc>
          <w:tcPr>
            <w:tcW w:w="1440" w:type="dxa"/>
            <w:vAlign w:val="center"/>
          </w:tcPr>
          <w:p>
            <w:pPr>
              <w:spacing w:before="20" w:after="20"/>
              <w:rPr>
                <w:noProof/>
                <w:sz w:val="18"/>
                <w:lang w:val="it-CH"/>
              </w:rPr>
            </w:pPr>
            <w:r>
              <w:rPr>
                <w:noProof/>
                <w:sz w:val="18"/>
                <w:lang w:val="it-CH"/>
              </w:rPr>
              <w:t>Impegni</w:t>
            </w:r>
          </w:p>
        </w:tc>
        <w:tc>
          <w:tcPr>
            <w:tcW w:w="654" w:type="dxa"/>
            <w:gridSpan w:val="2"/>
            <w:vAlign w:val="center"/>
          </w:tcPr>
          <w:p>
            <w:pPr>
              <w:spacing w:before="20" w:after="20"/>
              <w:jc w:val="center"/>
              <w:rPr>
                <w:noProof/>
                <w:sz w:val="14"/>
                <w:lang w:val="it-CH"/>
              </w:rPr>
            </w:pPr>
            <w:r>
              <w:rPr>
                <w:noProof/>
                <w:sz w:val="14"/>
                <w:lang w:val="it-CH"/>
              </w:rPr>
              <w:t>(1a)</w:t>
            </w:r>
          </w:p>
        </w:tc>
        <w:tc>
          <w:tcPr>
            <w:tcW w:w="868" w:type="dxa"/>
            <w:vAlign w:val="center"/>
          </w:tcPr>
          <w:p>
            <w:pPr>
              <w:spacing w:before="20" w:after="20"/>
              <w:jc w:val="right"/>
              <w:rPr>
                <w:noProof/>
                <w:sz w:val="20"/>
                <w:lang w:val="it-CH"/>
              </w:rPr>
            </w:pPr>
          </w:p>
        </w:tc>
        <w:tc>
          <w:tcPr>
            <w:tcW w:w="868" w:type="dxa"/>
            <w:vAlign w:val="center"/>
          </w:tcPr>
          <w:p>
            <w:pPr>
              <w:spacing w:before="20" w:after="20"/>
              <w:jc w:val="right"/>
              <w:rPr>
                <w:noProof/>
                <w:sz w:val="20"/>
                <w:lang w:val="it-CH"/>
              </w:rPr>
            </w:pPr>
          </w:p>
        </w:tc>
        <w:tc>
          <w:tcPr>
            <w:tcW w:w="868" w:type="dxa"/>
            <w:vAlign w:val="center"/>
          </w:tcPr>
          <w:p>
            <w:pPr>
              <w:spacing w:before="20" w:after="20"/>
              <w:jc w:val="right"/>
              <w:rPr>
                <w:noProof/>
                <w:sz w:val="20"/>
                <w:lang w:val="it-CH"/>
              </w:rPr>
            </w:pPr>
            <w:r>
              <w:rPr>
                <w:noProof/>
                <w:sz w:val="20"/>
                <w:lang w:val="it-CH"/>
              </w:rPr>
              <w:t>0,200</w:t>
            </w:r>
          </w:p>
        </w:tc>
        <w:tc>
          <w:tcPr>
            <w:tcW w:w="868" w:type="dxa"/>
            <w:vAlign w:val="center"/>
          </w:tcPr>
          <w:p>
            <w:pPr>
              <w:spacing w:before="20" w:after="20"/>
              <w:jc w:val="right"/>
              <w:rPr>
                <w:noProof/>
                <w:sz w:val="20"/>
                <w:lang w:val="it-CH"/>
              </w:rPr>
            </w:pPr>
            <w:r>
              <w:rPr>
                <w:noProof/>
                <w:sz w:val="20"/>
                <w:lang w:val="it-CH"/>
              </w:rPr>
              <w:t>0,200</w:t>
            </w:r>
          </w:p>
        </w:tc>
        <w:tc>
          <w:tcPr>
            <w:tcW w:w="868" w:type="dxa"/>
            <w:vAlign w:val="center"/>
          </w:tcPr>
          <w:p>
            <w:pPr>
              <w:spacing w:before="20" w:after="20"/>
              <w:jc w:val="right"/>
              <w:rPr>
                <w:noProof/>
                <w:sz w:val="20"/>
                <w:lang w:val="it-CH"/>
              </w:rPr>
            </w:pPr>
          </w:p>
        </w:tc>
        <w:tc>
          <w:tcPr>
            <w:tcW w:w="868" w:type="dxa"/>
            <w:vAlign w:val="center"/>
          </w:tcPr>
          <w:p>
            <w:pPr>
              <w:spacing w:before="20" w:after="20"/>
              <w:jc w:val="right"/>
              <w:rPr>
                <w:noProof/>
                <w:sz w:val="20"/>
                <w:lang w:val="it-CH"/>
              </w:rPr>
            </w:pPr>
          </w:p>
        </w:tc>
        <w:tc>
          <w:tcPr>
            <w:tcW w:w="868" w:type="dxa"/>
            <w:vAlign w:val="center"/>
          </w:tcPr>
          <w:p>
            <w:pPr>
              <w:spacing w:before="20" w:after="20"/>
              <w:jc w:val="right"/>
              <w:rPr>
                <w:b/>
                <w:noProof/>
                <w:sz w:val="20"/>
                <w:lang w:val="it-CH"/>
              </w:rPr>
            </w:pPr>
          </w:p>
        </w:tc>
        <w:tc>
          <w:tcPr>
            <w:tcW w:w="1777" w:type="dxa"/>
            <w:vAlign w:val="center"/>
          </w:tcPr>
          <w:p>
            <w:pPr>
              <w:spacing w:before="20" w:after="20"/>
              <w:jc w:val="right"/>
              <w:rPr>
                <w:b/>
                <w:noProof/>
                <w:sz w:val="20"/>
                <w:lang w:val="it-CH"/>
              </w:rPr>
            </w:pPr>
            <w:r>
              <w:rPr>
                <w:b/>
                <w:noProof/>
                <w:sz w:val="20"/>
                <w:lang w:val="it-CH"/>
              </w:rPr>
              <w:t>0,400</w:t>
            </w:r>
          </w:p>
        </w:tc>
      </w:tr>
      <w:tr>
        <w:tc>
          <w:tcPr>
            <w:tcW w:w="3960" w:type="dxa"/>
            <w:vMerge/>
          </w:tcPr>
          <w:p>
            <w:pPr>
              <w:jc w:val="center"/>
              <w:rPr>
                <w:noProof/>
                <w:sz w:val="20"/>
                <w:lang w:val="it-CH"/>
              </w:rPr>
            </w:pPr>
          </w:p>
        </w:tc>
        <w:tc>
          <w:tcPr>
            <w:tcW w:w="1440" w:type="dxa"/>
            <w:vAlign w:val="center"/>
          </w:tcPr>
          <w:p>
            <w:pPr>
              <w:spacing w:before="20" w:after="20"/>
              <w:rPr>
                <w:noProof/>
                <w:sz w:val="18"/>
                <w:lang w:val="it-CH"/>
              </w:rPr>
            </w:pPr>
            <w:r>
              <w:rPr>
                <w:noProof/>
                <w:sz w:val="18"/>
                <w:lang w:val="it-CH"/>
              </w:rPr>
              <w:t>Pagamenti</w:t>
            </w:r>
          </w:p>
        </w:tc>
        <w:tc>
          <w:tcPr>
            <w:tcW w:w="654" w:type="dxa"/>
            <w:gridSpan w:val="2"/>
            <w:vAlign w:val="center"/>
          </w:tcPr>
          <w:p>
            <w:pPr>
              <w:spacing w:before="20" w:after="20"/>
              <w:jc w:val="center"/>
              <w:rPr>
                <w:noProof/>
                <w:sz w:val="14"/>
                <w:lang w:val="it-CH"/>
              </w:rPr>
            </w:pPr>
            <w:r>
              <w:rPr>
                <w:noProof/>
                <w:sz w:val="14"/>
                <w:lang w:val="it-CH"/>
              </w:rPr>
              <w:t>(2a)</w:t>
            </w:r>
          </w:p>
        </w:tc>
        <w:tc>
          <w:tcPr>
            <w:tcW w:w="868" w:type="dxa"/>
            <w:vAlign w:val="center"/>
          </w:tcPr>
          <w:p>
            <w:pPr>
              <w:spacing w:before="20" w:after="20"/>
              <w:jc w:val="right"/>
              <w:rPr>
                <w:noProof/>
                <w:sz w:val="20"/>
                <w:lang w:val="it-CH"/>
              </w:rPr>
            </w:pPr>
          </w:p>
        </w:tc>
        <w:tc>
          <w:tcPr>
            <w:tcW w:w="868" w:type="dxa"/>
            <w:vAlign w:val="center"/>
          </w:tcPr>
          <w:p>
            <w:pPr>
              <w:spacing w:before="20" w:after="20"/>
              <w:jc w:val="right"/>
              <w:rPr>
                <w:noProof/>
                <w:sz w:val="20"/>
                <w:lang w:val="it-CH"/>
              </w:rPr>
            </w:pPr>
          </w:p>
        </w:tc>
        <w:tc>
          <w:tcPr>
            <w:tcW w:w="868" w:type="dxa"/>
            <w:vAlign w:val="center"/>
          </w:tcPr>
          <w:p>
            <w:pPr>
              <w:spacing w:before="20" w:after="20"/>
              <w:jc w:val="right"/>
              <w:rPr>
                <w:noProof/>
                <w:sz w:val="20"/>
                <w:lang w:val="it-CH"/>
              </w:rPr>
            </w:pPr>
            <w:r>
              <w:rPr>
                <w:noProof/>
                <w:sz w:val="20"/>
                <w:lang w:val="it-CH"/>
              </w:rPr>
              <w:t>0,200</w:t>
            </w:r>
          </w:p>
        </w:tc>
        <w:tc>
          <w:tcPr>
            <w:tcW w:w="868" w:type="dxa"/>
            <w:vAlign w:val="center"/>
          </w:tcPr>
          <w:p>
            <w:pPr>
              <w:spacing w:before="20" w:after="20"/>
              <w:jc w:val="right"/>
              <w:rPr>
                <w:noProof/>
                <w:sz w:val="20"/>
                <w:lang w:val="it-CH"/>
              </w:rPr>
            </w:pPr>
            <w:r>
              <w:rPr>
                <w:noProof/>
                <w:sz w:val="20"/>
                <w:lang w:val="it-CH"/>
              </w:rPr>
              <w:t>0,200</w:t>
            </w:r>
          </w:p>
        </w:tc>
        <w:tc>
          <w:tcPr>
            <w:tcW w:w="868" w:type="dxa"/>
            <w:vAlign w:val="center"/>
          </w:tcPr>
          <w:p>
            <w:pPr>
              <w:spacing w:before="20" w:after="20"/>
              <w:jc w:val="right"/>
              <w:rPr>
                <w:noProof/>
                <w:sz w:val="20"/>
                <w:lang w:val="it-CH"/>
              </w:rPr>
            </w:pPr>
          </w:p>
        </w:tc>
        <w:tc>
          <w:tcPr>
            <w:tcW w:w="868" w:type="dxa"/>
            <w:vAlign w:val="center"/>
          </w:tcPr>
          <w:p>
            <w:pPr>
              <w:spacing w:before="20" w:after="20"/>
              <w:jc w:val="right"/>
              <w:rPr>
                <w:noProof/>
                <w:sz w:val="20"/>
                <w:lang w:val="it-CH"/>
              </w:rPr>
            </w:pPr>
          </w:p>
        </w:tc>
        <w:tc>
          <w:tcPr>
            <w:tcW w:w="868" w:type="dxa"/>
            <w:vAlign w:val="center"/>
          </w:tcPr>
          <w:p>
            <w:pPr>
              <w:spacing w:before="20" w:after="20"/>
              <w:jc w:val="right"/>
              <w:rPr>
                <w:b/>
                <w:noProof/>
                <w:sz w:val="20"/>
                <w:lang w:val="it-CH"/>
              </w:rPr>
            </w:pPr>
          </w:p>
        </w:tc>
        <w:tc>
          <w:tcPr>
            <w:tcW w:w="1777" w:type="dxa"/>
            <w:vAlign w:val="center"/>
          </w:tcPr>
          <w:p>
            <w:pPr>
              <w:spacing w:before="20" w:after="20"/>
              <w:jc w:val="right"/>
              <w:rPr>
                <w:b/>
                <w:noProof/>
                <w:sz w:val="20"/>
                <w:lang w:val="it-CH"/>
              </w:rPr>
            </w:pPr>
            <w:r>
              <w:rPr>
                <w:b/>
                <w:noProof/>
                <w:sz w:val="20"/>
                <w:lang w:val="it-CH"/>
              </w:rPr>
              <w:t>0,400</w:t>
            </w:r>
          </w:p>
        </w:tc>
      </w:tr>
      <w:tr>
        <w:trPr>
          <w:trHeight w:val="231"/>
        </w:trPr>
        <w:tc>
          <w:tcPr>
            <w:tcW w:w="6054" w:type="dxa"/>
            <w:gridSpan w:val="4"/>
            <w:vAlign w:val="center"/>
          </w:tcPr>
          <w:p>
            <w:pPr>
              <w:spacing w:before="20" w:after="20"/>
              <w:rPr>
                <w:noProof/>
                <w:sz w:val="22"/>
                <w:lang w:val="it-CH"/>
              </w:rPr>
            </w:pPr>
            <w:r>
              <w:rPr>
                <w:noProof/>
                <w:sz w:val="21"/>
                <w:lang w:val="it-CH"/>
              </w:rPr>
              <w:t>Stanziamenti di natura amministrativa finanziati dalla dotazione di programmi specifici</w:t>
            </w:r>
            <w:r>
              <w:rPr>
                <w:rStyle w:val="FootnoteReference"/>
                <w:noProof/>
                <w:lang w:val="it-CH"/>
              </w:rPr>
              <w:footnoteReference w:id="31"/>
            </w:r>
            <w:r>
              <w:rPr>
                <w:noProof/>
                <w:sz w:val="21"/>
                <w:lang w:val="it-CH"/>
              </w:rPr>
              <w:t xml:space="preserve"> </w:t>
            </w:r>
          </w:p>
          <w:p>
            <w:pPr>
              <w:spacing w:before="0" w:after="0"/>
              <w:rPr>
                <w:noProof/>
                <w:sz w:val="22"/>
                <w:lang w:val="it-CH"/>
              </w:rPr>
            </w:pPr>
          </w:p>
        </w:tc>
        <w:tc>
          <w:tcPr>
            <w:tcW w:w="868" w:type="dxa"/>
            <w:vAlign w:val="center"/>
          </w:tcPr>
          <w:p>
            <w:pPr>
              <w:rPr>
                <w:b/>
                <w:noProof/>
                <w:sz w:val="20"/>
                <w:lang w:val="it-CH"/>
              </w:rPr>
            </w:pPr>
          </w:p>
        </w:tc>
        <w:tc>
          <w:tcPr>
            <w:tcW w:w="868" w:type="dxa"/>
            <w:vAlign w:val="center"/>
          </w:tcPr>
          <w:p>
            <w:pPr>
              <w:rPr>
                <w:b/>
                <w:noProof/>
                <w:sz w:val="20"/>
                <w:lang w:val="it-CH"/>
              </w:rPr>
            </w:pPr>
          </w:p>
        </w:tc>
        <w:tc>
          <w:tcPr>
            <w:tcW w:w="868" w:type="dxa"/>
            <w:vAlign w:val="center"/>
          </w:tcPr>
          <w:p>
            <w:pPr>
              <w:rPr>
                <w:b/>
                <w:noProof/>
                <w:sz w:val="20"/>
                <w:lang w:val="it-CH"/>
              </w:rPr>
            </w:pPr>
          </w:p>
        </w:tc>
        <w:tc>
          <w:tcPr>
            <w:tcW w:w="868" w:type="dxa"/>
            <w:vAlign w:val="center"/>
          </w:tcPr>
          <w:p>
            <w:pPr>
              <w:rPr>
                <w:b/>
                <w:noProof/>
                <w:sz w:val="20"/>
                <w:lang w:val="it-CH"/>
              </w:rPr>
            </w:pPr>
          </w:p>
        </w:tc>
        <w:tc>
          <w:tcPr>
            <w:tcW w:w="868" w:type="dxa"/>
            <w:vAlign w:val="center"/>
          </w:tcPr>
          <w:p>
            <w:pPr>
              <w:rPr>
                <w:b/>
                <w:noProof/>
                <w:sz w:val="20"/>
                <w:lang w:val="it-CH"/>
              </w:rPr>
            </w:pPr>
          </w:p>
        </w:tc>
        <w:tc>
          <w:tcPr>
            <w:tcW w:w="868" w:type="dxa"/>
            <w:vAlign w:val="center"/>
          </w:tcPr>
          <w:p>
            <w:pPr>
              <w:rPr>
                <w:b/>
                <w:noProof/>
                <w:sz w:val="20"/>
                <w:lang w:val="it-CH"/>
              </w:rPr>
            </w:pPr>
          </w:p>
        </w:tc>
        <w:tc>
          <w:tcPr>
            <w:tcW w:w="868" w:type="dxa"/>
            <w:vAlign w:val="center"/>
          </w:tcPr>
          <w:p>
            <w:pPr>
              <w:rPr>
                <w:b/>
                <w:noProof/>
                <w:sz w:val="20"/>
                <w:lang w:val="it-CH"/>
              </w:rPr>
            </w:pPr>
          </w:p>
        </w:tc>
        <w:tc>
          <w:tcPr>
            <w:tcW w:w="1777" w:type="dxa"/>
            <w:vAlign w:val="center"/>
          </w:tcPr>
          <w:p>
            <w:pPr>
              <w:rPr>
                <w:b/>
                <w:noProof/>
                <w:sz w:val="20"/>
                <w:lang w:val="it-CH"/>
              </w:rPr>
            </w:pPr>
          </w:p>
        </w:tc>
      </w:tr>
      <w:tr>
        <w:trPr>
          <w:trHeight w:val="319"/>
        </w:trPr>
        <w:tc>
          <w:tcPr>
            <w:tcW w:w="3960" w:type="dxa"/>
            <w:vAlign w:val="center"/>
          </w:tcPr>
          <w:p>
            <w:pPr>
              <w:spacing w:before="60" w:after="60"/>
              <w:rPr>
                <w:noProof/>
                <w:sz w:val="22"/>
                <w:lang w:val="it-CH"/>
              </w:rPr>
            </w:pPr>
            <w:r>
              <w:rPr>
                <w:noProof/>
                <w:sz w:val="20"/>
                <w:lang w:val="it-CH"/>
              </w:rPr>
              <w:t>Numero della linea di bilancio</w:t>
            </w:r>
          </w:p>
        </w:tc>
        <w:tc>
          <w:tcPr>
            <w:tcW w:w="1440" w:type="dxa"/>
            <w:vAlign w:val="center"/>
          </w:tcPr>
          <w:p>
            <w:pPr>
              <w:spacing w:before="40" w:after="40"/>
              <w:jc w:val="right"/>
              <w:rPr>
                <w:noProof/>
                <w:sz w:val="18"/>
                <w:lang w:val="it-CH"/>
              </w:rPr>
            </w:pPr>
          </w:p>
        </w:tc>
        <w:tc>
          <w:tcPr>
            <w:tcW w:w="654" w:type="dxa"/>
            <w:gridSpan w:val="2"/>
            <w:vAlign w:val="center"/>
          </w:tcPr>
          <w:p>
            <w:pPr>
              <w:spacing w:before="40" w:after="40"/>
              <w:jc w:val="center"/>
              <w:rPr>
                <w:noProof/>
                <w:sz w:val="14"/>
                <w:lang w:val="it-CH"/>
              </w:rPr>
            </w:pPr>
            <w:r>
              <w:rPr>
                <w:noProof/>
                <w:sz w:val="14"/>
                <w:lang w:val="it-CH"/>
              </w:rPr>
              <w:t>(3)</w:t>
            </w:r>
          </w:p>
        </w:tc>
        <w:tc>
          <w:tcPr>
            <w:tcW w:w="868" w:type="dxa"/>
            <w:vAlign w:val="center"/>
          </w:tcPr>
          <w:p>
            <w:pPr>
              <w:spacing w:before="40" w:after="40"/>
              <w:jc w:val="right"/>
              <w:rPr>
                <w:b/>
                <w:noProof/>
                <w:sz w:val="20"/>
                <w:lang w:val="it-CH"/>
              </w:rPr>
            </w:pPr>
          </w:p>
        </w:tc>
        <w:tc>
          <w:tcPr>
            <w:tcW w:w="868" w:type="dxa"/>
            <w:vAlign w:val="center"/>
          </w:tcPr>
          <w:p>
            <w:pPr>
              <w:spacing w:before="40" w:after="40"/>
              <w:jc w:val="right"/>
              <w:rPr>
                <w:b/>
                <w:noProof/>
                <w:sz w:val="20"/>
                <w:lang w:val="it-CH"/>
              </w:rPr>
            </w:pPr>
          </w:p>
        </w:tc>
        <w:tc>
          <w:tcPr>
            <w:tcW w:w="868" w:type="dxa"/>
            <w:vAlign w:val="center"/>
          </w:tcPr>
          <w:p>
            <w:pPr>
              <w:spacing w:before="40" w:after="40"/>
              <w:jc w:val="right"/>
              <w:rPr>
                <w:b/>
                <w:noProof/>
                <w:sz w:val="20"/>
                <w:lang w:val="it-CH"/>
              </w:rPr>
            </w:pPr>
          </w:p>
        </w:tc>
        <w:tc>
          <w:tcPr>
            <w:tcW w:w="868" w:type="dxa"/>
            <w:vAlign w:val="center"/>
          </w:tcPr>
          <w:p>
            <w:pPr>
              <w:spacing w:before="40" w:after="40"/>
              <w:jc w:val="right"/>
              <w:rPr>
                <w:b/>
                <w:noProof/>
                <w:sz w:val="20"/>
                <w:lang w:val="it-CH"/>
              </w:rPr>
            </w:pPr>
          </w:p>
        </w:tc>
        <w:tc>
          <w:tcPr>
            <w:tcW w:w="868" w:type="dxa"/>
            <w:vAlign w:val="center"/>
          </w:tcPr>
          <w:p>
            <w:pPr>
              <w:spacing w:before="40" w:after="40"/>
              <w:jc w:val="right"/>
              <w:rPr>
                <w:b/>
                <w:noProof/>
                <w:sz w:val="20"/>
                <w:lang w:val="it-CH"/>
              </w:rPr>
            </w:pPr>
          </w:p>
        </w:tc>
        <w:tc>
          <w:tcPr>
            <w:tcW w:w="868" w:type="dxa"/>
            <w:vAlign w:val="center"/>
          </w:tcPr>
          <w:p>
            <w:pPr>
              <w:spacing w:before="40" w:after="40"/>
              <w:jc w:val="right"/>
              <w:rPr>
                <w:b/>
                <w:noProof/>
                <w:sz w:val="20"/>
                <w:lang w:val="it-CH"/>
              </w:rPr>
            </w:pPr>
          </w:p>
        </w:tc>
        <w:tc>
          <w:tcPr>
            <w:tcW w:w="868" w:type="dxa"/>
            <w:vAlign w:val="center"/>
          </w:tcPr>
          <w:p>
            <w:pPr>
              <w:spacing w:before="40" w:after="40"/>
              <w:jc w:val="right"/>
              <w:rPr>
                <w:b/>
                <w:noProof/>
                <w:sz w:val="20"/>
                <w:lang w:val="it-CH"/>
              </w:rPr>
            </w:pPr>
          </w:p>
        </w:tc>
        <w:tc>
          <w:tcPr>
            <w:tcW w:w="1777" w:type="dxa"/>
            <w:vAlign w:val="center"/>
          </w:tcPr>
          <w:p>
            <w:pPr>
              <w:spacing w:before="40" w:after="40"/>
              <w:jc w:val="right"/>
              <w:rPr>
                <w:b/>
                <w:noProof/>
                <w:sz w:val="20"/>
                <w:lang w:val="it-CH"/>
              </w:rPr>
            </w:pPr>
          </w:p>
        </w:tc>
      </w:tr>
      <w:tr>
        <w:tc>
          <w:tcPr>
            <w:tcW w:w="3960" w:type="dxa"/>
            <w:vMerge w:val="restart"/>
            <w:vAlign w:val="center"/>
          </w:tcPr>
          <w:p>
            <w:pPr>
              <w:jc w:val="center"/>
              <w:rPr>
                <w:b/>
                <w:noProof/>
                <w:sz w:val="22"/>
                <w:lang w:val="it-CH"/>
              </w:rPr>
            </w:pPr>
            <w:r>
              <w:rPr>
                <w:b/>
                <w:noProof/>
                <w:sz w:val="22"/>
                <w:lang w:val="it-CH"/>
              </w:rPr>
              <w:t xml:space="preserve">TOTALE degli </w:t>
            </w:r>
            <w:r>
              <w:rPr>
                <w:b/>
                <w:noProof/>
                <w:lang w:val="it-CH"/>
              </w:rPr>
              <w:t>stanziamenti</w:t>
            </w:r>
            <w:r>
              <w:rPr>
                <w:noProof/>
                <w:sz w:val="22"/>
                <w:lang w:val="it-CH"/>
              </w:rPr>
              <w:br/>
            </w:r>
            <w:r>
              <w:rPr>
                <w:b/>
                <w:noProof/>
                <w:sz w:val="22"/>
                <w:lang w:val="it-CH"/>
              </w:rPr>
              <w:t>per la DG CLIMA</w:t>
            </w:r>
          </w:p>
        </w:tc>
        <w:tc>
          <w:tcPr>
            <w:tcW w:w="1440" w:type="dxa"/>
            <w:vAlign w:val="center"/>
          </w:tcPr>
          <w:p>
            <w:pPr>
              <w:rPr>
                <w:noProof/>
                <w:sz w:val="18"/>
                <w:lang w:val="it-CH"/>
              </w:rPr>
            </w:pPr>
            <w:r>
              <w:rPr>
                <w:noProof/>
                <w:sz w:val="18"/>
                <w:lang w:val="it-CH"/>
              </w:rPr>
              <w:t>Impegni</w:t>
            </w:r>
          </w:p>
        </w:tc>
        <w:tc>
          <w:tcPr>
            <w:tcW w:w="654" w:type="dxa"/>
            <w:gridSpan w:val="2"/>
            <w:vAlign w:val="center"/>
          </w:tcPr>
          <w:p>
            <w:pPr>
              <w:jc w:val="center"/>
              <w:rPr>
                <w:noProof/>
                <w:sz w:val="14"/>
                <w:lang w:val="it-CH"/>
              </w:rPr>
            </w:pPr>
            <w:r>
              <w:rPr>
                <w:noProof/>
                <w:sz w:val="14"/>
                <w:lang w:val="it-CH"/>
              </w:rPr>
              <w:t>=1+1a +3</w:t>
            </w:r>
          </w:p>
        </w:tc>
        <w:tc>
          <w:tcPr>
            <w:tcW w:w="868" w:type="dxa"/>
            <w:vAlign w:val="center"/>
          </w:tcPr>
          <w:p>
            <w:pPr>
              <w:spacing w:before="20" w:after="20"/>
              <w:jc w:val="right"/>
              <w:rPr>
                <w:noProof/>
                <w:sz w:val="20"/>
                <w:lang w:val="it-CH"/>
              </w:rPr>
            </w:pPr>
          </w:p>
        </w:tc>
        <w:tc>
          <w:tcPr>
            <w:tcW w:w="868" w:type="dxa"/>
            <w:vAlign w:val="center"/>
          </w:tcPr>
          <w:p>
            <w:pPr>
              <w:spacing w:before="20" w:after="20"/>
              <w:jc w:val="right"/>
              <w:rPr>
                <w:noProof/>
                <w:sz w:val="20"/>
                <w:lang w:val="it-CH"/>
              </w:rPr>
            </w:pPr>
          </w:p>
        </w:tc>
        <w:tc>
          <w:tcPr>
            <w:tcW w:w="868" w:type="dxa"/>
            <w:vAlign w:val="center"/>
          </w:tcPr>
          <w:p>
            <w:pPr>
              <w:spacing w:before="20" w:after="20"/>
              <w:jc w:val="right"/>
              <w:rPr>
                <w:noProof/>
                <w:sz w:val="20"/>
                <w:lang w:val="it-CH"/>
              </w:rPr>
            </w:pPr>
            <w:r>
              <w:rPr>
                <w:noProof/>
                <w:sz w:val="20"/>
                <w:lang w:val="it-CH"/>
              </w:rPr>
              <w:t>1,100</w:t>
            </w:r>
          </w:p>
        </w:tc>
        <w:tc>
          <w:tcPr>
            <w:tcW w:w="868" w:type="dxa"/>
            <w:vAlign w:val="center"/>
          </w:tcPr>
          <w:p>
            <w:pPr>
              <w:spacing w:before="20" w:after="20"/>
              <w:jc w:val="right"/>
              <w:rPr>
                <w:noProof/>
                <w:sz w:val="20"/>
                <w:lang w:val="it-CH"/>
              </w:rPr>
            </w:pPr>
            <w:r>
              <w:rPr>
                <w:noProof/>
                <w:sz w:val="20"/>
                <w:lang w:val="it-CH"/>
              </w:rPr>
              <w:t>0,200</w:t>
            </w:r>
          </w:p>
        </w:tc>
        <w:tc>
          <w:tcPr>
            <w:tcW w:w="868" w:type="dxa"/>
            <w:vAlign w:val="center"/>
          </w:tcPr>
          <w:p>
            <w:pPr>
              <w:spacing w:before="20" w:after="20"/>
              <w:jc w:val="right"/>
              <w:rPr>
                <w:noProof/>
                <w:sz w:val="20"/>
                <w:lang w:val="it-CH"/>
              </w:rPr>
            </w:pPr>
          </w:p>
        </w:tc>
        <w:tc>
          <w:tcPr>
            <w:tcW w:w="868" w:type="dxa"/>
            <w:vAlign w:val="center"/>
          </w:tcPr>
          <w:p>
            <w:pPr>
              <w:spacing w:before="20" w:after="20"/>
              <w:jc w:val="right"/>
              <w:rPr>
                <w:noProof/>
                <w:sz w:val="20"/>
                <w:lang w:val="it-CH"/>
              </w:rPr>
            </w:pPr>
          </w:p>
        </w:tc>
        <w:tc>
          <w:tcPr>
            <w:tcW w:w="868" w:type="dxa"/>
            <w:vAlign w:val="center"/>
          </w:tcPr>
          <w:p>
            <w:pPr>
              <w:spacing w:before="20" w:after="20"/>
              <w:jc w:val="right"/>
              <w:rPr>
                <w:b/>
                <w:noProof/>
                <w:sz w:val="20"/>
                <w:lang w:val="it-CH"/>
              </w:rPr>
            </w:pPr>
          </w:p>
        </w:tc>
        <w:tc>
          <w:tcPr>
            <w:tcW w:w="1777" w:type="dxa"/>
            <w:vAlign w:val="center"/>
          </w:tcPr>
          <w:p>
            <w:pPr>
              <w:spacing w:before="20" w:after="20"/>
              <w:jc w:val="right"/>
              <w:rPr>
                <w:b/>
                <w:noProof/>
                <w:sz w:val="20"/>
                <w:lang w:val="it-CH"/>
              </w:rPr>
            </w:pPr>
            <w:r>
              <w:rPr>
                <w:b/>
                <w:noProof/>
                <w:sz w:val="20"/>
                <w:lang w:val="it-CH"/>
              </w:rPr>
              <w:t>1,300</w:t>
            </w:r>
          </w:p>
        </w:tc>
      </w:tr>
      <w:tr>
        <w:tc>
          <w:tcPr>
            <w:tcW w:w="3960" w:type="dxa"/>
            <w:vMerge/>
          </w:tcPr>
          <w:p>
            <w:pPr>
              <w:rPr>
                <w:noProof/>
                <w:sz w:val="20"/>
                <w:lang w:val="it-CH"/>
              </w:rPr>
            </w:pPr>
          </w:p>
        </w:tc>
        <w:tc>
          <w:tcPr>
            <w:tcW w:w="1440" w:type="dxa"/>
            <w:vAlign w:val="center"/>
          </w:tcPr>
          <w:p>
            <w:pPr>
              <w:rPr>
                <w:noProof/>
                <w:sz w:val="18"/>
                <w:lang w:val="it-CH"/>
              </w:rPr>
            </w:pPr>
            <w:r>
              <w:rPr>
                <w:noProof/>
                <w:sz w:val="18"/>
                <w:lang w:val="it-CH"/>
              </w:rPr>
              <w:t>Pagamenti</w:t>
            </w:r>
          </w:p>
        </w:tc>
        <w:tc>
          <w:tcPr>
            <w:tcW w:w="654" w:type="dxa"/>
            <w:gridSpan w:val="2"/>
            <w:vAlign w:val="center"/>
          </w:tcPr>
          <w:p>
            <w:pPr>
              <w:jc w:val="center"/>
              <w:rPr>
                <w:noProof/>
                <w:sz w:val="14"/>
                <w:lang w:val="it-CH"/>
              </w:rPr>
            </w:pPr>
            <w:r>
              <w:rPr>
                <w:noProof/>
                <w:sz w:val="14"/>
                <w:lang w:val="it-CH"/>
              </w:rPr>
              <w:t>=2+2a</w:t>
            </w:r>
          </w:p>
          <w:p>
            <w:pPr>
              <w:jc w:val="center"/>
              <w:rPr>
                <w:noProof/>
                <w:sz w:val="14"/>
                <w:lang w:val="it-CH"/>
              </w:rPr>
            </w:pPr>
            <w:r>
              <w:rPr>
                <w:noProof/>
                <w:sz w:val="14"/>
                <w:lang w:val="it-CH"/>
              </w:rPr>
              <w:t>+3</w:t>
            </w:r>
          </w:p>
        </w:tc>
        <w:tc>
          <w:tcPr>
            <w:tcW w:w="868" w:type="dxa"/>
            <w:vAlign w:val="center"/>
          </w:tcPr>
          <w:p>
            <w:pPr>
              <w:spacing w:before="20" w:after="20"/>
              <w:jc w:val="right"/>
              <w:rPr>
                <w:noProof/>
                <w:sz w:val="20"/>
                <w:lang w:val="it-CH"/>
              </w:rPr>
            </w:pPr>
          </w:p>
        </w:tc>
        <w:tc>
          <w:tcPr>
            <w:tcW w:w="868" w:type="dxa"/>
            <w:vAlign w:val="center"/>
          </w:tcPr>
          <w:p>
            <w:pPr>
              <w:spacing w:before="20" w:after="20"/>
              <w:jc w:val="right"/>
              <w:rPr>
                <w:noProof/>
                <w:sz w:val="20"/>
                <w:lang w:val="it-CH"/>
              </w:rPr>
            </w:pPr>
          </w:p>
        </w:tc>
        <w:tc>
          <w:tcPr>
            <w:tcW w:w="868" w:type="dxa"/>
            <w:vAlign w:val="center"/>
          </w:tcPr>
          <w:p>
            <w:pPr>
              <w:spacing w:before="20" w:after="20"/>
              <w:jc w:val="right"/>
              <w:rPr>
                <w:noProof/>
                <w:sz w:val="20"/>
                <w:lang w:val="it-CH"/>
              </w:rPr>
            </w:pPr>
            <w:r>
              <w:rPr>
                <w:noProof/>
                <w:sz w:val="20"/>
                <w:lang w:val="it-CH"/>
              </w:rPr>
              <w:t>0,740</w:t>
            </w:r>
          </w:p>
        </w:tc>
        <w:tc>
          <w:tcPr>
            <w:tcW w:w="868" w:type="dxa"/>
            <w:vAlign w:val="center"/>
          </w:tcPr>
          <w:p>
            <w:pPr>
              <w:spacing w:before="20" w:after="20"/>
              <w:jc w:val="right"/>
              <w:rPr>
                <w:noProof/>
                <w:sz w:val="20"/>
                <w:lang w:val="it-CH"/>
              </w:rPr>
            </w:pPr>
            <w:r>
              <w:rPr>
                <w:noProof/>
                <w:sz w:val="20"/>
                <w:lang w:val="it-CH"/>
              </w:rPr>
              <w:t>0,560</w:t>
            </w:r>
          </w:p>
        </w:tc>
        <w:tc>
          <w:tcPr>
            <w:tcW w:w="868" w:type="dxa"/>
            <w:vAlign w:val="center"/>
          </w:tcPr>
          <w:p>
            <w:pPr>
              <w:spacing w:before="20" w:after="20"/>
              <w:jc w:val="right"/>
              <w:rPr>
                <w:noProof/>
                <w:sz w:val="20"/>
                <w:lang w:val="it-CH"/>
              </w:rPr>
            </w:pPr>
          </w:p>
        </w:tc>
        <w:tc>
          <w:tcPr>
            <w:tcW w:w="868" w:type="dxa"/>
            <w:vAlign w:val="center"/>
          </w:tcPr>
          <w:p>
            <w:pPr>
              <w:spacing w:before="20" w:after="20"/>
              <w:jc w:val="right"/>
              <w:rPr>
                <w:noProof/>
                <w:sz w:val="20"/>
                <w:lang w:val="it-CH"/>
              </w:rPr>
            </w:pPr>
          </w:p>
        </w:tc>
        <w:tc>
          <w:tcPr>
            <w:tcW w:w="868" w:type="dxa"/>
            <w:vAlign w:val="center"/>
          </w:tcPr>
          <w:p>
            <w:pPr>
              <w:spacing w:before="20" w:after="20"/>
              <w:jc w:val="right"/>
              <w:rPr>
                <w:noProof/>
                <w:sz w:val="20"/>
                <w:lang w:val="it-CH"/>
              </w:rPr>
            </w:pPr>
          </w:p>
        </w:tc>
        <w:tc>
          <w:tcPr>
            <w:tcW w:w="1777" w:type="dxa"/>
            <w:vAlign w:val="center"/>
          </w:tcPr>
          <w:p>
            <w:pPr>
              <w:spacing w:before="20" w:after="20"/>
              <w:jc w:val="right"/>
              <w:rPr>
                <w:b/>
                <w:noProof/>
                <w:sz w:val="20"/>
                <w:lang w:val="it-CH"/>
              </w:rPr>
            </w:pPr>
            <w:r>
              <w:rPr>
                <w:b/>
                <w:noProof/>
                <w:sz w:val="20"/>
                <w:lang w:val="it-CH"/>
              </w:rPr>
              <w:t>1,300</w:t>
            </w:r>
          </w:p>
        </w:tc>
      </w:tr>
    </w:tbl>
    <w:p>
      <w:pPr>
        <w:rPr>
          <w:noProof/>
          <w:lang w:val="it-CH"/>
        </w:rPr>
      </w:pPr>
      <w:r>
        <w:rPr>
          <w:noProof/>
          <w:lang w:val="it-CH"/>
        </w:rPr>
        <w:br/>
      </w:r>
      <w:r>
        <w:rPr>
          <w:noProof/>
          <w:lang w:val="it-CH"/>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vAlign w:val="center"/>
          </w:tcPr>
          <w:p>
            <w:pPr>
              <w:spacing w:before="20" w:after="20"/>
              <w:rPr>
                <w:noProof/>
                <w:sz w:val="22"/>
                <w:lang w:val="it-CH"/>
              </w:rPr>
            </w:pPr>
            <w:r>
              <w:rPr>
                <w:noProof/>
                <w:sz w:val="22"/>
                <w:lang w:val="it-CH"/>
              </w:rPr>
              <w:br w:type="page"/>
            </w:r>
            <w:r>
              <w:rPr>
                <w:noProof/>
                <w:sz w:val="21"/>
                <w:lang w:val="it-CH"/>
              </w:rPr>
              <w:sym w:font="Wingdings" w:char="F09F"/>
            </w:r>
            <w:r>
              <w:rPr>
                <w:noProof/>
                <w:sz w:val="21"/>
                <w:lang w:val="it-CH"/>
              </w:rPr>
              <w:t xml:space="preserve"> TOTALE degli stanziamenti </w:t>
            </w:r>
          </w:p>
        </w:tc>
        <w:tc>
          <w:tcPr>
            <w:tcW w:w="1440" w:type="dxa"/>
            <w:vAlign w:val="center"/>
          </w:tcPr>
          <w:p>
            <w:pPr>
              <w:spacing w:beforeLines="20" w:before="48" w:afterLines="20" w:after="48"/>
              <w:rPr>
                <w:noProof/>
                <w:sz w:val="18"/>
                <w:lang w:val="it-CH"/>
              </w:rPr>
            </w:pPr>
            <w:r>
              <w:rPr>
                <w:noProof/>
                <w:sz w:val="18"/>
                <w:lang w:val="it-CH"/>
              </w:rPr>
              <w:t>Impegni</w:t>
            </w:r>
          </w:p>
        </w:tc>
        <w:tc>
          <w:tcPr>
            <w:tcW w:w="654" w:type="dxa"/>
            <w:vAlign w:val="center"/>
          </w:tcPr>
          <w:p>
            <w:pPr>
              <w:spacing w:beforeLines="20" w:before="48" w:afterLines="20" w:after="48"/>
              <w:jc w:val="center"/>
              <w:rPr>
                <w:noProof/>
                <w:sz w:val="14"/>
                <w:lang w:val="it-CH"/>
              </w:rPr>
            </w:pPr>
            <w:r>
              <w:rPr>
                <w:noProof/>
                <w:sz w:val="14"/>
                <w:lang w:val="it-CH"/>
              </w:rPr>
              <w:t>(4)</w:t>
            </w:r>
          </w:p>
        </w:tc>
        <w:tc>
          <w:tcPr>
            <w:tcW w:w="868" w:type="dxa"/>
            <w:vAlign w:val="center"/>
          </w:tcPr>
          <w:p>
            <w:pPr>
              <w:spacing w:before="20" w:after="20"/>
              <w:jc w:val="right"/>
              <w:rPr>
                <w:noProof/>
                <w:sz w:val="20"/>
                <w:lang w:val="it-CH"/>
              </w:rPr>
            </w:pPr>
          </w:p>
        </w:tc>
        <w:tc>
          <w:tcPr>
            <w:tcW w:w="868" w:type="dxa"/>
            <w:vAlign w:val="center"/>
          </w:tcPr>
          <w:p>
            <w:pPr>
              <w:spacing w:before="20" w:after="20"/>
              <w:jc w:val="right"/>
              <w:rPr>
                <w:noProof/>
                <w:sz w:val="20"/>
                <w:lang w:val="it-CH"/>
              </w:rPr>
            </w:pPr>
          </w:p>
        </w:tc>
        <w:tc>
          <w:tcPr>
            <w:tcW w:w="868" w:type="dxa"/>
            <w:vAlign w:val="center"/>
          </w:tcPr>
          <w:p>
            <w:pPr>
              <w:spacing w:before="20" w:after="20"/>
              <w:jc w:val="right"/>
              <w:rPr>
                <w:noProof/>
                <w:sz w:val="20"/>
                <w:lang w:val="it-CH"/>
              </w:rPr>
            </w:pPr>
            <w:r>
              <w:rPr>
                <w:noProof/>
                <w:sz w:val="20"/>
                <w:lang w:val="it-CH"/>
              </w:rPr>
              <w:t>1,100</w:t>
            </w:r>
          </w:p>
        </w:tc>
        <w:tc>
          <w:tcPr>
            <w:tcW w:w="868" w:type="dxa"/>
            <w:vAlign w:val="center"/>
          </w:tcPr>
          <w:p>
            <w:pPr>
              <w:spacing w:before="20" w:after="20"/>
              <w:jc w:val="right"/>
              <w:rPr>
                <w:noProof/>
                <w:sz w:val="20"/>
                <w:lang w:val="it-CH"/>
              </w:rPr>
            </w:pPr>
            <w:r>
              <w:rPr>
                <w:noProof/>
                <w:sz w:val="20"/>
                <w:lang w:val="it-CH"/>
              </w:rPr>
              <w:t>0,200</w:t>
            </w:r>
          </w:p>
        </w:tc>
        <w:tc>
          <w:tcPr>
            <w:tcW w:w="868" w:type="dxa"/>
            <w:vAlign w:val="center"/>
          </w:tcPr>
          <w:p>
            <w:pPr>
              <w:spacing w:before="20" w:after="20"/>
              <w:jc w:val="right"/>
              <w:rPr>
                <w:noProof/>
                <w:sz w:val="20"/>
                <w:lang w:val="it-CH"/>
              </w:rPr>
            </w:pPr>
          </w:p>
        </w:tc>
        <w:tc>
          <w:tcPr>
            <w:tcW w:w="868" w:type="dxa"/>
            <w:vAlign w:val="center"/>
          </w:tcPr>
          <w:p>
            <w:pPr>
              <w:spacing w:before="20" w:after="20"/>
              <w:jc w:val="right"/>
              <w:rPr>
                <w:noProof/>
                <w:sz w:val="20"/>
                <w:lang w:val="it-CH"/>
              </w:rPr>
            </w:pPr>
          </w:p>
        </w:tc>
        <w:tc>
          <w:tcPr>
            <w:tcW w:w="868" w:type="dxa"/>
            <w:vAlign w:val="center"/>
          </w:tcPr>
          <w:p>
            <w:pPr>
              <w:spacing w:before="20" w:after="20"/>
              <w:jc w:val="right"/>
              <w:rPr>
                <w:b/>
                <w:noProof/>
                <w:sz w:val="20"/>
                <w:lang w:val="it-CH"/>
              </w:rPr>
            </w:pPr>
          </w:p>
        </w:tc>
        <w:tc>
          <w:tcPr>
            <w:tcW w:w="1777" w:type="dxa"/>
            <w:vAlign w:val="center"/>
          </w:tcPr>
          <w:p>
            <w:pPr>
              <w:spacing w:before="20" w:after="20"/>
              <w:jc w:val="right"/>
              <w:rPr>
                <w:b/>
                <w:noProof/>
                <w:sz w:val="20"/>
                <w:lang w:val="it-CH"/>
              </w:rPr>
            </w:pPr>
            <w:r>
              <w:rPr>
                <w:b/>
                <w:noProof/>
                <w:sz w:val="20"/>
                <w:lang w:val="it-CH"/>
              </w:rPr>
              <w:t>1,300</w:t>
            </w:r>
          </w:p>
        </w:tc>
      </w:tr>
      <w:tr>
        <w:tc>
          <w:tcPr>
            <w:tcW w:w="3960" w:type="dxa"/>
            <w:vMerge/>
          </w:tcPr>
          <w:p>
            <w:pPr>
              <w:jc w:val="center"/>
              <w:rPr>
                <w:noProof/>
                <w:sz w:val="20"/>
                <w:lang w:val="it-CH"/>
              </w:rPr>
            </w:pPr>
          </w:p>
        </w:tc>
        <w:tc>
          <w:tcPr>
            <w:tcW w:w="1440" w:type="dxa"/>
            <w:vAlign w:val="center"/>
          </w:tcPr>
          <w:p>
            <w:pPr>
              <w:spacing w:beforeLines="20" w:before="48" w:afterLines="20" w:after="48"/>
              <w:rPr>
                <w:noProof/>
                <w:sz w:val="18"/>
                <w:lang w:val="it-CH"/>
              </w:rPr>
            </w:pPr>
            <w:r>
              <w:rPr>
                <w:noProof/>
                <w:sz w:val="18"/>
                <w:lang w:val="it-CH"/>
              </w:rPr>
              <w:t>Pagamenti</w:t>
            </w:r>
          </w:p>
        </w:tc>
        <w:tc>
          <w:tcPr>
            <w:tcW w:w="654" w:type="dxa"/>
            <w:vAlign w:val="center"/>
          </w:tcPr>
          <w:p>
            <w:pPr>
              <w:spacing w:beforeLines="20" w:before="48" w:afterLines="20" w:after="48"/>
              <w:jc w:val="center"/>
              <w:rPr>
                <w:noProof/>
                <w:sz w:val="14"/>
                <w:lang w:val="it-CH"/>
              </w:rPr>
            </w:pPr>
            <w:r>
              <w:rPr>
                <w:noProof/>
                <w:sz w:val="14"/>
                <w:lang w:val="it-CH"/>
              </w:rPr>
              <w:t>(5)</w:t>
            </w:r>
          </w:p>
        </w:tc>
        <w:tc>
          <w:tcPr>
            <w:tcW w:w="868" w:type="dxa"/>
            <w:vAlign w:val="center"/>
          </w:tcPr>
          <w:p>
            <w:pPr>
              <w:spacing w:before="20" w:after="20"/>
              <w:jc w:val="right"/>
              <w:rPr>
                <w:noProof/>
                <w:sz w:val="20"/>
                <w:lang w:val="it-CH"/>
              </w:rPr>
            </w:pPr>
          </w:p>
        </w:tc>
        <w:tc>
          <w:tcPr>
            <w:tcW w:w="868" w:type="dxa"/>
            <w:vAlign w:val="center"/>
          </w:tcPr>
          <w:p>
            <w:pPr>
              <w:spacing w:before="20" w:after="20"/>
              <w:jc w:val="right"/>
              <w:rPr>
                <w:noProof/>
                <w:sz w:val="20"/>
                <w:lang w:val="it-CH"/>
              </w:rPr>
            </w:pPr>
          </w:p>
        </w:tc>
        <w:tc>
          <w:tcPr>
            <w:tcW w:w="868" w:type="dxa"/>
            <w:vAlign w:val="center"/>
          </w:tcPr>
          <w:p>
            <w:pPr>
              <w:spacing w:before="20" w:after="20"/>
              <w:jc w:val="right"/>
              <w:rPr>
                <w:noProof/>
                <w:sz w:val="20"/>
                <w:lang w:val="it-CH"/>
              </w:rPr>
            </w:pPr>
            <w:r>
              <w:rPr>
                <w:noProof/>
                <w:sz w:val="20"/>
                <w:lang w:val="it-CH"/>
              </w:rPr>
              <w:t>0,740</w:t>
            </w:r>
          </w:p>
        </w:tc>
        <w:tc>
          <w:tcPr>
            <w:tcW w:w="868" w:type="dxa"/>
            <w:vAlign w:val="center"/>
          </w:tcPr>
          <w:p>
            <w:pPr>
              <w:spacing w:before="20" w:after="20"/>
              <w:jc w:val="right"/>
              <w:rPr>
                <w:noProof/>
                <w:sz w:val="20"/>
                <w:lang w:val="it-CH"/>
              </w:rPr>
            </w:pPr>
            <w:r>
              <w:rPr>
                <w:noProof/>
                <w:sz w:val="20"/>
                <w:lang w:val="it-CH"/>
              </w:rPr>
              <w:t>0,560</w:t>
            </w:r>
          </w:p>
        </w:tc>
        <w:tc>
          <w:tcPr>
            <w:tcW w:w="868" w:type="dxa"/>
            <w:vAlign w:val="center"/>
          </w:tcPr>
          <w:p>
            <w:pPr>
              <w:spacing w:before="20" w:after="20"/>
              <w:jc w:val="right"/>
              <w:rPr>
                <w:noProof/>
                <w:sz w:val="20"/>
                <w:lang w:val="it-CH"/>
              </w:rPr>
            </w:pPr>
          </w:p>
        </w:tc>
        <w:tc>
          <w:tcPr>
            <w:tcW w:w="868" w:type="dxa"/>
            <w:vAlign w:val="center"/>
          </w:tcPr>
          <w:p>
            <w:pPr>
              <w:spacing w:before="20" w:after="20"/>
              <w:jc w:val="right"/>
              <w:rPr>
                <w:noProof/>
                <w:sz w:val="20"/>
                <w:lang w:val="it-CH"/>
              </w:rPr>
            </w:pPr>
          </w:p>
        </w:tc>
        <w:tc>
          <w:tcPr>
            <w:tcW w:w="868" w:type="dxa"/>
            <w:vAlign w:val="center"/>
          </w:tcPr>
          <w:p>
            <w:pPr>
              <w:spacing w:before="20" w:after="20"/>
              <w:jc w:val="right"/>
              <w:rPr>
                <w:noProof/>
                <w:sz w:val="20"/>
                <w:lang w:val="it-CH"/>
              </w:rPr>
            </w:pPr>
          </w:p>
        </w:tc>
        <w:tc>
          <w:tcPr>
            <w:tcW w:w="1777" w:type="dxa"/>
            <w:vAlign w:val="center"/>
          </w:tcPr>
          <w:p>
            <w:pPr>
              <w:spacing w:before="20" w:after="20"/>
              <w:jc w:val="right"/>
              <w:rPr>
                <w:b/>
                <w:noProof/>
                <w:sz w:val="20"/>
                <w:lang w:val="it-CH"/>
              </w:rPr>
            </w:pPr>
            <w:r>
              <w:rPr>
                <w:b/>
                <w:noProof/>
                <w:sz w:val="20"/>
                <w:lang w:val="it-CH"/>
              </w:rPr>
              <w:t>1,300</w:t>
            </w:r>
          </w:p>
        </w:tc>
      </w:tr>
      <w:tr>
        <w:trPr>
          <w:trHeight w:val="533"/>
        </w:trPr>
        <w:tc>
          <w:tcPr>
            <w:tcW w:w="5400" w:type="dxa"/>
            <w:gridSpan w:val="2"/>
            <w:vAlign w:val="center"/>
          </w:tcPr>
          <w:p>
            <w:pPr>
              <w:spacing w:beforeLines="20" w:before="48" w:afterLines="20" w:after="48"/>
              <w:rPr>
                <w:noProof/>
                <w:sz w:val="22"/>
                <w:lang w:val="it-CH"/>
              </w:rPr>
            </w:pPr>
            <w:r>
              <w:rPr>
                <w:noProof/>
                <w:sz w:val="21"/>
                <w:lang w:val="it-CH"/>
              </w:rPr>
              <w:sym w:font="Wingdings" w:char="F09F"/>
            </w:r>
            <w:r>
              <w:rPr>
                <w:noProof/>
                <w:sz w:val="21"/>
                <w:lang w:val="it-CH"/>
              </w:rPr>
              <w:t xml:space="preserve"> </w:t>
            </w:r>
            <w:r>
              <w:rPr>
                <w:noProof/>
                <w:sz w:val="21"/>
                <w:szCs w:val="21"/>
                <w:lang w:val="it-CH"/>
              </w:rPr>
              <w:t>TOTALE degli stanziamenti di natura amministrativa finanziati dalla dotazione di programmi specifici</w:t>
            </w:r>
          </w:p>
        </w:tc>
        <w:tc>
          <w:tcPr>
            <w:tcW w:w="654" w:type="dxa"/>
            <w:vAlign w:val="center"/>
          </w:tcPr>
          <w:p>
            <w:pPr>
              <w:spacing w:beforeLines="20" w:before="48" w:afterLines="20" w:after="48"/>
              <w:jc w:val="center"/>
              <w:rPr>
                <w:noProof/>
                <w:sz w:val="14"/>
                <w:lang w:val="it-CH"/>
              </w:rPr>
            </w:pPr>
            <w:r>
              <w:rPr>
                <w:noProof/>
                <w:sz w:val="14"/>
                <w:lang w:val="it-CH"/>
              </w:rPr>
              <w:t>(6)</w:t>
            </w:r>
          </w:p>
        </w:tc>
        <w:tc>
          <w:tcPr>
            <w:tcW w:w="868" w:type="dxa"/>
            <w:vAlign w:val="center"/>
          </w:tcPr>
          <w:p>
            <w:pPr>
              <w:spacing w:before="20" w:after="20"/>
              <w:jc w:val="right"/>
              <w:rPr>
                <w:b/>
                <w:noProof/>
                <w:sz w:val="20"/>
                <w:lang w:val="it-CH"/>
              </w:rPr>
            </w:pPr>
          </w:p>
        </w:tc>
        <w:tc>
          <w:tcPr>
            <w:tcW w:w="868" w:type="dxa"/>
            <w:vAlign w:val="center"/>
          </w:tcPr>
          <w:p>
            <w:pPr>
              <w:spacing w:before="20" w:after="20"/>
              <w:jc w:val="right"/>
              <w:rPr>
                <w:b/>
                <w:noProof/>
                <w:sz w:val="20"/>
                <w:lang w:val="it-CH"/>
              </w:rPr>
            </w:pPr>
          </w:p>
        </w:tc>
        <w:tc>
          <w:tcPr>
            <w:tcW w:w="868" w:type="dxa"/>
            <w:vAlign w:val="center"/>
          </w:tcPr>
          <w:p>
            <w:pPr>
              <w:spacing w:before="20" w:after="20"/>
              <w:jc w:val="right"/>
              <w:rPr>
                <w:b/>
                <w:noProof/>
                <w:sz w:val="20"/>
                <w:lang w:val="it-CH"/>
              </w:rPr>
            </w:pPr>
          </w:p>
        </w:tc>
        <w:tc>
          <w:tcPr>
            <w:tcW w:w="868" w:type="dxa"/>
            <w:vAlign w:val="center"/>
          </w:tcPr>
          <w:p>
            <w:pPr>
              <w:spacing w:before="20" w:after="20"/>
              <w:jc w:val="right"/>
              <w:rPr>
                <w:b/>
                <w:noProof/>
                <w:sz w:val="20"/>
                <w:lang w:val="it-CH"/>
              </w:rPr>
            </w:pPr>
          </w:p>
        </w:tc>
        <w:tc>
          <w:tcPr>
            <w:tcW w:w="868" w:type="dxa"/>
            <w:vAlign w:val="center"/>
          </w:tcPr>
          <w:p>
            <w:pPr>
              <w:spacing w:before="20" w:after="20"/>
              <w:jc w:val="right"/>
              <w:rPr>
                <w:b/>
                <w:noProof/>
                <w:sz w:val="20"/>
                <w:lang w:val="it-CH"/>
              </w:rPr>
            </w:pPr>
          </w:p>
        </w:tc>
        <w:tc>
          <w:tcPr>
            <w:tcW w:w="868" w:type="dxa"/>
            <w:vAlign w:val="center"/>
          </w:tcPr>
          <w:p>
            <w:pPr>
              <w:spacing w:before="20" w:after="20"/>
              <w:jc w:val="right"/>
              <w:rPr>
                <w:b/>
                <w:noProof/>
                <w:sz w:val="20"/>
                <w:lang w:val="it-CH"/>
              </w:rPr>
            </w:pPr>
          </w:p>
        </w:tc>
        <w:tc>
          <w:tcPr>
            <w:tcW w:w="868" w:type="dxa"/>
            <w:vAlign w:val="center"/>
          </w:tcPr>
          <w:p>
            <w:pPr>
              <w:spacing w:before="20" w:after="20"/>
              <w:jc w:val="right"/>
              <w:rPr>
                <w:b/>
                <w:noProof/>
                <w:sz w:val="20"/>
                <w:lang w:val="it-CH"/>
              </w:rPr>
            </w:pPr>
          </w:p>
        </w:tc>
        <w:tc>
          <w:tcPr>
            <w:tcW w:w="1777" w:type="dxa"/>
            <w:vAlign w:val="center"/>
          </w:tcPr>
          <w:p>
            <w:pPr>
              <w:spacing w:before="20" w:after="20"/>
              <w:jc w:val="right"/>
              <w:rPr>
                <w:b/>
                <w:noProof/>
                <w:sz w:val="20"/>
                <w:lang w:val="it-CH"/>
              </w:rPr>
            </w:pPr>
          </w:p>
        </w:tc>
      </w:tr>
      <w:tr>
        <w:tc>
          <w:tcPr>
            <w:tcW w:w="3960" w:type="dxa"/>
            <w:vMerge w:val="restart"/>
            <w:shd w:val="thinDiagStripe" w:color="C0C0C0" w:fill="auto"/>
            <w:vAlign w:val="center"/>
          </w:tcPr>
          <w:p>
            <w:pPr>
              <w:jc w:val="center"/>
              <w:rPr>
                <w:b/>
                <w:noProof/>
                <w:sz w:val="22"/>
                <w:lang w:val="it-CH"/>
              </w:rPr>
            </w:pPr>
            <w:r>
              <w:rPr>
                <w:b/>
                <w:noProof/>
                <w:sz w:val="22"/>
                <w:lang w:val="it-CH"/>
              </w:rPr>
              <w:t xml:space="preserve">TOTALE degli stanziamenti </w:t>
            </w:r>
            <w:r>
              <w:rPr>
                <w:noProof/>
                <w:sz w:val="22"/>
                <w:lang w:val="it-CH"/>
              </w:rPr>
              <w:br/>
            </w:r>
            <w:r>
              <w:rPr>
                <w:b/>
                <w:noProof/>
                <w:sz w:val="22"/>
                <w:lang w:val="it-CH"/>
              </w:rPr>
              <w:t>per la RUBRICA 2</w:t>
            </w:r>
            <w:r>
              <w:rPr>
                <w:noProof/>
                <w:sz w:val="22"/>
                <w:lang w:val="it-CH"/>
              </w:rPr>
              <w:br/>
              <w:t>del quadro finanziario pluriennale</w:t>
            </w:r>
          </w:p>
        </w:tc>
        <w:tc>
          <w:tcPr>
            <w:tcW w:w="1440" w:type="dxa"/>
            <w:vAlign w:val="center"/>
          </w:tcPr>
          <w:p>
            <w:pPr>
              <w:rPr>
                <w:noProof/>
                <w:sz w:val="18"/>
                <w:lang w:val="it-CH"/>
              </w:rPr>
            </w:pPr>
            <w:r>
              <w:rPr>
                <w:noProof/>
                <w:sz w:val="18"/>
                <w:lang w:val="it-CH"/>
              </w:rPr>
              <w:t>Impegni</w:t>
            </w:r>
          </w:p>
        </w:tc>
        <w:tc>
          <w:tcPr>
            <w:tcW w:w="654" w:type="dxa"/>
            <w:vAlign w:val="center"/>
          </w:tcPr>
          <w:p>
            <w:pPr>
              <w:jc w:val="center"/>
              <w:rPr>
                <w:noProof/>
                <w:sz w:val="14"/>
                <w:lang w:val="it-CH"/>
              </w:rPr>
            </w:pPr>
            <w:r>
              <w:rPr>
                <w:noProof/>
                <w:sz w:val="14"/>
                <w:lang w:val="it-CH"/>
              </w:rPr>
              <w:t>=4+ 6</w:t>
            </w:r>
          </w:p>
        </w:tc>
        <w:tc>
          <w:tcPr>
            <w:tcW w:w="868" w:type="dxa"/>
            <w:vAlign w:val="center"/>
          </w:tcPr>
          <w:p>
            <w:pPr>
              <w:spacing w:before="20" w:after="20"/>
              <w:jc w:val="right"/>
              <w:rPr>
                <w:noProof/>
                <w:sz w:val="20"/>
                <w:lang w:val="it-CH"/>
              </w:rPr>
            </w:pPr>
          </w:p>
        </w:tc>
        <w:tc>
          <w:tcPr>
            <w:tcW w:w="868" w:type="dxa"/>
            <w:vAlign w:val="center"/>
          </w:tcPr>
          <w:p>
            <w:pPr>
              <w:spacing w:before="20" w:after="20"/>
              <w:jc w:val="right"/>
              <w:rPr>
                <w:noProof/>
                <w:sz w:val="20"/>
                <w:lang w:val="it-CH"/>
              </w:rPr>
            </w:pPr>
          </w:p>
        </w:tc>
        <w:tc>
          <w:tcPr>
            <w:tcW w:w="868" w:type="dxa"/>
            <w:vAlign w:val="center"/>
          </w:tcPr>
          <w:p>
            <w:pPr>
              <w:spacing w:before="20" w:after="20"/>
              <w:jc w:val="right"/>
              <w:rPr>
                <w:noProof/>
                <w:sz w:val="20"/>
                <w:lang w:val="it-CH"/>
              </w:rPr>
            </w:pPr>
            <w:r>
              <w:rPr>
                <w:noProof/>
                <w:sz w:val="20"/>
                <w:lang w:val="it-CH"/>
              </w:rPr>
              <w:t>1,100</w:t>
            </w:r>
          </w:p>
        </w:tc>
        <w:tc>
          <w:tcPr>
            <w:tcW w:w="868" w:type="dxa"/>
            <w:vAlign w:val="center"/>
          </w:tcPr>
          <w:p>
            <w:pPr>
              <w:spacing w:before="20" w:after="20"/>
              <w:jc w:val="right"/>
              <w:rPr>
                <w:noProof/>
                <w:sz w:val="20"/>
                <w:lang w:val="it-CH"/>
              </w:rPr>
            </w:pPr>
            <w:r>
              <w:rPr>
                <w:noProof/>
                <w:sz w:val="20"/>
                <w:lang w:val="it-CH"/>
              </w:rPr>
              <w:t>0,200</w:t>
            </w:r>
          </w:p>
        </w:tc>
        <w:tc>
          <w:tcPr>
            <w:tcW w:w="868" w:type="dxa"/>
            <w:vAlign w:val="center"/>
          </w:tcPr>
          <w:p>
            <w:pPr>
              <w:spacing w:before="20" w:after="20"/>
              <w:jc w:val="right"/>
              <w:rPr>
                <w:noProof/>
                <w:sz w:val="20"/>
                <w:lang w:val="it-CH"/>
              </w:rPr>
            </w:pPr>
          </w:p>
        </w:tc>
        <w:tc>
          <w:tcPr>
            <w:tcW w:w="868" w:type="dxa"/>
            <w:vAlign w:val="center"/>
          </w:tcPr>
          <w:p>
            <w:pPr>
              <w:spacing w:before="20" w:after="20"/>
              <w:jc w:val="right"/>
              <w:rPr>
                <w:noProof/>
                <w:sz w:val="20"/>
                <w:lang w:val="it-CH"/>
              </w:rPr>
            </w:pPr>
          </w:p>
        </w:tc>
        <w:tc>
          <w:tcPr>
            <w:tcW w:w="868" w:type="dxa"/>
            <w:vAlign w:val="center"/>
          </w:tcPr>
          <w:p>
            <w:pPr>
              <w:spacing w:before="20" w:after="20"/>
              <w:jc w:val="right"/>
              <w:rPr>
                <w:b/>
                <w:noProof/>
                <w:sz w:val="20"/>
                <w:lang w:val="it-CH"/>
              </w:rPr>
            </w:pPr>
          </w:p>
        </w:tc>
        <w:tc>
          <w:tcPr>
            <w:tcW w:w="1777" w:type="dxa"/>
            <w:vAlign w:val="center"/>
          </w:tcPr>
          <w:p>
            <w:pPr>
              <w:spacing w:before="20" w:after="20"/>
              <w:jc w:val="right"/>
              <w:rPr>
                <w:b/>
                <w:noProof/>
                <w:sz w:val="20"/>
                <w:lang w:val="it-CH"/>
              </w:rPr>
            </w:pPr>
            <w:r>
              <w:rPr>
                <w:b/>
                <w:noProof/>
                <w:sz w:val="20"/>
                <w:lang w:val="it-CH"/>
              </w:rPr>
              <w:t>1,300</w:t>
            </w:r>
          </w:p>
        </w:tc>
      </w:tr>
      <w:tr>
        <w:tc>
          <w:tcPr>
            <w:tcW w:w="3960" w:type="dxa"/>
            <w:vMerge/>
            <w:shd w:val="thinDiagStripe" w:color="C0C0C0" w:fill="auto"/>
          </w:tcPr>
          <w:p>
            <w:pPr>
              <w:rPr>
                <w:noProof/>
                <w:sz w:val="20"/>
                <w:lang w:val="it-CH"/>
              </w:rPr>
            </w:pPr>
          </w:p>
        </w:tc>
        <w:tc>
          <w:tcPr>
            <w:tcW w:w="1440" w:type="dxa"/>
            <w:vAlign w:val="center"/>
          </w:tcPr>
          <w:p>
            <w:pPr>
              <w:rPr>
                <w:noProof/>
                <w:sz w:val="18"/>
                <w:lang w:val="it-CH"/>
              </w:rPr>
            </w:pPr>
            <w:r>
              <w:rPr>
                <w:noProof/>
                <w:sz w:val="18"/>
                <w:lang w:val="it-CH"/>
              </w:rPr>
              <w:t>Pagamenti</w:t>
            </w:r>
          </w:p>
        </w:tc>
        <w:tc>
          <w:tcPr>
            <w:tcW w:w="654" w:type="dxa"/>
            <w:vAlign w:val="center"/>
          </w:tcPr>
          <w:p>
            <w:pPr>
              <w:jc w:val="center"/>
              <w:rPr>
                <w:noProof/>
                <w:sz w:val="14"/>
                <w:lang w:val="it-CH"/>
              </w:rPr>
            </w:pPr>
            <w:r>
              <w:rPr>
                <w:noProof/>
                <w:sz w:val="14"/>
                <w:lang w:val="it-CH"/>
              </w:rPr>
              <w:t>=5+ 6</w:t>
            </w:r>
          </w:p>
        </w:tc>
        <w:tc>
          <w:tcPr>
            <w:tcW w:w="868" w:type="dxa"/>
            <w:vAlign w:val="center"/>
          </w:tcPr>
          <w:p>
            <w:pPr>
              <w:spacing w:before="20" w:after="20"/>
              <w:jc w:val="right"/>
              <w:rPr>
                <w:noProof/>
                <w:sz w:val="20"/>
                <w:lang w:val="it-CH"/>
              </w:rPr>
            </w:pPr>
          </w:p>
        </w:tc>
        <w:tc>
          <w:tcPr>
            <w:tcW w:w="868" w:type="dxa"/>
            <w:vAlign w:val="center"/>
          </w:tcPr>
          <w:p>
            <w:pPr>
              <w:spacing w:before="20" w:after="20"/>
              <w:jc w:val="right"/>
              <w:rPr>
                <w:noProof/>
                <w:sz w:val="20"/>
                <w:lang w:val="it-CH"/>
              </w:rPr>
            </w:pPr>
          </w:p>
        </w:tc>
        <w:tc>
          <w:tcPr>
            <w:tcW w:w="868" w:type="dxa"/>
            <w:vAlign w:val="center"/>
          </w:tcPr>
          <w:p>
            <w:pPr>
              <w:spacing w:before="20" w:after="20"/>
              <w:jc w:val="right"/>
              <w:rPr>
                <w:noProof/>
                <w:sz w:val="20"/>
                <w:lang w:val="it-CH"/>
              </w:rPr>
            </w:pPr>
            <w:r>
              <w:rPr>
                <w:noProof/>
                <w:sz w:val="20"/>
                <w:lang w:val="it-CH"/>
              </w:rPr>
              <w:t>0,740</w:t>
            </w:r>
          </w:p>
        </w:tc>
        <w:tc>
          <w:tcPr>
            <w:tcW w:w="868" w:type="dxa"/>
            <w:vAlign w:val="center"/>
          </w:tcPr>
          <w:p>
            <w:pPr>
              <w:spacing w:before="20" w:after="20"/>
              <w:jc w:val="right"/>
              <w:rPr>
                <w:noProof/>
                <w:sz w:val="20"/>
                <w:lang w:val="it-CH"/>
              </w:rPr>
            </w:pPr>
            <w:r>
              <w:rPr>
                <w:noProof/>
                <w:sz w:val="20"/>
                <w:lang w:val="it-CH"/>
              </w:rPr>
              <w:t>0,560</w:t>
            </w:r>
          </w:p>
        </w:tc>
        <w:tc>
          <w:tcPr>
            <w:tcW w:w="868" w:type="dxa"/>
            <w:vAlign w:val="center"/>
          </w:tcPr>
          <w:p>
            <w:pPr>
              <w:spacing w:before="20" w:after="20"/>
              <w:jc w:val="right"/>
              <w:rPr>
                <w:noProof/>
                <w:sz w:val="20"/>
                <w:lang w:val="it-CH"/>
              </w:rPr>
            </w:pPr>
          </w:p>
        </w:tc>
        <w:tc>
          <w:tcPr>
            <w:tcW w:w="868" w:type="dxa"/>
            <w:vAlign w:val="center"/>
          </w:tcPr>
          <w:p>
            <w:pPr>
              <w:spacing w:before="20" w:after="20"/>
              <w:jc w:val="right"/>
              <w:rPr>
                <w:noProof/>
                <w:sz w:val="20"/>
                <w:lang w:val="it-CH"/>
              </w:rPr>
            </w:pPr>
          </w:p>
        </w:tc>
        <w:tc>
          <w:tcPr>
            <w:tcW w:w="868" w:type="dxa"/>
            <w:vAlign w:val="center"/>
          </w:tcPr>
          <w:p>
            <w:pPr>
              <w:spacing w:before="20" w:after="20"/>
              <w:jc w:val="right"/>
              <w:rPr>
                <w:noProof/>
                <w:sz w:val="20"/>
                <w:lang w:val="it-CH"/>
              </w:rPr>
            </w:pPr>
          </w:p>
        </w:tc>
        <w:tc>
          <w:tcPr>
            <w:tcW w:w="1777" w:type="dxa"/>
            <w:vAlign w:val="center"/>
          </w:tcPr>
          <w:p>
            <w:pPr>
              <w:spacing w:before="20" w:after="20"/>
              <w:jc w:val="right"/>
              <w:rPr>
                <w:b/>
                <w:noProof/>
                <w:sz w:val="20"/>
                <w:lang w:val="it-CH"/>
              </w:rPr>
            </w:pPr>
            <w:r>
              <w:rPr>
                <w:b/>
                <w:noProof/>
                <w:sz w:val="20"/>
                <w:lang w:val="it-CH"/>
              </w:rPr>
              <w:t>1,300</w:t>
            </w:r>
          </w:p>
        </w:tc>
      </w:tr>
    </w:tbl>
    <w:p>
      <w:pPr>
        <w:spacing w:after="40"/>
        <w:rPr>
          <w:b/>
          <w:noProof/>
          <w:sz w:val="22"/>
          <w:u w:val="single"/>
          <w:lang w:val="it-CH"/>
        </w:rPr>
      </w:pPr>
      <w:r>
        <w:rPr>
          <w:b/>
          <w:noProof/>
          <w:sz w:val="22"/>
          <w:u w:val="single"/>
          <w:lang w:val="it-CH"/>
        </w:rPr>
        <w:t>Se la proposta/iniziativa incide su più rubriche:</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tcBorders>
              <w:top w:val="single" w:sz="4" w:space="0" w:color="FF0000"/>
              <w:left w:val="single" w:sz="4" w:space="0" w:color="auto"/>
              <w:bottom w:val="single" w:sz="4" w:space="0" w:color="FF0000"/>
            </w:tcBorders>
            <w:vAlign w:val="center"/>
          </w:tcPr>
          <w:p>
            <w:pPr>
              <w:spacing w:before="20" w:after="20"/>
              <w:rPr>
                <w:noProof/>
                <w:sz w:val="22"/>
                <w:lang w:val="it-CH"/>
              </w:rPr>
            </w:pPr>
            <w:r>
              <w:rPr>
                <w:noProof/>
                <w:sz w:val="21"/>
                <w:lang w:val="it-CH"/>
              </w:rPr>
              <w:sym w:font="Wingdings" w:char="F09F"/>
            </w:r>
            <w:r>
              <w:rPr>
                <w:noProof/>
                <w:sz w:val="21"/>
                <w:lang w:val="it-CH"/>
              </w:rPr>
              <w:t xml:space="preserve"> TOTALE degli stanziamenti operativi</w:t>
            </w:r>
          </w:p>
        </w:tc>
        <w:tc>
          <w:tcPr>
            <w:tcW w:w="1440" w:type="dxa"/>
            <w:tcBorders>
              <w:top w:val="single" w:sz="4" w:space="0" w:color="FF0000"/>
            </w:tcBorders>
            <w:vAlign w:val="center"/>
          </w:tcPr>
          <w:p>
            <w:pPr>
              <w:spacing w:beforeLines="20" w:before="48" w:afterLines="20" w:after="48"/>
              <w:rPr>
                <w:noProof/>
                <w:sz w:val="18"/>
                <w:lang w:val="it-CH"/>
              </w:rPr>
            </w:pPr>
            <w:r>
              <w:rPr>
                <w:noProof/>
                <w:sz w:val="18"/>
                <w:lang w:val="it-CH"/>
              </w:rPr>
              <w:t>Impegni</w:t>
            </w:r>
          </w:p>
        </w:tc>
        <w:tc>
          <w:tcPr>
            <w:tcW w:w="654" w:type="dxa"/>
            <w:tcBorders>
              <w:top w:val="single" w:sz="4" w:space="0" w:color="FF0000"/>
            </w:tcBorders>
            <w:vAlign w:val="center"/>
          </w:tcPr>
          <w:p>
            <w:pPr>
              <w:spacing w:beforeLines="20" w:before="48" w:afterLines="20" w:after="48"/>
              <w:jc w:val="center"/>
              <w:rPr>
                <w:noProof/>
                <w:sz w:val="14"/>
                <w:lang w:val="it-CH"/>
              </w:rPr>
            </w:pPr>
            <w:r>
              <w:rPr>
                <w:noProof/>
                <w:sz w:val="14"/>
                <w:lang w:val="it-CH"/>
              </w:rPr>
              <w:t>(4)</w:t>
            </w:r>
          </w:p>
        </w:tc>
        <w:tc>
          <w:tcPr>
            <w:tcW w:w="868" w:type="dxa"/>
            <w:tcBorders>
              <w:top w:val="single" w:sz="4" w:space="0" w:color="FF0000"/>
            </w:tcBorders>
            <w:vAlign w:val="center"/>
          </w:tcPr>
          <w:p>
            <w:pPr>
              <w:spacing w:before="20" w:after="20"/>
              <w:jc w:val="right"/>
              <w:rPr>
                <w:noProof/>
                <w:sz w:val="20"/>
                <w:lang w:val="it-CH"/>
              </w:rPr>
            </w:pPr>
          </w:p>
        </w:tc>
        <w:tc>
          <w:tcPr>
            <w:tcW w:w="868" w:type="dxa"/>
            <w:tcBorders>
              <w:top w:val="single" w:sz="4" w:space="0" w:color="FF0000"/>
            </w:tcBorders>
            <w:vAlign w:val="center"/>
          </w:tcPr>
          <w:p>
            <w:pPr>
              <w:spacing w:before="20" w:after="20"/>
              <w:jc w:val="right"/>
              <w:rPr>
                <w:noProof/>
                <w:sz w:val="20"/>
                <w:lang w:val="it-CH"/>
              </w:rPr>
            </w:pPr>
          </w:p>
        </w:tc>
        <w:tc>
          <w:tcPr>
            <w:tcW w:w="868" w:type="dxa"/>
            <w:tcBorders>
              <w:top w:val="single" w:sz="4" w:space="0" w:color="FF0000"/>
            </w:tcBorders>
            <w:vAlign w:val="center"/>
          </w:tcPr>
          <w:p>
            <w:pPr>
              <w:spacing w:before="20" w:after="20"/>
              <w:jc w:val="right"/>
              <w:rPr>
                <w:noProof/>
                <w:sz w:val="20"/>
                <w:lang w:val="it-CH"/>
              </w:rPr>
            </w:pPr>
          </w:p>
        </w:tc>
        <w:tc>
          <w:tcPr>
            <w:tcW w:w="868" w:type="dxa"/>
            <w:tcBorders>
              <w:top w:val="single" w:sz="4" w:space="0" w:color="FF0000"/>
            </w:tcBorders>
            <w:vAlign w:val="center"/>
          </w:tcPr>
          <w:p>
            <w:pPr>
              <w:spacing w:before="20" w:after="20"/>
              <w:jc w:val="right"/>
              <w:rPr>
                <w:noProof/>
                <w:sz w:val="20"/>
                <w:lang w:val="it-CH"/>
              </w:rPr>
            </w:pPr>
          </w:p>
        </w:tc>
        <w:tc>
          <w:tcPr>
            <w:tcW w:w="868" w:type="dxa"/>
            <w:tcBorders>
              <w:top w:val="single" w:sz="4" w:space="0" w:color="FF0000"/>
            </w:tcBorders>
            <w:vAlign w:val="center"/>
          </w:tcPr>
          <w:p>
            <w:pPr>
              <w:spacing w:before="20" w:after="20"/>
              <w:jc w:val="right"/>
              <w:rPr>
                <w:noProof/>
                <w:sz w:val="20"/>
                <w:lang w:val="it-CH"/>
              </w:rPr>
            </w:pPr>
          </w:p>
        </w:tc>
        <w:tc>
          <w:tcPr>
            <w:tcW w:w="868" w:type="dxa"/>
            <w:tcBorders>
              <w:top w:val="single" w:sz="4" w:space="0" w:color="FF0000"/>
            </w:tcBorders>
            <w:vAlign w:val="center"/>
          </w:tcPr>
          <w:p>
            <w:pPr>
              <w:spacing w:before="20" w:after="20"/>
              <w:jc w:val="right"/>
              <w:rPr>
                <w:noProof/>
                <w:sz w:val="20"/>
                <w:lang w:val="it-CH"/>
              </w:rPr>
            </w:pPr>
          </w:p>
        </w:tc>
        <w:tc>
          <w:tcPr>
            <w:tcW w:w="868" w:type="dxa"/>
            <w:tcBorders>
              <w:top w:val="single" w:sz="4" w:space="0" w:color="FF0000"/>
            </w:tcBorders>
            <w:vAlign w:val="center"/>
          </w:tcPr>
          <w:p>
            <w:pPr>
              <w:spacing w:before="20" w:after="20"/>
              <w:jc w:val="right"/>
              <w:rPr>
                <w:b/>
                <w:noProof/>
                <w:sz w:val="20"/>
                <w:lang w:val="it-CH"/>
              </w:rPr>
            </w:pPr>
          </w:p>
        </w:tc>
        <w:tc>
          <w:tcPr>
            <w:tcW w:w="1777" w:type="dxa"/>
            <w:tcBorders>
              <w:top w:val="single" w:sz="4" w:space="0" w:color="FF0000"/>
              <w:right w:val="single" w:sz="4" w:space="0" w:color="auto"/>
            </w:tcBorders>
            <w:vAlign w:val="center"/>
          </w:tcPr>
          <w:p>
            <w:pPr>
              <w:spacing w:before="20" w:after="20"/>
              <w:jc w:val="right"/>
              <w:rPr>
                <w:b/>
                <w:noProof/>
                <w:sz w:val="20"/>
                <w:lang w:val="it-CH"/>
              </w:rPr>
            </w:pPr>
          </w:p>
        </w:tc>
      </w:tr>
      <w:tr>
        <w:tc>
          <w:tcPr>
            <w:tcW w:w="3960" w:type="dxa"/>
            <w:vMerge/>
            <w:tcBorders>
              <w:top w:val="single" w:sz="4" w:space="0" w:color="FF0000"/>
              <w:left w:val="single" w:sz="4" w:space="0" w:color="auto"/>
              <w:bottom w:val="single" w:sz="4" w:space="0" w:color="FF0000"/>
            </w:tcBorders>
          </w:tcPr>
          <w:p>
            <w:pPr>
              <w:jc w:val="center"/>
              <w:rPr>
                <w:noProof/>
                <w:sz w:val="20"/>
                <w:lang w:val="it-CH"/>
              </w:rPr>
            </w:pPr>
          </w:p>
        </w:tc>
        <w:tc>
          <w:tcPr>
            <w:tcW w:w="1440" w:type="dxa"/>
            <w:vAlign w:val="center"/>
          </w:tcPr>
          <w:p>
            <w:pPr>
              <w:spacing w:beforeLines="20" w:before="48" w:afterLines="20" w:after="48"/>
              <w:rPr>
                <w:noProof/>
                <w:sz w:val="18"/>
                <w:lang w:val="it-CH"/>
              </w:rPr>
            </w:pPr>
            <w:r>
              <w:rPr>
                <w:noProof/>
                <w:sz w:val="18"/>
                <w:lang w:val="it-CH"/>
              </w:rPr>
              <w:t>Pagamenti</w:t>
            </w:r>
          </w:p>
        </w:tc>
        <w:tc>
          <w:tcPr>
            <w:tcW w:w="654" w:type="dxa"/>
            <w:vAlign w:val="center"/>
          </w:tcPr>
          <w:p>
            <w:pPr>
              <w:spacing w:beforeLines="20" w:before="48" w:afterLines="20" w:after="48"/>
              <w:jc w:val="center"/>
              <w:rPr>
                <w:noProof/>
                <w:sz w:val="14"/>
                <w:lang w:val="it-CH"/>
              </w:rPr>
            </w:pPr>
            <w:r>
              <w:rPr>
                <w:noProof/>
                <w:sz w:val="14"/>
                <w:lang w:val="it-CH"/>
              </w:rPr>
              <w:t>(5)</w:t>
            </w:r>
          </w:p>
        </w:tc>
        <w:tc>
          <w:tcPr>
            <w:tcW w:w="868" w:type="dxa"/>
            <w:vAlign w:val="center"/>
          </w:tcPr>
          <w:p>
            <w:pPr>
              <w:spacing w:before="20" w:after="20"/>
              <w:jc w:val="right"/>
              <w:rPr>
                <w:noProof/>
                <w:sz w:val="20"/>
                <w:lang w:val="it-CH"/>
              </w:rPr>
            </w:pPr>
          </w:p>
        </w:tc>
        <w:tc>
          <w:tcPr>
            <w:tcW w:w="868" w:type="dxa"/>
            <w:vAlign w:val="center"/>
          </w:tcPr>
          <w:p>
            <w:pPr>
              <w:spacing w:before="20" w:after="20"/>
              <w:jc w:val="right"/>
              <w:rPr>
                <w:noProof/>
                <w:sz w:val="20"/>
                <w:lang w:val="it-CH"/>
              </w:rPr>
            </w:pPr>
          </w:p>
        </w:tc>
        <w:tc>
          <w:tcPr>
            <w:tcW w:w="868" w:type="dxa"/>
            <w:vAlign w:val="center"/>
          </w:tcPr>
          <w:p>
            <w:pPr>
              <w:spacing w:before="20" w:after="20"/>
              <w:jc w:val="right"/>
              <w:rPr>
                <w:noProof/>
                <w:sz w:val="20"/>
                <w:lang w:val="it-CH"/>
              </w:rPr>
            </w:pPr>
          </w:p>
        </w:tc>
        <w:tc>
          <w:tcPr>
            <w:tcW w:w="868" w:type="dxa"/>
            <w:vAlign w:val="center"/>
          </w:tcPr>
          <w:p>
            <w:pPr>
              <w:spacing w:before="20" w:after="20"/>
              <w:jc w:val="right"/>
              <w:rPr>
                <w:noProof/>
                <w:sz w:val="20"/>
                <w:lang w:val="it-CH"/>
              </w:rPr>
            </w:pPr>
          </w:p>
        </w:tc>
        <w:tc>
          <w:tcPr>
            <w:tcW w:w="868" w:type="dxa"/>
            <w:vAlign w:val="center"/>
          </w:tcPr>
          <w:p>
            <w:pPr>
              <w:spacing w:before="20" w:after="20"/>
              <w:jc w:val="right"/>
              <w:rPr>
                <w:noProof/>
                <w:sz w:val="20"/>
                <w:lang w:val="it-CH"/>
              </w:rPr>
            </w:pPr>
          </w:p>
        </w:tc>
        <w:tc>
          <w:tcPr>
            <w:tcW w:w="868" w:type="dxa"/>
            <w:vAlign w:val="center"/>
          </w:tcPr>
          <w:p>
            <w:pPr>
              <w:spacing w:before="20" w:after="20"/>
              <w:jc w:val="right"/>
              <w:rPr>
                <w:noProof/>
                <w:sz w:val="20"/>
                <w:lang w:val="it-CH"/>
              </w:rPr>
            </w:pPr>
          </w:p>
        </w:tc>
        <w:tc>
          <w:tcPr>
            <w:tcW w:w="868" w:type="dxa"/>
            <w:vAlign w:val="center"/>
          </w:tcPr>
          <w:p>
            <w:pPr>
              <w:spacing w:before="20" w:after="20"/>
              <w:jc w:val="right"/>
              <w:rPr>
                <w:b/>
                <w:noProof/>
                <w:sz w:val="20"/>
                <w:lang w:val="it-CH"/>
              </w:rPr>
            </w:pPr>
          </w:p>
        </w:tc>
        <w:tc>
          <w:tcPr>
            <w:tcW w:w="1777" w:type="dxa"/>
            <w:tcBorders>
              <w:right w:val="single" w:sz="4" w:space="0" w:color="auto"/>
            </w:tcBorders>
            <w:vAlign w:val="center"/>
          </w:tcPr>
          <w:p>
            <w:pPr>
              <w:spacing w:before="20" w:after="20"/>
              <w:jc w:val="right"/>
              <w:rPr>
                <w:b/>
                <w:noProof/>
                <w:sz w:val="20"/>
                <w:lang w:val="it-CH"/>
              </w:rPr>
            </w:pP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rPr>
                <w:noProof/>
                <w:sz w:val="22"/>
                <w:lang w:val="it-CH"/>
              </w:rPr>
            </w:pPr>
            <w:r>
              <w:rPr>
                <w:noProof/>
                <w:sz w:val="21"/>
                <w:lang w:val="it-CH"/>
              </w:rPr>
              <w:sym w:font="Wingdings" w:char="F09F"/>
            </w:r>
            <w:r>
              <w:rPr>
                <w:noProof/>
                <w:sz w:val="21"/>
                <w:lang w:val="it-CH"/>
              </w:rPr>
              <w:t xml:space="preserve"> </w:t>
            </w:r>
            <w:r>
              <w:rPr>
                <w:noProof/>
                <w:sz w:val="21"/>
                <w:szCs w:val="21"/>
                <w:lang w:val="it-CH"/>
              </w:rPr>
              <w:t>TOTALE degli stanziamenti di natura amministrativa finanziati dalla dotazione di programmi specifici</w:t>
            </w:r>
          </w:p>
        </w:tc>
        <w:tc>
          <w:tcPr>
            <w:tcW w:w="654" w:type="dxa"/>
            <w:vAlign w:val="center"/>
          </w:tcPr>
          <w:p>
            <w:pPr>
              <w:spacing w:beforeLines="20" w:before="48" w:afterLines="20" w:after="48"/>
              <w:jc w:val="center"/>
              <w:rPr>
                <w:noProof/>
                <w:sz w:val="14"/>
                <w:lang w:val="it-CH"/>
              </w:rPr>
            </w:pPr>
            <w:r>
              <w:rPr>
                <w:noProof/>
                <w:sz w:val="14"/>
                <w:lang w:val="it-CH"/>
              </w:rPr>
              <w:t>(6)</w:t>
            </w:r>
          </w:p>
        </w:tc>
        <w:tc>
          <w:tcPr>
            <w:tcW w:w="868" w:type="dxa"/>
            <w:vAlign w:val="center"/>
          </w:tcPr>
          <w:p>
            <w:pPr>
              <w:spacing w:before="20" w:after="20"/>
              <w:jc w:val="right"/>
              <w:rPr>
                <w:b/>
                <w:noProof/>
                <w:sz w:val="20"/>
                <w:lang w:val="it-CH"/>
              </w:rPr>
            </w:pPr>
          </w:p>
        </w:tc>
        <w:tc>
          <w:tcPr>
            <w:tcW w:w="868" w:type="dxa"/>
            <w:vAlign w:val="center"/>
          </w:tcPr>
          <w:p>
            <w:pPr>
              <w:spacing w:before="20" w:after="20"/>
              <w:jc w:val="right"/>
              <w:rPr>
                <w:b/>
                <w:noProof/>
                <w:sz w:val="20"/>
                <w:lang w:val="it-CH"/>
              </w:rPr>
            </w:pPr>
          </w:p>
        </w:tc>
        <w:tc>
          <w:tcPr>
            <w:tcW w:w="868" w:type="dxa"/>
            <w:vAlign w:val="center"/>
          </w:tcPr>
          <w:p>
            <w:pPr>
              <w:spacing w:before="20" w:after="20"/>
              <w:jc w:val="right"/>
              <w:rPr>
                <w:b/>
                <w:noProof/>
                <w:sz w:val="20"/>
                <w:lang w:val="it-CH"/>
              </w:rPr>
            </w:pPr>
          </w:p>
        </w:tc>
        <w:tc>
          <w:tcPr>
            <w:tcW w:w="868" w:type="dxa"/>
            <w:vAlign w:val="center"/>
          </w:tcPr>
          <w:p>
            <w:pPr>
              <w:spacing w:before="20" w:after="20"/>
              <w:jc w:val="right"/>
              <w:rPr>
                <w:b/>
                <w:noProof/>
                <w:sz w:val="20"/>
                <w:lang w:val="it-CH"/>
              </w:rPr>
            </w:pPr>
          </w:p>
        </w:tc>
        <w:tc>
          <w:tcPr>
            <w:tcW w:w="868" w:type="dxa"/>
            <w:vAlign w:val="center"/>
          </w:tcPr>
          <w:p>
            <w:pPr>
              <w:spacing w:before="20" w:after="20"/>
              <w:jc w:val="right"/>
              <w:rPr>
                <w:b/>
                <w:noProof/>
                <w:sz w:val="20"/>
                <w:lang w:val="it-CH"/>
              </w:rPr>
            </w:pPr>
          </w:p>
        </w:tc>
        <w:tc>
          <w:tcPr>
            <w:tcW w:w="868" w:type="dxa"/>
            <w:vAlign w:val="center"/>
          </w:tcPr>
          <w:p>
            <w:pPr>
              <w:spacing w:before="20" w:after="20"/>
              <w:jc w:val="right"/>
              <w:rPr>
                <w:b/>
                <w:noProof/>
                <w:sz w:val="20"/>
                <w:lang w:val="it-CH"/>
              </w:rPr>
            </w:pPr>
          </w:p>
        </w:tc>
        <w:tc>
          <w:tcPr>
            <w:tcW w:w="868" w:type="dxa"/>
            <w:vAlign w:val="center"/>
          </w:tcPr>
          <w:p>
            <w:pPr>
              <w:spacing w:before="20" w:after="20"/>
              <w:jc w:val="right"/>
              <w:rPr>
                <w:b/>
                <w:noProof/>
                <w:sz w:val="20"/>
                <w:lang w:val="it-CH"/>
              </w:rPr>
            </w:pPr>
          </w:p>
        </w:tc>
        <w:tc>
          <w:tcPr>
            <w:tcW w:w="1777" w:type="dxa"/>
            <w:vAlign w:val="center"/>
          </w:tcPr>
          <w:p>
            <w:pPr>
              <w:spacing w:before="20" w:after="20"/>
              <w:jc w:val="right"/>
              <w:rPr>
                <w:b/>
                <w:noProof/>
                <w:sz w:val="20"/>
                <w:lang w:val="it-CH"/>
              </w:rPr>
            </w:pPr>
          </w:p>
        </w:tc>
      </w:tr>
      <w:t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sz w:val="22"/>
                <w:lang w:val="it-CH"/>
              </w:rPr>
            </w:pPr>
            <w:r>
              <w:rPr>
                <w:b/>
                <w:noProof/>
                <w:sz w:val="22"/>
                <w:lang w:val="it-CH"/>
              </w:rPr>
              <w:t>TOTALE degli stanziamenti</w:t>
            </w:r>
            <w:r>
              <w:rPr>
                <w:noProof/>
                <w:sz w:val="22"/>
                <w:lang w:val="it-CH"/>
              </w:rPr>
              <w:br/>
            </w:r>
            <w:r>
              <w:rPr>
                <w:b/>
                <w:noProof/>
                <w:sz w:val="22"/>
                <w:lang w:val="it-CH"/>
              </w:rPr>
              <w:t>per la RUBRICA da 1 a 4</w:t>
            </w:r>
            <w:r>
              <w:rPr>
                <w:noProof/>
                <w:sz w:val="22"/>
                <w:lang w:val="it-CH"/>
              </w:rPr>
              <w:br/>
              <w:t>del quadro finanziario pluriennale (importo di riferimento)</w:t>
            </w:r>
          </w:p>
        </w:tc>
        <w:tc>
          <w:tcPr>
            <w:tcW w:w="1440" w:type="dxa"/>
            <w:vAlign w:val="center"/>
          </w:tcPr>
          <w:p>
            <w:pPr>
              <w:rPr>
                <w:noProof/>
                <w:sz w:val="18"/>
                <w:lang w:val="it-CH"/>
              </w:rPr>
            </w:pPr>
            <w:r>
              <w:rPr>
                <w:noProof/>
                <w:sz w:val="18"/>
                <w:lang w:val="it-CH"/>
              </w:rPr>
              <w:t>Impegni</w:t>
            </w:r>
          </w:p>
        </w:tc>
        <w:tc>
          <w:tcPr>
            <w:tcW w:w="654" w:type="dxa"/>
            <w:vAlign w:val="center"/>
          </w:tcPr>
          <w:p>
            <w:pPr>
              <w:jc w:val="center"/>
              <w:rPr>
                <w:noProof/>
                <w:sz w:val="14"/>
                <w:lang w:val="it-CH"/>
              </w:rPr>
            </w:pPr>
            <w:r>
              <w:rPr>
                <w:noProof/>
                <w:sz w:val="14"/>
                <w:lang w:val="it-CH"/>
              </w:rPr>
              <w:t>=4+ 6</w:t>
            </w:r>
          </w:p>
        </w:tc>
        <w:tc>
          <w:tcPr>
            <w:tcW w:w="868" w:type="dxa"/>
            <w:vAlign w:val="center"/>
          </w:tcPr>
          <w:p>
            <w:pPr>
              <w:spacing w:before="20" w:after="20"/>
              <w:jc w:val="right"/>
              <w:rPr>
                <w:noProof/>
                <w:sz w:val="20"/>
                <w:lang w:val="it-CH"/>
              </w:rPr>
            </w:pPr>
          </w:p>
        </w:tc>
        <w:tc>
          <w:tcPr>
            <w:tcW w:w="868" w:type="dxa"/>
            <w:vAlign w:val="center"/>
          </w:tcPr>
          <w:p>
            <w:pPr>
              <w:spacing w:before="20" w:after="20"/>
              <w:jc w:val="right"/>
              <w:rPr>
                <w:noProof/>
                <w:sz w:val="20"/>
                <w:lang w:val="it-CH"/>
              </w:rPr>
            </w:pPr>
          </w:p>
        </w:tc>
        <w:tc>
          <w:tcPr>
            <w:tcW w:w="868" w:type="dxa"/>
            <w:vAlign w:val="center"/>
          </w:tcPr>
          <w:p>
            <w:pPr>
              <w:spacing w:before="20" w:after="20"/>
              <w:jc w:val="right"/>
              <w:rPr>
                <w:noProof/>
                <w:sz w:val="20"/>
                <w:lang w:val="it-CH"/>
              </w:rPr>
            </w:pPr>
            <w:r>
              <w:rPr>
                <w:noProof/>
                <w:sz w:val="20"/>
                <w:lang w:val="it-CH"/>
              </w:rPr>
              <w:t>1,100</w:t>
            </w:r>
          </w:p>
        </w:tc>
        <w:tc>
          <w:tcPr>
            <w:tcW w:w="868" w:type="dxa"/>
            <w:vAlign w:val="center"/>
          </w:tcPr>
          <w:p>
            <w:pPr>
              <w:spacing w:before="20" w:after="20"/>
              <w:jc w:val="right"/>
              <w:rPr>
                <w:noProof/>
                <w:sz w:val="20"/>
                <w:lang w:val="it-CH"/>
              </w:rPr>
            </w:pPr>
            <w:r>
              <w:rPr>
                <w:noProof/>
                <w:sz w:val="20"/>
                <w:lang w:val="it-CH"/>
              </w:rPr>
              <w:t>0,200</w:t>
            </w:r>
          </w:p>
        </w:tc>
        <w:tc>
          <w:tcPr>
            <w:tcW w:w="868" w:type="dxa"/>
            <w:vAlign w:val="center"/>
          </w:tcPr>
          <w:p>
            <w:pPr>
              <w:spacing w:before="20" w:after="20"/>
              <w:jc w:val="right"/>
              <w:rPr>
                <w:noProof/>
                <w:sz w:val="20"/>
                <w:lang w:val="it-CH"/>
              </w:rPr>
            </w:pPr>
          </w:p>
        </w:tc>
        <w:tc>
          <w:tcPr>
            <w:tcW w:w="868" w:type="dxa"/>
            <w:vAlign w:val="center"/>
          </w:tcPr>
          <w:p>
            <w:pPr>
              <w:spacing w:before="20" w:after="20"/>
              <w:jc w:val="right"/>
              <w:rPr>
                <w:noProof/>
                <w:sz w:val="20"/>
                <w:lang w:val="it-CH"/>
              </w:rPr>
            </w:pPr>
          </w:p>
        </w:tc>
        <w:tc>
          <w:tcPr>
            <w:tcW w:w="868" w:type="dxa"/>
            <w:vAlign w:val="center"/>
          </w:tcPr>
          <w:p>
            <w:pPr>
              <w:spacing w:before="20" w:after="20"/>
              <w:jc w:val="right"/>
              <w:rPr>
                <w:b/>
                <w:noProof/>
                <w:sz w:val="20"/>
                <w:lang w:val="it-CH"/>
              </w:rPr>
            </w:pPr>
          </w:p>
        </w:tc>
        <w:tc>
          <w:tcPr>
            <w:tcW w:w="1777" w:type="dxa"/>
            <w:tcBorders>
              <w:right w:val="single" w:sz="4" w:space="0" w:color="auto"/>
            </w:tcBorders>
            <w:vAlign w:val="center"/>
          </w:tcPr>
          <w:p>
            <w:pPr>
              <w:spacing w:before="20" w:after="20"/>
              <w:jc w:val="right"/>
              <w:rPr>
                <w:b/>
                <w:noProof/>
                <w:sz w:val="20"/>
                <w:lang w:val="it-CH"/>
              </w:rPr>
            </w:pPr>
            <w:r>
              <w:rPr>
                <w:b/>
                <w:noProof/>
                <w:sz w:val="20"/>
                <w:lang w:val="it-CH"/>
              </w:rPr>
              <w:t>1,300</w:t>
            </w:r>
          </w:p>
        </w:tc>
      </w:tr>
      <w:tr>
        <w:tc>
          <w:tcPr>
            <w:tcW w:w="3960" w:type="dxa"/>
            <w:vMerge/>
            <w:tcBorders>
              <w:top w:val="single" w:sz="4" w:space="0" w:color="FF0000"/>
              <w:left w:val="single" w:sz="4" w:space="0" w:color="auto"/>
              <w:bottom w:val="single" w:sz="4" w:space="0" w:color="FF0000"/>
            </w:tcBorders>
            <w:shd w:val="thinDiagStripe" w:color="C0C0C0" w:fill="auto"/>
          </w:tcPr>
          <w:p>
            <w:pPr>
              <w:rPr>
                <w:noProof/>
                <w:sz w:val="20"/>
                <w:lang w:val="it-CH"/>
              </w:rPr>
            </w:pPr>
          </w:p>
        </w:tc>
        <w:tc>
          <w:tcPr>
            <w:tcW w:w="1440" w:type="dxa"/>
            <w:tcBorders>
              <w:bottom w:val="single" w:sz="4" w:space="0" w:color="FF0000"/>
            </w:tcBorders>
            <w:vAlign w:val="center"/>
          </w:tcPr>
          <w:p>
            <w:pPr>
              <w:rPr>
                <w:noProof/>
                <w:sz w:val="18"/>
                <w:lang w:val="it-CH"/>
              </w:rPr>
            </w:pPr>
            <w:r>
              <w:rPr>
                <w:noProof/>
                <w:sz w:val="18"/>
                <w:lang w:val="it-CH"/>
              </w:rPr>
              <w:t>Pagamenti</w:t>
            </w:r>
          </w:p>
        </w:tc>
        <w:tc>
          <w:tcPr>
            <w:tcW w:w="654" w:type="dxa"/>
            <w:tcBorders>
              <w:bottom w:val="single" w:sz="4" w:space="0" w:color="FF0000"/>
            </w:tcBorders>
            <w:vAlign w:val="center"/>
          </w:tcPr>
          <w:p>
            <w:pPr>
              <w:jc w:val="center"/>
              <w:rPr>
                <w:noProof/>
                <w:sz w:val="14"/>
                <w:lang w:val="it-CH"/>
              </w:rPr>
            </w:pPr>
            <w:r>
              <w:rPr>
                <w:noProof/>
                <w:sz w:val="14"/>
                <w:lang w:val="it-CH"/>
              </w:rPr>
              <w:t>=5+ 6</w:t>
            </w:r>
          </w:p>
        </w:tc>
        <w:tc>
          <w:tcPr>
            <w:tcW w:w="868" w:type="dxa"/>
            <w:tcBorders>
              <w:bottom w:val="single" w:sz="4" w:space="0" w:color="FF0000"/>
            </w:tcBorders>
            <w:vAlign w:val="center"/>
          </w:tcPr>
          <w:p>
            <w:pPr>
              <w:spacing w:before="20" w:after="20"/>
              <w:jc w:val="right"/>
              <w:rPr>
                <w:noProof/>
                <w:sz w:val="20"/>
                <w:lang w:val="it-CH"/>
              </w:rPr>
            </w:pPr>
          </w:p>
        </w:tc>
        <w:tc>
          <w:tcPr>
            <w:tcW w:w="868" w:type="dxa"/>
            <w:tcBorders>
              <w:bottom w:val="single" w:sz="4" w:space="0" w:color="FF0000"/>
            </w:tcBorders>
            <w:vAlign w:val="center"/>
          </w:tcPr>
          <w:p>
            <w:pPr>
              <w:spacing w:before="20" w:after="20"/>
              <w:jc w:val="right"/>
              <w:rPr>
                <w:noProof/>
                <w:sz w:val="20"/>
                <w:lang w:val="it-CH"/>
              </w:rPr>
            </w:pPr>
          </w:p>
        </w:tc>
        <w:tc>
          <w:tcPr>
            <w:tcW w:w="868" w:type="dxa"/>
            <w:tcBorders>
              <w:bottom w:val="single" w:sz="4" w:space="0" w:color="FF0000"/>
            </w:tcBorders>
            <w:vAlign w:val="center"/>
          </w:tcPr>
          <w:p>
            <w:pPr>
              <w:spacing w:before="20" w:after="20"/>
              <w:jc w:val="right"/>
              <w:rPr>
                <w:noProof/>
                <w:sz w:val="20"/>
                <w:lang w:val="it-CH"/>
              </w:rPr>
            </w:pPr>
            <w:r>
              <w:rPr>
                <w:noProof/>
                <w:sz w:val="20"/>
                <w:lang w:val="it-CH"/>
              </w:rPr>
              <w:t>0,740</w:t>
            </w:r>
          </w:p>
        </w:tc>
        <w:tc>
          <w:tcPr>
            <w:tcW w:w="868" w:type="dxa"/>
            <w:tcBorders>
              <w:bottom w:val="single" w:sz="4" w:space="0" w:color="FF0000"/>
            </w:tcBorders>
            <w:vAlign w:val="center"/>
          </w:tcPr>
          <w:p>
            <w:pPr>
              <w:spacing w:before="20" w:after="20"/>
              <w:jc w:val="right"/>
              <w:rPr>
                <w:noProof/>
                <w:sz w:val="20"/>
                <w:lang w:val="it-CH"/>
              </w:rPr>
            </w:pPr>
            <w:r>
              <w:rPr>
                <w:noProof/>
                <w:sz w:val="20"/>
                <w:lang w:val="it-CH"/>
              </w:rPr>
              <w:t>0,560</w:t>
            </w:r>
          </w:p>
        </w:tc>
        <w:tc>
          <w:tcPr>
            <w:tcW w:w="868" w:type="dxa"/>
            <w:tcBorders>
              <w:bottom w:val="single" w:sz="4" w:space="0" w:color="FF0000"/>
            </w:tcBorders>
            <w:vAlign w:val="center"/>
          </w:tcPr>
          <w:p>
            <w:pPr>
              <w:spacing w:before="20" w:after="20"/>
              <w:jc w:val="right"/>
              <w:rPr>
                <w:noProof/>
                <w:sz w:val="20"/>
                <w:lang w:val="it-CH"/>
              </w:rPr>
            </w:pPr>
          </w:p>
        </w:tc>
        <w:tc>
          <w:tcPr>
            <w:tcW w:w="868" w:type="dxa"/>
            <w:tcBorders>
              <w:bottom w:val="single" w:sz="4" w:space="0" w:color="FF0000"/>
            </w:tcBorders>
            <w:vAlign w:val="center"/>
          </w:tcPr>
          <w:p>
            <w:pPr>
              <w:spacing w:before="20" w:after="20"/>
              <w:jc w:val="right"/>
              <w:rPr>
                <w:noProof/>
                <w:sz w:val="20"/>
                <w:lang w:val="it-CH"/>
              </w:rPr>
            </w:pPr>
          </w:p>
        </w:tc>
        <w:tc>
          <w:tcPr>
            <w:tcW w:w="868" w:type="dxa"/>
            <w:tcBorders>
              <w:bottom w:val="single" w:sz="4" w:space="0" w:color="FF0000"/>
            </w:tcBorders>
            <w:vAlign w:val="center"/>
          </w:tcPr>
          <w:p>
            <w:pPr>
              <w:spacing w:before="20" w:after="20"/>
              <w:jc w:val="right"/>
              <w:rPr>
                <w:noProof/>
                <w:sz w:val="20"/>
                <w:lang w:val="it-CH"/>
              </w:rPr>
            </w:pPr>
          </w:p>
        </w:tc>
        <w:tc>
          <w:tcPr>
            <w:tcW w:w="1777" w:type="dxa"/>
            <w:tcBorders>
              <w:bottom w:val="single" w:sz="4" w:space="0" w:color="FF0000"/>
              <w:right w:val="single" w:sz="4" w:space="0" w:color="auto"/>
            </w:tcBorders>
            <w:vAlign w:val="center"/>
          </w:tcPr>
          <w:p>
            <w:pPr>
              <w:spacing w:before="20" w:after="20"/>
              <w:jc w:val="right"/>
              <w:rPr>
                <w:b/>
                <w:noProof/>
                <w:sz w:val="20"/>
                <w:lang w:val="it-CH"/>
              </w:rPr>
            </w:pPr>
            <w:r>
              <w:rPr>
                <w:b/>
                <w:noProof/>
                <w:sz w:val="20"/>
                <w:lang w:val="it-CH"/>
              </w:rPr>
              <w:t>1,300</w:t>
            </w:r>
          </w:p>
        </w:tc>
      </w:tr>
    </w:tbl>
    <w:p>
      <w:pPr>
        <w:rPr>
          <w:noProof/>
          <w:lang w:val="it-CH"/>
        </w:rPr>
      </w:pPr>
      <w:r>
        <w:rPr>
          <w:noProof/>
          <w:lang w:val="it-CH"/>
        </w:rPr>
        <w:t>Le misure proposte saranno attuate nell'ambito della dotazione finanziaria di LIFE e in misura minore dall'Agenzia europea dell'ambiente come stabilito dal QFP 2014-2020.</w:t>
      </w:r>
    </w:p>
    <w:p>
      <w:pPr>
        <w:rPr>
          <w:noProof/>
          <w:lang w:val="it-CH"/>
        </w:rPr>
      </w:pPr>
      <w:r>
        <w:rPr>
          <w:noProof/>
          <w:lang w:val="it-CH"/>
        </w:rPr>
        <w:br w:type="page"/>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lang w:val="it-CH"/>
              </w:rPr>
            </w:pPr>
            <w:r>
              <w:rPr>
                <w:noProof/>
                <w:sz w:val="22"/>
                <w:lang w:val="it-CH"/>
              </w:rPr>
              <w:br w:type="page"/>
            </w:r>
            <w:r>
              <w:rPr>
                <w:b/>
                <w:noProof/>
                <w:sz w:val="22"/>
                <w:lang w:val="it-CH"/>
              </w:rPr>
              <w:t xml:space="preserve">Rubrica del quadro finanziario </w:t>
            </w:r>
            <w:r>
              <w:rPr>
                <w:noProof/>
                <w:sz w:val="22"/>
                <w:lang w:val="it-CH"/>
              </w:rPr>
              <w:br/>
            </w:r>
            <w:r>
              <w:rPr>
                <w:b/>
                <w:noProof/>
                <w:sz w:val="22"/>
                <w:lang w:val="it-CH"/>
              </w:rPr>
              <w:t xml:space="preserve">pluriennale </w:t>
            </w:r>
          </w:p>
        </w:tc>
        <w:tc>
          <w:tcPr>
            <w:tcW w:w="1080" w:type="dxa"/>
            <w:shd w:val="thinDiagStripe" w:color="C0C0C0" w:fill="auto"/>
            <w:vAlign w:val="center"/>
          </w:tcPr>
          <w:p>
            <w:pPr>
              <w:spacing w:before="60" w:after="60"/>
              <w:jc w:val="center"/>
              <w:rPr>
                <w:noProof/>
                <w:sz w:val="22"/>
                <w:lang w:val="it-CH"/>
              </w:rPr>
            </w:pPr>
            <w:r>
              <w:rPr>
                <w:b/>
                <w:noProof/>
                <w:sz w:val="22"/>
                <w:lang w:val="it-CH"/>
              </w:rPr>
              <w:t>5</w:t>
            </w:r>
          </w:p>
        </w:tc>
        <w:tc>
          <w:tcPr>
            <w:tcW w:w="7817" w:type="dxa"/>
            <w:vAlign w:val="center"/>
          </w:tcPr>
          <w:p>
            <w:pPr>
              <w:spacing w:before="60" w:after="60"/>
              <w:rPr>
                <w:noProof/>
                <w:sz w:val="22"/>
                <w:lang w:val="it-CH"/>
              </w:rPr>
            </w:pPr>
            <w:r>
              <w:rPr>
                <w:noProof/>
                <w:sz w:val="22"/>
                <w:lang w:val="it-CH"/>
              </w:rPr>
              <w:t>"Spese amministrative"</w:t>
            </w:r>
          </w:p>
        </w:tc>
      </w:tr>
    </w:tbl>
    <w:p>
      <w:pPr>
        <w:jc w:val="right"/>
        <w:rPr>
          <w:noProof/>
          <w:sz w:val="20"/>
          <w:lang w:val="it-CH"/>
        </w:rPr>
      </w:pPr>
      <w:r>
        <w:rPr>
          <w:noProof/>
          <w:sz w:val="20"/>
          <w:lang w:val="it-CH"/>
        </w:rPr>
        <w:t>Mio EUR (al terzo decimale)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sz w:val="22"/>
                <w:lang w:val="it-CH"/>
              </w:rPr>
            </w:pPr>
          </w:p>
        </w:tc>
        <w:tc>
          <w:tcPr>
            <w:tcW w:w="1560" w:type="dxa"/>
            <w:tcBorders>
              <w:top w:val="nil"/>
              <w:left w:val="nil"/>
              <w:right w:val="nil"/>
            </w:tcBorders>
          </w:tcPr>
          <w:p>
            <w:pPr>
              <w:rPr>
                <w:noProof/>
                <w:sz w:val="20"/>
                <w:lang w:val="it-CH"/>
              </w:rPr>
            </w:pPr>
          </w:p>
        </w:tc>
        <w:tc>
          <w:tcPr>
            <w:tcW w:w="534" w:type="dxa"/>
            <w:tcBorders>
              <w:top w:val="nil"/>
              <w:left w:val="nil"/>
            </w:tcBorders>
          </w:tcPr>
          <w:p>
            <w:pPr>
              <w:jc w:val="center"/>
              <w:rPr>
                <w:noProof/>
                <w:sz w:val="20"/>
                <w:lang w:val="it-CH"/>
              </w:rPr>
            </w:pPr>
          </w:p>
        </w:tc>
        <w:tc>
          <w:tcPr>
            <w:tcW w:w="868" w:type="dxa"/>
            <w:vAlign w:val="center"/>
          </w:tcPr>
          <w:p>
            <w:pPr>
              <w:jc w:val="center"/>
              <w:rPr>
                <w:noProof/>
                <w:sz w:val="20"/>
                <w:lang w:val="it-CH"/>
              </w:rPr>
            </w:pPr>
            <w:r>
              <w:rPr>
                <w:noProof/>
                <w:sz w:val="20"/>
                <w:lang w:val="it-CH"/>
              </w:rPr>
              <w:t>Anno</w:t>
            </w:r>
            <w:r>
              <w:rPr>
                <w:noProof/>
                <w:sz w:val="22"/>
                <w:lang w:val="it-CH"/>
              </w:rPr>
              <w:br/>
            </w:r>
            <w:r>
              <w:rPr>
                <w:b/>
                <w:noProof/>
                <w:sz w:val="20"/>
                <w:lang w:val="it-CH"/>
              </w:rPr>
              <w:t>2017</w:t>
            </w:r>
          </w:p>
        </w:tc>
        <w:tc>
          <w:tcPr>
            <w:tcW w:w="868" w:type="dxa"/>
            <w:vAlign w:val="center"/>
          </w:tcPr>
          <w:p>
            <w:pPr>
              <w:jc w:val="center"/>
              <w:rPr>
                <w:noProof/>
                <w:sz w:val="20"/>
                <w:lang w:val="it-CH"/>
              </w:rPr>
            </w:pPr>
            <w:r>
              <w:rPr>
                <w:noProof/>
                <w:sz w:val="20"/>
                <w:lang w:val="it-CH"/>
              </w:rPr>
              <w:t>Anno</w:t>
            </w:r>
            <w:r>
              <w:rPr>
                <w:noProof/>
                <w:sz w:val="22"/>
                <w:lang w:val="it-CH"/>
              </w:rPr>
              <w:br/>
            </w:r>
            <w:r>
              <w:rPr>
                <w:b/>
                <w:noProof/>
                <w:sz w:val="20"/>
                <w:lang w:val="it-CH"/>
              </w:rPr>
              <w:t>2018</w:t>
            </w:r>
          </w:p>
        </w:tc>
        <w:tc>
          <w:tcPr>
            <w:tcW w:w="868" w:type="dxa"/>
            <w:vAlign w:val="center"/>
          </w:tcPr>
          <w:p>
            <w:pPr>
              <w:jc w:val="center"/>
              <w:rPr>
                <w:noProof/>
                <w:sz w:val="20"/>
                <w:lang w:val="it-CH"/>
              </w:rPr>
            </w:pPr>
            <w:r>
              <w:rPr>
                <w:noProof/>
                <w:sz w:val="20"/>
                <w:lang w:val="it-CH"/>
              </w:rPr>
              <w:t>Anno</w:t>
            </w:r>
            <w:r>
              <w:rPr>
                <w:noProof/>
                <w:sz w:val="22"/>
                <w:lang w:val="it-CH"/>
              </w:rPr>
              <w:br/>
            </w:r>
            <w:r>
              <w:rPr>
                <w:b/>
                <w:noProof/>
                <w:sz w:val="20"/>
                <w:lang w:val="it-CH"/>
              </w:rPr>
              <w:t>2019</w:t>
            </w:r>
          </w:p>
        </w:tc>
        <w:tc>
          <w:tcPr>
            <w:tcW w:w="868" w:type="dxa"/>
            <w:vAlign w:val="center"/>
          </w:tcPr>
          <w:p>
            <w:pPr>
              <w:jc w:val="center"/>
              <w:rPr>
                <w:noProof/>
                <w:sz w:val="20"/>
                <w:lang w:val="it-CH"/>
              </w:rPr>
            </w:pPr>
            <w:r>
              <w:rPr>
                <w:noProof/>
                <w:sz w:val="20"/>
                <w:lang w:val="it-CH"/>
              </w:rPr>
              <w:t>Anno</w:t>
            </w:r>
            <w:r>
              <w:rPr>
                <w:noProof/>
                <w:sz w:val="22"/>
                <w:lang w:val="it-CH"/>
              </w:rPr>
              <w:br/>
            </w:r>
            <w:r>
              <w:rPr>
                <w:b/>
                <w:noProof/>
                <w:sz w:val="20"/>
                <w:lang w:val="it-CH"/>
              </w:rPr>
              <w:t>2020</w:t>
            </w:r>
          </w:p>
        </w:tc>
        <w:tc>
          <w:tcPr>
            <w:tcW w:w="2604" w:type="dxa"/>
            <w:gridSpan w:val="3"/>
            <w:vAlign w:val="center"/>
          </w:tcPr>
          <w:p>
            <w:pPr>
              <w:jc w:val="center"/>
              <w:rPr>
                <w:b/>
                <w:noProof/>
                <w:sz w:val="18"/>
                <w:lang w:val="it-CH"/>
              </w:rPr>
            </w:pPr>
          </w:p>
        </w:tc>
        <w:tc>
          <w:tcPr>
            <w:tcW w:w="1777" w:type="dxa"/>
            <w:vAlign w:val="center"/>
          </w:tcPr>
          <w:p>
            <w:pPr>
              <w:jc w:val="center"/>
              <w:rPr>
                <w:b/>
                <w:noProof/>
                <w:sz w:val="20"/>
                <w:lang w:val="it-CH"/>
              </w:rPr>
            </w:pPr>
            <w:r>
              <w:rPr>
                <w:b/>
                <w:noProof/>
                <w:sz w:val="20"/>
                <w:lang w:val="it-CH"/>
              </w:rPr>
              <w:t>TOTALE</w:t>
            </w:r>
          </w:p>
        </w:tc>
      </w:tr>
      <w:tr>
        <w:trPr>
          <w:gridAfter w:val="10"/>
          <w:wAfter w:w="9947" w:type="dxa"/>
        </w:trPr>
        <w:tc>
          <w:tcPr>
            <w:tcW w:w="3960" w:type="dxa"/>
            <w:vAlign w:val="center"/>
          </w:tcPr>
          <w:p>
            <w:pPr>
              <w:spacing w:before="60" w:after="60"/>
              <w:jc w:val="center"/>
              <w:rPr>
                <w:noProof/>
                <w:sz w:val="22"/>
                <w:lang w:val="it-CH"/>
              </w:rPr>
            </w:pPr>
            <w:r>
              <w:rPr>
                <w:noProof/>
                <w:sz w:val="22"/>
                <w:lang w:val="it-CH"/>
              </w:rPr>
              <w:t>DG: CLIMA</w:t>
            </w:r>
          </w:p>
        </w:tc>
      </w:tr>
      <w:tr>
        <w:trPr>
          <w:trHeight w:val="313"/>
        </w:trPr>
        <w:tc>
          <w:tcPr>
            <w:tcW w:w="6054" w:type="dxa"/>
            <w:gridSpan w:val="3"/>
            <w:vAlign w:val="center"/>
          </w:tcPr>
          <w:p>
            <w:pPr>
              <w:spacing w:before="20" w:after="20"/>
              <w:rPr>
                <w:noProof/>
                <w:sz w:val="22"/>
                <w:lang w:val="it-CH"/>
              </w:rPr>
            </w:pPr>
            <w:r>
              <w:rPr>
                <w:noProof/>
                <w:sz w:val="22"/>
                <w:lang w:val="it-CH"/>
              </w:rPr>
              <w:sym w:font="Wingdings" w:char="F09F"/>
            </w:r>
            <w:r>
              <w:rPr>
                <w:noProof/>
                <w:sz w:val="22"/>
                <w:lang w:val="it-CH"/>
              </w:rPr>
              <w:t xml:space="preserve"> </w:t>
            </w:r>
            <w:r>
              <w:rPr>
                <w:noProof/>
                <w:lang w:val="it-CH"/>
              </w:rPr>
              <w:t>Risorse umane</w:t>
            </w:r>
          </w:p>
        </w:tc>
        <w:tc>
          <w:tcPr>
            <w:tcW w:w="868" w:type="dxa"/>
            <w:vAlign w:val="center"/>
          </w:tcPr>
          <w:p>
            <w:pPr>
              <w:spacing w:before="20" w:after="20"/>
              <w:jc w:val="right"/>
              <w:rPr>
                <w:noProof/>
                <w:sz w:val="20"/>
                <w:lang w:val="it-CH"/>
              </w:rPr>
            </w:pPr>
            <w:r>
              <w:rPr>
                <w:noProof/>
                <w:sz w:val="20"/>
                <w:lang w:val="it-CH"/>
              </w:rPr>
              <w:t>0,402</w:t>
            </w:r>
          </w:p>
        </w:tc>
        <w:tc>
          <w:tcPr>
            <w:tcW w:w="868" w:type="dxa"/>
            <w:vAlign w:val="center"/>
          </w:tcPr>
          <w:p>
            <w:pPr>
              <w:spacing w:before="20" w:after="20"/>
              <w:jc w:val="right"/>
              <w:rPr>
                <w:noProof/>
                <w:sz w:val="20"/>
                <w:lang w:val="it-CH"/>
              </w:rPr>
            </w:pPr>
            <w:r>
              <w:rPr>
                <w:noProof/>
                <w:sz w:val="20"/>
                <w:lang w:val="it-CH"/>
              </w:rPr>
              <w:t>0,402</w:t>
            </w:r>
          </w:p>
        </w:tc>
        <w:tc>
          <w:tcPr>
            <w:tcW w:w="868" w:type="dxa"/>
            <w:vAlign w:val="center"/>
          </w:tcPr>
          <w:p>
            <w:pPr>
              <w:spacing w:before="20" w:after="20"/>
              <w:jc w:val="right"/>
              <w:rPr>
                <w:noProof/>
                <w:sz w:val="20"/>
                <w:lang w:val="it-CH"/>
              </w:rPr>
            </w:pPr>
            <w:r>
              <w:rPr>
                <w:noProof/>
                <w:sz w:val="20"/>
                <w:lang w:val="it-CH"/>
              </w:rPr>
              <w:t>0,606</w:t>
            </w:r>
          </w:p>
        </w:tc>
        <w:tc>
          <w:tcPr>
            <w:tcW w:w="868" w:type="dxa"/>
            <w:vAlign w:val="center"/>
          </w:tcPr>
          <w:p>
            <w:pPr>
              <w:spacing w:before="20" w:after="20"/>
              <w:jc w:val="right"/>
              <w:rPr>
                <w:noProof/>
                <w:sz w:val="20"/>
                <w:lang w:val="it-CH"/>
              </w:rPr>
            </w:pPr>
            <w:r>
              <w:rPr>
                <w:noProof/>
                <w:sz w:val="20"/>
                <w:lang w:val="it-CH"/>
              </w:rPr>
              <w:t>0,606</w:t>
            </w:r>
          </w:p>
        </w:tc>
        <w:tc>
          <w:tcPr>
            <w:tcW w:w="868" w:type="dxa"/>
            <w:vAlign w:val="center"/>
          </w:tcPr>
          <w:p>
            <w:pPr>
              <w:spacing w:before="20" w:after="20"/>
              <w:jc w:val="right"/>
              <w:rPr>
                <w:noProof/>
                <w:sz w:val="20"/>
                <w:lang w:val="it-CH"/>
              </w:rPr>
            </w:pPr>
          </w:p>
        </w:tc>
        <w:tc>
          <w:tcPr>
            <w:tcW w:w="868" w:type="dxa"/>
            <w:vAlign w:val="center"/>
          </w:tcPr>
          <w:p>
            <w:pPr>
              <w:spacing w:before="20" w:after="20"/>
              <w:jc w:val="right"/>
              <w:rPr>
                <w:noProof/>
                <w:sz w:val="20"/>
                <w:lang w:val="it-CH"/>
              </w:rPr>
            </w:pPr>
          </w:p>
        </w:tc>
        <w:tc>
          <w:tcPr>
            <w:tcW w:w="868" w:type="dxa"/>
            <w:vAlign w:val="center"/>
          </w:tcPr>
          <w:p>
            <w:pPr>
              <w:spacing w:before="20" w:after="20"/>
              <w:jc w:val="right"/>
              <w:rPr>
                <w:b/>
                <w:noProof/>
                <w:sz w:val="20"/>
                <w:lang w:val="it-CH"/>
              </w:rPr>
            </w:pPr>
          </w:p>
        </w:tc>
        <w:tc>
          <w:tcPr>
            <w:tcW w:w="1777" w:type="dxa"/>
            <w:vAlign w:val="center"/>
          </w:tcPr>
          <w:p>
            <w:pPr>
              <w:spacing w:before="20" w:after="20"/>
              <w:jc w:val="right"/>
              <w:rPr>
                <w:b/>
                <w:noProof/>
                <w:sz w:val="20"/>
                <w:lang w:val="it-CH"/>
              </w:rPr>
            </w:pPr>
            <w:r>
              <w:rPr>
                <w:b/>
                <w:noProof/>
                <w:sz w:val="20"/>
                <w:lang w:val="it-CH"/>
              </w:rPr>
              <w:t>2,016</w:t>
            </w:r>
          </w:p>
        </w:tc>
      </w:tr>
      <w:tr>
        <w:trPr>
          <w:trHeight w:val="351"/>
        </w:trPr>
        <w:tc>
          <w:tcPr>
            <w:tcW w:w="6054" w:type="dxa"/>
            <w:gridSpan w:val="3"/>
            <w:vAlign w:val="center"/>
          </w:tcPr>
          <w:p>
            <w:pPr>
              <w:spacing w:before="20" w:after="20"/>
              <w:rPr>
                <w:noProof/>
                <w:sz w:val="22"/>
                <w:lang w:val="it-CH"/>
              </w:rPr>
            </w:pPr>
            <w:r>
              <w:rPr>
                <w:noProof/>
                <w:sz w:val="22"/>
                <w:lang w:val="it-CH"/>
              </w:rPr>
              <w:sym w:font="Wingdings" w:char="F09F"/>
            </w:r>
            <w:r>
              <w:rPr>
                <w:noProof/>
                <w:sz w:val="22"/>
                <w:lang w:val="it-CH"/>
              </w:rPr>
              <w:t xml:space="preserve"> </w:t>
            </w:r>
            <w:r>
              <w:rPr>
                <w:noProof/>
                <w:lang w:val="it-CH"/>
              </w:rPr>
              <w:t>Altre spese amministrative</w:t>
            </w:r>
          </w:p>
        </w:tc>
        <w:tc>
          <w:tcPr>
            <w:tcW w:w="868" w:type="dxa"/>
            <w:vAlign w:val="center"/>
          </w:tcPr>
          <w:p>
            <w:pPr>
              <w:spacing w:before="20" w:after="20"/>
              <w:jc w:val="right"/>
              <w:rPr>
                <w:noProof/>
                <w:sz w:val="20"/>
                <w:lang w:val="it-CH"/>
              </w:rPr>
            </w:pPr>
          </w:p>
        </w:tc>
        <w:tc>
          <w:tcPr>
            <w:tcW w:w="868" w:type="dxa"/>
            <w:vAlign w:val="center"/>
          </w:tcPr>
          <w:p>
            <w:pPr>
              <w:spacing w:before="20" w:after="20"/>
              <w:jc w:val="right"/>
              <w:rPr>
                <w:noProof/>
                <w:sz w:val="20"/>
                <w:lang w:val="it-CH"/>
              </w:rPr>
            </w:pPr>
          </w:p>
        </w:tc>
        <w:tc>
          <w:tcPr>
            <w:tcW w:w="868" w:type="dxa"/>
            <w:vAlign w:val="center"/>
          </w:tcPr>
          <w:p>
            <w:pPr>
              <w:spacing w:before="20" w:after="20"/>
              <w:jc w:val="right"/>
              <w:rPr>
                <w:noProof/>
                <w:sz w:val="20"/>
                <w:lang w:val="it-CH"/>
              </w:rPr>
            </w:pPr>
            <w:r>
              <w:rPr>
                <w:noProof/>
                <w:sz w:val="20"/>
                <w:lang w:val="it-CH"/>
              </w:rPr>
              <w:t>0,015</w:t>
            </w:r>
          </w:p>
        </w:tc>
        <w:tc>
          <w:tcPr>
            <w:tcW w:w="868" w:type="dxa"/>
            <w:vAlign w:val="center"/>
          </w:tcPr>
          <w:p>
            <w:pPr>
              <w:spacing w:before="20" w:after="20"/>
              <w:jc w:val="right"/>
              <w:rPr>
                <w:noProof/>
                <w:sz w:val="20"/>
                <w:lang w:val="it-CH"/>
              </w:rPr>
            </w:pPr>
            <w:r>
              <w:rPr>
                <w:noProof/>
                <w:sz w:val="20"/>
                <w:lang w:val="it-CH"/>
              </w:rPr>
              <w:t>0,015</w:t>
            </w:r>
          </w:p>
        </w:tc>
        <w:tc>
          <w:tcPr>
            <w:tcW w:w="868" w:type="dxa"/>
            <w:vAlign w:val="center"/>
          </w:tcPr>
          <w:p>
            <w:pPr>
              <w:spacing w:before="20" w:after="20"/>
              <w:jc w:val="right"/>
              <w:rPr>
                <w:b/>
                <w:noProof/>
                <w:sz w:val="20"/>
                <w:lang w:val="it-CH"/>
              </w:rPr>
            </w:pPr>
          </w:p>
        </w:tc>
        <w:tc>
          <w:tcPr>
            <w:tcW w:w="868" w:type="dxa"/>
            <w:vAlign w:val="center"/>
          </w:tcPr>
          <w:p>
            <w:pPr>
              <w:spacing w:before="20" w:after="20"/>
              <w:jc w:val="right"/>
              <w:rPr>
                <w:noProof/>
                <w:sz w:val="20"/>
                <w:lang w:val="it-CH"/>
              </w:rPr>
            </w:pPr>
          </w:p>
        </w:tc>
        <w:tc>
          <w:tcPr>
            <w:tcW w:w="868" w:type="dxa"/>
            <w:vAlign w:val="center"/>
          </w:tcPr>
          <w:p>
            <w:pPr>
              <w:spacing w:before="20" w:after="20"/>
              <w:jc w:val="right"/>
              <w:rPr>
                <w:b/>
                <w:noProof/>
                <w:sz w:val="20"/>
                <w:lang w:val="it-CH"/>
              </w:rPr>
            </w:pPr>
          </w:p>
        </w:tc>
        <w:tc>
          <w:tcPr>
            <w:tcW w:w="1777" w:type="dxa"/>
            <w:vAlign w:val="center"/>
          </w:tcPr>
          <w:p>
            <w:pPr>
              <w:spacing w:before="20" w:after="20"/>
              <w:jc w:val="right"/>
              <w:rPr>
                <w:b/>
                <w:noProof/>
                <w:sz w:val="20"/>
                <w:lang w:val="it-CH"/>
              </w:rPr>
            </w:pPr>
            <w:r>
              <w:rPr>
                <w:b/>
                <w:noProof/>
                <w:sz w:val="20"/>
                <w:lang w:val="it-CH"/>
              </w:rPr>
              <w:t>0,030</w:t>
            </w:r>
          </w:p>
        </w:tc>
      </w:tr>
      <w:tr>
        <w:tc>
          <w:tcPr>
            <w:tcW w:w="3960" w:type="dxa"/>
            <w:vAlign w:val="center"/>
          </w:tcPr>
          <w:p>
            <w:pPr>
              <w:jc w:val="center"/>
              <w:rPr>
                <w:b/>
                <w:noProof/>
                <w:sz w:val="22"/>
                <w:lang w:val="it-CH"/>
              </w:rPr>
            </w:pPr>
            <w:r>
              <w:rPr>
                <w:b/>
                <w:noProof/>
                <w:sz w:val="22"/>
                <w:lang w:val="it-CH"/>
              </w:rPr>
              <w:t xml:space="preserve">TOTALE DG CLIMA </w:t>
            </w:r>
          </w:p>
        </w:tc>
        <w:tc>
          <w:tcPr>
            <w:tcW w:w="2094" w:type="dxa"/>
            <w:gridSpan w:val="2"/>
            <w:vAlign w:val="center"/>
          </w:tcPr>
          <w:p>
            <w:pPr>
              <w:rPr>
                <w:noProof/>
                <w:sz w:val="14"/>
                <w:lang w:val="it-CH"/>
              </w:rPr>
            </w:pPr>
            <w:r>
              <w:rPr>
                <w:noProof/>
                <w:sz w:val="18"/>
                <w:lang w:val="it-CH"/>
              </w:rPr>
              <w:t>Stanziamenti</w:t>
            </w:r>
          </w:p>
        </w:tc>
        <w:tc>
          <w:tcPr>
            <w:tcW w:w="868" w:type="dxa"/>
            <w:vAlign w:val="center"/>
          </w:tcPr>
          <w:p>
            <w:pPr>
              <w:spacing w:before="60" w:after="60"/>
              <w:jc w:val="right"/>
              <w:rPr>
                <w:noProof/>
                <w:sz w:val="20"/>
                <w:lang w:val="it-CH"/>
              </w:rPr>
            </w:pPr>
            <w:r>
              <w:rPr>
                <w:noProof/>
                <w:sz w:val="20"/>
                <w:lang w:val="it-CH"/>
              </w:rPr>
              <w:t>0,402</w:t>
            </w:r>
          </w:p>
        </w:tc>
        <w:tc>
          <w:tcPr>
            <w:tcW w:w="868" w:type="dxa"/>
            <w:vAlign w:val="center"/>
          </w:tcPr>
          <w:p>
            <w:pPr>
              <w:spacing w:before="60" w:after="60"/>
              <w:jc w:val="right"/>
              <w:rPr>
                <w:noProof/>
                <w:sz w:val="20"/>
                <w:lang w:val="it-CH"/>
              </w:rPr>
            </w:pPr>
            <w:r>
              <w:rPr>
                <w:noProof/>
                <w:sz w:val="20"/>
                <w:lang w:val="it-CH"/>
              </w:rPr>
              <w:t>0,402</w:t>
            </w:r>
          </w:p>
        </w:tc>
        <w:tc>
          <w:tcPr>
            <w:tcW w:w="868" w:type="dxa"/>
            <w:vAlign w:val="center"/>
          </w:tcPr>
          <w:p>
            <w:pPr>
              <w:spacing w:before="60" w:after="60"/>
              <w:jc w:val="right"/>
              <w:rPr>
                <w:noProof/>
                <w:sz w:val="20"/>
                <w:lang w:val="it-CH"/>
              </w:rPr>
            </w:pPr>
            <w:r>
              <w:rPr>
                <w:noProof/>
                <w:sz w:val="20"/>
                <w:lang w:val="it-CH"/>
              </w:rPr>
              <w:t>0,621</w:t>
            </w:r>
          </w:p>
        </w:tc>
        <w:tc>
          <w:tcPr>
            <w:tcW w:w="868" w:type="dxa"/>
            <w:vAlign w:val="center"/>
          </w:tcPr>
          <w:p>
            <w:pPr>
              <w:spacing w:before="20" w:after="20"/>
              <w:jc w:val="right"/>
              <w:rPr>
                <w:noProof/>
                <w:sz w:val="20"/>
                <w:lang w:val="it-CH"/>
              </w:rPr>
            </w:pPr>
            <w:r>
              <w:rPr>
                <w:noProof/>
                <w:sz w:val="20"/>
                <w:lang w:val="it-CH"/>
              </w:rPr>
              <w:t>0,621</w:t>
            </w:r>
          </w:p>
        </w:tc>
        <w:tc>
          <w:tcPr>
            <w:tcW w:w="868" w:type="dxa"/>
            <w:vAlign w:val="center"/>
          </w:tcPr>
          <w:p>
            <w:pPr>
              <w:spacing w:before="20" w:after="20"/>
              <w:jc w:val="right"/>
              <w:rPr>
                <w:noProof/>
                <w:sz w:val="20"/>
                <w:lang w:val="it-CH"/>
              </w:rPr>
            </w:pPr>
          </w:p>
        </w:tc>
        <w:tc>
          <w:tcPr>
            <w:tcW w:w="868" w:type="dxa"/>
            <w:vAlign w:val="center"/>
          </w:tcPr>
          <w:p>
            <w:pPr>
              <w:spacing w:before="20" w:after="20"/>
              <w:jc w:val="right"/>
              <w:rPr>
                <w:noProof/>
                <w:sz w:val="20"/>
                <w:lang w:val="it-CH"/>
              </w:rPr>
            </w:pPr>
          </w:p>
        </w:tc>
        <w:tc>
          <w:tcPr>
            <w:tcW w:w="868" w:type="dxa"/>
            <w:vAlign w:val="center"/>
          </w:tcPr>
          <w:p>
            <w:pPr>
              <w:spacing w:before="20" w:after="20"/>
              <w:jc w:val="right"/>
              <w:rPr>
                <w:b/>
                <w:noProof/>
                <w:sz w:val="20"/>
                <w:lang w:val="it-CH"/>
              </w:rPr>
            </w:pPr>
          </w:p>
        </w:tc>
        <w:tc>
          <w:tcPr>
            <w:tcW w:w="1777" w:type="dxa"/>
            <w:vAlign w:val="center"/>
          </w:tcPr>
          <w:p>
            <w:pPr>
              <w:spacing w:before="20" w:after="20"/>
              <w:jc w:val="right"/>
              <w:rPr>
                <w:b/>
                <w:noProof/>
                <w:sz w:val="20"/>
                <w:lang w:val="it-CH"/>
              </w:rPr>
            </w:pPr>
            <w:r>
              <w:rPr>
                <w:b/>
                <w:noProof/>
                <w:sz w:val="20"/>
                <w:lang w:val="it-CH"/>
              </w:rPr>
              <w:t>2,046</w:t>
            </w:r>
          </w:p>
        </w:tc>
      </w:tr>
    </w:tbl>
    <w:p>
      <w:pPr>
        <w:rPr>
          <w:noProof/>
          <w:lang w:val="it-CH"/>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b/>
                <w:noProof/>
                <w:sz w:val="22"/>
                <w:lang w:val="it-CH"/>
              </w:rPr>
            </w:pPr>
            <w:r>
              <w:rPr>
                <w:b/>
                <w:noProof/>
                <w:sz w:val="22"/>
                <w:lang w:val="it-CH"/>
              </w:rPr>
              <w:t>TOTALE degli stanziamenti</w:t>
            </w:r>
            <w:r>
              <w:rPr>
                <w:noProof/>
                <w:sz w:val="22"/>
                <w:lang w:val="it-CH"/>
              </w:rPr>
              <w:br/>
            </w:r>
            <w:r>
              <w:rPr>
                <w:b/>
                <w:noProof/>
                <w:sz w:val="22"/>
                <w:lang w:val="it-CH"/>
              </w:rPr>
              <w:t>per la RUBRICA 5</w:t>
            </w:r>
            <w:r>
              <w:rPr>
                <w:noProof/>
                <w:sz w:val="22"/>
                <w:lang w:val="it-CH"/>
              </w:rPr>
              <w:br/>
              <w:t>del quadro finanziario pluriennale</w:t>
            </w:r>
          </w:p>
        </w:tc>
        <w:tc>
          <w:tcPr>
            <w:tcW w:w="2094" w:type="dxa"/>
            <w:vAlign w:val="center"/>
          </w:tcPr>
          <w:p>
            <w:pPr>
              <w:spacing w:before="40" w:after="40"/>
              <w:rPr>
                <w:noProof/>
                <w:sz w:val="22"/>
                <w:lang w:val="it-CH"/>
              </w:rPr>
            </w:pPr>
            <w:r>
              <w:rPr>
                <w:noProof/>
                <w:sz w:val="18"/>
                <w:lang w:val="it-CH"/>
              </w:rPr>
              <w:t>(Totale impegni = Totale pagamenti)</w:t>
            </w:r>
          </w:p>
        </w:tc>
        <w:tc>
          <w:tcPr>
            <w:tcW w:w="868" w:type="dxa"/>
            <w:vAlign w:val="center"/>
          </w:tcPr>
          <w:p>
            <w:pPr>
              <w:spacing w:before="60" w:after="60"/>
              <w:jc w:val="right"/>
              <w:rPr>
                <w:noProof/>
                <w:sz w:val="20"/>
                <w:lang w:val="it-CH"/>
              </w:rPr>
            </w:pPr>
            <w:r>
              <w:rPr>
                <w:noProof/>
                <w:sz w:val="20"/>
                <w:lang w:val="it-CH"/>
              </w:rPr>
              <w:t>0,402</w:t>
            </w:r>
          </w:p>
        </w:tc>
        <w:tc>
          <w:tcPr>
            <w:tcW w:w="868" w:type="dxa"/>
            <w:vAlign w:val="center"/>
          </w:tcPr>
          <w:p>
            <w:pPr>
              <w:spacing w:before="60" w:after="60"/>
              <w:jc w:val="right"/>
              <w:rPr>
                <w:noProof/>
                <w:sz w:val="20"/>
                <w:lang w:val="it-CH"/>
              </w:rPr>
            </w:pPr>
            <w:r>
              <w:rPr>
                <w:noProof/>
                <w:sz w:val="20"/>
                <w:lang w:val="it-CH"/>
              </w:rPr>
              <w:t>0,402</w:t>
            </w:r>
          </w:p>
        </w:tc>
        <w:tc>
          <w:tcPr>
            <w:tcW w:w="868" w:type="dxa"/>
            <w:vAlign w:val="center"/>
          </w:tcPr>
          <w:p>
            <w:pPr>
              <w:spacing w:before="60" w:after="60"/>
              <w:jc w:val="right"/>
              <w:rPr>
                <w:noProof/>
                <w:sz w:val="20"/>
                <w:lang w:val="it-CH"/>
              </w:rPr>
            </w:pPr>
            <w:r>
              <w:rPr>
                <w:noProof/>
                <w:sz w:val="20"/>
                <w:lang w:val="it-CH"/>
              </w:rPr>
              <w:t>0,621</w:t>
            </w:r>
          </w:p>
        </w:tc>
        <w:tc>
          <w:tcPr>
            <w:tcW w:w="868" w:type="dxa"/>
            <w:vAlign w:val="center"/>
          </w:tcPr>
          <w:p>
            <w:pPr>
              <w:spacing w:before="20" w:after="20"/>
              <w:jc w:val="right"/>
              <w:rPr>
                <w:noProof/>
                <w:sz w:val="20"/>
                <w:lang w:val="it-CH"/>
              </w:rPr>
            </w:pPr>
            <w:r>
              <w:rPr>
                <w:noProof/>
                <w:sz w:val="20"/>
                <w:lang w:val="it-CH"/>
              </w:rPr>
              <w:t>0,621</w:t>
            </w:r>
          </w:p>
        </w:tc>
        <w:tc>
          <w:tcPr>
            <w:tcW w:w="868" w:type="dxa"/>
            <w:vAlign w:val="center"/>
          </w:tcPr>
          <w:p>
            <w:pPr>
              <w:spacing w:before="20" w:after="20"/>
              <w:jc w:val="right"/>
              <w:rPr>
                <w:noProof/>
                <w:sz w:val="20"/>
                <w:lang w:val="it-CH"/>
              </w:rPr>
            </w:pPr>
          </w:p>
        </w:tc>
        <w:tc>
          <w:tcPr>
            <w:tcW w:w="868" w:type="dxa"/>
            <w:vAlign w:val="center"/>
          </w:tcPr>
          <w:p>
            <w:pPr>
              <w:spacing w:before="20" w:after="20"/>
              <w:jc w:val="right"/>
              <w:rPr>
                <w:noProof/>
                <w:sz w:val="20"/>
                <w:lang w:val="it-CH"/>
              </w:rPr>
            </w:pPr>
          </w:p>
        </w:tc>
        <w:tc>
          <w:tcPr>
            <w:tcW w:w="868" w:type="dxa"/>
            <w:vAlign w:val="center"/>
          </w:tcPr>
          <w:p>
            <w:pPr>
              <w:spacing w:before="20" w:after="20"/>
              <w:jc w:val="right"/>
              <w:rPr>
                <w:b/>
                <w:noProof/>
                <w:sz w:val="20"/>
                <w:lang w:val="it-CH"/>
              </w:rPr>
            </w:pPr>
          </w:p>
        </w:tc>
        <w:tc>
          <w:tcPr>
            <w:tcW w:w="1777" w:type="dxa"/>
            <w:vAlign w:val="center"/>
          </w:tcPr>
          <w:p>
            <w:pPr>
              <w:spacing w:before="20" w:after="20"/>
              <w:jc w:val="right"/>
              <w:rPr>
                <w:b/>
                <w:noProof/>
                <w:sz w:val="20"/>
                <w:lang w:val="it-CH"/>
              </w:rPr>
            </w:pPr>
            <w:r>
              <w:rPr>
                <w:b/>
                <w:noProof/>
                <w:sz w:val="20"/>
                <w:lang w:val="it-CH"/>
              </w:rPr>
              <w:t>2,046</w:t>
            </w:r>
          </w:p>
        </w:tc>
      </w:tr>
    </w:tbl>
    <w:p>
      <w:pPr>
        <w:jc w:val="right"/>
        <w:rPr>
          <w:noProof/>
          <w:sz w:val="20"/>
          <w:lang w:val="it-CH"/>
        </w:rPr>
      </w:pPr>
      <w:r>
        <w:rPr>
          <w:noProof/>
          <w:sz w:val="20"/>
          <w:lang w:val="it-CH"/>
        </w:rPr>
        <w:t>Mio EUR (al terzo decimale)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sz w:val="22"/>
                <w:lang w:val="it-CH"/>
              </w:rPr>
            </w:pPr>
          </w:p>
        </w:tc>
        <w:tc>
          <w:tcPr>
            <w:tcW w:w="1560" w:type="dxa"/>
            <w:tcBorders>
              <w:top w:val="nil"/>
              <w:left w:val="nil"/>
              <w:right w:val="nil"/>
            </w:tcBorders>
          </w:tcPr>
          <w:p>
            <w:pPr>
              <w:rPr>
                <w:noProof/>
                <w:sz w:val="20"/>
                <w:lang w:val="it-CH"/>
              </w:rPr>
            </w:pPr>
          </w:p>
        </w:tc>
        <w:tc>
          <w:tcPr>
            <w:tcW w:w="534" w:type="dxa"/>
            <w:tcBorders>
              <w:top w:val="nil"/>
              <w:left w:val="nil"/>
            </w:tcBorders>
          </w:tcPr>
          <w:p>
            <w:pPr>
              <w:jc w:val="center"/>
              <w:rPr>
                <w:noProof/>
                <w:sz w:val="20"/>
                <w:lang w:val="it-CH"/>
              </w:rPr>
            </w:pPr>
          </w:p>
        </w:tc>
        <w:tc>
          <w:tcPr>
            <w:tcW w:w="868" w:type="dxa"/>
            <w:vAlign w:val="center"/>
          </w:tcPr>
          <w:p>
            <w:pPr>
              <w:jc w:val="center"/>
              <w:rPr>
                <w:noProof/>
                <w:sz w:val="20"/>
                <w:lang w:val="it-CH"/>
              </w:rPr>
            </w:pPr>
            <w:r>
              <w:rPr>
                <w:noProof/>
                <w:sz w:val="20"/>
                <w:lang w:val="it-CH"/>
              </w:rPr>
              <w:t>A</w:t>
            </w:r>
            <w:r>
              <w:rPr>
                <w:noProof/>
                <w:sz w:val="22"/>
                <w:lang w:val="it-CH"/>
              </w:rPr>
              <w:t>nno</w:t>
            </w:r>
            <w:r>
              <w:rPr>
                <w:noProof/>
                <w:sz w:val="22"/>
                <w:lang w:val="it-CH"/>
              </w:rPr>
              <w:br/>
            </w:r>
            <w:r>
              <w:rPr>
                <w:b/>
                <w:noProof/>
                <w:sz w:val="20"/>
                <w:lang w:val="it-CH"/>
              </w:rPr>
              <w:t>2017</w:t>
            </w:r>
          </w:p>
        </w:tc>
        <w:tc>
          <w:tcPr>
            <w:tcW w:w="868" w:type="dxa"/>
            <w:vAlign w:val="center"/>
          </w:tcPr>
          <w:p>
            <w:pPr>
              <w:jc w:val="center"/>
              <w:rPr>
                <w:noProof/>
                <w:sz w:val="20"/>
                <w:lang w:val="it-CH"/>
              </w:rPr>
            </w:pPr>
            <w:r>
              <w:rPr>
                <w:noProof/>
                <w:sz w:val="20"/>
                <w:lang w:val="it-CH"/>
              </w:rPr>
              <w:t>A</w:t>
            </w:r>
            <w:r>
              <w:rPr>
                <w:noProof/>
                <w:sz w:val="22"/>
                <w:lang w:val="it-CH"/>
              </w:rPr>
              <w:t>nno</w:t>
            </w:r>
            <w:r>
              <w:rPr>
                <w:noProof/>
                <w:sz w:val="22"/>
                <w:lang w:val="it-CH"/>
              </w:rPr>
              <w:br/>
            </w:r>
            <w:r>
              <w:rPr>
                <w:b/>
                <w:noProof/>
                <w:sz w:val="20"/>
                <w:lang w:val="it-CH"/>
              </w:rPr>
              <w:t>2018</w:t>
            </w:r>
          </w:p>
        </w:tc>
        <w:tc>
          <w:tcPr>
            <w:tcW w:w="868" w:type="dxa"/>
            <w:vAlign w:val="center"/>
          </w:tcPr>
          <w:p>
            <w:pPr>
              <w:jc w:val="center"/>
              <w:rPr>
                <w:noProof/>
                <w:sz w:val="20"/>
                <w:lang w:val="it-CH"/>
              </w:rPr>
            </w:pPr>
            <w:r>
              <w:rPr>
                <w:noProof/>
                <w:sz w:val="20"/>
                <w:lang w:val="it-CH"/>
              </w:rPr>
              <w:t>A</w:t>
            </w:r>
            <w:r>
              <w:rPr>
                <w:noProof/>
                <w:sz w:val="22"/>
                <w:lang w:val="it-CH"/>
              </w:rPr>
              <w:t>nno</w:t>
            </w:r>
            <w:r>
              <w:rPr>
                <w:noProof/>
                <w:sz w:val="22"/>
                <w:lang w:val="it-CH"/>
              </w:rPr>
              <w:br/>
            </w:r>
            <w:r>
              <w:rPr>
                <w:b/>
                <w:noProof/>
                <w:sz w:val="20"/>
                <w:lang w:val="it-CH"/>
              </w:rPr>
              <w:t>2019</w:t>
            </w:r>
          </w:p>
        </w:tc>
        <w:tc>
          <w:tcPr>
            <w:tcW w:w="868" w:type="dxa"/>
            <w:vAlign w:val="center"/>
          </w:tcPr>
          <w:p>
            <w:pPr>
              <w:jc w:val="center"/>
              <w:rPr>
                <w:noProof/>
                <w:sz w:val="20"/>
                <w:lang w:val="it-CH"/>
              </w:rPr>
            </w:pPr>
            <w:r>
              <w:rPr>
                <w:noProof/>
                <w:sz w:val="20"/>
                <w:lang w:val="it-CH"/>
              </w:rPr>
              <w:t>A</w:t>
            </w:r>
            <w:r>
              <w:rPr>
                <w:noProof/>
                <w:sz w:val="22"/>
                <w:lang w:val="it-CH"/>
              </w:rPr>
              <w:t>nno</w:t>
            </w:r>
            <w:r>
              <w:rPr>
                <w:noProof/>
                <w:sz w:val="22"/>
                <w:lang w:val="it-CH"/>
              </w:rPr>
              <w:br/>
            </w:r>
            <w:r>
              <w:rPr>
                <w:b/>
                <w:noProof/>
                <w:sz w:val="20"/>
                <w:lang w:val="it-CH"/>
              </w:rPr>
              <w:t>2020</w:t>
            </w:r>
          </w:p>
        </w:tc>
        <w:tc>
          <w:tcPr>
            <w:tcW w:w="2604" w:type="dxa"/>
            <w:gridSpan w:val="3"/>
            <w:vAlign w:val="center"/>
          </w:tcPr>
          <w:p>
            <w:pPr>
              <w:jc w:val="center"/>
              <w:rPr>
                <w:b/>
                <w:noProof/>
                <w:sz w:val="18"/>
                <w:lang w:val="it-CH"/>
              </w:rPr>
            </w:pPr>
          </w:p>
        </w:tc>
        <w:tc>
          <w:tcPr>
            <w:tcW w:w="1777" w:type="dxa"/>
            <w:vAlign w:val="center"/>
          </w:tcPr>
          <w:p>
            <w:pPr>
              <w:jc w:val="center"/>
              <w:rPr>
                <w:b/>
                <w:noProof/>
                <w:sz w:val="20"/>
                <w:lang w:val="it-CH"/>
              </w:rPr>
            </w:pPr>
            <w:r>
              <w:rPr>
                <w:b/>
                <w:noProof/>
                <w:sz w:val="20"/>
                <w:lang w:val="it-CH"/>
              </w:rPr>
              <w:t>TOTALE</w:t>
            </w:r>
          </w:p>
        </w:tc>
      </w:tr>
      <w:tr>
        <w:tc>
          <w:tcPr>
            <w:tcW w:w="3960" w:type="dxa"/>
            <w:vMerge w:val="restart"/>
            <w:shd w:val="clear" w:color="auto" w:fill="C0C0C0"/>
            <w:vAlign w:val="center"/>
          </w:tcPr>
          <w:p>
            <w:pPr>
              <w:jc w:val="center"/>
              <w:rPr>
                <w:b/>
                <w:noProof/>
                <w:sz w:val="22"/>
                <w:lang w:val="it-CH"/>
              </w:rPr>
            </w:pPr>
            <w:r>
              <w:rPr>
                <w:b/>
                <w:noProof/>
                <w:sz w:val="22"/>
                <w:lang w:val="it-CH"/>
              </w:rPr>
              <w:t>TOTALE degli stanziamenti</w:t>
            </w:r>
            <w:r>
              <w:rPr>
                <w:noProof/>
                <w:sz w:val="22"/>
                <w:lang w:val="it-CH"/>
              </w:rPr>
              <w:br/>
            </w:r>
            <w:r>
              <w:rPr>
                <w:b/>
                <w:noProof/>
                <w:sz w:val="22"/>
                <w:lang w:val="it-CH"/>
              </w:rPr>
              <w:t>per la RUBRICA da1 a 5</w:t>
            </w:r>
            <w:r>
              <w:rPr>
                <w:noProof/>
                <w:sz w:val="22"/>
                <w:lang w:val="it-CH"/>
              </w:rPr>
              <w:br/>
              <w:t>del quadro finanziario pluriennale</w:t>
            </w:r>
          </w:p>
        </w:tc>
        <w:tc>
          <w:tcPr>
            <w:tcW w:w="2094" w:type="dxa"/>
            <w:gridSpan w:val="2"/>
            <w:vAlign w:val="center"/>
          </w:tcPr>
          <w:p>
            <w:pPr>
              <w:rPr>
                <w:noProof/>
                <w:sz w:val="14"/>
                <w:lang w:val="it-CH"/>
              </w:rPr>
            </w:pPr>
            <w:r>
              <w:rPr>
                <w:noProof/>
                <w:sz w:val="18"/>
                <w:lang w:val="it-CH"/>
              </w:rPr>
              <w:t>Impegni</w:t>
            </w:r>
          </w:p>
        </w:tc>
        <w:tc>
          <w:tcPr>
            <w:tcW w:w="868" w:type="dxa"/>
            <w:vAlign w:val="center"/>
          </w:tcPr>
          <w:p>
            <w:pPr>
              <w:spacing w:before="60" w:after="60"/>
              <w:jc w:val="right"/>
              <w:rPr>
                <w:noProof/>
                <w:sz w:val="20"/>
                <w:lang w:val="it-CH"/>
              </w:rPr>
            </w:pPr>
            <w:r>
              <w:rPr>
                <w:noProof/>
                <w:sz w:val="20"/>
                <w:lang w:val="it-CH"/>
              </w:rPr>
              <w:t>0,402</w:t>
            </w:r>
          </w:p>
        </w:tc>
        <w:tc>
          <w:tcPr>
            <w:tcW w:w="868" w:type="dxa"/>
            <w:vAlign w:val="center"/>
          </w:tcPr>
          <w:p>
            <w:pPr>
              <w:spacing w:before="60" w:after="60"/>
              <w:jc w:val="right"/>
              <w:rPr>
                <w:noProof/>
                <w:sz w:val="20"/>
                <w:lang w:val="it-CH"/>
              </w:rPr>
            </w:pPr>
            <w:r>
              <w:rPr>
                <w:noProof/>
                <w:sz w:val="20"/>
                <w:lang w:val="it-CH"/>
              </w:rPr>
              <w:t>0,402</w:t>
            </w:r>
          </w:p>
        </w:tc>
        <w:tc>
          <w:tcPr>
            <w:tcW w:w="868" w:type="dxa"/>
            <w:vAlign w:val="center"/>
          </w:tcPr>
          <w:p>
            <w:pPr>
              <w:spacing w:before="60" w:after="60"/>
              <w:jc w:val="right"/>
              <w:rPr>
                <w:noProof/>
                <w:sz w:val="20"/>
                <w:lang w:val="it-CH"/>
              </w:rPr>
            </w:pPr>
            <w:r>
              <w:rPr>
                <w:noProof/>
                <w:sz w:val="20"/>
                <w:lang w:val="it-CH"/>
              </w:rPr>
              <w:t>1,721</w:t>
            </w:r>
          </w:p>
        </w:tc>
        <w:tc>
          <w:tcPr>
            <w:tcW w:w="868" w:type="dxa"/>
            <w:vAlign w:val="center"/>
          </w:tcPr>
          <w:p>
            <w:pPr>
              <w:spacing w:before="60" w:after="60"/>
              <w:jc w:val="right"/>
              <w:rPr>
                <w:noProof/>
                <w:sz w:val="20"/>
                <w:lang w:val="it-CH"/>
              </w:rPr>
            </w:pPr>
            <w:r>
              <w:rPr>
                <w:noProof/>
                <w:sz w:val="20"/>
                <w:lang w:val="it-CH"/>
              </w:rPr>
              <w:t>0,821</w:t>
            </w:r>
          </w:p>
        </w:tc>
        <w:tc>
          <w:tcPr>
            <w:tcW w:w="868" w:type="dxa"/>
            <w:vAlign w:val="center"/>
          </w:tcPr>
          <w:p>
            <w:pPr>
              <w:spacing w:before="60" w:after="60"/>
              <w:jc w:val="right"/>
              <w:rPr>
                <w:noProof/>
                <w:sz w:val="20"/>
                <w:lang w:val="it-CH"/>
              </w:rPr>
            </w:pPr>
          </w:p>
        </w:tc>
        <w:tc>
          <w:tcPr>
            <w:tcW w:w="868" w:type="dxa"/>
            <w:vAlign w:val="center"/>
          </w:tcPr>
          <w:p>
            <w:pPr>
              <w:spacing w:before="60" w:after="60"/>
              <w:jc w:val="right"/>
              <w:rPr>
                <w:noProof/>
                <w:sz w:val="20"/>
                <w:lang w:val="it-CH"/>
              </w:rPr>
            </w:pPr>
          </w:p>
        </w:tc>
        <w:tc>
          <w:tcPr>
            <w:tcW w:w="868" w:type="dxa"/>
            <w:vAlign w:val="center"/>
          </w:tcPr>
          <w:p>
            <w:pPr>
              <w:spacing w:before="60" w:after="60"/>
              <w:jc w:val="right"/>
              <w:rPr>
                <w:b/>
                <w:noProof/>
                <w:sz w:val="20"/>
                <w:lang w:val="it-CH"/>
              </w:rPr>
            </w:pPr>
          </w:p>
        </w:tc>
        <w:tc>
          <w:tcPr>
            <w:tcW w:w="1777" w:type="dxa"/>
            <w:vAlign w:val="center"/>
          </w:tcPr>
          <w:p>
            <w:pPr>
              <w:spacing w:before="60" w:after="60"/>
              <w:jc w:val="right"/>
              <w:rPr>
                <w:b/>
                <w:noProof/>
                <w:sz w:val="20"/>
                <w:lang w:val="it-CH"/>
              </w:rPr>
            </w:pPr>
            <w:r>
              <w:rPr>
                <w:b/>
                <w:noProof/>
                <w:sz w:val="20"/>
                <w:lang w:val="it-CH"/>
              </w:rPr>
              <w:t>3,346</w:t>
            </w:r>
          </w:p>
        </w:tc>
      </w:tr>
      <w:tr>
        <w:tc>
          <w:tcPr>
            <w:tcW w:w="3960" w:type="dxa"/>
            <w:vMerge/>
            <w:shd w:val="clear" w:color="auto" w:fill="C0C0C0"/>
          </w:tcPr>
          <w:p>
            <w:pPr>
              <w:rPr>
                <w:noProof/>
                <w:sz w:val="20"/>
                <w:lang w:val="it-CH"/>
              </w:rPr>
            </w:pPr>
          </w:p>
        </w:tc>
        <w:tc>
          <w:tcPr>
            <w:tcW w:w="2094" w:type="dxa"/>
            <w:gridSpan w:val="2"/>
            <w:vAlign w:val="center"/>
          </w:tcPr>
          <w:p>
            <w:pPr>
              <w:rPr>
                <w:noProof/>
                <w:sz w:val="14"/>
                <w:lang w:val="it-CH"/>
              </w:rPr>
            </w:pPr>
            <w:r>
              <w:rPr>
                <w:noProof/>
                <w:sz w:val="18"/>
                <w:lang w:val="it-CH"/>
              </w:rPr>
              <w:t>Pagamenti</w:t>
            </w:r>
          </w:p>
        </w:tc>
        <w:tc>
          <w:tcPr>
            <w:tcW w:w="868" w:type="dxa"/>
            <w:vAlign w:val="center"/>
          </w:tcPr>
          <w:p>
            <w:pPr>
              <w:spacing w:before="60" w:after="60"/>
              <w:jc w:val="right"/>
              <w:rPr>
                <w:noProof/>
                <w:sz w:val="20"/>
                <w:lang w:val="it-CH"/>
              </w:rPr>
            </w:pPr>
            <w:r>
              <w:rPr>
                <w:noProof/>
                <w:sz w:val="20"/>
                <w:lang w:val="it-CH"/>
              </w:rPr>
              <w:t>0,402</w:t>
            </w:r>
          </w:p>
        </w:tc>
        <w:tc>
          <w:tcPr>
            <w:tcW w:w="868" w:type="dxa"/>
            <w:vAlign w:val="center"/>
          </w:tcPr>
          <w:p>
            <w:pPr>
              <w:spacing w:before="60" w:after="60"/>
              <w:jc w:val="right"/>
              <w:rPr>
                <w:noProof/>
                <w:sz w:val="20"/>
                <w:lang w:val="it-CH"/>
              </w:rPr>
            </w:pPr>
            <w:r>
              <w:rPr>
                <w:noProof/>
                <w:sz w:val="20"/>
                <w:lang w:val="it-CH"/>
              </w:rPr>
              <w:t>0,402</w:t>
            </w:r>
          </w:p>
        </w:tc>
        <w:tc>
          <w:tcPr>
            <w:tcW w:w="868" w:type="dxa"/>
            <w:vAlign w:val="center"/>
          </w:tcPr>
          <w:p>
            <w:pPr>
              <w:spacing w:before="60" w:after="60"/>
              <w:jc w:val="right"/>
              <w:rPr>
                <w:noProof/>
                <w:sz w:val="20"/>
                <w:lang w:val="it-CH"/>
              </w:rPr>
            </w:pPr>
            <w:r>
              <w:rPr>
                <w:noProof/>
                <w:sz w:val="20"/>
                <w:lang w:val="it-CH"/>
              </w:rPr>
              <w:t>1,361</w:t>
            </w:r>
          </w:p>
        </w:tc>
        <w:tc>
          <w:tcPr>
            <w:tcW w:w="868" w:type="dxa"/>
            <w:vAlign w:val="center"/>
          </w:tcPr>
          <w:p>
            <w:pPr>
              <w:spacing w:before="60" w:after="60"/>
              <w:jc w:val="right"/>
              <w:rPr>
                <w:noProof/>
                <w:sz w:val="20"/>
                <w:lang w:val="it-CH"/>
              </w:rPr>
            </w:pPr>
            <w:r>
              <w:rPr>
                <w:noProof/>
                <w:sz w:val="20"/>
                <w:lang w:val="it-CH"/>
              </w:rPr>
              <w:t>1,181</w:t>
            </w:r>
          </w:p>
        </w:tc>
        <w:tc>
          <w:tcPr>
            <w:tcW w:w="868" w:type="dxa"/>
            <w:vAlign w:val="center"/>
          </w:tcPr>
          <w:p>
            <w:pPr>
              <w:spacing w:before="60" w:after="60"/>
              <w:jc w:val="right"/>
              <w:rPr>
                <w:noProof/>
                <w:sz w:val="20"/>
                <w:lang w:val="it-CH"/>
              </w:rPr>
            </w:pPr>
          </w:p>
        </w:tc>
        <w:tc>
          <w:tcPr>
            <w:tcW w:w="868" w:type="dxa"/>
            <w:vAlign w:val="center"/>
          </w:tcPr>
          <w:p>
            <w:pPr>
              <w:spacing w:before="60" w:after="60"/>
              <w:jc w:val="right"/>
              <w:rPr>
                <w:noProof/>
                <w:sz w:val="20"/>
                <w:lang w:val="it-CH"/>
              </w:rPr>
            </w:pPr>
          </w:p>
        </w:tc>
        <w:tc>
          <w:tcPr>
            <w:tcW w:w="868" w:type="dxa"/>
            <w:vAlign w:val="center"/>
          </w:tcPr>
          <w:p>
            <w:pPr>
              <w:spacing w:before="60" w:after="60"/>
              <w:jc w:val="right"/>
              <w:rPr>
                <w:noProof/>
                <w:sz w:val="20"/>
                <w:lang w:val="it-CH"/>
              </w:rPr>
            </w:pPr>
          </w:p>
        </w:tc>
        <w:tc>
          <w:tcPr>
            <w:tcW w:w="1777" w:type="dxa"/>
            <w:vAlign w:val="center"/>
          </w:tcPr>
          <w:p>
            <w:pPr>
              <w:spacing w:before="60" w:after="60"/>
              <w:jc w:val="right"/>
              <w:rPr>
                <w:b/>
                <w:noProof/>
                <w:sz w:val="20"/>
                <w:lang w:val="it-CH"/>
              </w:rPr>
            </w:pPr>
            <w:r>
              <w:rPr>
                <w:b/>
                <w:noProof/>
                <w:sz w:val="20"/>
                <w:lang w:val="it-CH"/>
              </w:rPr>
              <w:t>3,346</w:t>
            </w:r>
          </w:p>
        </w:tc>
      </w:tr>
    </w:tbl>
    <w:p>
      <w:pPr>
        <w:rPr>
          <w:noProof/>
          <w:lang w:val="it-CH"/>
        </w:rPr>
        <w:sectPr>
          <w:headerReference w:type="default" r:id="rId13"/>
          <w:footerReference w:type="default" r:id="rId14"/>
          <w:headerReference w:type="first" r:id="rId15"/>
          <w:footerReference w:type="first" r:id="rId16"/>
          <w:pgSz w:w="16840" w:h="11907" w:orient="landscape" w:code="9"/>
          <w:pgMar w:top="1134" w:right="1418" w:bottom="1134" w:left="1418" w:header="709" w:footer="709" w:gutter="0"/>
          <w:cols w:space="708"/>
          <w:docGrid w:linePitch="360"/>
        </w:sectPr>
      </w:pPr>
    </w:p>
    <w:p>
      <w:pPr>
        <w:pStyle w:val="ManualHeading3"/>
        <w:rPr>
          <w:bCs/>
          <w:noProof/>
          <w:szCs w:val="24"/>
          <w:lang w:val="it-CH"/>
        </w:rPr>
      </w:pPr>
      <w:r>
        <w:rPr>
          <w:noProof/>
          <w:lang w:val="it-CH"/>
        </w:rPr>
        <w:t>3.2.2.</w:t>
      </w:r>
      <w:r>
        <w:rPr>
          <w:noProof/>
          <w:lang w:val="it-CH"/>
        </w:rPr>
        <w:tab/>
        <w:t>Incidenza prevista sugli stanziamenti operativi</w:t>
      </w:r>
    </w:p>
    <w:p>
      <w:pPr>
        <w:pStyle w:val="ListDash1"/>
        <w:rPr>
          <w:noProof/>
          <w:lang w:val="it-CH"/>
        </w:rPr>
      </w:pPr>
      <w:r>
        <w:rPr>
          <w:noProof/>
          <w:lang w:val="it-CH"/>
        </w:rPr>
        <w:sym w:font="Wingdings" w:char="F0A8"/>
      </w:r>
      <w:r>
        <w:rPr>
          <w:noProof/>
          <w:lang w:val="it-CH"/>
        </w:rPr>
        <w:tab/>
        <w:t>La proposta/iniziativa non comporta l'utilizzo di stanziamenti operativi.</w:t>
      </w:r>
    </w:p>
    <w:p>
      <w:pPr>
        <w:pStyle w:val="ListDash1"/>
        <w:rPr>
          <w:noProof/>
          <w:lang w:val="it-CH"/>
        </w:rPr>
      </w:pPr>
      <w:r>
        <w:rPr>
          <w:noProof/>
          <w:lang w:val="it-CH"/>
        </w:rPr>
        <w:t>X La proposta/iniziativa comporta l'utilizzo di stanziamenti operativi, come spiegato di seguito:</w:t>
      </w:r>
    </w:p>
    <w:p>
      <w:pPr>
        <w:jc w:val="right"/>
        <w:rPr>
          <w:noProof/>
          <w:sz w:val="20"/>
          <w:lang w:val="it-CH"/>
        </w:rPr>
      </w:pPr>
      <w:r>
        <w:rPr>
          <w:noProof/>
          <w:sz w:val="20"/>
          <w:lang w:val="it-CH"/>
        </w:rPr>
        <w:t>Stanziamenti di impegno in Mio EUR (al terzo decimale)</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15"/>
        <w:gridCol w:w="705"/>
        <w:gridCol w:w="540"/>
        <w:gridCol w:w="648"/>
        <w:gridCol w:w="432"/>
        <w:gridCol w:w="720"/>
        <w:gridCol w:w="540"/>
        <w:gridCol w:w="720"/>
        <w:gridCol w:w="720"/>
        <w:gridCol w:w="900"/>
      </w:tblGrid>
      <w:tr>
        <w:trPr>
          <w:jc w:val="center"/>
        </w:trPr>
        <w:tc>
          <w:tcPr>
            <w:tcW w:w="1423" w:type="dxa"/>
            <w:vMerge w:val="restart"/>
            <w:vAlign w:val="center"/>
          </w:tcPr>
          <w:p>
            <w:pPr>
              <w:ind w:right="-29"/>
              <w:jc w:val="center"/>
              <w:rPr>
                <w:b/>
                <w:noProof/>
                <w:sz w:val="18"/>
                <w:szCs w:val="18"/>
                <w:lang w:val="it-CH"/>
              </w:rPr>
            </w:pPr>
            <w:r>
              <w:rPr>
                <w:b/>
                <w:noProof/>
                <w:sz w:val="18"/>
                <w:lang w:val="it-CH"/>
              </w:rPr>
              <w:t>Specificare gli obiettivi e i risultati</w:t>
            </w:r>
          </w:p>
          <w:p>
            <w:pPr>
              <w:ind w:right="-29"/>
              <w:jc w:val="center"/>
              <w:rPr>
                <w:b/>
                <w:noProof/>
                <w:sz w:val="18"/>
                <w:szCs w:val="18"/>
                <w:lang w:val="it-CH"/>
              </w:rPr>
            </w:pPr>
          </w:p>
          <w:p>
            <w:pPr>
              <w:ind w:right="-29"/>
              <w:jc w:val="center"/>
              <w:rPr>
                <w:noProof/>
                <w:sz w:val="18"/>
                <w:szCs w:val="18"/>
                <w:lang w:val="it-CH"/>
              </w:rPr>
            </w:pPr>
            <w:r>
              <w:rPr>
                <w:noProof/>
                <w:sz w:val="18"/>
                <w:lang w:val="it-CH"/>
              </w:rPr>
              <w:sym w:font="Wingdings" w:char="F0F2"/>
            </w:r>
          </w:p>
        </w:tc>
        <w:tc>
          <w:tcPr>
            <w:tcW w:w="720" w:type="dxa"/>
            <w:vAlign w:val="center"/>
          </w:tcPr>
          <w:p>
            <w:pPr>
              <w:ind w:right="-29"/>
              <w:jc w:val="center"/>
              <w:rPr>
                <w:noProof/>
                <w:sz w:val="18"/>
                <w:szCs w:val="18"/>
                <w:lang w:val="it-CH"/>
              </w:rPr>
            </w:pPr>
          </w:p>
        </w:tc>
        <w:tc>
          <w:tcPr>
            <w:tcW w:w="701" w:type="dxa"/>
            <w:vAlign w:val="center"/>
          </w:tcPr>
          <w:p>
            <w:pPr>
              <w:ind w:right="-29"/>
              <w:jc w:val="center"/>
              <w:rPr>
                <w:noProof/>
                <w:sz w:val="18"/>
                <w:szCs w:val="18"/>
                <w:lang w:val="it-CH"/>
              </w:rPr>
            </w:pPr>
          </w:p>
        </w:tc>
        <w:tc>
          <w:tcPr>
            <w:tcW w:w="1224" w:type="dxa"/>
            <w:gridSpan w:val="2"/>
            <w:tcBorders>
              <w:left w:val="nil"/>
            </w:tcBorders>
            <w:vAlign w:val="center"/>
          </w:tcPr>
          <w:p>
            <w:pPr>
              <w:ind w:right="-29"/>
              <w:jc w:val="center"/>
              <w:rPr>
                <w:noProof/>
                <w:sz w:val="18"/>
                <w:szCs w:val="18"/>
                <w:lang w:val="it-CH"/>
              </w:rPr>
            </w:pPr>
            <w:r>
              <w:rPr>
                <w:noProof/>
                <w:sz w:val="18"/>
                <w:lang w:val="it-CH"/>
              </w:rPr>
              <w:t>A</w:t>
            </w:r>
            <w:r>
              <w:rPr>
                <w:noProof/>
                <w:sz w:val="22"/>
                <w:lang w:val="it-CH"/>
              </w:rPr>
              <w:t>nno</w:t>
            </w:r>
            <w:r>
              <w:rPr>
                <w:noProof/>
                <w:sz w:val="22"/>
                <w:lang w:val="it-CH"/>
              </w:rPr>
              <w:br/>
            </w:r>
            <w:r>
              <w:rPr>
                <w:b/>
                <w:noProof/>
                <w:sz w:val="18"/>
                <w:lang w:val="it-CH"/>
              </w:rPr>
              <w:t>2017</w:t>
            </w:r>
          </w:p>
        </w:tc>
        <w:tc>
          <w:tcPr>
            <w:tcW w:w="1260" w:type="dxa"/>
            <w:gridSpan w:val="2"/>
            <w:vAlign w:val="center"/>
          </w:tcPr>
          <w:p>
            <w:pPr>
              <w:ind w:right="-29"/>
              <w:jc w:val="center"/>
              <w:rPr>
                <w:noProof/>
                <w:sz w:val="18"/>
                <w:szCs w:val="18"/>
                <w:lang w:val="it-CH"/>
              </w:rPr>
            </w:pPr>
            <w:r>
              <w:rPr>
                <w:noProof/>
                <w:sz w:val="18"/>
                <w:lang w:val="it-CH"/>
              </w:rPr>
              <w:t>A</w:t>
            </w:r>
            <w:r>
              <w:rPr>
                <w:noProof/>
                <w:sz w:val="22"/>
                <w:lang w:val="it-CH"/>
              </w:rPr>
              <w:t>nno</w:t>
            </w:r>
            <w:r>
              <w:rPr>
                <w:noProof/>
                <w:sz w:val="22"/>
                <w:lang w:val="it-CH"/>
              </w:rPr>
              <w:br/>
            </w:r>
            <w:r>
              <w:rPr>
                <w:b/>
                <w:noProof/>
                <w:sz w:val="18"/>
                <w:lang w:val="it-CH"/>
              </w:rPr>
              <w:t>2018</w:t>
            </w:r>
          </w:p>
        </w:tc>
        <w:tc>
          <w:tcPr>
            <w:tcW w:w="1440" w:type="dxa"/>
            <w:gridSpan w:val="2"/>
            <w:vAlign w:val="center"/>
          </w:tcPr>
          <w:p>
            <w:pPr>
              <w:ind w:right="-29"/>
              <w:jc w:val="center"/>
              <w:rPr>
                <w:noProof/>
                <w:sz w:val="18"/>
                <w:szCs w:val="18"/>
                <w:lang w:val="it-CH"/>
              </w:rPr>
            </w:pPr>
            <w:r>
              <w:rPr>
                <w:noProof/>
                <w:sz w:val="18"/>
                <w:lang w:val="it-CH"/>
              </w:rPr>
              <w:t>A</w:t>
            </w:r>
            <w:r>
              <w:rPr>
                <w:noProof/>
                <w:sz w:val="22"/>
                <w:lang w:val="it-CH"/>
              </w:rPr>
              <w:t>nno</w:t>
            </w:r>
            <w:r>
              <w:rPr>
                <w:noProof/>
                <w:sz w:val="22"/>
                <w:lang w:val="it-CH"/>
              </w:rPr>
              <w:br/>
            </w:r>
            <w:r>
              <w:rPr>
                <w:b/>
                <w:noProof/>
                <w:sz w:val="18"/>
                <w:lang w:val="it-CH"/>
              </w:rPr>
              <w:t>2019</w:t>
            </w:r>
          </w:p>
        </w:tc>
        <w:tc>
          <w:tcPr>
            <w:tcW w:w="1620" w:type="dxa"/>
            <w:gridSpan w:val="2"/>
            <w:vAlign w:val="center"/>
          </w:tcPr>
          <w:p>
            <w:pPr>
              <w:ind w:right="-29"/>
              <w:jc w:val="center"/>
              <w:rPr>
                <w:noProof/>
                <w:sz w:val="18"/>
                <w:szCs w:val="18"/>
                <w:lang w:val="it-CH"/>
              </w:rPr>
            </w:pPr>
            <w:r>
              <w:rPr>
                <w:noProof/>
                <w:sz w:val="18"/>
                <w:lang w:val="it-CH"/>
              </w:rPr>
              <w:t>A</w:t>
            </w:r>
            <w:r>
              <w:rPr>
                <w:noProof/>
                <w:sz w:val="22"/>
                <w:lang w:val="it-CH"/>
              </w:rPr>
              <w:t>nno</w:t>
            </w:r>
            <w:r>
              <w:rPr>
                <w:noProof/>
                <w:sz w:val="22"/>
                <w:lang w:val="it-CH"/>
              </w:rPr>
              <w:br/>
            </w:r>
            <w:r>
              <w:rPr>
                <w:b/>
                <w:noProof/>
                <w:sz w:val="18"/>
                <w:lang w:val="it-CH"/>
              </w:rPr>
              <w:t>2020</w:t>
            </w:r>
          </w:p>
        </w:tc>
        <w:tc>
          <w:tcPr>
            <w:tcW w:w="3600" w:type="dxa"/>
            <w:gridSpan w:val="6"/>
            <w:vAlign w:val="center"/>
          </w:tcPr>
          <w:p>
            <w:pPr>
              <w:jc w:val="center"/>
              <w:rPr>
                <w:noProof/>
                <w:sz w:val="18"/>
                <w:szCs w:val="18"/>
                <w:lang w:val="it-CH"/>
              </w:rPr>
            </w:pPr>
          </w:p>
        </w:tc>
        <w:tc>
          <w:tcPr>
            <w:tcW w:w="1620" w:type="dxa"/>
            <w:gridSpan w:val="2"/>
            <w:tcBorders>
              <w:left w:val="nil"/>
              <w:bottom w:val="nil"/>
            </w:tcBorders>
            <w:vAlign w:val="center"/>
          </w:tcPr>
          <w:p>
            <w:pPr>
              <w:ind w:right="-29"/>
              <w:jc w:val="center"/>
              <w:rPr>
                <w:noProof/>
                <w:sz w:val="18"/>
                <w:szCs w:val="18"/>
                <w:lang w:val="it-CH"/>
              </w:rPr>
            </w:pPr>
            <w:r>
              <w:rPr>
                <w:b/>
                <w:noProof/>
                <w:sz w:val="18"/>
                <w:lang w:val="it-CH"/>
              </w:rPr>
              <w:t>TOTALE</w:t>
            </w:r>
          </w:p>
        </w:tc>
      </w:tr>
      <w:tr>
        <w:trPr>
          <w:jc w:val="center"/>
        </w:trPr>
        <w:tc>
          <w:tcPr>
            <w:tcW w:w="1423" w:type="dxa"/>
            <w:vMerge/>
            <w:vAlign w:val="center"/>
          </w:tcPr>
          <w:p>
            <w:pPr>
              <w:ind w:right="-29"/>
              <w:jc w:val="center"/>
              <w:rPr>
                <w:noProof/>
                <w:sz w:val="18"/>
                <w:szCs w:val="18"/>
                <w:lang w:val="it-CH"/>
              </w:rPr>
            </w:pPr>
          </w:p>
        </w:tc>
        <w:tc>
          <w:tcPr>
            <w:tcW w:w="12185" w:type="dxa"/>
            <w:gridSpan w:val="18"/>
            <w:vAlign w:val="center"/>
          </w:tcPr>
          <w:p>
            <w:pPr>
              <w:spacing w:before="60" w:after="60"/>
              <w:ind w:right="-29"/>
              <w:jc w:val="center"/>
              <w:rPr>
                <w:noProof/>
                <w:sz w:val="18"/>
                <w:szCs w:val="18"/>
                <w:lang w:val="it-CH"/>
              </w:rPr>
            </w:pPr>
            <w:r>
              <w:rPr>
                <w:b/>
                <w:noProof/>
                <w:sz w:val="18"/>
                <w:lang w:val="it-CH"/>
              </w:rPr>
              <w:t>OUTPUTS</w:t>
            </w:r>
          </w:p>
        </w:tc>
      </w:tr>
      <w:tr>
        <w:trPr>
          <w:cantSplit/>
          <w:trHeight w:val="1134"/>
          <w:jc w:val="center"/>
        </w:trPr>
        <w:tc>
          <w:tcPr>
            <w:tcW w:w="1423" w:type="dxa"/>
            <w:vMerge/>
            <w:vAlign w:val="center"/>
          </w:tcPr>
          <w:p>
            <w:pPr>
              <w:rPr>
                <w:noProof/>
                <w:sz w:val="18"/>
                <w:szCs w:val="18"/>
                <w:lang w:val="it-CH"/>
              </w:rPr>
            </w:pPr>
          </w:p>
        </w:tc>
        <w:tc>
          <w:tcPr>
            <w:tcW w:w="720" w:type="dxa"/>
            <w:vAlign w:val="center"/>
          </w:tcPr>
          <w:p>
            <w:pPr>
              <w:jc w:val="center"/>
              <w:rPr>
                <w:noProof/>
                <w:sz w:val="18"/>
                <w:szCs w:val="18"/>
                <w:lang w:val="it-CH"/>
              </w:rPr>
            </w:pPr>
            <w:r>
              <w:rPr>
                <w:noProof/>
                <w:sz w:val="18"/>
                <w:lang w:val="it-CH"/>
              </w:rPr>
              <w:t>Tipo</w:t>
            </w:r>
            <w:r>
              <w:rPr>
                <w:rStyle w:val="FootnoteReference"/>
                <w:noProof/>
                <w:lang w:val="it-CH"/>
              </w:rPr>
              <w:footnoteReference w:id="32"/>
            </w:r>
          </w:p>
          <w:p>
            <w:pPr>
              <w:spacing w:before="0" w:after="0"/>
              <w:jc w:val="center"/>
              <w:rPr>
                <w:noProof/>
                <w:sz w:val="18"/>
                <w:szCs w:val="18"/>
                <w:lang w:val="it-CH"/>
              </w:rPr>
            </w:pPr>
          </w:p>
        </w:tc>
        <w:tc>
          <w:tcPr>
            <w:tcW w:w="701" w:type="dxa"/>
            <w:vAlign w:val="center"/>
          </w:tcPr>
          <w:p>
            <w:pPr>
              <w:jc w:val="center"/>
              <w:rPr>
                <w:noProof/>
                <w:sz w:val="18"/>
                <w:szCs w:val="18"/>
                <w:lang w:val="it-CH"/>
              </w:rPr>
            </w:pPr>
            <w:r>
              <w:rPr>
                <w:noProof/>
                <w:sz w:val="18"/>
                <w:lang w:val="it-CH"/>
              </w:rPr>
              <w:t>Costo medio</w:t>
            </w:r>
          </w:p>
        </w:tc>
        <w:tc>
          <w:tcPr>
            <w:tcW w:w="504" w:type="dxa"/>
            <w:tcBorders>
              <w:left w:val="nil"/>
              <w:right w:val="dashSmallGap" w:sz="4" w:space="0" w:color="auto"/>
            </w:tcBorders>
            <w:shd w:val="pct10" w:color="auto" w:fill="auto"/>
            <w:textDirection w:val="btLr"/>
            <w:vAlign w:val="center"/>
          </w:tcPr>
          <w:p>
            <w:pPr>
              <w:ind w:left="113" w:right="113"/>
              <w:jc w:val="center"/>
              <w:rPr>
                <w:noProof/>
                <w:sz w:val="18"/>
                <w:szCs w:val="18"/>
                <w:lang w:val="it-CH"/>
              </w:rPr>
            </w:pPr>
            <w:r>
              <w:rPr>
                <w:noProof/>
                <w:sz w:val="18"/>
                <w:lang w:val="it-CH"/>
              </w:rPr>
              <w:t>N.</w:t>
            </w:r>
          </w:p>
        </w:tc>
        <w:tc>
          <w:tcPr>
            <w:tcW w:w="720" w:type="dxa"/>
            <w:tcBorders>
              <w:left w:val="dashSmallGap" w:sz="4" w:space="0" w:color="auto"/>
            </w:tcBorders>
            <w:shd w:val="pct10" w:color="auto" w:fill="auto"/>
            <w:vAlign w:val="center"/>
          </w:tcPr>
          <w:p>
            <w:pPr>
              <w:jc w:val="center"/>
              <w:rPr>
                <w:noProof/>
                <w:sz w:val="18"/>
                <w:szCs w:val="18"/>
                <w:lang w:val="it-CH"/>
              </w:rPr>
            </w:pPr>
            <w:r>
              <w:rPr>
                <w:noProof/>
                <w:sz w:val="18"/>
                <w:lang w:val="it-CH"/>
              </w:rPr>
              <w:t>Costo</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lang w:val="it-CH"/>
              </w:rPr>
            </w:pPr>
            <w:r>
              <w:rPr>
                <w:noProof/>
                <w:sz w:val="18"/>
                <w:lang w:val="it-CH"/>
              </w:rPr>
              <w:t>N.</w:t>
            </w:r>
          </w:p>
        </w:tc>
        <w:tc>
          <w:tcPr>
            <w:tcW w:w="720" w:type="dxa"/>
            <w:tcBorders>
              <w:left w:val="dashSmallGap" w:sz="4" w:space="0" w:color="auto"/>
            </w:tcBorders>
            <w:shd w:val="pct10" w:color="auto" w:fill="auto"/>
            <w:vAlign w:val="center"/>
          </w:tcPr>
          <w:p>
            <w:pPr>
              <w:jc w:val="center"/>
              <w:rPr>
                <w:noProof/>
                <w:sz w:val="18"/>
                <w:szCs w:val="18"/>
                <w:lang w:val="it-CH"/>
              </w:rPr>
            </w:pPr>
            <w:r>
              <w:rPr>
                <w:noProof/>
                <w:sz w:val="18"/>
                <w:lang w:val="it-CH"/>
              </w:rPr>
              <w:t>Costo</w:t>
            </w:r>
          </w:p>
        </w:tc>
        <w:tc>
          <w:tcPr>
            <w:tcW w:w="720" w:type="dxa"/>
            <w:tcBorders>
              <w:right w:val="dashSmallGap" w:sz="4" w:space="0" w:color="auto"/>
            </w:tcBorders>
            <w:shd w:val="pct10" w:color="auto" w:fill="auto"/>
            <w:textDirection w:val="btLr"/>
            <w:vAlign w:val="center"/>
          </w:tcPr>
          <w:p>
            <w:pPr>
              <w:ind w:left="113" w:right="113"/>
              <w:jc w:val="center"/>
              <w:rPr>
                <w:noProof/>
                <w:sz w:val="18"/>
                <w:szCs w:val="18"/>
                <w:lang w:val="it-CH"/>
              </w:rPr>
            </w:pPr>
            <w:r>
              <w:rPr>
                <w:noProof/>
                <w:sz w:val="18"/>
                <w:lang w:val="it-CH"/>
              </w:rPr>
              <w:t>N.</w:t>
            </w:r>
          </w:p>
        </w:tc>
        <w:tc>
          <w:tcPr>
            <w:tcW w:w="720" w:type="dxa"/>
            <w:tcBorders>
              <w:left w:val="dashSmallGap" w:sz="4" w:space="0" w:color="auto"/>
            </w:tcBorders>
            <w:shd w:val="pct10" w:color="auto" w:fill="auto"/>
            <w:vAlign w:val="center"/>
          </w:tcPr>
          <w:p>
            <w:pPr>
              <w:jc w:val="center"/>
              <w:rPr>
                <w:noProof/>
                <w:sz w:val="18"/>
                <w:szCs w:val="18"/>
                <w:lang w:val="it-CH"/>
              </w:rPr>
            </w:pPr>
            <w:r>
              <w:rPr>
                <w:noProof/>
                <w:sz w:val="18"/>
                <w:lang w:val="it-CH"/>
              </w:rPr>
              <w:t>Costo</w:t>
            </w:r>
          </w:p>
        </w:tc>
        <w:tc>
          <w:tcPr>
            <w:tcW w:w="915" w:type="dxa"/>
            <w:tcBorders>
              <w:right w:val="dashSmallGap" w:sz="4" w:space="0" w:color="auto"/>
            </w:tcBorders>
            <w:shd w:val="pct10" w:color="auto" w:fill="auto"/>
            <w:textDirection w:val="btLr"/>
            <w:vAlign w:val="center"/>
          </w:tcPr>
          <w:p>
            <w:pPr>
              <w:ind w:left="113" w:right="113"/>
              <w:jc w:val="center"/>
              <w:rPr>
                <w:noProof/>
                <w:sz w:val="18"/>
                <w:szCs w:val="18"/>
                <w:lang w:val="it-CH"/>
              </w:rPr>
            </w:pPr>
            <w:r>
              <w:rPr>
                <w:noProof/>
                <w:sz w:val="18"/>
                <w:lang w:val="it-CH"/>
              </w:rPr>
              <w:t>N.</w:t>
            </w:r>
          </w:p>
        </w:tc>
        <w:tc>
          <w:tcPr>
            <w:tcW w:w="705" w:type="dxa"/>
            <w:tcBorders>
              <w:left w:val="dashSmallGap" w:sz="4" w:space="0" w:color="auto"/>
            </w:tcBorders>
            <w:shd w:val="pct10" w:color="auto" w:fill="auto"/>
            <w:vAlign w:val="center"/>
          </w:tcPr>
          <w:p>
            <w:pPr>
              <w:jc w:val="center"/>
              <w:rPr>
                <w:noProof/>
                <w:sz w:val="18"/>
                <w:szCs w:val="18"/>
                <w:lang w:val="it-CH"/>
              </w:rPr>
            </w:pPr>
            <w:r>
              <w:rPr>
                <w:noProof/>
                <w:sz w:val="18"/>
                <w:lang w:val="it-CH"/>
              </w:rPr>
              <w:t>Costo</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lang w:val="it-CH"/>
              </w:rPr>
            </w:pPr>
            <w:r>
              <w:rPr>
                <w:noProof/>
                <w:sz w:val="18"/>
                <w:lang w:val="it-CH"/>
              </w:rPr>
              <w:t>N.</w:t>
            </w:r>
          </w:p>
        </w:tc>
        <w:tc>
          <w:tcPr>
            <w:tcW w:w="648" w:type="dxa"/>
            <w:tcBorders>
              <w:left w:val="dashSmallGap" w:sz="4" w:space="0" w:color="auto"/>
            </w:tcBorders>
            <w:shd w:val="pct10" w:color="auto" w:fill="auto"/>
            <w:vAlign w:val="center"/>
          </w:tcPr>
          <w:p>
            <w:pPr>
              <w:jc w:val="center"/>
              <w:rPr>
                <w:noProof/>
                <w:sz w:val="18"/>
                <w:szCs w:val="18"/>
                <w:lang w:val="it-CH"/>
              </w:rPr>
            </w:pPr>
            <w:r>
              <w:rPr>
                <w:noProof/>
                <w:sz w:val="18"/>
                <w:lang w:val="it-CH"/>
              </w:rPr>
              <w:t>Costo</w:t>
            </w:r>
          </w:p>
        </w:tc>
        <w:tc>
          <w:tcPr>
            <w:tcW w:w="432" w:type="dxa"/>
            <w:tcBorders>
              <w:right w:val="dashSmallGap" w:sz="4" w:space="0" w:color="auto"/>
            </w:tcBorders>
            <w:shd w:val="pct10" w:color="auto" w:fill="auto"/>
            <w:textDirection w:val="btLr"/>
            <w:vAlign w:val="center"/>
          </w:tcPr>
          <w:p>
            <w:pPr>
              <w:ind w:left="113" w:right="113"/>
              <w:jc w:val="center"/>
              <w:rPr>
                <w:noProof/>
                <w:sz w:val="18"/>
                <w:szCs w:val="18"/>
                <w:lang w:val="it-CH"/>
              </w:rPr>
            </w:pPr>
            <w:r>
              <w:rPr>
                <w:noProof/>
                <w:sz w:val="18"/>
                <w:lang w:val="it-CH"/>
              </w:rPr>
              <w:t>N.</w:t>
            </w:r>
          </w:p>
        </w:tc>
        <w:tc>
          <w:tcPr>
            <w:tcW w:w="720" w:type="dxa"/>
            <w:tcBorders>
              <w:left w:val="dashSmallGap" w:sz="4" w:space="0" w:color="auto"/>
            </w:tcBorders>
            <w:shd w:val="pct10" w:color="auto" w:fill="auto"/>
            <w:vAlign w:val="center"/>
          </w:tcPr>
          <w:p>
            <w:pPr>
              <w:jc w:val="center"/>
              <w:rPr>
                <w:noProof/>
                <w:sz w:val="18"/>
                <w:szCs w:val="18"/>
                <w:lang w:val="it-CH"/>
              </w:rPr>
            </w:pPr>
            <w:r>
              <w:rPr>
                <w:noProof/>
                <w:sz w:val="18"/>
                <w:lang w:val="it-CH"/>
              </w:rPr>
              <w:t>Costo</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lang w:val="it-CH"/>
              </w:rPr>
            </w:pPr>
            <w:r>
              <w:rPr>
                <w:noProof/>
                <w:sz w:val="18"/>
                <w:lang w:val="it-CH"/>
              </w:rPr>
              <w:t>N.</w:t>
            </w:r>
          </w:p>
        </w:tc>
        <w:tc>
          <w:tcPr>
            <w:tcW w:w="720" w:type="dxa"/>
            <w:tcBorders>
              <w:left w:val="dashSmallGap" w:sz="4" w:space="0" w:color="auto"/>
            </w:tcBorders>
            <w:shd w:val="pct10" w:color="auto" w:fill="auto"/>
            <w:vAlign w:val="center"/>
          </w:tcPr>
          <w:p>
            <w:pPr>
              <w:jc w:val="center"/>
              <w:rPr>
                <w:noProof/>
                <w:sz w:val="18"/>
                <w:szCs w:val="18"/>
                <w:lang w:val="it-CH"/>
              </w:rPr>
            </w:pPr>
            <w:r>
              <w:rPr>
                <w:noProof/>
                <w:sz w:val="18"/>
                <w:lang w:val="it-CH"/>
              </w:rPr>
              <w:t>Costo</w:t>
            </w:r>
          </w:p>
        </w:tc>
        <w:tc>
          <w:tcPr>
            <w:tcW w:w="720" w:type="dxa"/>
            <w:tcBorders>
              <w:right w:val="dashSmallGap" w:sz="4" w:space="0" w:color="auto"/>
            </w:tcBorders>
            <w:shd w:val="pct10" w:color="auto" w:fill="auto"/>
            <w:vAlign w:val="center"/>
          </w:tcPr>
          <w:p>
            <w:pPr>
              <w:jc w:val="center"/>
              <w:rPr>
                <w:noProof/>
                <w:sz w:val="18"/>
                <w:szCs w:val="18"/>
                <w:lang w:val="it-CH"/>
              </w:rPr>
            </w:pPr>
            <w:r>
              <w:rPr>
                <w:noProof/>
                <w:sz w:val="18"/>
                <w:lang w:val="it-CH"/>
              </w:rPr>
              <w:t>N. totale</w:t>
            </w:r>
          </w:p>
        </w:tc>
        <w:tc>
          <w:tcPr>
            <w:tcW w:w="900" w:type="dxa"/>
            <w:tcBorders>
              <w:left w:val="dashSmallGap" w:sz="4" w:space="0" w:color="auto"/>
            </w:tcBorders>
            <w:shd w:val="pct10" w:color="auto" w:fill="auto"/>
            <w:vAlign w:val="center"/>
          </w:tcPr>
          <w:p>
            <w:pPr>
              <w:jc w:val="center"/>
              <w:rPr>
                <w:noProof/>
                <w:sz w:val="18"/>
                <w:szCs w:val="18"/>
                <w:lang w:val="it-CH"/>
              </w:rPr>
            </w:pPr>
            <w:r>
              <w:rPr>
                <w:noProof/>
                <w:sz w:val="18"/>
                <w:lang w:val="it-CH"/>
              </w:rPr>
              <w:t>Costo totale</w:t>
            </w:r>
          </w:p>
        </w:tc>
      </w:tr>
      <w:tr>
        <w:trPr>
          <w:jc w:val="center"/>
        </w:trPr>
        <w:tc>
          <w:tcPr>
            <w:tcW w:w="2844" w:type="dxa"/>
            <w:gridSpan w:val="3"/>
            <w:vAlign w:val="center"/>
          </w:tcPr>
          <w:p>
            <w:pPr>
              <w:spacing w:before="60" w:after="60"/>
              <w:ind w:right="-29"/>
              <w:jc w:val="center"/>
              <w:rPr>
                <w:noProof/>
                <w:sz w:val="18"/>
                <w:szCs w:val="18"/>
                <w:lang w:val="it-CH"/>
              </w:rPr>
            </w:pPr>
            <w:r>
              <w:rPr>
                <w:noProof/>
                <w:sz w:val="18"/>
                <w:lang w:val="it-CH"/>
              </w:rPr>
              <w:t>OBIETTIVO SPECIFICO 1</w:t>
            </w:r>
          </w:p>
        </w:tc>
        <w:tc>
          <w:tcPr>
            <w:tcW w:w="504" w:type="dxa"/>
            <w:tcBorders>
              <w:top w:val="nil"/>
              <w:left w:val="nil"/>
              <w:bottom w:val="nil"/>
              <w:right w:val="nil"/>
            </w:tcBorders>
          </w:tcPr>
          <w:p>
            <w:pPr>
              <w:spacing w:before="60" w:after="60"/>
              <w:ind w:right="-29"/>
              <w:jc w:val="center"/>
              <w:rPr>
                <w:noProof/>
                <w:sz w:val="18"/>
                <w:szCs w:val="18"/>
                <w:lang w:val="it-CH"/>
              </w:rPr>
            </w:pPr>
          </w:p>
        </w:tc>
        <w:tc>
          <w:tcPr>
            <w:tcW w:w="720" w:type="dxa"/>
            <w:tcBorders>
              <w:top w:val="nil"/>
              <w:left w:val="nil"/>
              <w:bottom w:val="nil"/>
              <w:right w:val="nil"/>
            </w:tcBorders>
          </w:tcPr>
          <w:p>
            <w:pPr>
              <w:spacing w:before="60" w:after="60"/>
              <w:ind w:right="-29"/>
              <w:jc w:val="center"/>
              <w:rPr>
                <w:noProof/>
                <w:sz w:val="18"/>
                <w:szCs w:val="18"/>
                <w:lang w:val="it-CH"/>
              </w:rPr>
            </w:pPr>
          </w:p>
        </w:tc>
        <w:tc>
          <w:tcPr>
            <w:tcW w:w="540" w:type="dxa"/>
            <w:tcBorders>
              <w:top w:val="nil"/>
              <w:left w:val="nil"/>
              <w:bottom w:val="nil"/>
              <w:right w:val="nil"/>
            </w:tcBorders>
          </w:tcPr>
          <w:p>
            <w:pPr>
              <w:spacing w:before="60" w:after="60"/>
              <w:ind w:right="-29"/>
              <w:jc w:val="center"/>
              <w:rPr>
                <w:noProof/>
                <w:sz w:val="18"/>
                <w:szCs w:val="18"/>
                <w:lang w:val="it-CH"/>
              </w:rPr>
            </w:pPr>
          </w:p>
        </w:tc>
        <w:tc>
          <w:tcPr>
            <w:tcW w:w="720" w:type="dxa"/>
            <w:tcBorders>
              <w:top w:val="nil"/>
              <w:left w:val="nil"/>
              <w:bottom w:val="nil"/>
              <w:right w:val="nil"/>
            </w:tcBorders>
          </w:tcPr>
          <w:p>
            <w:pPr>
              <w:spacing w:before="60" w:after="60"/>
              <w:ind w:right="-29"/>
              <w:jc w:val="center"/>
              <w:rPr>
                <w:noProof/>
                <w:sz w:val="18"/>
                <w:szCs w:val="18"/>
                <w:lang w:val="it-CH"/>
              </w:rPr>
            </w:pPr>
          </w:p>
        </w:tc>
        <w:tc>
          <w:tcPr>
            <w:tcW w:w="720" w:type="dxa"/>
            <w:tcBorders>
              <w:top w:val="nil"/>
              <w:left w:val="nil"/>
              <w:bottom w:val="nil"/>
              <w:right w:val="nil"/>
            </w:tcBorders>
          </w:tcPr>
          <w:p>
            <w:pPr>
              <w:spacing w:before="60" w:after="60"/>
              <w:ind w:right="-29"/>
              <w:jc w:val="center"/>
              <w:rPr>
                <w:noProof/>
                <w:sz w:val="18"/>
                <w:szCs w:val="18"/>
                <w:lang w:val="it-CH"/>
              </w:rPr>
            </w:pPr>
          </w:p>
        </w:tc>
        <w:tc>
          <w:tcPr>
            <w:tcW w:w="720" w:type="dxa"/>
            <w:tcBorders>
              <w:top w:val="nil"/>
              <w:left w:val="nil"/>
              <w:bottom w:val="nil"/>
              <w:right w:val="nil"/>
            </w:tcBorders>
          </w:tcPr>
          <w:p>
            <w:pPr>
              <w:spacing w:before="60" w:after="60"/>
              <w:ind w:right="-29"/>
              <w:jc w:val="center"/>
              <w:rPr>
                <w:noProof/>
                <w:sz w:val="18"/>
                <w:szCs w:val="18"/>
                <w:lang w:val="it-CH"/>
              </w:rPr>
            </w:pPr>
          </w:p>
        </w:tc>
        <w:tc>
          <w:tcPr>
            <w:tcW w:w="915" w:type="dxa"/>
            <w:tcBorders>
              <w:top w:val="nil"/>
              <w:left w:val="nil"/>
              <w:bottom w:val="nil"/>
              <w:right w:val="nil"/>
            </w:tcBorders>
          </w:tcPr>
          <w:p>
            <w:pPr>
              <w:spacing w:before="60" w:after="60"/>
              <w:ind w:right="-29"/>
              <w:jc w:val="center"/>
              <w:rPr>
                <w:noProof/>
                <w:sz w:val="18"/>
                <w:szCs w:val="18"/>
                <w:lang w:val="it-CH"/>
              </w:rPr>
            </w:pPr>
          </w:p>
        </w:tc>
        <w:tc>
          <w:tcPr>
            <w:tcW w:w="705" w:type="dxa"/>
            <w:tcBorders>
              <w:top w:val="nil"/>
              <w:left w:val="nil"/>
              <w:bottom w:val="nil"/>
              <w:right w:val="nil"/>
            </w:tcBorders>
          </w:tcPr>
          <w:p>
            <w:pPr>
              <w:spacing w:before="60" w:after="60"/>
              <w:ind w:right="-29"/>
              <w:jc w:val="center"/>
              <w:rPr>
                <w:noProof/>
                <w:sz w:val="18"/>
                <w:szCs w:val="18"/>
                <w:lang w:val="it-CH"/>
              </w:rPr>
            </w:pPr>
          </w:p>
        </w:tc>
        <w:tc>
          <w:tcPr>
            <w:tcW w:w="540" w:type="dxa"/>
            <w:tcBorders>
              <w:top w:val="nil"/>
              <w:left w:val="nil"/>
              <w:bottom w:val="nil"/>
              <w:right w:val="nil"/>
            </w:tcBorders>
          </w:tcPr>
          <w:p>
            <w:pPr>
              <w:spacing w:before="60" w:after="60"/>
              <w:ind w:right="-29"/>
              <w:jc w:val="center"/>
              <w:rPr>
                <w:noProof/>
                <w:sz w:val="18"/>
                <w:szCs w:val="18"/>
                <w:lang w:val="it-CH"/>
              </w:rPr>
            </w:pPr>
          </w:p>
        </w:tc>
        <w:tc>
          <w:tcPr>
            <w:tcW w:w="648" w:type="dxa"/>
            <w:tcBorders>
              <w:top w:val="nil"/>
              <w:left w:val="nil"/>
              <w:bottom w:val="nil"/>
              <w:right w:val="nil"/>
            </w:tcBorders>
          </w:tcPr>
          <w:p>
            <w:pPr>
              <w:spacing w:before="60" w:after="60"/>
              <w:ind w:right="-29"/>
              <w:jc w:val="center"/>
              <w:rPr>
                <w:noProof/>
                <w:sz w:val="18"/>
                <w:szCs w:val="18"/>
                <w:lang w:val="it-CH"/>
              </w:rPr>
            </w:pPr>
          </w:p>
        </w:tc>
        <w:tc>
          <w:tcPr>
            <w:tcW w:w="432" w:type="dxa"/>
            <w:tcBorders>
              <w:top w:val="nil"/>
              <w:left w:val="nil"/>
              <w:bottom w:val="nil"/>
              <w:right w:val="nil"/>
            </w:tcBorders>
          </w:tcPr>
          <w:p>
            <w:pPr>
              <w:spacing w:before="60" w:after="60"/>
              <w:ind w:right="-29"/>
              <w:jc w:val="center"/>
              <w:rPr>
                <w:noProof/>
                <w:sz w:val="18"/>
                <w:szCs w:val="18"/>
                <w:lang w:val="it-CH"/>
              </w:rPr>
            </w:pPr>
          </w:p>
        </w:tc>
        <w:tc>
          <w:tcPr>
            <w:tcW w:w="720" w:type="dxa"/>
            <w:tcBorders>
              <w:top w:val="nil"/>
              <w:left w:val="nil"/>
              <w:bottom w:val="nil"/>
              <w:right w:val="nil"/>
            </w:tcBorders>
          </w:tcPr>
          <w:p>
            <w:pPr>
              <w:spacing w:before="60" w:after="60"/>
              <w:ind w:right="-29"/>
              <w:jc w:val="center"/>
              <w:rPr>
                <w:noProof/>
                <w:sz w:val="18"/>
                <w:szCs w:val="18"/>
                <w:lang w:val="it-CH"/>
              </w:rPr>
            </w:pPr>
          </w:p>
        </w:tc>
        <w:tc>
          <w:tcPr>
            <w:tcW w:w="540" w:type="dxa"/>
            <w:tcBorders>
              <w:top w:val="nil"/>
              <w:left w:val="nil"/>
              <w:bottom w:val="nil"/>
              <w:right w:val="nil"/>
            </w:tcBorders>
          </w:tcPr>
          <w:p>
            <w:pPr>
              <w:spacing w:before="60" w:after="60"/>
              <w:ind w:right="-29"/>
              <w:jc w:val="center"/>
              <w:rPr>
                <w:noProof/>
                <w:sz w:val="18"/>
                <w:szCs w:val="18"/>
                <w:lang w:val="it-CH"/>
              </w:rPr>
            </w:pPr>
          </w:p>
        </w:tc>
        <w:tc>
          <w:tcPr>
            <w:tcW w:w="720" w:type="dxa"/>
            <w:tcBorders>
              <w:top w:val="nil"/>
              <w:left w:val="nil"/>
              <w:bottom w:val="nil"/>
              <w:right w:val="nil"/>
            </w:tcBorders>
          </w:tcPr>
          <w:p>
            <w:pPr>
              <w:spacing w:before="60" w:after="60"/>
              <w:ind w:right="-29"/>
              <w:jc w:val="center"/>
              <w:rPr>
                <w:noProof/>
                <w:sz w:val="18"/>
                <w:szCs w:val="18"/>
                <w:lang w:val="it-CH"/>
              </w:rPr>
            </w:pPr>
          </w:p>
        </w:tc>
        <w:tc>
          <w:tcPr>
            <w:tcW w:w="720" w:type="dxa"/>
            <w:tcBorders>
              <w:top w:val="nil"/>
              <w:left w:val="nil"/>
              <w:bottom w:val="nil"/>
              <w:right w:val="nil"/>
            </w:tcBorders>
          </w:tcPr>
          <w:p>
            <w:pPr>
              <w:spacing w:before="60" w:after="60"/>
              <w:ind w:right="-29"/>
              <w:jc w:val="center"/>
              <w:rPr>
                <w:noProof/>
                <w:sz w:val="18"/>
                <w:szCs w:val="18"/>
                <w:lang w:val="it-CH"/>
              </w:rPr>
            </w:pPr>
          </w:p>
        </w:tc>
        <w:tc>
          <w:tcPr>
            <w:tcW w:w="900" w:type="dxa"/>
            <w:tcBorders>
              <w:top w:val="nil"/>
              <w:left w:val="nil"/>
              <w:bottom w:val="nil"/>
              <w:right w:val="nil"/>
            </w:tcBorders>
          </w:tcPr>
          <w:p>
            <w:pPr>
              <w:spacing w:before="60" w:after="60"/>
              <w:ind w:right="-29"/>
              <w:jc w:val="center"/>
              <w:rPr>
                <w:noProof/>
                <w:sz w:val="18"/>
                <w:szCs w:val="18"/>
                <w:lang w:val="it-CH"/>
              </w:rPr>
            </w:pPr>
          </w:p>
        </w:tc>
      </w:tr>
      <w:tr>
        <w:trPr>
          <w:trHeight w:hRule="exact" w:val="369"/>
          <w:jc w:val="center"/>
        </w:trPr>
        <w:tc>
          <w:tcPr>
            <w:tcW w:w="1423" w:type="dxa"/>
          </w:tcPr>
          <w:p>
            <w:pPr>
              <w:ind w:right="-29"/>
              <w:jc w:val="center"/>
              <w:rPr>
                <w:noProof/>
                <w:sz w:val="18"/>
                <w:szCs w:val="18"/>
                <w:lang w:val="it-CH"/>
              </w:rPr>
            </w:pPr>
            <w:r>
              <w:rPr>
                <w:noProof/>
                <w:sz w:val="18"/>
                <w:lang w:val="it-CH"/>
              </w:rPr>
              <w:t>Risultato</w:t>
            </w:r>
          </w:p>
        </w:tc>
        <w:tc>
          <w:tcPr>
            <w:tcW w:w="720" w:type="dxa"/>
          </w:tcPr>
          <w:p>
            <w:pPr>
              <w:spacing w:before="0" w:after="0"/>
              <w:ind w:right="-28"/>
              <w:jc w:val="left"/>
              <w:rPr>
                <w:noProof/>
                <w:sz w:val="12"/>
                <w:szCs w:val="12"/>
                <w:lang w:val="it-CH"/>
              </w:rPr>
            </w:pPr>
            <w:r>
              <w:rPr>
                <w:noProof/>
                <w:sz w:val="12"/>
                <w:szCs w:val="12"/>
                <w:lang w:val="it-CH"/>
              </w:rPr>
              <w:t>Contratto di servizio</w:t>
            </w:r>
          </w:p>
        </w:tc>
        <w:tc>
          <w:tcPr>
            <w:tcW w:w="701" w:type="dxa"/>
          </w:tcPr>
          <w:p>
            <w:pPr>
              <w:ind w:right="-29"/>
              <w:jc w:val="center"/>
              <w:rPr>
                <w:noProof/>
                <w:sz w:val="18"/>
                <w:szCs w:val="18"/>
                <w:lang w:val="it-CH"/>
              </w:rPr>
            </w:pPr>
            <w:r>
              <w:rPr>
                <w:noProof/>
                <w:sz w:val="18"/>
                <w:lang w:val="it-CH"/>
              </w:rPr>
              <w:t>0,900</w:t>
            </w:r>
          </w:p>
        </w:tc>
        <w:tc>
          <w:tcPr>
            <w:tcW w:w="504" w:type="dxa"/>
            <w:tcBorders>
              <w:right w:val="dashSmallGap" w:sz="4" w:space="0" w:color="auto"/>
            </w:tcBorders>
          </w:tcPr>
          <w:p>
            <w:pPr>
              <w:ind w:right="-29"/>
              <w:jc w:val="center"/>
              <w:rPr>
                <w:noProof/>
                <w:sz w:val="18"/>
                <w:szCs w:val="18"/>
                <w:lang w:val="it-CH"/>
              </w:rPr>
            </w:pPr>
          </w:p>
        </w:tc>
        <w:tc>
          <w:tcPr>
            <w:tcW w:w="720" w:type="dxa"/>
            <w:tcBorders>
              <w:left w:val="dashSmallGap" w:sz="4" w:space="0" w:color="auto"/>
            </w:tcBorders>
          </w:tcPr>
          <w:p>
            <w:pPr>
              <w:ind w:right="-29"/>
              <w:jc w:val="center"/>
              <w:rPr>
                <w:noProof/>
                <w:sz w:val="18"/>
                <w:szCs w:val="18"/>
                <w:lang w:val="it-CH"/>
              </w:rPr>
            </w:pPr>
          </w:p>
        </w:tc>
        <w:tc>
          <w:tcPr>
            <w:tcW w:w="540" w:type="dxa"/>
            <w:tcBorders>
              <w:right w:val="dashSmallGap" w:sz="4" w:space="0" w:color="auto"/>
            </w:tcBorders>
          </w:tcPr>
          <w:p>
            <w:pPr>
              <w:ind w:right="-29"/>
              <w:jc w:val="center"/>
              <w:rPr>
                <w:noProof/>
                <w:sz w:val="18"/>
                <w:szCs w:val="18"/>
                <w:lang w:val="it-CH"/>
              </w:rPr>
            </w:pPr>
          </w:p>
        </w:tc>
        <w:tc>
          <w:tcPr>
            <w:tcW w:w="720" w:type="dxa"/>
            <w:tcBorders>
              <w:left w:val="dashSmallGap" w:sz="4" w:space="0" w:color="auto"/>
            </w:tcBorders>
          </w:tcPr>
          <w:p>
            <w:pPr>
              <w:ind w:right="-29"/>
              <w:jc w:val="center"/>
              <w:rPr>
                <w:noProof/>
                <w:sz w:val="18"/>
                <w:szCs w:val="18"/>
                <w:lang w:val="it-CH"/>
              </w:rPr>
            </w:pPr>
          </w:p>
        </w:tc>
        <w:tc>
          <w:tcPr>
            <w:tcW w:w="720" w:type="dxa"/>
            <w:tcBorders>
              <w:right w:val="dashSmallGap" w:sz="4" w:space="0" w:color="auto"/>
            </w:tcBorders>
          </w:tcPr>
          <w:p>
            <w:pPr>
              <w:ind w:right="-29"/>
              <w:jc w:val="center"/>
              <w:rPr>
                <w:noProof/>
                <w:sz w:val="18"/>
                <w:szCs w:val="18"/>
                <w:lang w:val="it-CH"/>
              </w:rPr>
            </w:pPr>
            <w:r>
              <w:rPr>
                <w:noProof/>
                <w:sz w:val="18"/>
                <w:szCs w:val="18"/>
                <w:lang w:val="it-CH"/>
              </w:rPr>
              <w:t>1</w:t>
            </w:r>
          </w:p>
        </w:tc>
        <w:tc>
          <w:tcPr>
            <w:tcW w:w="720" w:type="dxa"/>
            <w:tcBorders>
              <w:left w:val="dashSmallGap" w:sz="4" w:space="0" w:color="auto"/>
            </w:tcBorders>
          </w:tcPr>
          <w:p>
            <w:pPr>
              <w:ind w:right="-29"/>
              <w:jc w:val="center"/>
              <w:rPr>
                <w:noProof/>
                <w:sz w:val="18"/>
                <w:szCs w:val="18"/>
                <w:lang w:val="it-CH"/>
              </w:rPr>
            </w:pPr>
            <w:r>
              <w:rPr>
                <w:noProof/>
                <w:sz w:val="18"/>
                <w:szCs w:val="18"/>
                <w:lang w:val="it-CH"/>
              </w:rPr>
              <w:t>0,900</w:t>
            </w:r>
          </w:p>
        </w:tc>
        <w:tc>
          <w:tcPr>
            <w:tcW w:w="915" w:type="dxa"/>
            <w:tcBorders>
              <w:right w:val="dashSmallGap" w:sz="4" w:space="0" w:color="auto"/>
            </w:tcBorders>
          </w:tcPr>
          <w:p>
            <w:pPr>
              <w:ind w:right="-29"/>
              <w:jc w:val="center"/>
              <w:rPr>
                <w:noProof/>
                <w:sz w:val="18"/>
                <w:szCs w:val="18"/>
                <w:lang w:val="it-CH"/>
              </w:rPr>
            </w:pPr>
          </w:p>
        </w:tc>
        <w:tc>
          <w:tcPr>
            <w:tcW w:w="705" w:type="dxa"/>
            <w:tcBorders>
              <w:left w:val="dashSmallGap" w:sz="4" w:space="0" w:color="auto"/>
            </w:tcBorders>
          </w:tcPr>
          <w:p>
            <w:pPr>
              <w:ind w:right="-29"/>
              <w:jc w:val="center"/>
              <w:rPr>
                <w:noProof/>
                <w:sz w:val="18"/>
                <w:szCs w:val="18"/>
                <w:lang w:val="it-CH"/>
              </w:rPr>
            </w:pPr>
          </w:p>
        </w:tc>
        <w:tc>
          <w:tcPr>
            <w:tcW w:w="540" w:type="dxa"/>
            <w:tcBorders>
              <w:right w:val="dashSmallGap" w:sz="4" w:space="0" w:color="auto"/>
            </w:tcBorders>
          </w:tcPr>
          <w:p>
            <w:pPr>
              <w:ind w:right="-29"/>
              <w:jc w:val="center"/>
              <w:rPr>
                <w:noProof/>
                <w:sz w:val="18"/>
                <w:szCs w:val="18"/>
                <w:lang w:val="it-CH"/>
              </w:rPr>
            </w:pPr>
          </w:p>
        </w:tc>
        <w:tc>
          <w:tcPr>
            <w:tcW w:w="648" w:type="dxa"/>
            <w:tcBorders>
              <w:left w:val="dashSmallGap" w:sz="4" w:space="0" w:color="auto"/>
            </w:tcBorders>
          </w:tcPr>
          <w:p>
            <w:pPr>
              <w:ind w:right="-29"/>
              <w:jc w:val="center"/>
              <w:rPr>
                <w:noProof/>
                <w:sz w:val="18"/>
                <w:szCs w:val="18"/>
                <w:lang w:val="it-CH"/>
              </w:rPr>
            </w:pPr>
          </w:p>
        </w:tc>
        <w:tc>
          <w:tcPr>
            <w:tcW w:w="432" w:type="dxa"/>
            <w:tcBorders>
              <w:right w:val="dashSmallGap" w:sz="4" w:space="0" w:color="auto"/>
            </w:tcBorders>
          </w:tcPr>
          <w:p>
            <w:pPr>
              <w:ind w:right="-29"/>
              <w:jc w:val="center"/>
              <w:rPr>
                <w:noProof/>
                <w:sz w:val="18"/>
                <w:szCs w:val="18"/>
                <w:lang w:val="it-CH"/>
              </w:rPr>
            </w:pPr>
          </w:p>
        </w:tc>
        <w:tc>
          <w:tcPr>
            <w:tcW w:w="720" w:type="dxa"/>
            <w:tcBorders>
              <w:left w:val="dashSmallGap" w:sz="4" w:space="0" w:color="auto"/>
            </w:tcBorders>
          </w:tcPr>
          <w:p>
            <w:pPr>
              <w:ind w:right="-29"/>
              <w:jc w:val="center"/>
              <w:rPr>
                <w:noProof/>
                <w:sz w:val="18"/>
                <w:szCs w:val="18"/>
                <w:lang w:val="it-CH"/>
              </w:rPr>
            </w:pPr>
          </w:p>
        </w:tc>
        <w:tc>
          <w:tcPr>
            <w:tcW w:w="540" w:type="dxa"/>
            <w:tcBorders>
              <w:right w:val="dashSmallGap" w:sz="4" w:space="0" w:color="auto"/>
            </w:tcBorders>
          </w:tcPr>
          <w:p>
            <w:pPr>
              <w:ind w:right="-29"/>
              <w:jc w:val="center"/>
              <w:rPr>
                <w:noProof/>
                <w:sz w:val="18"/>
                <w:szCs w:val="18"/>
                <w:lang w:val="it-CH"/>
              </w:rPr>
            </w:pPr>
          </w:p>
        </w:tc>
        <w:tc>
          <w:tcPr>
            <w:tcW w:w="720" w:type="dxa"/>
            <w:tcBorders>
              <w:left w:val="dashSmallGap" w:sz="4" w:space="0" w:color="auto"/>
            </w:tcBorders>
          </w:tcPr>
          <w:p>
            <w:pPr>
              <w:ind w:right="-29"/>
              <w:jc w:val="center"/>
              <w:rPr>
                <w:noProof/>
                <w:sz w:val="18"/>
                <w:szCs w:val="18"/>
                <w:lang w:val="it-CH"/>
              </w:rPr>
            </w:pPr>
          </w:p>
        </w:tc>
        <w:tc>
          <w:tcPr>
            <w:tcW w:w="720" w:type="dxa"/>
          </w:tcPr>
          <w:p>
            <w:pPr>
              <w:ind w:right="-29"/>
              <w:jc w:val="center"/>
              <w:rPr>
                <w:noProof/>
                <w:sz w:val="18"/>
                <w:szCs w:val="18"/>
                <w:lang w:val="it-CH"/>
              </w:rPr>
            </w:pPr>
            <w:r>
              <w:rPr>
                <w:noProof/>
                <w:sz w:val="18"/>
                <w:szCs w:val="18"/>
                <w:lang w:val="it-CH"/>
              </w:rPr>
              <w:t>1</w:t>
            </w:r>
          </w:p>
        </w:tc>
        <w:tc>
          <w:tcPr>
            <w:tcW w:w="900" w:type="dxa"/>
          </w:tcPr>
          <w:p>
            <w:pPr>
              <w:ind w:right="-29"/>
              <w:jc w:val="center"/>
              <w:rPr>
                <w:noProof/>
                <w:sz w:val="18"/>
                <w:szCs w:val="18"/>
                <w:lang w:val="it-CH"/>
              </w:rPr>
            </w:pPr>
            <w:r>
              <w:rPr>
                <w:noProof/>
                <w:sz w:val="18"/>
                <w:szCs w:val="18"/>
                <w:lang w:val="it-CH"/>
              </w:rPr>
              <w:t>0,900</w:t>
            </w:r>
          </w:p>
        </w:tc>
      </w:tr>
      <w:tr>
        <w:trPr>
          <w:trHeight w:val="477"/>
          <w:jc w:val="center"/>
        </w:trPr>
        <w:tc>
          <w:tcPr>
            <w:tcW w:w="1423" w:type="dxa"/>
          </w:tcPr>
          <w:p>
            <w:pPr>
              <w:ind w:right="-29"/>
              <w:jc w:val="center"/>
              <w:rPr>
                <w:noProof/>
                <w:sz w:val="18"/>
                <w:szCs w:val="18"/>
                <w:lang w:val="it-CH"/>
              </w:rPr>
            </w:pPr>
            <w:r>
              <w:rPr>
                <w:noProof/>
                <w:sz w:val="18"/>
                <w:lang w:val="it-CH"/>
              </w:rPr>
              <w:t>Risultato</w:t>
            </w:r>
          </w:p>
        </w:tc>
        <w:tc>
          <w:tcPr>
            <w:tcW w:w="720" w:type="dxa"/>
          </w:tcPr>
          <w:p>
            <w:pPr>
              <w:ind w:right="-29"/>
              <w:jc w:val="center"/>
              <w:rPr>
                <w:noProof/>
                <w:sz w:val="12"/>
                <w:szCs w:val="18"/>
                <w:lang w:val="it-CH"/>
              </w:rPr>
            </w:pPr>
            <w:r>
              <w:rPr>
                <w:noProof/>
                <w:sz w:val="12"/>
                <w:lang w:val="it-CH"/>
              </w:rPr>
              <w:t>sviluppo IT</w:t>
            </w:r>
          </w:p>
        </w:tc>
        <w:tc>
          <w:tcPr>
            <w:tcW w:w="701" w:type="dxa"/>
          </w:tcPr>
          <w:p>
            <w:pPr>
              <w:ind w:right="-29"/>
              <w:jc w:val="center"/>
              <w:rPr>
                <w:noProof/>
                <w:sz w:val="18"/>
                <w:szCs w:val="18"/>
                <w:lang w:val="it-CH"/>
              </w:rPr>
            </w:pPr>
            <w:r>
              <w:rPr>
                <w:noProof/>
                <w:sz w:val="18"/>
                <w:lang w:val="it-CH"/>
              </w:rPr>
              <w:t>0,200</w:t>
            </w:r>
          </w:p>
        </w:tc>
        <w:tc>
          <w:tcPr>
            <w:tcW w:w="504" w:type="dxa"/>
            <w:tcBorders>
              <w:right w:val="dashSmallGap" w:sz="4" w:space="0" w:color="auto"/>
            </w:tcBorders>
          </w:tcPr>
          <w:p>
            <w:pPr>
              <w:ind w:right="-29"/>
              <w:jc w:val="center"/>
              <w:rPr>
                <w:noProof/>
                <w:sz w:val="18"/>
                <w:szCs w:val="18"/>
                <w:lang w:val="it-CH"/>
              </w:rPr>
            </w:pPr>
          </w:p>
        </w:tc>
        <w:tc>
          <w:tcPr>
            <w:tcW w:w="720" w:type="dxa"/>
            <w:tcBorders>
              <w:left w:val="dashSmallGap" w:sz="4" w:space="0" w:color="auto"/>
            </w:tcBorders>
          </w:tcPr>
          <w:p>
            <w:pPr>
              <w:ind w:right="-29"/>
              <w:jc w:val="center"/>
              <w:rPr>
                <w:noProof/>
                <w:sz w:val="18"/>
                <w:szCs w:val="18"/>
                <w:lang w:val="it-CH"/>
              </w:rPr>
            </w:pPr>
          </w:p>
        </w:tc>
        <w:tc>
          <w:tcPr>
            <w:tcW w:w="540" w:type="dxa"/>
            <w:tcBorders>
              <w:right w:val="dashSmallGap" w:sz="4" w:space="0" w:color="auto"/>
            </w:tcBorders>
          </w:tcPr>
          <w:p>
            <w:pPr>
              <w:ind w:right="-29"/>
              <w:jc w:val="center"/>
              <w:rPr>
                <w:noProof/>
                <w:sz w:val="18"/>
                <w:szCs w:val="18"/>
                <w:lang w:val="it-CH"/>
              </w:rPr>
            </w:pPr>
          </w:p>
        </w:tc>
        <w:tc>
          <w:tcPr>
            <w:tcW w:w="720" w:type="dxa"/>
            <w:tcBorders>
              <w:left w:val="dashSmallGap" w:sz="4" w:space="0" w:color="auto"/>
            </w:tcBorders>
          </w:tcPr>
          <w:p>
            <w:pPr>
              <w:ind w:right="-29"/>
              <w:jc w:val="center"/>
              <w:rPr>
                <w:noProof/>
                <w:sz w:val="18"/>
                <w:szCs w:val="18"/>
                <w:lang w:val="it-CH"/>
              </w:rPr>
            </w:pPr>
          </w:p>
        </w:tc>
        <w:tc>
          <w:tcPr>
            <w:tcW w:w="720" w:type="dxa"/>
            <w:tcBorders>
              <w:right w:val="dashSmallGap" w:sz="4" w:space="0" w:color="auto"/>
            </w:tcBorders>
          </w:tcPr>
          <w:p>
            <w:pPr>
              <w:ind w:right="-29"/>
              <w:jc w:val="center"/>
              <w:rPr>
                <w:noProof/>
                <w:sz w:val="18"/>
                <w:szCs w:val="18"/>
                <w:lang w:val="it-CH"/>
              </w:rPr>
            </w:pPr>
            <w:r>
              <w:rPr>
                <w:noProof/>
                <w:sz w:val="18"/>
                <w:szCs w:val="18"/>
                <w:lang w:val="it-CH"/>
              </w:rPr>
              <w:t>1</w:t>
            </w:r>
          </w:p>
        </w:tc>
        <w:tc>
          <w:tcPr>
            <w:tcW w:w="720" w:type="dxa"/>
            <w:tcBorders>
              <w:left w:val="dashSmallGap" w:sz="4" w:space="0" w:color="auto"/>
            </w:tcBorders>
          </w:tcPr>
          <w:p>
            <w:pPr>
              <w:ind w:right="-29"/>
              <w:jc w:val="center"/>
              <w:rPr>
                <w:noProof/>
                <w:sz w:val="18"/>
                <w:szCs w:val="18"/>
                <w:lang w:val="it-CH"/>
              </w:rPr>
            </w:pPr>
            <w:r>
              <w:rPr>
                <w:noProof/>
                <w:sz w:val="18"/>
                <w:szCs w:val="18"/>
                <w:lang w:val="it-CH"/>
              </w:rPr>
              <w:t>0,200</w:t>
            </w:r>
          </w:p>
        </w:tc>
        <w:tc>
          <w:tcPr>
            <w:tcW w:w="915" w:type="dxa"/>
            <w:tcBorders>
              <w:right w:val="dashSmallGap" w:sz="4" w:space="0" w:color="auto"/>
            </w:tcBorders>
          </w:tcPr>
          <w:p>
            <w:pPr>
              <w:ind w:right="-29"/>
              <w:jc w:val="center"/>
              <w:rPr>
                <w:noProof/>
                <w:sz w:val="18"/>
                <w:szCs w:val="18"/>
                <w:lang w:val="it-CH"/>
              </w:rPr>
            </w:pPr>
            <w:r>
              <w:rPr>
                <w:noProof/>
                <w:sz w:val="18"/>
                <w:szCs w:val="18"/>
                <w:lang w:val="it-CH"/>
              </w:rPr>
              <w:t>1</w:t>
            </w:r>
          </w:p>
        </w:tc>
        <w:tc>
          <w:tcPr>
            <w:tcW w:w="705" w:type="dxa"/>
            <w:tcBorders>
              <w:left w:val="dashSmallGap" w:sz="4" w:space="0" w:color="auto"/>
            </w:tcBorders>
          </w:tcPr>
          <w:p>
            <w:pPr>
              <w:ind w:right="-29"/>
              <w:jc w:val="center"/>
              <w:rPr>
                <w:noProof/>
                <w:sz w:val="18"/>
                <w:szCs w:val="18"/>
                <w:lang w:val="it-CH"/>
              </w:rPr>
            </w:pPr>
            <w:r>
              <w:rPr>
                <w:noProof/>
                <w:sz w:val="18"/>
                <w:szCs w:val="18"/>
                <w:lang w:val="it-CH"/>
              </w:rPr>
              <w:t>0,200</w:t>
            </w:r>
          </w:p>
        </w:tc>
        <w:tc>
          <w:tcPr>
            <w:tcW w:w="540" w:type="dxa"/>
            <w:tcBorders>
              <w:right w:val="dashSmallGap" w:sz="4" w:space="0" w:color="auto"/>
            </w:tcBorders>
          </w:tcPr>
          <w:p>
            <w:pPr>
              <w:ind w:right="-29"/>
              <w:jc w:val="center"/>
              <w:rPr>
                <w:noProof/>
                <w:sz w:val="18"/>
                <w:szCs w:val="18"/>
                <w:lang w:val="it-CH"/>
              </w:rPr>
            </w:pPr>
          </w:p>
        </w:tc>
        <w:tc>
          <w:tcPr>
            <w:tcW w:w="648" w:type="dxa"/>
            <w:tcBorders>
              <w:left w:val="dashSmallGap" w:sz="4" w:space="0" w:color="auto"/>
            </w:tcBorders>
          </w:tcPr>
          <w:p>
            <w:pPr>
              <w:ind w:right="-29"/>
              <w:jc w:val="center"/>
              <w:rPr>
                <w:noProof/>
                <w:sz w:val="18"/>
                <w:szCs w:val="18"/>
                <w:lang w:val="it-CH"/>
              </w:rPr>
            </w:pPr>
          </w:p>
        </w:tc>
        <w:tc>
          <w:tcPr>
            <w:tcW w:w="432" w:type="dxa"/>
            <w:tcBorders>
              <w:right w:val="dashSmallGap" w:sz="4" w:space="0" w:color="auto"/>
            </w:tcBorders>
          </w:tcPr>
          <w:p>
            <w:pPr>
              <w:ind w:right="-29"/>
              <w:jc w:val="center"/>
              <w:rPr>
                <w:noProof/>
                <w:sz w:val="18"/>
                <w:szCs w:val="18"/>
                <w:lang w:val="it-CH"/>
              </w:rPr>
            </w:pPr>
          </w:p>
        </w:tc>
        <w:tc>
          <w:tcPr>
            <w:tcW w:w="720" w:type="dxa"/>
            <w:tcBorders>
              <w:left w:val="dashSmallGap" w:sz="4" w:space="0" w:color="auto"/>
            </w:tcBorders>
          </w:tcPr>
          <w:p>
            <w:pPr>
              <w:ind w:right="-29"/>
              <w:jc w:val="center"/>
              <w:rPr>
                <w:noProof/>
                <w:sz w:val="18"/>
                <w:szCs w:val="18"/>
                <w:lang w:val="it-CH"/>
              </w:rPr>
            </w:pPr>
          </w:p>
        </w:tc>
        <w:tc>
          <w:tcPr>
            <w:tcW w:w="540" w:type="dxa"/>
            <w:tcBorders>
              <w:right w:val="dashSmallGap" w:sz="4" w:space="0" w:color="auto"/>
            </w:tcBorders>
          </w:tcPr>
          <w:p>
            <w:pPr>
              <w:ind w:right="-29"/>
              <w:jc w:val="center"/>
              <w:rPr>
                <w:noProof/>
                <w:sz w:val="18"/>
                <w:szCs w:val="18"/>
                <w:lang w:val="it-CH"/>
              </w:rPr>
            </w:pPr>
          </w:p>
        </w:tc>
        <w:tc>
          <w:tcPr>
            <w:tcW w:w="720" w:type="dxa"/>
            <w:tcBorders>
              <w:left w:val="dashSmallGap" w:sz="4" w:space="0" w:color="auto"/>
            </w:tcBorders>
          </w:tcPr>
          <w:p>
            <w:pPr>
              <w:ind w:right="-29"/>
              <w:jc w:val="center"/>
              <w:rPr>
                <w:noProof/>
                <w:sz w:val="18"/>
                <w:szCs w:val="18"/>
                <w:lang w:val="it-CH"/>
              </w:rPr>
            </w:pPr>
          </w:p>
        </w:tc>
        <w:tc>
          <w:tcPr>
            <w:tcW w:w="720" w:type="dxa"/>
          </w:tcPr>
          <w:p>
            <w:pPr>
              <w:ind w:right="-29"/>
              <w:jc w:val="center"/>
              <w:rPr>
                <w:noProof/>
                <w:sz w:val="18"/>
                <w:szCs w:val="18"/>
                <w:lang w:val="it-CH"/>
              </w:rPr>
            </w:pPr>
            <w:r>
              <w:rPr>
                <w:noProof/>
                <w:sz w:val="18"/>
                <w:szCs w:val="18"/>
                <w:lang w:val="it-CH"/>
              </w:rPr>
              <w:t>2</w:t>
            </w:r>
          </w:p>
        </w:tc>
        <w:tc>
          <w:tcPr>
            <w:tcW w:w="900" w:type="dxa"/>
          </w:tcPr>
          <w:p>
            <w:pPr>
              <w:ind w:right="-29"/>
              <w:jc w:val="center"/>
              <w:rPr>
                <w:noProof/>
                <w:sz w:val="18"/>
                <w:szCs w:val="18"/>
                <w:lang w:val="it-CH"/>
              </w:rPr>
            </w:pPr>
            <w:r>
              <w:rPr>
                <w:noProof/>
                <w:sz w:val="18"/>
                <w:szCs w:val="18"/>
                <w:lang w:val="it-CH"/>
              </w:rPr>
              <w:t>0,400</w:t>
            </w:r>
          </w:p>
        </w:tc>
      </w:tr>
      <w:tr>
        <w:trPr>
          <w:trHeight w:hRule="exact" w:val="369"/>
          <w:jc w:val="center"/>
        </w:trPr>
        <w:tc>
          <w:tcPr>
            <w:tcW w:w="1423" w:type="dxa"/>
          </w:tcPr>
          <w:p>
            <w:pPr>
              <w:ind w:right="-29"/>
              <w:jc w:val="center"/>
              <w:rPr>
                <w:noProof/>
                <w:sz w:val="18"/>
                <w:szCs w:val="18"/>
                <w:lang w:val="it-CH"/>
              </w:rPr>
            </w:pPr>
            <w:r>
              <w:rPr>
                <w:noProof/>
                <w:sz w:val="18"/>
                <w:lang w:val="it-CH"/>
              </w:rPr>
              <w:t>Risultato</w:t>
            </w:r>
          </w:p>
        </w:tc>
        <w:tc>
          <w:tcPr>
            <w:tcW w:w="720" w:type="dxa"/>
          </w:tcPr>
          <w:p>
            <w:pPr>
              <w:ind w:right="-29"/>
              <w:jc w:val="center"/>
              <w:rPr>
                <w:noProof/>
                <w:sz w:val="18"/>
                <w:szCs w:val="18"/>
                <w:lang w:val="it-CH"/>
              </w:rPr>
            </w:pPr>
          </w:p>
        </w:tc>
        <w:tc>
          <w:tcPr>
            <w:tcW w:w="701" w:type="dxa"/>
          </w:tcPr>
          <w:p>
            <w:pPr>
              <w:ind w:right="-29"/>
              <w:jc w:val="center"/>
              <w:rPr>
                <w:noProof/>
                <w:sz w:val="18"/>
                <w:szCs w:val="18"/>
                <w:lang w:val="it-CH"/>
              </w:rPr>
            </w:pPr>
          </w:p>
        </w:tc>
        <w:tc>
          <w:tcPr>
            <w:tcW w:w="504" w:type="dxa"/>
          </w:tcPr>
          <w:p>
            <w:pPr>
              <w:ind w:right="-29"/>
              <w:jc w:val="center"/>
              <w:rPr>
                <w:noProof/>
                <w:sz w:val="18"/>
                <w:szCs w:val="18"/>
                <w:lang w:val="it-CH"/>
              </w:rPr>
            </w:pPr>
          </w:p>
        </w:tc>
        <w:tc>
          <w:tcPr>
            <w:tcW w:w="720" w:type="dxa"/>
          </w:tcPr>
          <w:p>
            <w:pPr>
              <w:ind w:right="-29"/>
              <w:jc w:val="center"/>
              <w:rPr>
                <w:noProof/>
                <w:sz w:val="18"/>
                <w:szCs w:val="18"/>
                <w:lang w:val="it-CH"/>
              </w:rPr>
            </w:pPr>
          </w:p>
        </w:tc>
        <w:tc>
          <w:tcPr>
            <w:tcW w:w="540" w:type="dxa"/>
          </w:tcPr>
          <w:p>
            <w:pPr>
              <w:ind w:right="-29"/>
              <w:jc w:val="center"/>
              <w:rPr>
                <w:noProof/>
                <w:sz w:val="18"/>
                <w:szCs w:val="18"/>
                <w:lang w:val="it-CH"/>
              </w:rPr>
            </w:pPr>
          </w:p>
        </w:tc>
        <w:tc>
          <w:tcPr>
            <w:tcW w:w="720" w:type="dxa"/>
          </w:tcPr>
          <w:p>
            <w:pPr>
              <w:ind w:right="-29"/>
              <w:jc w:val="center"/>
              <w:rPr>
                <w:noProof/>
                <w:sz w:val="18"/>
                <w:szCs w:val="18"/>
                <w:lang w:val="it-CH"/>
              </w:rPr>
            </w:pPr>
          </w:p>
        </w:tc>
        <w:tc>
          <w:tcPr>
            <w:tcW w:w="720" w:type="dxa"/>
          </w:tcPr>
          <w:p>
            <w:pPr>
              <w:ind w:right="-29"/>
              <w:jc w:val="center"/>
              <w:rPr>
                <w:noProof/>
                <w:sz w:val="18"/>
                <w:szCs w:val="18"/>
                <w:lang w:val="it-CH"/>
              </w:rPr>
            </w:pPr>
          </w:p>
        </w:tc>
        <w:tc>
          <w:tcPr>
            <w:tcW w:w="720" w:type="dxa"/>
          </w:tcPr>
          <w:p>
            <w:pPr>
              <w:ind w:right="-29"/>
              <w:jc w:val="center"/>
              <w:rPr>
                <w:noProof/>
                <w:sz w:val="18"/>
                <w:szCs w:val="18"/>
                <w:lang w:val="it-CH"/>
              </w:rPr>
            </w:pPr>
          </w:p>
        </w:tc>
        <w:tc>
          <w:tcPr>
            <w:tcW w:w="915" w:type="dxa"/>
          </w:tcPr>
          <w:p>
            <w:pPr>
              <w:ind w:right="-29"/>
              <w:jc w:val="center"/>
              <w:rPr>
                <w:noProof/>
                <w:sz w:val="18"/>
                <w:szCs w:val="18"/>
                <w:lang w:val="it-CH"/>
              </w:rPr>
            </w:pPr>
          </w:p>
        </w:tc>
        <w:tc>
          <w:tcPr>
            <w:tcW w:w="705" w:type="dxa"/>
          </w:tcPr>
          <w:p>
            <w:pPr>
              <w:ind w:right="-29"/>
              <w:jc w:val="center"/>
              <w:rPr>
                <w:noProof/>
                <w:sz w:val="18"/>
                <w:szCs w:val="18"/>
                <w:lang w:val="it-CH"/>
              </w:rPr>
            </w:pPr>
          </w:p>
        </w:tc>
        <w:tc>
          <w:tcPr>
            <w:tcW w:w="540" w:type="dxa"/>
          </w:tcPr>
          <w:p>
            <w:pPr>
              <w:ind w:right="-29"/>
              <w:jc w:val="center"/>
              <w:rPr>
                <w:noProof/>
                <w:sz w:val="18"/>
                <w:szCs w:val="18"/>
                <w:lang w:val="it-CH"/>
              </w:rPr>
            </w:pPr>
          </w:p>
        </w:tc>
        <w:tc>
          <w:tcPr>
            <w:tcW w:w="648" w:type="dxa"/>
          </w:tcPr>
          <w:p>
            <w:pPr>
              <w:ind w:right="-29"/>
              <w:jc w:val="center"/>
              <w:rPr>
                <w:noProof/>
                <w:sz w:val="18"/>
                <w:szCs w:val="18"/>
                <w:lang w:val="it-CH"/>
              </w:rPr>
            </w:pPr>
          </w:p>
        </w:tc>
        <w:tc>
          <w:tcPr>
            <w:tcW w:w="432" w:type="dxa"/>
          </w:tcPr>
          <w:p>
            <w:pPr>
              <w:ind w:right="-29"/>
              <w:jc w:val="center"/>
              <w:rPr>
                <w:noProof/>
                <w:sz w:val="18"/>
                <w:szCs w:val="18"/>
                <w:lang w:val="it-CH"/>
              </w:rPr>
            </w:pPr>
          </w:p>
        </w:tc>
        <w:tc>
          <w:tcPr>
            <w:tcW w:w="720" w:type="dxa"/>
          </w:tcPr>
          <w:p>
            <w:pPr>
              <w:ind w:right="-29"/>
              <w:jc w:val="center"/>
              <w:rPr>
                <w:noProof/>
                <w:sz w:val="18"/>
                <w:szCs w:val="18"/>
                <w:lang w:val="it-CH"/>
              </w:rPr>
            </w:pPr>
          </w:p>
        </w:tc>
        <w:tc>
          <w:tcPr>
            <w:tcW w:w="540" w:type="dxa"/>
          </w:tcPr>
          <w:p>
            <w:pPr>
              <w:ind w:right="-29"/>
              <w:jc w:val="center"/>
              <w:rPr>
                <w:noProof/>
                <w:sz w:val="18"/>
                <w:szCs w:val="18"/>
                <w:lang w:val="it-CH"/>
              </w:rPr>
            </w:pPr>
          </w:p>
        </w:tc>
        <w:tc>
          <w:tcPr>
            <w:tcW w:w="720" w:type="dxa"/>
          </w:tcPr>
          <w:p>
            <w:pPr>
              <w:ind w:right="-29"/>
              <w:jc w:val="center"/>
              <w:rPr>
                <w:noProof/>
                <w:sz w:val="18"/>
                <w:szCs w:val="18"/>
                <w:lang w:val="it-CH"/>
              </w:rPr>
            </w:pPr>
          </w:p>
        </w:tc>
        <w:tc>
          <w:tcPr>
            <w:tcW w:w="720" w:type="dxa"/>
          </w:tcPr>
          <w:p>
            <w:pPr>
              <w:ind w:right="-29"/>
              <w:jc w:val="center"/>
              <w:rPr>
                <w:noProof/>
                <w:sz w:val="18"/>
                <w:szCs w:val="18"/>
                <w:lang w:val="it-CH"/>
              </w:rPr>
            </w:pPr>
          </w:p>
        </w:tc>
        <w:tc>
          <w:tcPr>
            <w:tcW w:w="900" w:type="dxa"/>
          </w:tcPr>
          <w:p>
            <w:pPr>
              <w:ind w:right="-29"/>
              <w:jc w:val="center"/>
              <w:rPr>
                <w:noProof/>
                <w:sz w:val="18"/>
                <w:szCs w:val="18"/>
                <w:lang w:val="it-CH"/>
              </w:rPr>
            </w:pPr>
          </w:p>
        </w:tc>
      </w:tr>
      <w:tr>
        <w:trPr>
          <w:jc w:val="center"/>
        </w:trPr>
        <w:tc>
          <w:tcPr>
            <w:tcW w:w="2844" w:type="dxa"/>
            <w:gridSpan w:val="3"/>
            <w:tcBorders>
              <w:bottom w:val="single" w:sz="12" w:space="0" w:color="auto"/>
            </w:tcBorders>
            <w:vAlign w:val="center"/>
          </w:tcPr>
          <w:p>
            <w:pPr>
              <w:ind w:right="-29"/>
              <w:jc w:val="center"/>
              <w:rPr>
                <w:noProof/>
                <w:sz w:val="18"/>
                <w:szCs w:val="18"/>
                <w:lang w:val="it-CH"/>
              </w:rPr>
            </w:pPr>
            <w:r>
              <w:rPr>
                <w:noProof/>
                <w:sz w:val="18"/>
                <w:lang w:val="it-CH"/>
              </w:rPr>
              <w:t>Totale parziale dell'obiettivo specifico 1</w:t>
            </w:r>
          </w:p>
        </w:tc>
        <w:tc>
          <w:tcPr>
            <w:tcW w:w="504" w:type="dxa"/>
            <w:tcBorders>
              <w:bottom w:val="single" w:sz="12" w:space="0" w:color="auto"/>
            </w:tcBorders>
          </w:tcPr>
          <w:p>
            <w:pPr>
              <w:ind w:right="-29"/>
              <w:jc w:val="center"/>
              <w:rPr>
                <w:noProof/>
                <w:sz w:val="18"/>
                <w:szCs w:val="18"/>
                <w:lang w:val="it-CH"/>
              </w:rPr>
            </w:pPr>
          </w:p>
        </w:tc>
        <w:tc>
          <w:tcPr>
            <w:tcW w:w="720" w:type="dxa"/>
            <w:tcBorders>
              <w:bottom w:val="single" w:sz="12" w:space="0" w:color="auto"/>
            </w:tcBorders>
          </w:tcPr>
          <w:p>
            <w:pPr>
              <w:ind w:right="-29"/>
              <w:jc w:val="center"/>
              <w:rPr>
                <w:noProof/>
                <w:sz w:val="18"/>
                <w:szCs w:val="18"/>
                <w:lang w:val="it-CH"/>
              </w:rPr>
            </w:pPr>
          </w:p>
        </w:tc>
        <w:tc>
          <w:tcPr>
            <w:tcW w:w="540" w:type="dxa"/>
            <w:tcBorders>
              <w:bottom w:val="single" w:sz="12" w:space="0" w:color="auto"/>
            </w:tcBorders>
          </w:tcPr>
          <w:p>
            <w:pPr>
              <w:ind w:right="-29"/>
              <w:jc w:val="center"/>
              <w:rPr>
                <w:noProof/>
                <w:sz w:val="18"/>
                <w:szCs w:val="18"/>
                <w:lang w:val="it-CH"/>
              </w:rPr>
            </w:pPr>
          </w:p>
        </w:tc>
        <w:tc>
          <w:tcPr>
            <w:tcW w:w="720" w:type="dxa"/>
            <w:tcBorders>
              <w:bottom w:val="single" w:sz="12" w:space="0" w:color="auto"/>
            </w:tcBorders>
          </w:tcPr>
          <w:p>
            <w:pPr>
              <w:ind w:right="-29"/>
              <w:jc w:val="center"/>
              <w:rPr>
                <w:noProof/>
                <w:sz w:val="18"/>
                <w:szCs w:val="18"/>
                <w:lang w:val="it-CH"/>
              </w:rPr>
            </w:pPr>
          </w:p>
        </w:tc>
        <w:tc>
          <w:tcPr>
            <w:tcW w:w="720" w:type="dxa"/>
            <w:tcBorders>
              <w:bottom w:val="single" w:sz="12" w:space="0" w:color="auto"/>
            </w:tcBorders>
          </w:tcPr>
          <w:p>
            <w:pPr>
              <w:ind w:right="-29"/>
              <w:jc w:val="center"/>
              <w:rPr>
                <w:noProof/>
                <w:sz w:val="18"/>
                <w:szCs w:val="18"/>
                <w:lang w:val="it-CH"/>
              </w:rPr>
            </w:pPr>
            <w:r>
              <w:rPr>
                <w:noProof/>
                <w:sz w:val="18"/>
                <w:szCs w:val="18"/>
                <w:lang w:val="it-CH"/>
              </w:rPr>
              <w:t>2</w:t>
            </w:r>
          </w:p>
        </w:tc>
        <w:tc>
          <w:tcPr>
            <w:tcW w:w="720" w:type="dxa"/>
            <w:tcBorders>
              <w:bottom w:val="single" w:sz="12" w:space="0" w:color="auto"/>
            </w:tcBorders>
          </w:tcPr>
          <w:p>
            <w:pPr>
              <w:ind w:right="-29"/>
              <w:jc w:val="center"/>
              <w:rPr>
                <w:noProof/>
                <w:sz w:val="18"/>
                <w:szCs w:val="18"/>
                <w:lang w:val="it-CH"/>
              </w:rPr>
            </w:pPr>
            <w:r>
              <w:rPr>
                <w:noProof/>
                <w:sz w:val="18"/>
                <w:szCs w:val="18"/>
                <w:lang w:val="it-CH"/>
              </w:rPr>
              <w:t>1,100</w:t>
            </w:r>
          </w:p>
        </w:tc>
        <w:tc>
          <w:tcPr>
            <w:tcW w:w="915" w:type="dxa"/>
            <w:tcBorders>
              <w:bottom w:val="single" w:sz="12" w:space="0" w:color="auto"/>
            </w:tcBorders>
          </w:tcPr>
          <w:p>
            <w:pPr>
              <w:ind w:right="-29"/>
              <w:jc w:val="center"/>
              <w:rPr>
                <w:noProof/>
                <w:sz w:val="18"/>
                <w:szCs w:val="18"/>
                <w:lang w:val="it-CH"/>
              </w:rPr>
            </w:pPr>
            <w:r>
              <w:rPr>
                <w:noProof/>
                <w:sz w:val="18"/>
                <w:szCs w:val="18"/>
                <w:lang w:val="it-CH"/>
              </w:rPr>
              <w:t>1</w:t>
            </w:r>
          </w:p>
        </w:tc>
        <w:tc>
          <w:tcPr>
            <w:tcW w:w="705" w:type="dxa"/>
            <w:tcBorders>
              <w:bottom w:val="single" w:sz="12" w:space="0" w:color="auto"/>
            </w:tcBorders>
          </w:tcPr>
          <w:p>
            <w:pPr>
              <w:ind w:right="-29"/>
              <w:jc w:val="center"/>
              <w:rPr>
                <w:noProof/>
                <w:sz w:val="18"/>
                <w:szCs w:val="18"/>
                <w:lang w:val="it-CH"/>
              </w:rPr>
            </w:pPr>
            <w:r>
              <w:rPr>
                <w:noProof/>
                <w:sz w:val="18"/>
                <w:szCs w:val="18"/>
                <w:lang w:val="it-CH"/>
              </w:rPr>
              <w:t>0,200</w:t>
            </w:r>
          </w:p>
        </w:tc>
        <w:tc>
          <w:tcPr>
            <w:tcW w:w="540" w:type="dxa"/>
            <w:tcBorders>
              <w:bottom w:val="single" w:sz="12" w:space="0" w:color="auto"/>
            </w:tcBorders>
          </w:tcPr>
          <w:p>
            <w:pPr>
              <w:ind w:right="-29"/>
              <w:jc w:val="center"/>
              <w:rPr>
                <w:noProof/>
                <w:sz w:val="18"/>
                <w:szCs w:val="18"/>
                <w:lang w:val="it-CH"/>
              </w:rPr>
            </w:pPr>
          </w:p>
        </w:tc>
        <w:tc>
          <w:tcPr>
            <w:tcW w:w="648" w:type="dxa"/>
            <w:tcBorders>
              <w:bottom w:val="single" w:sz="12" w:space="0" w:color="auto"/>
            </w:tcBorders>
          </w:tcPr>
          <w:p>
            <w:pPr>
              <w:ind w:right="-29"/>
              <w:jc w:val="center"/>
              <w:rPr>
                <w:noProof/>
                <w:sz w:val="18"/>
                <w:szCs w:val="18"/>
                <w:lang w:val="it-CH"/>
              </w:rPr>
            </w:pPr>
          </w:p>
        </w:tc>
        <w:tc>
          <w:tcPr>
            <w:tcW w:w="432" w:type="dxa"/>
            <w:tcBorders>
              <w:bottom w:val="single" w:sz="12" w:space="0" w:color="auto"/>
            </w:tcBorders>
          </w:tcPr>
          <w:p>
            <w:pPr>
              <w:ind w:right="-29"/>
              <w:jc w:val="center"/>
              <w:rPr>
                <w:noProof/>
                <w:sz w:val="18"/>
                <w:szCs w:val="18"/>
                <w:lang w:val="it-CH"/>
              </w:rPr>
            </w:pPr>
          </w:p>
        </w:tc>
        <w:tc>
          <w:tcPr>
            <w:tcW w:w="720" w:type="dxa"/>
            <w:tcBorders>
              <w:bottom w:val="single" w:sz="12" w:space="0" w:color="auto"/>
            </w:tcBorders>
          </w:tcPr>
          <w:p>
            <w:pPr>
              <w:ind w:right="-29"/>
              <w:jc w:val="center"/>
              <w:rPr>
                <w:noProof/>
                <w:sz w:val="18"/>
                <w:szCs w:val="18"/>
                <w:lang w:val="it-CH"/>
              </w:rPr>
            </w:pPr>
          </w:p>
        </w:tc>
        <w:tc>
          <w:tcPr>
            <w:tcW w:w="540" w:type="dxa"/>
            <w:tcBorders>
              <w:bottom w:val="single" w:sz="12" w:space="0" w:color="auto"/>
            </w:tcBorders>
          </w:tcPr>
          <w:p>
            <w:pPr>
              <w:ind w:right="-29"/>
              <w:jc w:val="center"/>
              <w:rPr>
                <w:noProof/>
                <w:sz w:val="18"/>
                <w:szCs w:val="18"/>
                <w:lang w:val="it-CH"/>
              </w:rPr>
            </w:pPr>
          </w:p>
        </w:tc>
        <w:tc>
          <w:tcPr>
            <w:tcW w:w="720" w:type="dxa"/>
            <w:tcBorders>
              <w:bottom w:val="single" w:sz="12" w:space="0" w:color="auto"/>
            </w:tcBorders>
          </w:tcPr>
          <w:p>
            <w:pPr>
              <w:ind w:right="-29"/>
              <w:jc w:val="center"/>
              <w:rPr>
                <w:noProof/>
                <w:sz w:val="18"/>
                <w:szCs w:val="18"/>
                <w:lang w:val="it-CH"/>
              </w:rPr>
            </w:pPr>
          </w:p>
        </w:tc>
        <w:tc>
          <w:tcPr>
            <w:tcW w:w="720" w:type="dxa"/>
            <w:tcBorders>
              <w:bottom w:val="single" w:sz="12" w:space="0" w:color="auto"/>
            </w:tcBorders>
          </w:tcPr>
          <w:p>
            <w:pPr>
              <w:ind w:right="-29"/>
              <w:jc w:val="center"/>
              <w:rPr>
                <w:noProof/>
                <w:sz w:val="18"/>
                <w:szCs w:val="18"/>
                <w:lang w:val="it-CH"/>
              </w:rPr>
            </w:pPr>
            <w:r>
              <w:rPr>
                <w:noProof/>
                <w:sz w:val="18"/>
                <w:szCs w:val="18"/>
                <w:lang w:val="it-CH"/>
              </w:rPr>
              <w:t>5</w:t>
            </w:r>
          </w:p>
        </w:tc>
        <w:tc>
          <w:tcPr>
            <w:tcW w:w="900" w:type="dxa"/>
            <w:tcBorders>
              <w:bottom w:val="single" w:sz="12" w:space="0" w:color="auto"/>
            </w:tcBorders>
          </w:tcPr>
          <w:p>
            <w:pPr>
              <w:ind w:right="-29"/>
              <w:jc w:val="center"/>
              <w:rPr>
                <w:noProof/>
                <w:sz w:val="18"/>
                <w:szCs w:val="18"/>
                <w:lang w:val="it-CH"/>
              </w:rPr>
            </w:pPr>
            <w:r>
              <w:rPr>
                <w:noProof/>
                <w:sz w:val="18"/>
                <w:szCs w:val="18"/>
                <w:lang w:val="it-CH"/>
              </w:rPr>
              <w:t>3,100</w:t>
            </w:r>
          </w:p>
        </w:tc>
      </w:tr>
      <w:tr>
        <w:trPr>
          <w:jc w:val="center"/>
        </w:trPr>
        <w:tc>
          <w:tcPr>
            <w:tcW w:w="2844" w:type="dxa"/>
            <w:gridSpan w:val="3"/>
            <w:vAlign w:val="center"/>
          </w:tcPr>
          <w:p>
            <w:pPr>
              <w:spacing w:before="60" w:after="60"/>
              <w:ind w:right="-29"/>
              <w:jc w:val="center"/>
              <w:rPr>
                <w:noProof/>
                <w:sz w:val="18"/>
                <w:szCs w:val="18"/>
                <w:lang w:val="it-CH"/>
              </w:rPr>
            </w:pPr>
            <w:r>
              <w:rPr>
                <w:noProof/>
                <w:sz w:val="18"/>
                <w:lang w:val="it-CH"/>
              </w:rPr>
              <w:t>OBIETTIVO SPECIFICO 2</w:t>
            </w:r>
          </w:p>
        </w:tc>
        <w:tc>
          <w:tcPr>
            <w:tcW w:w="504" w:type="dxa"/>
            <w:tcBorders>
              <w:top w:val="nil"/>
              <w:left w:val="nil"/>
              <w:bottom w:val="nil"/>
              <w:right w:val="nil"/>
            </w:tcBorders>
          </w:tcPr>
          <w:p>
            <w:pPr>
              <w:spacing w:before="60" w:after="60"/>
              <w:ind w:right="-29"/>
              <w:jc w:val="center"/>
              <w:rPr>
                <w:noProof/>
                <w:sz w:val="18"/>
                <w:szCs w:val="18"/>
                <w:lang w:val="it-CH"/>
              </w:rPr>
            </w:pPr>
          </w:p>
        </w:tc>
        <w:tc>
          <w:tcPr>
            <w:tcW w:w="720" w:type="dxa"/>
            <w:tcBorders>
              <w:top w:val="nil"/>
              <w:left w:val="nil"/>
              <w:bottom w:val="nil"/>
              <w:right w:val="nil"/>
            </w:tcBorders>
          </w:tcPr>
          <w:p>
            <w:pPr>
              <w:spacing w:before="60" w:after="60"/>
              <w:ind w:right="-29"/>
              <w:jc w:val="center"/>
              <w:rPr>
                <w:noProof/>
                <w:sz w:val="18"/>
                <w:szCs w:val="18"/>
                <w:lang w:val="it-CH"/>
              </w:rPr>
            </w:pPr>
          </w:p>
        </w:tc>
        <w:tc>
          <w:tcPr>
            <w:tcW w:w="540" w:type="dxa"/>
            <w:tcBorders>
              <w:top w:val="nil"/>
              <w:left w:val="nil"/>
              <w:bottom w:val="nil"/>
              <w:right w:val="nil"/>
            </w:tcBorders>
          </w:tcPr>
          <w:p>
            <w:pPr>
              <w:spacing w:before="60" w:after="60"/>
              <w:ind w:right="-29"/>
              <w:jc w:val="center"/>
              <w:rPr>
                <w:noProof/>
                <w:sz w:val="18"/>
                <w:szCs w:val="18"/>
                <w:lang w:val="it-CH"/>
              </w:rPr>
            </w:pPr>
          </w:p>
        </w:tc>
        <w:tc>
          <w:tcPr>
            <w:tcW w:w="720" w:type="dxa"/>
            <w:tcBorders>
              <w:top w:val="nil"/>
              <w:left w:val="nil"/>
              <w:bottom w:val="nil"/>
              <w:right w:val="nil"/>
            </w:tcBorders>
          </w:tcPr>
          <w:p>
            <w:pPr>
              <w:spacing w:before="60" w:after="60"/>
              <w:ind w:right="-29"/>
              <w:jc w:val="center"/>
              <w:rPr>
                <w:noProof/>
                <w:sz w:val="18"/>
                <w:szCs w:val="18"/>
                <w:lang w:val="it-CH"/>
              </w:rPr>
            </w:pPr>
          </w:p>
        </w:tc>
        <w:tc>
          <w:tcPr>
            <w:tcW w:w="720" w:type="dxa"/>
            <w:tcBorders>
              <w:top w:val="nil"/>
              <w:left w:val="nil"/>
              <w:bottom w:val="nil"/>
              <w:right w:val="nil"/>
            </w:tcBorders>
          </w:tcPr>
          <w:p>
            <w:pPr>
              <w:spacing w:before="60" w:after="60"/>
              <w:ind w:right="-29"/>
              <w:jc w:val="center"/>
              <w:rPr>
                <w:noProof/>
                <w:sz w:val="18"/>
                <w:szCs w:val="18"/>
                <w:lang w:val="it-CH"/>
              </w:rPr>
            </w:pPr>
          </w:p>
        </w:tc>
        <w:tc>
          <w:tcPr>
            <w:tcW w:w="720" w:type="dxa"/>
            <w:tcBorders>
              <w:top w:val="nil"/>
              <w:left w:val="nil"/>
              <w:bottom w:val="nil"/>
              <w:right w:val="nil"/>
            </w:tcBorders>
          </w:tcPr>
          <w:p>
            <w:pPr>
              <w:spacing w:before="60" w:after="60"/>
              <w:ind w:right="-29"/>
              <w:jc w:val="center"/>
              <w:rPr>
                <w:noProof/>
                <w:sz w:val="18"/>
                <w:szCs w:val="18"/>
                <w:lang w:val="it-CH"/>
              </w:rPr>
            </w:pPr>
          </w:p>
        </w:tc>
        <w:tc>
          <w:tcPr>
            <w:tcW w:w="915" w:type="dxa"/>
            <w:tcBorders>
              <w:top w:val="nil"/>
              <w:left w:val="nil"/>
              <w:bottom w:val="nil"/>
              <w:right w:val="nil"/>
            </w:tcBorders>
          </w:tcPr>
          <w:p>
            <w:pPr>
              <w:spacing w:before="60" w:after="60"/>
              <w:ind w:right="-29"/>
              <w:jc w:val="center"/>
              <w:rPr>
                <w:noProof/>
                <w:sz w:val="18"/>
                <w:szCs w:val="18"/>
                <w:lang w:val="it-CH"/>
              </w:rPr>
            </w:pPr>
          </w:p>
        </w:tc>
        <w:tc>
          <w:tcPr>
            <w:tcW w:w="705" w:type="dxa"/>
            <w:tcBorders>
              <w:top w:val="nil"/>
              <w:left w:val="nil"/>
              <w:bottom w:val="nil"/>
              <w:right w:val="nil"/>
            </w:tcBorders>
          </w:tcPr>
          <w:p>
            <w:pPr>
              <w:spacing w:before="60" w:after="60"/>
              <w:ind w:right="-29"/>
              <w:jc w:val="center"/>
              <w:rPr>
                <w:noProof/>
                <w:sz w:val="18"/>
                <w:szCs w:val="18"/>
                <w:lang w:val="it-CH"/>
              </w:rPr>
            </w:pPr>
          </w:p>
        </w:tc>
        <w:tc>
          <w:tcPr>
            <w:tcW w:w="540" w:type="dxa"/>
            <w:tcBorders>
              <w:top w:val="nil"/>
              <w:left w:val="nil"/>
              <w:bottom w:val="nil"/>
              <w:right w:val="nil"/>
            </w:tcBorders>
          </w:tcPr>
          <w:p>
            <w:pPr>
              <w:spacing w:before="60" w:after="60"/>
              <w:ind w:right="-29"/>
              <w:jc w:val="center"/>
              <w:rPr>
                <w:noProof/>
                <w:sz w:val="18"/>
                <w:szCs w:val="18"/>
                <w:lang w:val="it-CH"/>
              </w:rPr>
            </w:pPr>
          </w:p>
        </w:tc>
        <w:tc>
          <w:tcPr>
            <w:tcW w:w="648" w:type="dxa"/>
            <w:tcBorders>
              <w:top w:val="nil"/>
              <w:left w:val="nil"/>
              <w:bottom w:val="nil"/>
              <w:right w:val="nil"/>
            </w:tcBorders>
          </w:tcPr>
          <w:p>
            <w:pPr>
              <w:spacing w:before="60" w:after="60"/>
              <w:ind w:right="-29"/>
              <w:jc w:val="center"/>
              <w:rPr>
                <w:noProof/>
                <w:sz w:val="18"/>
                <w:szCs w:val="18"/>
                <w:lang w:val="it-CH"/>
              </w:rPr>
            </w:pPr>
          </w:p>
        </w:tc>
        <w:tc>
          <w:tcPr>
            <w:tcW w:w="432" w:type="dxa"/>
            <w:tcBorders>
              <w:top w:val="nil"/>
              <w:left w:val="nil"/>
              <w:bottom w:val="nil"/>
              <w:right w:val="nil"/>
            </w:tcBorders>
          </w:tcPr>
          <w:p>
            <w:pPr>
              <w:spacing w:before="60" w:after="60"/>
              <w:ind w:right="-29"/>
              <w:jc w:val="center"/>
              <w:rPr>
                <w:noProof/>
                <w:sz w:val="18"/>
                <w:szCs w:val="18"/>
                <w:lang w:val="it-CH"/>
              </w:rPr>
            </w:pPr>
          </w:p>
        </w:tc>
        <w:tc>
          <w:tcPr>
            <w:tcW w:w="720" w:type="dxa"/>
            <w:tcBorders>
              <w:top w:val="nil"/>
              <w:left w:val="nil"/>
              <w:bottom w:val="nil"/>
              <w:right w:val="nil"/>
            </w:tcBorders>
          </w:tcPr>
          <w:p>
            <w:pPr>
              <w:spacing w:before="60" w:after="60"/>
              <w:ind w:right="-29"/>
              <w:jc w:val="center"/>
              <w:rPr>
                <w:noProof/>
                <w:sz w:val="18"/>
                <w:szCs w:val="18"/>
                <w:lang w:val="it-CH"/>
              </w:rPr>
            </w:pPr>
          </w:p>
        </w:tc>
        <w:tc>
          <w:tcPr>
            <w:tcW w:w="540" w:type="dxa"/>
            <w:tcBorders>
              <w:top w:val="nil"/>
              <w:left w:val="nil"/>
              <w:bottom w:val="nil"/>
              <w:right w:val="nil"/>
            </w:tcBorders>
          </w:tcPr>
          <w:p>
            <w:pPr>
              <w:spacing w:before="60" w:after="60"/>
              <w:ind w:right="-29"/>
              <w:jc w:val="center"/>
              <w:rPr>
                <w:noProof/>
                <w:sz w:val="18"/>
                <w:szCs w:val="18"/>
                <w:lang w:val="it-CH"/>
              </w:rPr>
            </w:pPr>
          </w:p>
        </w:tc>
        <w:tc>
          <w:tcPr>
            <w:tcW w:w="720" w:type="dxa"/>
            <w:tcBorders>
              <w:top w:val="nil"/>
              <w:left w:val="nil"/>
              <w:bottom w:val="nil"/>
              <w:right w:val="nil"/>
            </w:tcBorders>
          </w:tcPr>
          <w:p>
            <w:pPr>
              <w:spacing w:before="60" w:after="60"/>
              <w:ind w:right="-29"/>
              <w:jc w:val="center"/>
              <w:rPr>
                <w:noProof/>
                <w:sz w:val="18"/>
                <w:szCs w:val="18"/>
                <w:lang w:val="it-CH"/>
              </w:rPr>
            </w:pPr>
          </w:p>
        </w:tc>
        <w:tc>
          <w:tcPr>
            <w:tcW w:w="720" w:type="dxa"/>
            <w:tcBorders>
              <w:top w:val="nil"/>
              <w:left w:val="nil"/>
              <w:bottom w:val="nil"/>
              <w:right w:val="nil"/>
            </w:tcBorders>
          </w:tcPr>
          <w:p>
            <w:pPr>
              <w:spacing w:before="60" w:after="60"/>
              <w:ind w:right="-29"/>
              <w:jc w:val="center"/>
              <w:rPr>
                <w:noProof/>
                <w:sz w:val="18"/>
                <w:szCs w:val="18"/>
                <w:lang w:val="it-CH"/>
              </w:rPr>
            </w:pPr>
          </w:p>
        </w:tc>
        <w:tc>
          <w:tcPr>
            <w:tcW w:w="900" w:type="dxa"/>
            <w:tcBorders>
              <w:top w:val="nil"/>
              <w:left w:val="nil"/>
              <w:bottom w:val="nil"/>
              <w:right w:val="nil"/>
            </w:tcBorders>
          </w:tcPr>
          <w:p>
            <w:pPr>
              <w:spacing w:before="60" w:after="60"/>
              <w:ind w:right="-29"/>
              <w:jc w:val="center"/>
              <w:rPr>
                <w:noProof/>
                <w:sz w:val="18"/>
                <w:szCs w:val="18"/>
                <w:lang w:val="it-CH"/>
              </w:rPr>
            </w:pPr>
          </w:p>
        </w:tc>
      </w:tr>
      <w:tr>
        <w:trPr>
          <w:trHeight w:hRule="exact" w:val="369"/>
          <w:jc w:val="center"/>
        </w:trPr>
        <w:tc>
          <w:tcPr>
            <w:tcW w:w="1423" w:type="dxa"/>
          </w:tcPr>
          <w:p>
            <w:pPr>
              <w:ind w:right="-29"/>
              <w:jc w:val="center"/>
              <w:rPr>
                <w:noProof/>
                <w:sz w:val="18"/>
                <w:szCs w:val="18"/>
                <w:lang w:val="it-CH"/>
              </w:rPr>
            </w:pPr>
            <w:r>
              <w:rPr>
                <w:noProof/>
                <w:sz w:val="18"/>
                <w:lang w:val="it-CH"/>
              </w:rPr>
              <w:t>Risultato</w:t>
            </w:r>
          </w:p>
        </w:tc>
        <w:tc>
          <w:tcPr>
            <w:tcW w:w="720" w:type="dxa"/>
          </w:tcPr>
          <w:p>
            <w:pPr>
              <w:ind w:right="-29"/>
              <w:jc w:val="center"/>
              <w:rPr>
                <w:noProof/>
                <w:sz w:val="18"/>
                <w:szCs w:val="18"/>
                <w:lang w:val="it-CH"/>
              </w:rPr>
            </w:pPr>
          </w:p>
        </w:tc>
        <w:tc>
          <w:tcPr>
            <w:tcW w:w="701" w:type="dxa"/>
          </w:tcPr>
          <w:p>
            <w:pPr>
              <w:ind w:right="-29"/>
              <w:jc w:val="center"/>
              <w:rPr>
                <w:noProof/>
                <w:sz w:val="18"/>
                <w:szCs w:val="18"/>
                <w:lang w:val="it-CH"/>
              </w:rPr>
            </w:pPr>
          </w:p>
        </w:tc>
        <w:tc>
          <w:tcPr>
            <w:tcW w:w="504" w:type="dxa"/>
          </w:tcPr>
          <w:p>
            <w:pPr>
              <w:ind w:right="-29"/>
              <w:jc w:val="center"/>
              <w:rPr>
                <w:noProof/>
                <w:sz w:val="18"/>
                <w:szCs w:val="18"/>
                <w:lang w:val="it-CH"/>
              </w:rPr>
            </w:pPr>
          </w:p>
        </w:tc>
        <w:tc>
          <w:tcPr>
            <w:tcW w:w="720" w:type="dxa"/>
          </w:tcPr>
          <w:p>
            <w:pPr>
              <w:ind w:right="-29"/>
              <w:jc w:val="center"/>
              <w:rPr>
                <w:noProof/>
                <w:sz w:val="18"/>
                <w:szCs w:val="18"/>
                <w:lang w:val="it-CH"/>
              </w:rPr>
            </w:pPr>
          </w:p>
        </w:tc>
        <w:tc>
          <w:tcPr>
            <w:tcW w:w="540" w:type="dxa"/>
          </w:tcPr>
          <w:p>
            <w:pPr>
              <w:ind w:right="-29"/>
              <w:jc w:val="center"/>
              <w:rPr>
                <w:noProof/>
                <w:sz w:val="18"/>
                <w:szCs w:val="18"/>
                <w:lang w:val="it-CH"/>
              </w:rPr>
            </w:pPr>
          </w:p>
        </w:tc>
        <w:tc>
          <w:tcPr>
            <w:tcW w:w="720" w:type="dxa"/>
          </w:tcPr>
          <w:p>
            <w:pPr>
              <w:ind w:right="-29"/>
              <w:jc w:val="center"/>
              <w:rPr>
                <w:noProof/>
                <w:sz w:val="18"/>
                <w:szCs w:val="18"/>
                <w:lang w:val="it-CH"/>
              </w:rPr>
            </w:pPr>
          </w:p>
        </w:tc>
        <w:tc>
          <w:tcPr>
            <w:tcW w:w="720" w:type="dxa"/>
          </w:tcPr>
          <w:p>
            <w:pPr>
              <w:ind w:right="-29"/>
              <w:jc w:val="center"/>
              <w:rPr>
                <w:noProof/>
                <w:sz w:val="18"/>
                <w:szCs w:val="18"/>
                <w:lang w:val="it-CH"/>
              </w:rPr>
            </w:pPr>
          </w:p>
        </w:tc>
        <w:tc>
          <w:tcPr>
            <w:tcW w:w="720" w:type="dxa"/>
          </w:tcPr>
          <w:p>
            <w:pPr>
              <w:ind w:right="-29"/>
              <w:jc w:val="center"/>
              <w:rPr>
                <w:noProof/>
                <w:sz w:val="18"/>
                <w:szCs w:val="18"/>
                <w:lang w:val="it-CH"/>
              </w:rPr>
            </w:pPr>
          </w:p>
        </w:tc>
        <w:tc>
          <w:tcPr>
            <w:tcW w:w="915" w:type="dxa"/>
          </w:tcPr>
          <w:p>
            <w:pPr>
              <w:ind w:right="-29"/>
              <w:jc w:val="center"/>
              <w:rPr>
                <w:noProof/>
                <w:sz w:val="18"/>
                <w:szCs w:val="18"/>
                <w:lang w:val="it-CH"/>
              </w:rPr>
            </w:pPr>
          </w:p>
        </w:tc>
        <w:tc>
          <w:tcPr>
            <w:tcW w:w="705" w:type="dxa"/>
          </w:tcPr>
          <w:p>
            <w:pPr>
              <w:ind w:right="-29"/>
              <w:jc w:val="center"/>
              <w:rPr>
                <w:noProof/>
                <w:sz w:val="18"/>
                <w:szCs w:val="18"/>
                <w:lang w:val="it-CH"/>
              </w:rPr>
            </w:pPr>
          </w:p>
        </w:tc>
        <w:tc>
          <w:tcPr>
            <w:tcW w:w="540" w:type="dxa"/>
          </w:tcPr>
          <w:p>
            <w:pPr>
              <w:ind w:right="-29"/>
              <w:jc w:val="center"/>
              <w:rPr>
                <w:noProof/>
                <w:sz w:val="18"/>
                <w:szCs w:val="18"/>
                <w:lang w:val="it-CH"/>
              </w:rPr>
            </w:pPr>
          </w:p>
        </w:tc>
        <w:tc>
          <w:tcPr>
            <w:tcW w:w="648" w:type="dxa"/>
          </w:tcPr>
          <w:p>
            <w:pPr>
              <w:ind w:right="-29"/>
              <w:jc w:val="center"/>
              <w:rPr>
                <w:noProof/>
                <w:sz w:val="18"/>
                <w:szCs w:val="18"/>
                <w:lang w:val="it-CH"/>
              </w:rPr>
            </w:pPr>
          </w:p>
        </w:tc>
        <w:tc>
          <w:tcPr>
            <w:tcW w:w="432" w:type="dxa"/>
          </w:tcPr>
          <w:p>
            <w:pPr>
              <w:ind w:right="-29"/>
              <w:jc w:val="center"/>
              <w:rPr>
                <w:noProof/>
                <w:sz w:val="18"/>
                <w:szCs w:val="18"/>
                <w:lang w:val="it-CH"/>
              </w:rPr>
            </w:pPr>
          </w:p>
        </w:tc>
        <w:tc>
          <w:tcPr>
            <w:tcW w:w="720" w:type="dxa"/>
          </w:tcPr>
          <w:p>
            <w:pPr>
              <w:ind w:right="-29"/>
              <w:jc w:val="center"/>
              <w:rPr>
                <w:noProof/>
                <w:sz w:val="18"/>
                <w:szCs w:val="18"/>
                <w:lang w:val="it-CH"/>
              </w:rPr>
            </w:pPr>
          </w:p>
        </w:tc>
        <w:tc>
          <w:tcPr>
            <w:tcW w:w="540" w:type="dxa"/>
          </w:tcPr>
          <w:p>
            <w:pPr>
              <w:ind w:right="-29"/>
              <w:jc w:val="center"/>
              <w:rPr>
                <w:noProof/>
                <w:sz w:val="18"/>
                <w:szCs w:val="18"/>
                <w:lang w:val="it-CH"/>
              </w:rPr>
            </w:pPr>
          </w:p>
        </w:tc>
        <w:tc>
          <w:tcPr>
            <w:tcW w:w="720" w:type="dxa"/>
          </w:tcPr>
          <w:p>
            <w:pPr>
              <w:ind w:right="-29"/>
              <w:jc w:val="center"/>
              <w:rPr>
                <w:noProof/>
                <w:sz w:val="18"/>
                <w:szCs w:val="18"/>
                <w:lang w:val="it-CH"/>
              </w:rPr>
            </w:pPr>
          </w:p>
        </w:tc>
        <w:tc>
          <w:tcPr>
            <w:tcW w:w="720" w:type="dxa"/>
          </w:tcPr>
          <w:p>
            <w:pPr>
              <w:ind w:right="-29"/>
              <w:jc w:val="center"/>
              <w:rPr>
                <w:noProof/>
                <w:sz w:val="18"/>
                <w:szCs w:val="18"/>
                <w:lang w:val="it-CH"/>
              </w:rPr>
            </w:pPr>
          </w:p>
        </w:tc>
        <w:tc>
          <w:tcPr>
            <w:tcW w:w="900" w:type="dxa"/>
          </w:tcPr>
          <w:p>
            <w:pPr>
              <w:ind w:right="-29"/>
              <w:jc w:val="center"/>
              <w:rPr>
                <w:noProof/>
                <w:sz w:val="18"/>
                <w:szCs w:val="18"/>
                <w:lang w:val="it-CH"/>
              </w:rPr>
            </w:pPr>
          </w:p>
        </w:tc>
      </w:tr>
      <w:tr>
        <w:trPr>
          <w:jc w:val="center"/>
        </w:trPr>
        <w:tc>
          <w:tcPr>
            <w:tcW w:w="2844" w:type="dxa"/>
            <w:gridSpan w:val="3"/>
            <w:tcBorders>
              <w:bottom w:val="single" w:sz="12" w:space="0" w:color="auto"/>
            </w:tcBorders>
            <w:vAlign w:val="center"/>
          </w:tcPr>
          <w:p>
            <w:pPr>
              <w:jc w:val="center"/>
              <w:rPr>
                <w:noProof/>
                <w:sz w:val="18"/>
                <w:szCs w:val="18"/>
                <w:lang w:val="it-CH"/>
              </w:rPr>
            </w:pPr>
            <w:r>
              <w:rPr>
                <w:noProof/>
                <w:sz w:val="18"/>
                <w:lang w:val="it-CH"/>
              </w:rPr>
              <w:t>Totale parziale dell'obiettivo specifico 2</w:t>
            </w:r>
          </w:p>
        </w:tc>
        <w:tc>
          <w:tcPr>
            <w:tcW w:w="504" w:type="dxa"/>
            <w:tcBorders>
              <w:bottom w:val="single" w:sz="12" w:space="0" w:color="auto"/>
            </w:tcBorders>
          </w:tcPr>
          <w:p>
            <w:pPr>
              <w:ind w:right="-29"/>
              <w:jc w:val="center"/>
              <w:rPr>
                <w:noProof/>
                <w:sz w:val="18"/>
                <w:szCs w:val="18"/>
                <w:lang w:val="it-CH"/>
              </w:rPr>
            </w:pPr>
          </w:p>
        </w:tc>
        <w:tc>
          <w:tcPr>
            <w:tcW w:w="720" w:type="dxa"/>
            <w:tcBorders>
              <w:bottom w:val="single" w:sz="12" w:space="0" w:color="auto"/>
            </w:tcBorders>
          </w:tcPr>
          <w:p>
            <w:pPr>
              <w:ind w:right="-29"/>
              <w:jc w:val="center"/>
              <w:rPr>
                <w:noProof/>
                <w:sz w:val="18"/>
                <w:szCs w:val="18"/>
                <w:lang w:val="it-CH"/>
              </w:rPr>
            </w:pPr>
          </w:p>
        </w:tc>
        <w:tc>
          <w:tcPr>
            <w:tcW w:w="540" w:type="dxa"/>
            <w:tcBorders>
              <w:bottom w:val="single" w:sz="12" w:space="0" w:color="auto"/>
            </w:tcBorders>
          </w:tcPr>
          <w:p>
            <w:pPr>
              <w:ind w:right="-29"/>
              <w:jc w:val="center"/>
              <w:rPr>
                <w:noProof/>
                <w:sz w:val="18"/>
                <w:szCs w:val="18"/>
                <w:lang w:val="it-CH"/>
              </w:rPr>
            </w:pPr>
          </w:p>
        </w:tc>
        <w:tc>
          <w:tcPr>
            <w:tcW w:w="720" w:type="dxa"/>
            <w:tcBorders>
              <w:bottom w:val="single" w:sz="12" w:space="0" w:color="auto"/>
            </w:tcBorders>
          </w:tcPr>
          <w:p>
            <w:pPr>
              <w:ind w:right="-29"/>
              <w:jc w:val="center"/>
              <w:rPr>
                <w:noProof/>
                <w:sz w:val="18"/>
                <w:szCs w:val="18"/>
                <w:lang w:val="it-CH"/>
              </w:rPr>
            </w:pPr>
          </w:p>
        </w:tc>
        <w:tc>
          <w:tcPr>
            <w:tcW w:w="720" w:type="dxa"/>
            <w:tcBorders>
              <w:bottom w:val="single" w:sz="12" w:space="0" w:color="auto"/>
            </w:tcBorders>
          </w:tcPr>
          <w:p>
            <w:pPr>
              <w:ind w:right="-29"/>
              <w:jc w:val="center"/>
              <w:rPr>
                <w:noProof/>
                <w:sz w:val="18"/>
                <w:szCs w:val="18"/>
                <w:lang w:val="it-CH"/>
              </w:rPr>
            </w:pPr>
          </w:p>
        </w:tc>
        <w:tc>
          <w:tcPr>
            <w:tcW w:w="720" w:type="dxa"/>
            <w:tcBorders>
              <w:bottom w:val="single" w:sz="12" w:space="0" w:color="auto"/>
            </w:tcBorders>
          </w:tcPr>
          <w:p>
            <w:pPr>
              <w:ind w:right="-29"/>
              <w:jc w:val="center"/>
              <w:rPr>
                <w:noProof/>
                <w:sz w:val="18"/>
                <w:szCs w:val="18"/>
                <w:lang w:val="it-CH"/>
              </w:rPr>
            </w:pPr>
          </w:p>
        </w:tc>
        <w:tc>
          <w:tcPr>
            <w:tcW w:w="915" w:type="dxa"/>
            <w:tcBorders>
              <w:bottom w:val="single" w:sz="12" w:space="0" w:color="auto"/>
            </w:tcBorders>
          </w:tcPr>
          <w:p>
            <w:pPr>
              <w:ind w:right="-29"/>
              <w:jc w:val="center"/>
              <w:rPr>
                <w:noProof/>
                <w:sz w:val="18"/>
                <w:szCs w:val="18"/>
                <w:lang w:val="it-CH"/>
              </w:rPr>
            </w:pPr>
          </w:p>
        </w:tc>
        <w:tc>
          <w:tcPr>
            <w:tcW w:w="705" w:type="dxa"/>
            <w:tcBorders>
              <w:bottom w:val="single" w:sz="12" w:space="0" w:color="auto"/>
            </w:tcBorders>
          </w:tcPr>
          <w:p>
            <w:pPr>
              <w:ind w:right="-29"/>
              <w:jc w:val="center"/>
              <w:rPr>
                <w:noProof/>
                <w:sz w:val="18"/>
                <w:szCs w:val="18"/>
                <w:lang w:val="it-CH"/>
              </w:rPr>
            </w:pPr>
          </w:p>
        </w:tc>
        <w:tc>
          <w:tcPr>
            <w:tcW w:w="540" w:type="dxa"/>
            <w:tcBorders>
              <w:bottom w:val="single" w:sz="12" w:space="0" w:color="auto"/>
            </w:tcBorders>
          </w:tcPr>
          <w:p>
            <w:pPr>
              <w:ind w:right="-29"/>
              <w:jc w:val="center"/>
              <w:rPr>
                <w:noProof/>
                <w:sz w:val="18"/>
                <w:szCs w:val="18"/>
                <w:lang w:val="it-CH"/>
              </w:rPr>
            </w:pPr>
          </w:p>
        </w:tc>
        <w:tc>
          <w:tcPr>
            <w:tcW w:w="648" w:type="dxa"/>
            <w:tcBorders>
              <w:bottom w:val="single" w:sz="12" w:space="0" w:color="auto"/>
            </w:tcBorders>
          </w:tcPr>
          <w:p>
            <w:pPr>
              <w:ind w:right="-29"/>
              <w:jc w:val="center"/>
              <w:rPr>
                <w:noProof/>
                <w:sz w:val="18"/>
                <w:szCs w:val="18"/>
                <w:lang w:val="it-CH"/>
              </w:rPr>
            </w:pPr>
          </w:p>
        </w:tc>
        <w:tc>
          <w:tcPr>
            <w:tcW w:w="432" w:type="dxa"/>
            <w:tcBorders>
              <w:bottom w:val="single" w:sz="12" w:space="0" w:color="auto"/>
            </w:tcBorders>
          </w:tcPr>
          <w:p>
            <w:pPr>
              <w:ind w:right="-29"/>
              <w:jc w:val="center"/>
              <w:rPr>
                <w:noProof/>
                <w:sz w:val="18"/>
                <w:szCs w:val="18"/>
                <w:lang w:val="it-CH"/>
              </w:rPr>
            </w:pPr>
          </w:p>
        </w:tc>
        <w:tc>
          <w:tcPr>
            <w:tcW w:w="720" w:type="dxa"/>
            <w:tcBorders>
              <w:bottom w:val="single" w:sz="12" w:space="0" w:color="auto"/>
            </w:tcBorders>
          </w:tcPr>
          <w:p>
            <w:pPr>
              <w:ind w:right="-29"/>
              <w:jc w:val="center"/>
              <w:rPr>
                <w:noProof/>
                <w:sz w:val="18"/>
                <w:szCs w:val="18"/>
                <w:lang w:val="it-CH"/>
              </w:rPr>
            </w:pPr>
          </w:p>
        </w:tc>
        <w:tc>
          <w:tcPr>
            <w:tcW w:w="540" w:type="dxa"/>
            <w:tcBorders>
              <w:bottom w:val="single" w:sz="12" w:space="0" w:color="auto"/>
            </w:tcBorders>
          </w:tcPr>
          <w:p>
            <w:pPr>
              <w:ind w:right="-29"/>
              <w:jc w:val="center"/>
              <w:rPr>
                <w:noProof/>
                <w:sz w:val="18"/>
                <w:szCs w:val="18"/>
                <w:lang w:val="it-CH"/>
              </w:rPr>
            </w:pPr>
          </w:p>
        </w:tc>
        <w:tc>
          <w:tcPr>
            <w:tcW w:w="720" w:type="dxa"/>
            <w:tcBorders>
              <w:bottom w:val="single" w:sz="12" w:space="0" w:color="auto"/>
            </w:tcBorders>
          </w:tcPr>
          <w:p>
            <w:pPr>
              <w:ind w:right="-29"/>
              <w:jc w:val="center"/>
              <w:rPr>
                <w:noProof/>
                <w:sz w:val="18"/>
                <w:szCs w:val="18"/>
                <w:lang w:val="it-CH"/>
              </w:rPr>
            </w:pPr>
          </w:p>
        </w:tc>
        <w:tc>
          <w:tcPr>
            <w:tcW w:w="720" w:type="dxa"/>
            <w:tcBorders>
              <w:bottom w:val="single" w:sz="12" w:space="0" w:color="auto"/>
            </w:tcBorders>
          </w:tcPr>
          <w:p>
            <w:pPr>
              <w:ind w:right="-29"/>
              <w:jc w:val="center"/>
              <w:rPr>
                <w:noProof/>
                <w:sz w:val="18"/>
                <w:szCs w:val="18"/>
                <w:lang w:val="it-CH"/>
              </w:rPr>
            </w:pPr>
          </w:p>
        </w:tc>
        <w:tc>
          <w:tcPr>
            <w:tcW w:w="900" w:type="dxa"/>
            <w:tcBorders>
              <w:bottom w:val="single" w:sz="12" w:space="0" w:color="auto"/>
            </w:tcBorders>
          </w:tcPr>
          <w:p>
            <w:pPr>
              <w:ind w:right="-29"/>
              <w:jc w:val="center"/>
              <w:rPr>
                <w:noProof/>
                <w:sz w:val="18"/>
                <w:szCs w:val="18"/>
                <w:lang w:val="it-CH"/>
              </w:rPr>
            </w:pP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szCs w:val="18"/>
                <w:lang w:val="it-CH"/>
              </w:rPr>
            </w:pPr>
            <w:r>
              <w:rPr>
                <w:b/>
                <w:noProof/>
                <w:sz w:val="18"/>
                <w:lang w:val="it-CH"/>
              </w:rPr>
              <w:t>COSTO TOTALE</w:t>
            </w:r>
          </w:p>
        </w:tc>
        <w:tc>
          <w:tcPr>
            <w:tcW w:w="504" w:type="dxa"/>
            <w:tcBorders>
              <w:top w:val="single" w:sz="12" w:space="0" w:color="auto"/>
              <w:bottom w:val="single" w:sz="12" w:space="0" w:color="auto"/>
            </w:tcBorders>
          </w:tcPr>
          <w:p>
            <w:pPr>
              <w:spacing w:before="180" w:after="180"/>
              <w:ind w:right="-29"/>
              <w:jc w:val="center"/>
              <w:rPr>
                <w:noProof/>
                <w:sz w:val="18"/>
                <w:szCs w:val="18"/>
                <w:lang w:val="it-CH"/>
              </w:rPr>
            </w:pPr>
          </w:p>
        </w:tc>
        <w:tc>
          <w:tcPr>
            <w:tcW w:w="720" w:type="dxa"/>
            <w:tcBorders>
              <w:top w:val="single" w:sz="12" w:space="0" w:color="auto"/>
              <w:bottom w:val="single" w:sz="12" w:space="0" w:color="auto"/>
            </w:tcBorders>
          </w:tcPr>
          <w:p>
            <w:pPr>
              <w:spacing w:before="180" w:after="180"/>
              <w:ind w:right="-29"/>
              <w:jc w:val="center"/>
              <w:rPr>
                <w:noProof/>
                <w:sz w:val="18"/>
                <w:szCs w:val="18"/>
                <w:lang w:val="it-CH"/>
              </w:rPr>
            </w:pPr>
          </w:p>
        </w:tc>
        <w:tc>
          <w:tcPr>
            <w:tcW w:w="540" w:type="dxa"/>
            <w:tcBorders>
              <w:top w:val="single" w:sz="12" w:space="0" w:color="auto"/>
              <w:bottom w:val="single" w:sz="12" w:space="0" w:color="auto"/>
            </w:tcBorders>
          </w:tcPr>
          <w:p>
            <w:pPr>
              <w:spacing w:before="180" w:after="180"/>
              <w:ind w:right="-29"/>
              <w:jc w:val="center"/>
              <w:rPr>
                <w:noProof/>
                <w:sz w:val="18"/>
                <w:szCs w:val="18"/>
                <w:lang w:val="it-CH"/>
              </w:rPr>
            </w:pPr>
          </w:p>
        </w:tc>
        <w:tc>
          <w:tcPr>
            <w:tcW w:w="720" w:type="dxa"/>
            <w:tcBorders>
              <w:top w:val="single" w:sz="12" w:space="0" w:color="auto"/>
              <w:bottom w:val="single" w:sz="12" w:space="0" w:color="auto"/>
            </w:tcBorders>
          </w:tcPr>
          <w:p>
            <w:pPr>
              <w:spacing w:before="180" w:after="180"/>
              <w:ind w:right="-29"/>
              <w:jc w:val="center"/>
              <w:rPr>
                <w:noProof/>
                <w:sz w:val="18"/>
                <w:szCs w:val="18"/>
                <w:lang w:val="it-CH"/>
              </w:rPr>
            </w:pPr>
          </w:p>
        </w:tc>
        <w:tc>
          <w:tcPr>
            <w:tcW w:w="720" w:type="dxa"/>
            <w:tcBorders>
              <w:top w:val="single" w:sz="12" w:space="0" w:color="auto"/>
              <w:bottom w:val="single" w:sz="12" w:space="0" w:color="auto"/>
            </w:tcBorders>
          </w:tcPr>
          <w:p>
            <w:pPr>
              <w:spacing w:before="180" w:after="180"/>
              <w:ind w:right="-29"/>
              <w:jc w:val="center"/>
              <w:rPr>
                <w:noProof/>
                <w:sz w:val="18"/>
                <w:szCs w:val="18"/>
                <w:lang w:val="it-CH"/>
              </w:rPr>
            </w:pPr>
            <w:r>
              <w:rPr>
                <w:noProof/>
                <w:sz w:val="18"/>
                <w:szCs w:val="18"/>
                <w:lang w:val="it-CH"/>
              </w:rPr>
              <w:t>2</w:t>
            </w:r>
          </w:p>
        </w:tc>
        <w:tc>
          <w:tcPr>
            <w:tcW w:w="720" w:type="dxa"/>
            <w:tcBorders>
              <w:top w:val="single" w:sz="12" w:space="0" w:color="auto"/>
              <w:bottom w:val="single" w:sz="12" w:space="0" w:color="auto"/>
            </w:tcBorders>
          </w:tcPr>
          <w:p>
            <w:pPr>
              <w:spacing w:before="180" w:after="180"/>
              <w:ind w:right="-29"/>
              <w:jc w:val="center"/>
              <w:rPr>
                <w:noProof/>
                <w:sz w:val="18"/>
                <w:szCs w:val="18"/>
                <w:lang w:val="it-CH"/>
              </w:rPr>
            </w:pPr>
            <w:r>
              <w:rPr>
                <w:noProof/>
                <w:sz w:val="18"/>
                <w:szCs w:val="18"/>
                <w:lang w:val="it-CH"/>
              </w:rPr>
              <w:t>1,100</w:t>
            </w:r>
          </w:p>
        </w:tc>
        <w:tc>
          <w:tcPr>
            <w:tcW w:w="915" w:type="dxa"/>
            <w:tcBorders>
              <w:top w:val="single" w:sz="12" w:space="0" w:color="auto"/>
              <w:bottom w:val="single" w:sz="12" w:space="0" w:color="auto"/>
            </w:tcBorders>
          </w:tcPr>
          <w:p>
            <w:pPr>
              <w:spacing w:before="180" w:after="180"/>
              <w:ind w:right="-29"/>
              <w:jc w:val="center"/>
              <w:rPr>
                <w:noProof/>
                <w:sz w:val="18"/>
                <w:szCs w:val="18"/>
                <w:lang w:val="it-CH"/>
              </w:rPr>
            </w:pPr>
            <w:r>
              <w:rPr>
                <w:noProof/>
                <w:sz w:val="18"/>
                <w:szCs w:val="18"/>
                <w:lang w:val="it-CH"/>
              </w:rPr>
              <w:t>1</w:t>
            </w:r>
          </w:p>
        </w:tc>
        <w:tc>
          <w:tcPr>
            <w:tcW w:w="705" w:type="dxa"/>
            <w:tcBorders>
              <w:top w:val="single" w:sz="12" w:space="0" w:color="auto"/>
              <w:bottom w:val="single" w:sz="12" w:space="0" w:color="auto"/>
            </w:tcBorders>
          </w:tcPr>
          <w:p>
            <w:pPr>
              <w:spacing w:before="180" w:after="180"/>
              <w:ind w:right="-29"/>
              <w:jc w:val="center"/>
              <w:rPr>
                <w:noProof/>
                <w:sz w:val="18"/>
                <w:szCs w:val="18"/>
                <w:lang w:val="it-CH"/>
              </w:rPr>
            </w:pPr>
            <w:r>
              <w:rPr>
                <w:noProof/>
                <w:sz w:val="18"/>
                <w:szCs w:val="18"/>
                <w:lang w:val="it-CH"/>
              </w:rPr>
              <w:t>0,200</w:t>
            </w:r>
          </w:p>
        </w:tc>
        <w:tc>
          <w:tcPr>
            <w:tcW w:w="540" w:type="dxa"/>
            <w:tcBorders>
              <w:top w:val="single" w:sz="12" w:space="0" w:color="auto"/>
              <w:bottom w:val="single" w:sz="12" w:space="0" w:color="auto"/>
            </w:tcBorders>
          </w:tcPr>
          <w:p>
            <w:pPr>
              <w:spacing w:before="180" w:after="180"/>
              <w:ind w:right="-29"/>
              <w:jc w:val="center"/>
              <w:rPr>
                <w:noProof/>
                <w:sz w:val="18"/>
                <w:szCs w:val="18"/>
                <w:lang w:val="it-CH"/>
              </w:rPr>
            </w:pPr>
          </w:p>
        </w:tc>
        <w:tc>
          <w:tcPr>
            <w:tcW w:w="648" w:type="dxa"/>
            <w:tcBorders>
              <w:top w:val="single" w:sz="12" w:space="0" w:color="auto"/>
              <w:bottom w:val="single" w:sz="12" w:space="0" w:color="auto"/>
            </w:tcBorders>
          </w:tcPr>
          <w:p>
            <w:pPr>
              <w:spacing w:before="180" w:after="180"/>
              <w:ind w:right="-29"/>
              <w:jc w:val="center"/>
              <w:rPr>
                <w:noProof/>
                <w:sz w:val="18"/>
                <w:szCs w:val="18"/>
                <w:lang w:val="it-CH"/>
              </w:rPr>
            </w:pPr>
          </w:p>
        </w:tc>
        <w:tc>
          <w:tcPr>
            <w:tcW w:w="432" w:type="dxa"/>
            <w:tcBorders>
              <w:top w:val="single" w:sz="12" w:space="0" w:color="auto"/>
              <w:bottom w:val="single" w:sz="12" w:space="0" w:color="auto"/>
            </w:tcBorders>
          </w:tcPr>
          <w:p>
            <w:pPr>
              <w:spacing w:before="180" w:after="180"/>
              <w:ind w:right="-29"/>
              <w:jc w:val="center"/>
              <w:rPr>
                <w:noProof/>
                <w:sz w:val="18"/>
                <w:szCs w:val="18"/>
                <w:lang w:val="it-CH"/>
              </w:rPr>
            </w:pPr>
          </w:p>
        </w:tc>
        <w:tc>
          <w:tcPr>
            <w:tcW w:w="720" w:type="dxa"/>
            <w:tcBorders>
              <w:top w:val="single" w:sz="12" w:space="0" w:color="auto"/>
              <w:bottom w:val="single" w:sz="12" w:space="0" w:color="auto"/>
            </w:tcBorders>
          </w:tcPr>
          <w:p>
            <w:pPr>
              <w:spacing w:before="180" w:after="180"/>
              <w:ind w:right="-29"/>
              <w:jc w:val="center"/>
              <w:rPr>
                <w:noProof/>
                <w:sz w:val="18"/>
                <w:szCs w:val="18"/>
                <w:lang w:val="it-CH"/>
              </w:rPr>
            </w:pPr>
          </w:p>
        </w:tc>
        <w:tc>
          <w:tcPr>
            <w:tcW w:w="540" w:type="dxa"/>
            <w:tcBorders>
              <w:top w:val="single" w:sz="12" w:space="0" w:color="auto"/>
              <w:bottom w:val="single" w:sz="12" w:space="0" w:color="auto"/>
            </w:tcBorders>
          </w:tcPr>
          <w:p>
            <w:pPr>
              <w:spacing w:before="180" w:after="180"/>
              <w:ind w:right="-29"/>
              <w:jc w:val="center"/>
              <w:rPr>
                <w:noProof/>
                <w:sz w:val="18"/>
                <w:szCs w:val="18"/>
                <w:lang w:val="it-CH"/>
              </w:rPr>
            </w:pPr>
          </w:p>
        </w:tc>
        <w:tc>
          <w:tcPr>
            <w:tcW w:w="720" w:type="dxa"/>
            <w:tcBorders>
              <w:top w:val="single" w:sz="12" w:space="0" w:color="auto"/>
              <w:bottom w:val="single" w:sz="12" w:space="0" w:color="auto"/>
            </w:tcBorders>
          </w:tcPr>
          <w:p>
            <w:pPr>
              <w:spacing w:before="180" w:after="180"/>
              <w:ind w:right="-29"/>
              <w:jc w:val="center"/>
              <w:rPr>
                <w:noProof/>
                <w:sz w:val="18"/>
                <w:szCs w:val="18"/>
                <w:lang w:val="it-CH"/>
              </w:rPr>
            </w:pPr>
          </w:p>
        </w:tc>
        <w:tc>
          <w:tcPr>
            <w:tcW w:w="720" w:type="dxa"/>
            <w:tcBorders>
              <w:top w:val="single" w:sz="12" w:space="0" w:color="auto"/>
              <w:bottom w:val="single" w:sz="12" w:space="0" w:color="auto"/>
            </w:tcBorders>
          </w:tcPr>
          <w:p>
            <w:pPr>
              <w:spacing w:before="180" w:after="180"/>
              <w:ind w:right="-29"/>
              <w:jc w:val="center"/>
              <w:rPr>
                <w:noProof/>
                <w:sz w:val="18"/>
                <w:szCs w:val="18"/>
                <w:lang w:val="it-CH"/>
              </w:rPr>
            </w:pPr>
            <w:r>
              <w:rPr>
                <w:noProof/>
                <w:sz w:val="18"/>
                <w:lang w:val="it-CH"/>
              </w:rPr>
              <w:t>3</w:t>
            </w:r>
          </w:p>
        </w:tc>
        <w:tc>
          <w:tcPr>
            <w:tcW w:w="900" w:type="dxa"/>
            <w:tcBorders>
              <w:top w:val="single" w:sz="12" w:space="0" w:color="auto"/>
              <w:bottom w:val="single" w:sz="12" w:space="0" w:color="auto"/>
              <w:right w:val="single" w:sz="12" w:space="0" w:color="auto"/>
            </w:tcBorders>
          </w:tcPr>
          <w:p>
            <w:pPr>
              <w:spacing w:before="180" w:after="180"/>
              <w:ind w:right="-29"/>
              <w:jc w:val="center"/>
              <w:rPr>
                <w:noProof/>
                <w:sz w:val="18"/>
                <w:szCs w:val="18"/>
                <w:lang w:val="it-CH"/>
              </w:rPr>
            </w:pPr>
            <w:r>
              <w:rPr>
                <w:noProof/>
                <w:sz w:val="18"/>
                <w:lang w:val="it-CH"/>
              </w:rPr>
              <w:t>1,300</w:t>
            </w:r>
          </w:p>
        </w:tc>
      </w:tr>
    </w:tbl>
    <w:p>
      <w:pPr>
        <w:rPr>
          <w:noProof/>
          <w:lang w:val="it-CH"/>
        </w:rPr>
        <w:sectPr>
          <w:pgSz w:w="16840" w:h="11907" w:orient="landscape" w:code="9"/>
          <w:pgMar w:top="1134" w:right="1418" w:bottom="567" w:left="1418" w:header="709" w:footer="709" w:gutter="0"/>
          <w:cols w:space="708"/>
          <w:docGrid w:linePitch="360"/>
        </w:sectPr>
      </w:pPr>
    </w:p>
    <w:p>
      <w:pPr>
        <w:pStyle w:val="ManualHeading3"/>
        <w:rPr>
          <w:bCs/>
          <w:noProof/>
          <w:szCs w:val="24"/>
          <w:lang w:val="it-CH"/>
        </w:rPr>
      </w:pPr>
      <w:r>
        <w:rPr>
          <w:noProof/>
          <w:lang w:val="it-CH"/>
        </w:rPr>
        <w:t>3.2.3.</w:t>
      </w:r>
      <w:r>
        <w:rPr>
          <w:noProof/>
          <w:lang w:val="it-CH"/>
        </w:rPr>
        <w:tab/>
        <w:t>Incidenza prevista sugli stanziamenti di natura amministrativa</w:t>
      </w:r>
    </w:p>
    <w:p>
      <w:pPr>
        <w:pStyle w:val="ManualHeading4"/>
        <w:rPr>
          <w:noProof/>
          <w:lang w:val="it-CH"/>
        </w:rPr>
      </w:pPr>
      <w:r>
        <w:rPr>
          <w:noProof/>
          <w:lang w:val="it-CH"/>
        </w:rPr>
        <w:t>3.2.3.1.</w:t>
      </w:r>
      <w:r>
        <w:rPr>
          <w:noProof/>
          <w:lang w:val="it-CH"/>
        </w:rPr>
        <w:tab/>
        <w:t xml:space="preserve">Sintesi </w:t>
      </w:r>
    </w:p>
    <w:p>
      <w:pPr>
        <w:pStyle w:val="ListDash1"/>
        <w:rPr>
          <w:noProof/>
          <w:lang w:val="it-CH"/>
        </w:rPr>
      </w:pPr>
      <w:r>
        <w:rPr>
          <w:noProof/>
          <w:lang w:val="it-CH"/>
        </w:rPr>
        <w:sym w:font="Wingdings" w:char="F0A8"/>
      </w:r>
      <w:r>
        <w:rPr>
          <w:noProof/>
          <w:lang w:val="it-CH"/>
        </w:rPr>
        <w:tab/>
        <w:t xml:space="preserve">La proposta/iniziativa non comporta l'utilizzo di stanziamenti di natura amministrativa. </w:t>
      </w:r>
    </w:p>
    <w:p>
      <w:pPr>
        <w:pStyle w:val="ListDash1"/>
        <w:rPr>
          <w:noProof/>
          <w:lang w:val="it-CH"/>
        </w:rPr>
      </w:pPr>
      <w:r>
        <w:rPr>
          <w:noProof/>
          <w:lang w:val="it-CH"/>
        </w:rPr>
        <w:t>X La proposta/iniziativa comporta l'utilizzo di stanziamenti di natura amministrativa, come spiegato di seguito:</w:t>
      </w:r>
    </w:p>
    <w:p>
      <w:pPr>
        <w:rPr>
          <w:noProof/>
          <w:sz w:val="20"/>
          <w:lang w:val="it-CH"/>
        </w:rPr>
      </w:pPr>
      <w:r>
        <w:rPr>
          <w:noProof/>
          <w:sz w:val="20"/>
          <w:lang w:val="it-CH"/>
        </w:rPr>
        <w:t>Mio EUR (al terzo decimale)</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line="200" w:lineRule="exact"/>
              <w:rPr>
                <w:noProof/>
                <w:sz w:val="16"/>
                <w:szCs w:val="16"/>
                <w:lang w:val="it-CH"/>
              </w:rPr>
            </w:pPr>
          </w:p>
        </w:tc>
        <w:tc>
          <w:tcPr>
            <w:tcW w:w="1080" w:type="dxa"/>
            <w:vAlign w:val="center"/>
          </w:tcPr>
          <w:p>
            <w:pPr>
              <w:spacing w:before="60" w:after="60" w:line="200" w:lineRule="exact"/>
              <w:jc w:val="center"/>
              <w:rPr>
                <w:noProof/>
                <w:sz w:val="16"/>
                <w:szCs w:val="16"/>
                <w:lang w:val="it-CH"/>
              </w:rPr>
            </w:pPr>
            <w:r>
              <w:rPr>
                <w:noProof/>
                <w:sz w:val="16"/>
                <w:lang w:val="it-CH"/>
              </w:rPr>
              <w:t>Anno</w:t>
            </w:r>
            <w:r>
              <w:rPr>
                <w:noProof/>
                <w:sz w:val="22"/>
                <w:lang w:val="it-CH"/>
              </w:rPr>
              <w:br/>
            </w:r>
            <w:r>
              <w:rPr>
                <w:b/>
                <w:noProof/>
                <w:sz w:val="16"/>
                <w:lang w:val="it-CH"/>
              </w:rPr>
              <w:t>2017</w:t>
            </w:r>
          </w:p>
        </w:tc>
        <w:tc>
          <w:tcPr>
            <w:tcW w:w="1080" w:type="dxa"/>
            <w:vAlign w:val="center"/>
          </w:tcPr>
          <w:p>
            <w:pPr>
              <w:spacing w:before="60" w:after="60" w:line="200" w:lineRule="exact"/>
              <w:jc w:val="center"/>
              <w:rPr>
                <w:noProof/>
                <w:sz w:val="16"/>
                <w:szCs w:val="16"/>
                <w:lang w:val="it-CH"/>
              </w:rPr>
            </w:pPr>
            <w:r>
              <w:rPr>
                <w:noProof/>
                <w:sz w:val="16"/>
                <w:lang w:val="it-CH"/>
              </w:rPr>
              <w:t>Anno</w:t>
            </w:r>
            <w:r>
              <w:rPr>
                <w:noProof/>
                <w:sz w:val="22"/>
                <w:lang w:val="it-CH"/>
              </w:rPr>
              <w:br/>
            </w:r>
            <w:r>
              <w:rPr>
                <w:b/>
                <w:noProof/>
                <w:sz w:val="16"/>
                <w:lang w:val="it-CH"/>
              </w:rPr>
              <w:t>2018</w:t>
            </w:r>
          </w:p>
        </w:tc>
        <w:tc>
          <w:tcPr>
            <w:tcW w:w="1080" w:type="dxa"/>
            <w:vAlign w:val="center"/>
          </w:tcPr>
          <w:p>
            <w:pPr>
              <w:spacing w:before="60" w:after="60" w:line="200" w:lineRule="exact"/>
              <w:jc w:val="center"/>
              <w:rPr>
                <w:noProof/>
                <w:sz w:val="16"/>
                <w:szCs w:val="16"/>
                <w:lang w:val="it-CH"/>
              </w:rPr>
            </w:pPr>
            <w:r>
              <w:rPr>
                <w:noProof/>
                <w:sz w:val="16"/>
                <w:lang w:val="it-CH"/>
              </w:rPr>
              <w:t>Anno</w:t>
            </w:r>
            <w:r>
              <w:rPr>
                <w:noProof/>
                <w:sz w:val="22"/>
                <w:lang w:val="it-CH"/>
              </w:rPr>
              <w:br/>
            </w:r>
            <w:r>
              <w:rPr>
                <w:b/>
                <w:noProof/>
                <w:sz w:val="16"/>
                <w:lang w:val="it-CH"/>
              </w:rPr>
              <w:t>2019</w:t>
            </w:r>
          </w:p>
        </w:tc>
        <w:tc>
          <w:tcPr>
            <w:tcW w:w="1080" w:type="dxa"/>
            <w:vAlign w:val="center"/>
          </w:tcPr>
          <w:p>
            <w:pPr>
              <w:spacing w:before="60" w:after="60" w:line="200" w:lineRule="exact"/>
              <w:jc w:val="center"/>
              <w:rPr>
                <w:noProof/>
                <w:sz w:val="16"/>
                <w:szCs w:val="16"/>
                <w:lang w:val="it-CH"/>
              </w:rPr>
            </w:pPr>
            <w:r>
              <w:rPr>
                <w:noProof/>
                <w:sz w:val="16"/>
                <w:lang w:val="it-CH"/>
              </w:rPr>
              <w:t>Anno</w:t>
            </w:r>
            <w:r>
              <w:rPr>
                <w:noProof/>
                <w:sz w:val="22"/>
                <w:lang w:val="it-CH"/>
              </w:rPr>
              <w:br/>
            </w:r>
            <w:r>
              <w:rPr>
                <w:b/>
                <w:noProof/>
                <w:sz w:val="16"/>
                <w:lang w:val="it-CH"/>
              </w:rPr>
              <w:t>2020</w:t>
            </w:r>
          </w:p>
        </w:tc>
        <w:tc>
          <w:tcPr>
            <w:tcW w:w="3240" w:type="dxa"/>
            <w:vAlign w:val="center"/>
          </w:tcPr>
          <w:p>
            <w:pPr>
              <w:spacing w:line="200" w:lineRule="exact"/>
              <w:jc w:val="center"/>
              <w:rPr>
                <w:b/>
                <w:noProof/>
                <w:sz w:val="16"/>
                <w:szCs w:val="16"/>
                <w:lang w:val="it-CH"/>
              </w:rPr>
            </w:pPr>
          </w:p>
        </w:tc>
        <w:tc>
          <w:tcPr>
            <w:tcW w:w="1080" w:type="dxa"/>
            <w:vAlign w:val="center"/>
          </w:tcPr>
          <w:p>
            <w:pPr>
              <w:spacing w:before="60" w:after="60" w:line="200" w:lineRule="exact"/>
              <w:jc w:val="center"/>
              <w:rPr>
                <w:b/>
                <w:noProof/>
                <w:sz w:val="16"/>
                <w:szCs w:val="16"/>
                <w:lang w:val="it-CH"/>
              </w:rPr>
            </w:pPr>
            <w:r>
              <w:rPr>
                <w:b/>
                <w:noProof/>
                <w:sz w:val="16"/>
                <w:lang w:val="it-CH"/>
              </w:rPr>
              <w:t>TOTALE</w:t>
            </w:r>
          </w:p>
        </w:tc>
      </w:tr>
    </w:tbl>
    <w:p>
      <w:pPr>
        <w:spacing w:line="200" w:lineRule="exact"/>
        <w:rPr>
          <w:noProof/>
          <w:sz w:val="16"/>
          <w:szCs w:val="16"/>
          <w:lang w:val="it-CH"/>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lang w:val="it-CH"/>
              </w:rPr>
            </w:pPr>
            <w:r>
              <w:rPr>
                <w:b/>
                <w:noProof/>
                <w:sz w:val="16"/>
                <w:szCs w:val="16"/>
                <w:lang w:val="it-CH"/>
              </w:rPr>
              <w:t>RUBRICA 5</w:t>
            </w:r>
            <w:r>
              <w:rPr>
                <w:noProof/>
                <w:sz w:val="22"/>
                <w:lang w:val="it-CH"/>
              </w:rPr>
              <w:br/>
            </w:r>
            <w:r>
              <w:rPr>
                <w:b/>
                <w:noProof/>
                <w:sz w:val="16"/>
                <w:szCs w:val="16"/>
                <w:lang w:val="it-CH"/>
              </w:rPr>
              <w:t>del quadro finanziario pluriennale</w:t>
            </w:r>
          </w:p>
        </w:tc>
        <w:tc>
          <w:tcPr>
            <w:tcW w:w="1080" w:type="dxa"/>
            <w:vAlign w:val="center"/>
          </w:tcPr>
          <w:p>
            <w:pPr>
              <w:spacing w:before="60" w:after="60" w:line="200" w:lineRule="exact"/>
              <w:jc w:val="right"/>
              <w:rPr>
                <w:noProof/>
                <w:sz w:val="16"/>
                <w:szCs w:val="16"/>
                <w:lang w:val="it-CH"/>
              </w:rPr>
            </w:pPr>
          </w:p>
        </w:tc>
        <w:tc>
          <w:tcPr>
            <w:tcW w:w="1080" w:type="dxa"/>
            <w:vAlign w:val="center"/>
          </w:tcPr>
          <w:p>
            <w:pPr>
              <w:spacing w:before="60" w:after="60" w:line="200" w:lineRule="exact"/>
              <w:jc w:val="right"/>
              <w:rPr>
                <w:noProof/>
                <w:sz w:val="16"/>
                <w:szCs w:val="16"/>
                <w:lang w:val="it-CH"/>
              </w:rPr>
            </w:pPr>
          </w:p>
        </w:tc>
        <w:tc>
          <w:tcPr>
            <w:tcW w:w="1080" w:type="dxa"/>
            <w:vAlign w:val="center"/>
          </w:tcPr>
          <w:p>
            <w:pPr>
              <w:spacing w:before="60" w:after="60" w:line="200" w:lineRule="exact"/>
              <w:jc w:val="right"/>
              <w:rPr>
                <w:noProof/>
                <w:sz w:val="16"/>
                <w:szCs w:val="16"/>
                <w:lang w:val="it-CH"/>
              </w:rPr>
            </w:pPr>
          </w:p>
        </w:tc>
        <w:tc>
          <w:tcPr>
            <w:tcW w:w="1080" w:type="dxa"/>
            <w:vAlign w:val="center"/>
          </w:tcPr>
          <w:p>
            <w:pPr>
              <w:spacing w:before="60" w:after="60" w:line="200" w:lineRule="exact"/>
              <w:jc w:val="right"/>
              <w:rPr>
                <w:noProof/>
                <w:sz w:val="16"/>
                <w:szCs w:val="16"/>
                <w:lang w:val="it-CH"/>
              </w:rPr>
            </w:pPr>
          </w:p>
        </w:tc>
        <w:tc>
          <w:tcPr>
            <w:tcW w:w="1080" w:type="dxa"/>
            <w:vAlign w:val="center"/>
          </w:tcPr>
          <w:p>
            <w:pPr>
              <w:spacing w:before="60" w:after="60" w:line="200" w:lineRule="exact"/>
              <w:jc w:val="right"/>
              <w:rPr>
                <w:noProof/>
                <w:sz w:val="16"/>
                <w:szCs w:val="16"/>
                <w:lang w:val="it-CH"/>
              </w:rPr>
            </w:pPr>
          </w:p>
        </w:tc>
        <w:tc>
          <w:tcPr>
            <w:tcW w:w="1080" w:type="dxa"/>
            <w:vAlign w:val="center"/>
          </w:tcPr>
          <w:p>
            <w:pPr>
              <w:spacing w:before="60" w:after="60" w:line="200" w:lineRule="exact"/>
              <w:jc w:val="right"/>
              <w:rPr>
                <w:noProof/>
                <w:sz w:val="16"/>
                <w:szCs w:val="16"/>
                <w:lang w:val="it-CH"/>
              </w:rPr>
            </w:pPr>
          </w:p>
        </w:tc>
        <w:tc>
          <w:tcPr>
            <w:tcW w:w="1080" w:type="dxa"/>
            <w:vAlign w:val="center"/>
          </w:tcPr>
          <w:p>
            <w:pPr>
              <w:spacing w:before="60" w:after="60" w:line="200" w:lineRule="exact"/>
              <w:jc w:val="right"/>
              <w:rPr>
                <w:b/>
                <w:noProof/>
                <w:sz w:val="16"/>
                <w:szCs w:val="16"/>
                <w:lang w:val="it-CH"/>
              </w:rPr>
            </w:pPr>
          </w:p>
        </w:tc>
        <w:tc>
          <w:tcPr>
            <w:tcW w:w="1080" w:type="dxa"/>
            <w:vAlign w:val="center"/>
          </w:tcPr>
          <w:p>
            <w:pPr>
              <w:spacing w:before="60" w:after="60" w:line="200" w:lineRule="exact"/>
              <w:jc w:val="right"/>
              <w:rPr>
                <w:b/>
                <w:noProof/>
                <w:sz w:val="16"/>
                <w:szCs w:val="16"/>
                <w:lang w:val="it-CH"/>
              </w:rPr>
            </w:pPr>
          </w:p>
        </w:tc>
      </w:tr>
      <w:tr>
        <w:trPr>
          <w:trHeight w:val="585"/>
        </w:trPr>
        <w:tc>
          <w:tcPr>
            <w:tcW w:w="1980" w:type="dxa"/>
            <w:vAlign w:val="center"/>
          </w:tcPr>
          <w:p>
            <w:pPr>
              <w:spacing w:before="60" w:after="60" w:line="200" w:lineRule="exact"/>
              <w:ind w:left="72"/>
              <w:jc w:val="left"/>
              <w:rPr>
                <w:noProof/>
                <w:sz w:val="16"/>
                <w:szCs w:val="16"/>
                <w:lang w:val="it-CH"/>
              </w:rPr>
            </w:pPr>
            <w:r>
              <w:rPr>
                <w:noProof/>
                <w:sz w:val="16"/>
                <w:lang w:val="it-CH"/>
              </w:rPr>
              <w:t xml:space="preserve">Risorse umane </w:t>
            </w:r>
          </w:p>
        </w:tc>
        <w:tc>
          <w:tcPr>
            <w:tcW w:w="1080" w:type="dxa"/>
            <w:vAlign w:val="center"/>
          </w:tcPr>
          <w:p>
            <w:pPr>
              <w:spacing w:before="60" w:after="60" w:line="200" w:lineRule="exact"/>
              <w:jc w:val="right"/>
              <w:rPr>
                <w:noProof/>
                <w:sz w:val="16"/>
                <w:szCs w:val="16"/>
                <w:lang w:val="it-CH"/>
              </w:rPr>
            </w:pPr>
            <w:r>
              <w:rPr>
                <w:noProof/>
                <w:sz w:val="16"/>
                <w:lang w:val="it-CH"/>
              </w:rPr>
              <w:t>0,402</w:t>
            </w:r>
          </w:p>
        </w:tc>
        <w:tc>
          <w:tcPr>
            <w:tcW w:w="1080" w:type="dxa"/>
            <w:vAlign w:val="center"/>
          </w:tcPr>
          <w:p>
            <w:pPr>
              <w:spacing w:before="60" w:after="60" w:line="200" w:lineRule="exact"/>
              <w:jc w:val="right"/>
              <w:rPr>
                <w:noProof/>
                <w:sz w:val="16"/>
                <w:szCs w:val="16"/>
                <w:lang w:val="it-CH"/>
              </w:rPr>
            </w:pPr>
            <w:r>
              <w:rPr>
                <w:noProof/>
                <w:sz w:val="16"/>
                <w:lang w:val="it-CH"/>
              </w:rPr>
              <w:t>0,402</w:t>
            </w:r>
          </w:p>
        </w:tc>
        <w:tc>
          <w:tcPr>
            <w:tcW w:w="1080" w:type="dxa"/>
            <w:vAlign w:val="center"/>
          </w:tcPr>
          <w:p>
            <w:pPr>
              <w:spacing w:before="60" w:after="60" w:line="200" w:lineRule="exact"/>
              <w:jc w:val="right"/>
              <w:rPr>
                <w:noProof/>
                <w:sz w:val="16"/>
                <w:szCs w:val="16"/>
                <w:lang w:val="it-CH"/>
              </w:rPr>
            </w:pPr>
            <w:r>
              <w:rPr>
                <w:noProof/>
                <w:sz w:val="16"/>
                <w:lang w:val="it-CH"/>
              </w:rPr>
              <w:t>0,606</w:t>
            </w:r>
          </w:p>
        </w:tc>
        <w:tc>
          <w:tcPr>
            <w:tcW w:w="1080" w:type="dxa"/>
            <w:vAlign w:val="center"/>
          </w:tcPr>
          <w:p>
            <w:pPr>
              <w:spacing w:before="60" w:after="60" w:line="200" w:lineRule="exact"/>
              <w:jc w:val="right"/>
              <w:rPr>
                <w:noProof/>
                <w:sz w:val="16"/>
                <w:szCs w:val="16"/>
                <w:lang w:val="it-CH"/>
              </w:rPr>
            </w:pPr>
            <w:r>
              <w:rPr>
                <w:noProof/>
                <w:sz w:val="16"/>
                <w:lang w:val="it-CH"/>
              </w:rPr>
              <w:t>0,606</w:t>
            </w:r>
          </w:p>
        </w:tc>
        <w:tc>
          <w:tcPr>
            <w:tcW w:w="1080" w:type="dxa"/>
            <w:vAlign w:val="center"/>
          </w:tcPr>
          <w:p>
            <w:pPr>
              <w:spacing w:before="60" w:after="60" w:line="200" w:lineRule="exact"/>
              <w:jc w:val="right"/>
              <w:rPr>
                <w:noProof/>
                <w:sz w:val="16"/>
                <w:szCs w:val="16"/>
                <w:lang w:val="it-CH"/>
              </w:rPr>
            </w:pPr>
          </w:p>
        </w:tc>
        <w:tc>
          <w:tcPr>
            <w:tcW w:w="1080" w:type="dxa"/>
            <w:vAlign w:val="center"/>
          </w:tcPr>
          <w:p>
            <w:pPr>
              <w:spacing w:before="60" w:after="60" w:line="200" w:lineRule="exact"/>
              <w:jc w:val="right"/>
              <w:rPr>
                <w:noProof/>
                <w:sz w:val="16"/>
                <w:szCs w:val="16"/>
                <w:lang w:val="it-CH"/>
              </w:rPr>
            </w:pPr>
          </w:p>
        </w:tc>
        <w:tc>
          <w:tcPr>
            <w:tcW w:w="1080" w:type="dxa"/>
            <w:vAlign w:val="center"/>
          </w:tcPr>
          <w:p>
            <w:pPr>
              <w:spacing w:before="60" w:after="60" w:line="200" w:lineRule="exact"/>
              <w:jc w:val="right"/>
              <w:rPr>
                <w:b/>
                <w:noProof/>
                <w:sz w:val="16"/>
                <w:szCs w:val="16"/>
                <w:lang w:val="it-CH"/>
              </w:rPr>
            </w:pPr>
          </w:p>
        </w:tc>
        <w:tc>
          <w:tcPr>
            <w:tcW w:w="1080" w:type="dxa"/>
            <w:vAlign w:val="center"/>
          </w:tcPr>
          <w:p>
            <w:pPr>
              <w:spacing w:before="60" w:after="60" w:line="200" w:lineRule="exact"/>
              <w:jc w:val="right"/>
              <w:rPr>
                <w:b/>
                <w:noProof/>
                <w:sz w:val="16"/>
                <w:szCs w:val="16"/>
                <w:lang w:val="it-CH"/>
              </w:rPr>
            </w:pPr>
            <w:r>
              <w:rPr>
                <w:b/>
                <w:noProof/>
                <w:sz w:val="16"/>
                <w:lang w:val="it-CH"/>
              </w:rPr>
              <w:t>2,016</w:t>
            </w:r>
          </w:p>
        </w:tc>
      </w:tr>
      <w:tr>
        <w:trPr>
          <w:trHeight w:val="585"/>
        </w:trPr>
        <w:tc>
          <w:tcPr>
            <w:tcW w:w="1980" w:type="dxa"/>
            <w:vAlign w:val="center"/>
          </w:tcPr>
          <w:p>
            <w:pPr>
              <w:spacing w:before="60" w:after="60" w:line="200" w:lineRule="exact"/>
              <w:ind w:left="72"/>
              <w:jc w:val="left"/>
              <w:rPr>
                <w:noProof/>
                <w:sz w:val="16"/>
                <w:szCs w:val="16"/>
                <w:lang w:val="it-CH"/>
              </w:rPr>
            </w:pPr>
            <w:r>
              <w:rPr>
                <w:noProof/>
                <w:sz w:val="16"/>
                <w:lang w:val="it-CH"/>
              </w:rPr>
              <w:t xml:space="preserve">Altre spese amministrative </w:t>
            </w:r>
          </w:p>
        </w:tc>
        <w:tc>
          <w:tcPr>
            <w:tcW w:w="1080" w:type="dxa"/>
            <w:vAlign w:val="center"/>
          </w:tcPr>
          <w:p>
            <w:pPr>
              <w:spacing w:before="60" w:after="60" w:line="200" w:lineRule="exact"/>
              <w:jc w:val="right"/>
              <w:rPr>
                <w:noProof/>
                <w:sz w:val="16"/>
                <w:szCs w:val="16"/>
                <w:lang w:val="it-CH"/>
              </w:rPr>
            </w:pPr>
          </w:p>
        </w:tc>
        <w:tc>
          <w:tcPr>
            <w:tcW w:w="1080" w:type="dxa"/>
            <w:vAlign w:val="center"/>
          </w:tcPr>
          <w:p>
            <w:pPr>
              <w:spacing w:before="60" w:after="60" w:line="200" w:lineRule="exact"/>
              <w:jc w:val="right"/>
              <w:rPr>
                <w:noProof/>
                <w:sz w:val="16"/>
                <w:szCs w:val="16"/>
                <w:lang w:val="it-CH"/>
              </w:rPr>
            </w:pPr>
          </w:p>
        </w:tc>
        <w:tc>
          <w:tcPr>
            <w:tcW w:w="1080" w:type="dxa"/>
            <w:vAlign w:val="center"/>
          </w:tcPr>
          <w:p>
            <w:pPr>
              <w:spacing w:before="60" w:after="60" w:line="200" w:lineRule="exact"/>
              <w:jc w:val="right"/>
              <w:rPr>
                <w:noProof/>
                <w:sz w:val="16"/>
                <w:szCs w:val="16"/>
                <w:lang w:val="it-CH"/>
              </w:rPr>
            </w:pPr>
            <w:r>
              <w:rPr>
                <w:noProof/>
                <w:sz w:val="16"/>
                <w:lang w:val="it-CH"/>
              </w:rPr>
              <w:t>0,015</w:t>
            </w:r>
          </w:p>
        </w:tc>
        <w:tc>
          <w:tcPr>
            <w:tcW w:w="1080" w:type="dxa"/>
            <w:vAlign w:val="center"/>
          </w:tcPr>
          <w:p>
            <w:pPr>
              <w:spacing w:before="60" w:after="60" w:line="200" w:lineRule="exact"/>
              <w:jc w:val="right"/>
              <w:rPr>
                <w:noProof/>
                <w:sz w:val="16"/>
                <w:szCs w:val="16"/>
                <w:lang w:val="it-CH"/>
              </w:rPr>
            </w:pPr>
            <w:r>
              <w:rPr>
                <w:noProof/>
                <w:sz w:val="16"/>
                <w:lang w:val="it-CH"/>
              </w:rPr>
              <w:t>0,015</w:t>
            </w:r>
          </w:p>
        </w:tc>
        <w:tc>
          <w:tcPr>
            <w:tcW w:w="1080" w:type="dxa"/>
            <w:vAlign w:val="center"/>
          </w:tcPr>
          <w:p>
            <w:pPr>
              <w:spacing w:before="60" w:after="60" w:line="200" w:lineRule="exact"/>
              <w:jc w:val="right"/>
              <w:rPr>
                <w:noProof/>
                <w:sz w:val="16"/>
                <w:szCs w:val="16"/>
                <w:lang w:val="it-CH"/>
              </w:rPr>
            </w:pPr>
          </w:p>
        </w:tc>
        <w:tc>
          <w:tcPr>
            <w:tcW w:w="1080" w:type="dxa"/>
            <w:vAlign w:val="center"/>
          </w:tcPr>
          <w:p>
            <w:pPr>
              <w:spacing w:before="60" w:after="60" w:line="200" w:lineRule="exact"/>
              <w:jc w:val="right"/>
              <w:rPr>
                <w:noProof/>
                <w:sz w:val="16"/>
                <w:szCs w:val="16"/>
                <w:lang w:val="it-CH"/>
              </w:rPr>
            </w:pPr>
          </w:p>
        </w:tc>
        <w:tc>
          <w:tcPr>
            <w:tcW w:w="1080" w:type="dxa"/>
            <w:vAlign w:val="center"/>
          </w:tcPr>
          <w:p>
            <w:pPr>
              <w:spacing w:before="60" w:after="60" w:line="200" w:lineRule="exact"/>
              <w:jc w:val="right"/>
              <w:rPr>
                <w:b/>
                <w:noProof/>
                <w:sz w:val="16"/>
                <w:szCs w:val="16"/>
                <w:lang w:val="it-CH"/>
              </w:rPr>
            </w:pPr>
          </w:p>
        </w:tc>
        <w:tc>
          <w:tcPr>
            <w:tcW w:w="1080" w:type="dxa"/>
            <w:vAlign w:val="center"/>
          </w:tcPr>
          <w:p>
            <w:pPr>
              <w:spacing w:before="60" w:after="60" w:line="200" w:lineRule="exact"/>
              <w:jc w:val="right"/>
              <w:rPr>
                <w:b/>
                <w:noProof/>
                <w:sz w:val="16"/>
                <w:szCs w:val="16"/>
                <w:lang w:val="it-CH"/>
              </w:rPr>
            </w:pPr>
            <w:r>
              <w:rPr>
                <w:b/>
                <w:noProof/>
                <w:sz w:val="16"/>
                <w:lang w:val="it-CH"/>
              </w:rPr>
              <w:t>0,030</w:t>
            </w:r>
          </w:p>
        </w:tc>
      </w:tr>
      <w:tr>
        <w:trPr>
          <w:trHeight w:val="585"/>
        </w:trPr>
        <w:tc>
          <w:tcPr>
            <w:tcW w:w="1980" w:type="dxa"/>
            <w:shd w:val="clear" w:color="auto" w:fill="CCCCCC"/>
            <w:vAlign w:val="center"/>
          </w:tcPr>
          <w:p>
            <w:pPr>
              <w:spacing w:before="60" w:after="60" w:line="200" w:lineRule="exact"/>
              <w:jc w:val="center"/>
              <w:rPr>
                <w:b/>
                <w:noProof/>
                <w:sz w:val="16"/>
                <w:szCs w:val="16"/>
                <w:lang w:val="it-CH"/>
              </w:rPr>
            </w:pPr>
            <w:r>
              <w:rPr>
                <w:b/>
                <w:noProof/>
                <w:sz w:val="16"/>
                <w:szCs w:val="16"/>
                <w:lang w:val="it-CH"/>
              </w:rPr>
              <w:t>Totale parziale della RUBRICA 5</w:t>
            </w:r>
            <w:r>
              <w:rPr>
                <w:noProof/>
                <w:sz w:val="22"/>
                <w:lang w:val="it-CH"/>
              </w:rPr>
              <w:br/>
            </w:r>
            <w:r>
              <w:rPr>
                <w:b/>
                <w:noProof/>
                <w:sz w:val="16"/>
                <w:szCs w:val="16"/>
                <w:lang w:val="it-CH"/>
              </w:rPr>
              <w:t>del quadro finanziario pluriennale</w:t>
            </w:r>
          </w:p>
        </w:tc>
        <w:tc>
          <w:tcPr>
            <w:tcW w:w="1080" w:type="dxa"/>
            <w:vAlign w:val="center"/>
          </w:tcPr>
          <w:p>
            <w:pPr>
              <w:spacing w:before="60" w:after="60" w:line="200" w:lineRule="exact"/>
              <w:jc w:val="right"/>
              <w:rPr>
                <w:noProof/>
                <w:sz w:val="16"/>
                <w:szCs w:val="16"/>
                <w:lang w:val="it-CH"/>
              </w:rPr>
            </w:pPr>
            <w:r>
              <w:rPr>
                <w:noProof/>
                <w:sz w:val="16"/>
                <w:szCs w:val="16"/>
                <w:lang w:val="it-CH"/>
              </w:rPr>
              <w:t>0,402</w:t>
            </w:r>
          </w:p>
        </w:tc>
        <w:tc>
          <w:tcPr>
            <w:tcW w:w="1080" w:type="dxa"/>
            <w:vAlign w:val="center"/>
          </w:tcPr>
          <w:p>
            <w:pPr>
              <w:spacing w:before="60" w:after="60" w:line="200" w:lineRule="exact"/>
              <w:jc w:val="right"/>
              <w:rPr>
                <w:noProof/>
                <w:sz w:val="16"/>
                <w:szCs w:val="16"/>
                <w:lang w:val="it-CH"/>
              </w:rPr>
            </w:pPr>
            <w:r>
              <w:rPr>
                <w:noProof/>
                <w:sz w:val="16"/>
                <w:szCs w:val="16"/>
                <w:lang w:val="it-CH"/>
              </w:rPr>
              <w:t>0,402</w:t>
            </w:r>
          </w:p>
        </w:tc>
        <w:tc>
          <w:tcPr>
            <w:tcW w:w="1080" w:type="dxa"/>
            <w:vAlign w:val="center"/>
          </w:tcPr>
          <w:p>
            <w:pPr>
              <w:spacing w:before="60" w:after="60" w:line="200" w:lineRule="exact"/>
              <w:jc w:val="right"/>
              <w:rPr>
                <w:noProof/>
                <w:sz w:val="16"/>
                <w:szCs w:val="16"/>
                <w:lang w:val="it-CH"/>
              </w:rPr>
            </w:pPr>
            <w:r>
              <w:rPr>
                <w:noProof/>
                <w:sz w:val="16"/>
                <w:szCs w:val="16"/>
                <w:lang w:val="it-CH"/>
              </w:rPr>
              <w:t>0,621</w:t>
            </w:r>
          </w:p>
        </w:tc>
        <w:tc>
          <w:tcPr>
            <w:tcW w:w="1080" w:type="dxa"/>
            <w:vAlign w:val="center"/>
          </w:tcPr>
          <w:p>
            <w:pPr>
              <w:spacing w:before="60" w:after="60" w:line="200" w:lineRule="exact"/>
              <w:jc w:val="right"/>
              <w:rPr>
                <w:noProof/>
                <w:sz w:val="16"/>
                <w:szCs w:val="16"/>
                <w:lang w:val="it-CH"/>
              </w:rPr>
            </w:pPr>
            <w:r>
              <w:rPr>
                <w:noProof/>
                <w:sz w:val="16"/>
                <w:szCs w:val="16"/>
                <w:lang w:val="it-CH"/>
              </w:rPr>
              <w:t>0,621</w:t>
            </w:r>
          </w:p>
        </w:tc>
        <w:tc>
          <w:tcPr>
            <w:tcW w:w="1080" w:type="dxa"/>
            <w:vAlign w:val="center"/>
          </w:tcPr>
          <w:p>
            <w:pPr>
              <w:spacing w:before="60" w:after="60" w:line="200" w:lineRule="exact"/>
              <w:jc w:val="right"/>
              <w:rPr>
                <w:noProof/>
                <w:sz w:val="16"/>
                <w:szCs w:val="16"/>
                <w:lang w:val="it-CH"/>
              </w:rPr>
            </w:pPr>
          </w:p>
        </w:tc>
        <w:tc>
          <w:tcPr>
            <w:tcW w:w="1080" w:type="dxa"/>
            <w:vAlign w:val="center"/>
          </w:tcPr>
          <w:p>
            <w:pPr>
              <w:spacing w:before="60" w:after="60" w:line="200" w:lineRule="exact"/>
              <w:jc w:val="right"/>
              <w:rPr>
                <w:noProof/>
                <w:sz w:val="16"/>
                <w:szCs w:val="16"/>
                <w:lang w:val="it-CH"/>
              </w:rPr>
            </w:pPr>
          </w:p>
        </w:tc>
        <w:tc>
          <w:tcPr>
            <w:tcW w:w="1080" w:type="dxa"/>
            <w:vAlign w:val="center"/>
          </w:tcPr>
          <w:p>
            <w:pPr>
              <w:spacing w:before="60" w:after="60" w:line="200" w:lineRule="exact"/>
              <w:jc w:val="right"/>
              <w:rPr>
                <w:b/>
                <w:noProof/>
                <w:sz w:val="16"/>
                <w:szCs w:val="16"/>
                <w:lang w:val="it-CH"/>
              </w:rPr>
            </w:pPr>
          </w:p>
        </w:tc>
        <w:tc>
          <w:tcPr>
            <w:tcW w:w="1080" w:type="dxa"/>
            <w:vAlign w:val="center"/>
          </w:tcPr>
          <w:p>
            <w:pPr>
              <w:spacing w:before="60" w:after="60" w:line="200" w:lineRule="exact"/>
              <w:jc w:val="right"/>
              <w:rPr>
                <w:b/>
                <w:noProof/>
                <w:sz w:val="16"/>
                <w:szCs w:val="16"/>
                <w:lang w:val="it-CH"/>
              </w:rPr>
            </w:pPr>
            <w:r>
              <w:rPr>
                <w:b/>
                <w:noProof/>
                <w:sz w:val="16"/>
                <w:szCs w:val="16"/>
                <w:lang w:val="it-CH"/>
              </w:rPr>
              <w:t>2,046</w:t>
            </w:r>
          </w:p>
        </w:tc>
      </w:tr>
    </w:tbl>
    <w:p>
      <w:pPr>
        <w:spacing w:line="200" w:lineRule="exact"/>
        <w:rPr>
          <w:noProof/>
          <w:sz w:val="16"/>
          <w:szCs w:val="16"/>
          <w:lang w:val="it-CH"/>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lang w:val="it-CH"/>
              </w:rPr>
            </w:pPr>
            <w:r>
              <w:rPr>
                <w:b/>
                <w:noProof/>
                <w:sz w:val="16"/>
                <w:szCs w:val="16"/>
                <w:lang w:val="it-CH"/>
              </w:rPr>
              <w:t>Esclusa la RUBRICA 5</w:t>
            </w:r>
            <w:r>
              <w:rPr>
                <w:noProof/>
                <w:sz w:val="22"/>
                <w:lang w:val="it-CH"/>
              </w:rPr>
              <w:br/>
            </w:r>
            <w:r>
              <w:rPr>
                <w:b/>
                <w:noProof/>
                <w:sz w:val="16"/>
                <w:szCs w:val="16"/>
                <w:lang w:val="it-CH"/>
              </w:rPr>
              <w:t>del quadro finanziario pluriennale</w:t>
            </w:r>
            <w:r>
              <w:rPr>
                <w:rStyle w:val="FootnoteReference"/>
                <w:b/>
                <w:noProof/>
                <w:sz w:val="16"/>
                <w:szCs w:val="16"/>
                <w:lang w:val="it-CH"/>
              </w:rPr>
              <w:footnoteReference w:id="33"/>
            </w:r>
          </w:p>
          <w:p>
            <w:pPr>
              <w:spacing w:before="0" w:after="0" w:line="200" w:lineRule="exact"/>
              <w:jc w:val="center"/>
              <w:rPr>
                <w:b/>
                <w:noProof/>
                <w:sz w:val="16"/>
                <w:szCs w:val="16"/>
                <w:lang w:val="it-CH"/>
              </w:rPr>
            </w:pPr>
          </w:p>
        </w:tc>
        <w:tc>
          <w:tcPr>
            <w:tcW w:w="1080" w:type="dxa"/>
            <w:vAlign w:val="center"/>
          </w:tcPr>
          <w:p>
            <w:pPr>
              <w:spacing w:before="60" w:after="60" w:line="200" w:lineRule="exact"/>
              <w:jc w:val="right"/>
              <w:rPr>
                <w:noProof/>
                <w:sz w:val="16"/>
                <w:szCs w:val="16"/>
                <w:lang w:val="it-CH"/>
              </w:rPr>
            </w:pPr>
          </w:p>
        </w:tc>
        <w:tc>
          <w:tcPr>
            <w:tcW w:w="1080" w:type="dxa"/>
            <w:vAlign w:val="center"/>
          </w:tcPr>
          <w:p>
            <w:pPr>
              <w:spacing w:before="60" w:after="60" w:line="200" w:lineRule="exact"/>
              <w:jc w:val="right"/>
              <w:rPr>
                <w:noProof/>
                <w:sz w:val="16"/>
                <w:szCs w:val="16"/>
                <w:lang w:val="it-CH"/>
              </w:rPr>
            </w:pPr>
          </w:p>
        </w:tc>
        <w:tc>
          <w:tcPr>
            <w:tcW w:w="1080" w:type="dxa"/>
            <w:vAlign w:val="center"/>
          </w:tcPr>
          <w:p>
            <w:pPr>
              <w:spacing w:before="60" w:after="60" w:line="200" w:lineRule="exact"/>
              <w:jc w:val="right"/>
              <w:rPr>
                <w:noProof/>
                <w:sz w:val="16"/>
                <w:szCs w:val="16"/>
                <w:lang w:val="it-CH"/>
              </w:rPr>
            </w:pPr>
          </w:p>
        </w:tc>
        <w:tc>
          <w:tcPr>
            <w:tcW w:w="1080" w:type="dxa"/>
            <w:vAlign w:val="center"/>
          </w:tcPr>
          <w:p>
            <w:pPr>
              <w:spacing w:before="60" w:after="60" w:line="200" w:lineRule="exact"/>
              <w:jc w:val="right"/>
              <w:rPr>
                <w:noProof/>
                <w:sz w:val="16"/>
                <w:szCs w:val="16"/>
                <w:lang w:val="it-CH"/>
              </w:rPr>
            </w:pPr>
          </w:p>
        </w:tc>
        <w:tc>
          <w:tcPr>
            <w:tcW w:w="1080" w:type="dxa"/>
            <w:vAlign w:val="center"/>
          </w:tcPr>
          <w:p>
            <w:pPr>
              <w:spacing w:before="60" w:after="60" w:line="200" w:lineRule="exact"/>
              <w:jc w:val="right"/>
              <w:rPr>
                <w:noProof/>
                <w:sz w:val="16"/>
                <w:szCs w:val="16"/>
                <w:lang w:val="it-CH"/>
              </w:rPr>
            </w:pPr>
          </w:p>
        </w:tc>
        <w:tc>
          <w:tcPr>
            <w:tcW w:w="1080" w:type="dxa"/>
            <w:vAlign w:val="center"/>
          </w:tcPr>
          <w:p>
            <w:pPr>
              <w:spacing w:before="60" w:after="60" w:line="200" w:lineRule="exact"/>
              <w:jc w:val="right"/>
              <w:rPr>
                <w:noProof/>
                <w:sz w:val="16"/>
                <w:szCs w:val="16"/>
                <w:lang w:val="it-CH"/>
              </w:rPr>
            </w:pPr>
          </w:p>
        </w:tc>
        <w:tc>
          <w:tcPr>
            <w:tcW w:w="1080" w:type="dxa"/>
            <w:vAlign w:val="center"/>
          </w:tcPr>
          <w:p>
            <w:pPr>
              <w:spacing w:before="60" w:after="60" w:line="200" w:lineRule="exact"/>
              <w:jc w:val="right"/>
              <w:rPr>
                <w:b/>
                <w:noProof/>
                <w:sz w:val="16"/>
                <w:szCs w:val="16"/>
                <w:lang w:val="it-CH"/>
              </w:rPr>
            </w:pPr>
          </w:p>
        </w:tc>
        <w:tc>
          <w:tcPr>
            <w:tcW w:w="1080" w:type="dxa"/>
            <w:vAlign w:val="center"/>
          </w:tcPr>
          <w:p>
            <w:pPr>
              <w:spacing w:before="60" w:after="60" w:line="200" w:lineRule="exact"/>
              <w:jc w:val="right"/>
              <w:rPr>
                <w:b/>
                <w:noProof/>
                <w:sz w:val="16"/>
                <w:szCs w:val="16"/>
                <w:lang w:val="it-CH"/>
              </w:rPr>
            </w:pPr>
          </w:p>
        </w:tc>
      </w:tr>
      <w:tr>
        <w:trPr>
          <w:trHeight w:val="585"/>
        </w:trPr>
        <w:tc>
          <w:tcPr>
            <w:tcW w:w="1980" w:type="dxa"/>
            <w:vAlign w:val="center"/>
          </w:tcPr>
          <w:p>
            <w:pPr>
              <w:spacing w:before="60" w:after="60" w:line="200" w:lineRule="exact"/>
              <w:ind w:left="72"/>
              <w:jc w:val="left"/>
              <w:rPr>
                <w:noProof/>
                <w:sz w:val="16"/>
                <w:szCs w:val="16"/>
                <w:lang w:val="it-CH"/>
              </w:rPr>
            </w:pPr>
            <w:r>
              <w:rPr>
                <w:noProof/>
                <w:sz w:val="16"/>
                <w:lang w:val="it-CH"/>
              </w:rPr>
              <w:t>Risorse umane</w:t>
            </w:r>
          </w:p>
        </w:tc>
        <w:tc>
          <w:tcPr>
            <w:tcW w:w="1080" w:type="dxa"/>
            <w:vAlign w:val="center"/>
          </w:tcPr>
          <w:p>
            <w:pPr>
              <w:spacing w:before="60" w:after="60" w:line="200" w:lineRule="exact"/>
              <w:jc w:val="right"/>
              <w:rPr>
                <w:noProof/>
                <w:sz w:val="16"/>
                <w:szCs w:val="16"/>
                <w:lang w:val="it-CH"/>
              </w:rPr>
            </w:pPr>
          </w:p>
        </w:tc>
        <w:tc>
          <w:tcPr>
            <w:tcW w:w="1080" w:type="dxa"/>
            <w:vAlign w:val="center"/>
          </w:tcPr>
          <w:p>
            <w:pPr>
              <w:spacing w:before="60" w:after="60" w:line="200" w:lineRule="exact"/>
              <w:jc w:val="right"/>
              <w:rPr>
                <w:noProof/>
                <w:sz w:val="16"/>
                <w:szCs w:val="16"/>
                <w:lang w:val="it-CH"/>
              </w:rPr>
            </w:pPr>
          </w:p>
        </w:tc>
        <w:tc>
          <w:tcPr>
            <w:tcW w:w="1080" w:type="dxa"/>
            <w:vAlign w:val="center"/>
          </w:tcPr>
          <w:p>
            <w:pPr>
              <w:spacing w:before="60" w:after="60" w:line="200" w:lineRule="exact"/>
              <w:jc w:val="right"/>
              <w:rPr>
                <w:noProof/>
                <w:sz w:val="16"/>
                <w:szCs w:val="16"/>
                <w:lang w:val="it-CH"/>
              </w:rPr>
            </w:pPr>
          </w:p>
        </w:tc>
        <w:tc>
          <w:tcPr>
            <w:tcW w:w="1080" w:type="dxa"/>
            <w:vAlign w:val="center"/>
          </w:tcPr>
          <w:p>
            <w:pPr>
              <w:spacing w:before="60" w:after="60" w:line="200" w:lineRule="exact"/>
              <w:jc w:val="right"/>
              <w:rPr>
                <w:noProof/>
                <w:sz w:val="16"/>
                <w:szCs w:val="16"/>
                <w:lang w:val="it-CH"/>
              </w:rPr>
            </w:pPr>
          </w:p>
        </w:tc>
        <w:tc>
          <w:tcPr>
            <w:tcW w:w="1080" w:type="dxa"/>
            <w:vAlign w:val="center"/>
          </w:tcPr>
          <w:p>
            <w:pPr>
              <w:spacing w:before="60" w:after="60" w:line="200" w:lineRule="exact"/>
              <w:jc w:val="right"/>
              <w:rPr>
                <w:noProof/>
                <w:sz w:val="16"/>
                <w:szCs w:val="16"/>
                <w:lang w:val="it-CH"/>
              </w:rPr>
            </w:pPr>
          </w:p>
        </w:tc>
        <w:tc>
          <w:tcPr>
            <w:tcW w:w="1080" w:type="dxa"/>
            <w:vAlign w:val="center"/>
          </w:tcPr>
          <w:p>
            <w:pPr>
              <w:spacing w:before="60" w:after="60" w:line="200" w:lineRule="exact"/>
              <w:jc w:val="right"/>
              <w:rPr>
                <w:noProof/>
                <w:sz w:val="16"/>
                <w:szCs w:val="16"/>
                <w:lang w:val="it-CH"/>
              </w:rPr>
            </w:pPr>
          </w:p>
        </w:tc>
        <w:tc>
          <w:tcPr>
            <w:tcW w:w="1080" w:type="dxa"/>
            <w:vAlign w:val="center"/>
          </w:tcPr>
          <w:p>
            <w:pPr>
              <w:spacing w:before="60" w:after="60" w:line="200" w:lineRule="exact"/>
              <w:jc w:val="right"/>
              <w:rPr>
                <w:b/>
                <w:noProof/>
                <w:sz w:val="16"/>
                <w:szCs w:val="16"/>
                <w:lang w:val="it-CH"/>
              </w:rPr>
            </w:pPr>
          </w:p>
        </w:tc>
        <w:tc>
          <w:tcPr>
            <w:tcW w:w="1080" w:type="dxa"/>
            <w:vAlign w:val="center"/>
          </w:tcPr>
          <w:p>
            <w:pPr>
              <w:spacing w:before="60" w:after="60" w:line="200" w:lineRule="exact"/>
              <w:jc w:val="right"/>
              <w:rPr>
                <w:b/>
                <w:noProof/>
                <w:sz w:val="16"/>
                <w:szCs w:val="16"/>
                <w:lang w:val="it-CH"/>
              </w:rPr>
            </w:pPr>
          </w:p>
        </w:tc>
      </w:tr>
      <w:tr>
        <w:trPr>
          <w:trHeight w:val="585"/>
        </w:trPr>
        <w:tc>
          <w:tcPr>
            <w:tcW w:w="1980" w:type="dxa"/>
            <w:vAlign w:val="center"/>
          </w:tcPr>
          <w:p>
            <w:pPr>
              <w:spacing w:before="60" w:after="60" w:line="200" w:lineRule="exact"/>
              <w:ind w:left="72"/>
              <w:jc w:val="left"/>
              <w:rPr>
                <w:noProof/>
                <w:sz w:val="16"/>
                <w:szCs w:val="16"/>
                <w:lang w:val="it-CH"/>
              </w:rPr>
            </w:pPr>
            <w:r>
              <w:rPr>
                <w:noProof/>
                <w:sz w:val="16"/>
                <w:szCs w:val="16"/>
                <w:lang w:val="it-CH"/>
              </w:rPr>
              <w:t>Altre spese</w:t>
            </w:r>
            <w:r>
              <w:rPr>
                <w:noProof/>
                <w:sz w:val="22"/>
                <w:lang w:val="it-CH"/>
              </w:rPr>
              <w:br/>
            </w:r>
            <w:r>
              <w:rPr>
                <w:noProof/>
                <w:sz w:val="16"/>
                <w:szCs w:val="16"/>
                <w:lang w:val="it-CH"/>
              </w:rPr>
              <w:t>di natura amministrativa</w:t>
            </w:r>
          </w:p>
        </w:tc>
        <w:tc>
          <w:tcPr>
            <w:tcW w:w="1080" w:type="dxa"/>
            <w:vAlign w:val="center"/>
          </w:tcPr>
          <w:p>
            <w:pPr>
              <w:spacing w:before="60" w:after="60" w:line="200" w:lineRule="exact"/>
              <w:jc w:val="right"/>
              <w:rPr>
                <w:noProof/>
                <w:sz w:val="16"/>
                <w:szCs w:val="16"/>
                <w:lang w:val="it-CH"/>
              </w:rPr>
            </w:pPr>
          </w:p>
        </w:tc>
        <w:tc>
          <w:tcPr>
            <w:tcW w:w="1080" w:type="dxa"/>
            <w:vAlign w:val="center"/>
          </w:tcPr>
          <w:p>
            <w:pPr>
              <w:spacing w:before="60" w:after="60" w:line="200" w:lineRule="exact"/>
              <w:jc w:val="right"/>
              <w:rPr>
                <w:noProof/>
                <w:sz w:val="16"/>
                <w:szCs w:val="16"/>
                <w:lang w:val="it-CH"/>
              </w:rPr>
            </w:pPr>
          </w:p>
        </w:tc>
        <w:tc>
          <w:tcPr>
            <w:tcW w:w="1080" w:type="dxa"/>
            <w:vAlign w:val="center"/>
          </w:tcPr>
          <w:p>
            <w:pPr>
              <w:spacing w:before="60" w:after="60" w:line="200" w:lineRule="exact"/>
              <w:jc w:val="right"/>
              <w:rPr>
                <w:noProof/>
                <w:sz w:val="16"/>
                <w:szCs w:val="16"/>
                <w:lang w:val="it-CH"/>
              </w:rPr>
            </w:pPr>
          </w:p>
        </w:tc>
        <w:tc>
          <w:tcPr>
            <w:tcW w:w="1080" w:type="dxa"/>
            <w:vAlign w:val="center"/>
          </w:tcPr>
          <w:p>
            <w:pPr>
              <w:spacing w:before="60" w:after="60" w:line="200" w:lineRule="exact"/>
              <w:jc w:val="right"/>
              <w:rPr>
                <w:noProof/>
                <w:sz w:val="16"/>
                <w:szCs w:val="16"/>
                <w:lang w:val="it-CH"/>
              </w:rPr>
            </w:pPr>
          </w:p>
        </w:tc>
        <w:tc>
          <w:tcPr>
            <w:tcW w:w="1080" w:type="dxa"/>
            <w:vAlign w:val="center"/>
          </w:tcPr>
          <w:p>
            <w:pPr>
              <w:spacing w:before="60" w:after="60" w:line="200" w:lineRule="exact"/>
              <w:jc w:val="right"/>
              <w:rPr>
                <w:noProof/>
                <w:sz w:val="16"/>
                <w:szCs w:val="16"/>
                <w:lang w:val="it-CH"/>
              </w:rPr>
            </w:pPr>
          </w:p>
        </w:tc>
        <w:tc>
          <w:tcPr>
            <w:tcW w:w="1080" w:type="dxa"/>
            <w:vAlign w:val="center"/>
          </w:tcPr>
          <w:p>
            <w:pPr>
              <w:spacing w:before="60" w:after="60" w:line="200" w:lineRule="exact"/>
              <w:jc w:val="right"/>
              <w:rPr>
                <w:noProof/>
                <w:sz w:val="16"/>
                <w:szCs w:val="16"/>
                <w:lang w:val="it-CH"/>
              </w:rPr>
            </w:pPr>
          </w:p>
        </w:tc>
        <w:tc>
          <w:tcPr>
            <w:tcW w:w="1080" w:type="dxa"/>
            <w:vAlign w:val="center"/>
          </w:tcPr>
          <w:p>
            <w:pPr>
              <w:spacing w:before="60" w:after="60" w:line="200" w:lineRule="exact"/>
              <w:jc w:val="right"/>
              <w:rPr>
                <w:b/>
                <w:noProof/>
                <w:sz w:val="16"/>
                <w:szCs w:val="16"/>
                <w:lang w:val="it-CH"/>
              </w:rPr>
            </w:pPr>
          </w:p>
        </w:tc>
        <w:tc>
          <w:tcPr>
            <w:tcW w:w="1080" w:type="dxa"/>
            <w:vAlign w:val="center"/>
          </w:tcPr>
          <w:p>
            <w:pPr>
              <w:spacing w:before="60" w:after="60" w:line="200" w:lineRule="exact"/>
              <w:jc w:val="right"/>
              <w:rPr>
                <w:b/>
                <w:noProof/>
                <w:sz w:val="16"/>
                <w:szCs w:val="16"/>
                <w:lang w:val="it-CH"/>
              </w:rPr>
            </w:pPr>
          </w:p>
        </w:tc>
      </w:tr>
      <w:tr>
        <w:trPr>
          <w:trHeight w:val="585"/>
        </w:trPr>
        <w:tc>
          <w:tcPr>
            <w:tcW w:w="1980" w:type="dxa"/>
            <w:shd w:val="clear" w:color="auto" w:fill="CCCCCC"/>
            <w:vAlign w:val="center"/>
          </w:tcPr>
          <w:p>
            <w:pPr>
              <w:spacing w:before="60" w:after="60" w:line="200" w:lineRule="exact"/>
              <w:jc w:val="center"/>
              <w:rPr>
                <w:b/>
                <w:noProof/>
                <w:sz w:val="16"/>
                <w:szCs w:val="16"/>
                <w:lang w:val="it-CH"/>
              </w:rPr>
            </w:pPr>
            <w:r>
              <w:rPr>
                <w:b/>
                <w:noProof/>
                <w:sz w:val="16"/>
                <w:szCs w:val="16"/>
                <w:lang w:val="it-CH"/>
              </w:rPr>
              <w:t>Totale parziale</w:t>
            </w:r>
            <w:r>
              <w:rPr>
                <w:b/>
                <w:noProof/>
                <w:sz w:val="16"/>
                <w:lang w:val="it-CH"/>
              </w:rPr>
              <w:t xml:space="preserve"> </w:t>
            </w:r>
            <w:r>
              <w:rPr>
                <w:noProof/>
                <w:sz w:val="22"/>
                <w:lang w:val="it-CH"/>
              </w:rPr>
              <w:br/>
            </w:r>
            <w:r>
              <w:rPr>
                <w:b/>
                <w:noProof/>
                <w:sz w:val="16"/>
                <w:szCs w:val="16"/>
                <w:lang w:val="it-CH"/>
              </w:rPr>
              <w:t>esclusa la RUBRICA 5</w:t>
            </w:r>
            <w:r>
              <w:rPr>
                <w:noProof/>
                <w:sz w:val="22"/>
                <w:lang w:val="it-CH"/>
              </w:rPr>
              <w:br/>
            </w:r>
            <w:r>
              <w:rPr>
                <w:b/>
                <w:noProof/>
                <w:sz w:val="16"/>
                <w:szCs w:val="16"/>
                <w:lang w:val="it-CH"/>
              </w:rPr>
              <w:t>del quadro finanziario pluriennale</w:t>
            </w:r>
          </w:p>
        </w:tc>
        <w:tc>
          <w:tcPr>
            <w:tcW w:w="1080" w:type="dxa"/>
            <w:vAlign w:val="center"/>
          </w:tcPr>
          <w:p>
            <w:pPr>
              <w:spacing w:before="60" w:after="60" w:line="200" w:lineRule="exact"/>
              <w:jc w:val="right"/>
              <w:rPr>
                <w:noProof/>
                <w:sz w:val="16"/>
                <w:szCs w:val="16"/>
                <w:lang w:val="it-CH"/>
              </w:rPr>
            </w:pPr>
          </w:p>
        </w:tc>
        <w:tc>
          <w:tcPr>
            <w:tcW w:w="1080" w:type="dxa"/>
            <w:vAlign w:val="center"/>
          </w:tcPr>
          <w:p>
            <w:pPr>
              <w:spacing w:before="60" w:after="60" w:line="200" w:lineRule="exact"/>
              <w:jc w:val="right"/>
              <w:rPr>
                <w:noProof/>
                <w:sz w:val="16"/>
                <w:szCs w:val="16"/>
                <w:lang w:val="it-CH"/>
              </w:rPr>
            </w:pPr>
          </w:p>
        </w:tc>
        <w:tc>
          <w:tcPr>
            <w:tcW w:w="1080" w:type="dxa"/>
            <w:vAlign w:val="center"/>
          </w:tcPr>
          <w:p>
            <w:pPr>
              <w:spacing w:before="60" w:after="60" w:line="200" w:lineRule="exact"/>
              <w:jc w:val="right"/>
              <w:rPr>
                <w:noProof/>
                <w:sz w:val="16"/>
                <w:szCs w:val="16"/>
                <w:lang w:val="it-CH"/>
              </w:rPr>
            </w:pPr>
          </w:p>
        </w:tc>
        <w:tc>
          <w:tcPr>
            <w:tcW w:w="1080" w:type="dxa"/>
            <w:vAlign w:val="center"/>
          </w:tcPr>
          <w:p>
            <w:pPr>
              <w:spacing w:before="60" w:after="60" w:line="200" w:lineRule="exact"/>
              <w:jc w:val="right"/>
              <w:rPr>
                <w:noProof/>
                <w:sz w:val="16"/>
                <w:szCs w:val="16"/>
                <w:lang w:val="it-CH"/>
              </w:rPr>
            </w:pPr>
          </w:p>
        </w:tc>
        <w:tc>
          <w:tcPr>
            <w:tcW w:w="1080" w:type="dxa"/>
            <w:vAlign w:val="center"/>
          </w:tcPr>
          <w:p>
            <w:pPr>
              <w:spacing w:before="60" w:after="60" w:line="200" w:lineRule="exact"/>
              <w:jc w:val="right"/>
              <w:rPr>
                <w:noProof/>
                <w:sz w:val="16"/>
                <w:szCs w:val="16"/>
                <w:lang w:val="it-CH"/>
              </w:rPr>
            </w:pPr>
          </w:p>
        </w:tc>
        <w:tc>
          <w:tcPr>
            <w:tcW w:w="1080" w:type="dxa"/>
            <w:vAlign w:val="center"/>
          </w:tcPr>
          <w:p>
            <w:pPr>
              <w:spacing w:before="60" w:after="60" w:line="200" w:lineRule="exact"/>
              <w:jc w:val="right"/>
              <w:rPr>
                <w:noProof/>
                <w:sz w:val="16"/>
                <w:szCs w:val="16"/>
                <w:lang w:val="it-CH"/>
              </w:rPr>
            </w:pPr>
          </w:p>
        </w:tc>
        <w:tc>
          <w:tcPr>
            <w:tcW w:w="1080" w:type="dxa"/>
            <w:vAlign w:val="center"/>
          </w:tcPr>
          <w:p>
            <w:pPr>
              <w:spacing w:before="60" w:after="60" w:line="200" w:lineRule="exact"/>
              <w:jc w:val="right"/>
              <w:rPr>
                <w:b/>
                <w:noProof/>
                <w:sz w:val="16"/>
                <w:szCs w:val="16"/>
                <w:lang w:val="it-CH"/>
              </w:rPr>
            </w:pPr>
          </w:p>
        </w:tc>
        <w:tc>
          <w:tcPr>
            <w:tcW w:w="1080" w:type="dxa"/>
            <w:vAlign w:val="center"/>
          </w:tcPr>
          <w:p>
            <w:pPr>
              <w:spacing w:before="60" w:after="60" w:line="200" w:lineRule="exact"/>
              <w:jc w:val="right"/>
              <w:rPr>
                <w:b/>
                <w:noProof/>
                <w:sz w:val="16"/>
                <w:szCs w:val="16"/>
                <w:lang w:val="it-CH"/>
              </w:rPr>
            </w:pPr>
          </w:p>
        </w:tc>
      </w:tr>
    </w:tbl>
    <w:p>
      <w:pPr>
        <w:spacing w:line="200" w:lineRule="exact"/>
        <w:rPr>
          <w:noProof/>
          <w:sz w:val="16"/>
          <w:szCs w:val="16"/>
          <w:lang w:val="it-CH"/>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lang w:val="it-CH"/>
              </w:rPr>
            </w:pPr>
            <w:r>
              <w:rPr>
                <w:b/>
                <w:noProof/>
                <w:sz w:val="16"/>
                <w:lang w:val="it-CH"/>
              </w:rPr>
              <w:t>TOTALE</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16"/>
                <w:szCs w:val="16"/>
                <w:lang w:val="it-CH"/>
              </w:rPr>
            </w:pPr>
            <w:r>
              <w:rPr>
                <w:noProof/>
                <w:sz w:val="16"/>
                <w:lang w:val="it-CH"/>
              </w:rPr>
              <w:t>0,402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16"/>
                <w:szCs w:val="16"/>
                <w:lang w:val="it-CH"/>
              </w:rPr>
            </w:pPr>
            <w:r>
              <w:rPr>
                <w:noProof/>
                <w:sz w:val="16"/>
                <w:lang w:val="it-CH"/>
              </w:rPr>
              <w:t>0,402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lang w:val="it-CH"/>
              </w:rPr>
            </w:pPr>
            <w:r>
              <w:rPr>
                <w:b/>
                <w:noProof/>
                <w:sz w:val="16"/>
                <w:lang w:val="it-CH"/>
              </w:rPr>
              <w:t>0,621</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lang w:val="it-CH"/>
              </w:rPr>
            </w:pPr>
            <w:r>
              <w:rPr>
                <w:b/>
                <w:noProof/>
                <w:sz w:val="16"/>
                <w:lang w:val="it-CH"/>
              </w:rPr>
              <w:t>0,621</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lang w:val="it-CH"/>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lang w:val="it-CH"/>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lang w:val="it-CH"/>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lang w:val="it-CH"/>
              </w:rPr>
            </w:pPr>
            <w:r>
              <w:rPr>
                <w:b/>
                <w:noProof/>
                <w:sz w:val="16"/>
                <w:lang w:val="it-CH"/>
              </w:rPr>
              <w:t>2,046</w:t>
            </w:r>
          </w:p>
        </w:tc>
      </w:tr>
    </w:tbl>
    <w:p>
      <w:pPr>
        <w:rPr>
          <w:noProof/>
          <w:sz w:val="18"/>
          <w:lang w:val="it-CH"/>
        </w:rPr>
        <w:sectPr>
          <w:headerReference w:type="default" r:id="rId17"/>
          <w:footerReference w:type="default" r:id="rId18"/>
          <w:headerReference w:type="first" r:id="rId19"/>
          <w:footerReference w:type="first" r:id="rId20"/>
          <w:pgSz w:w="11907" w:h="16840"/>
          <w:pgMar w:top="1134" w:right="1418" w:bottom="1134" w:left="1418" w:header="709" w:footer="709" w:gutter="0"/>
          <w:cols w:space="708"/>
          <w:docGrid w:linePitch="360"/>
        </w:sectPr>
      </w:pPr>
      <w:r>
        <w:rPr>
          <w:noProof/>
          <w:sz w:val="18"/>
          <w:lang w:val="it-CH"/>
        </w:rPr>
        <w:t>Il fabbisogno di stanziamenti relativi alle risorse umane e alle altre spese di natura amministrativa è coperto dagli stanziamenti della DG già assegnati alla gestione dell'azione e/o riassegnati all'interno della stessa DG, integrati dall'eventuale dotazione supplementare concessa alla DG responsabile nell'ambito della procedura annuale di assegnazione, tenendo conto dei vincoli di bilancio.</w:t>
      </w:r>
    </w:p>
    <w:p>
      <w:pPr>
        <w:pStyle w:val="ManualHeading4"/>
        <w:rPr>
          <w:bCs/>
          <w:noProof/>
          <w:szCs w:val="24"/>
          <w:lang w:val="it-CH"/>
        </w:rPr>
      </w:pPr>
      <w:r>
        <w:rPr>
          <w:noProof/>
          <w:lang w:val="it-CH"/>
        </w:rPr>
        <w:t>3.2.3.2.</w:t>
      </w:r>
      <w:r>
        <w:rPr>
          <w:noProof/>
          <w:lang w:val="it-CH"/>
        </w:rPr>
        <w:tab/>
        <w:t>Fabbisogno previsto di risorse umane</w:t>
      </w:r>
    </w:p>
    <w:p>
      <w:pPr>
        <w:pStyle w:val="ListDash1"/>
        <w:rPr>
          <w:noProof/>
          <w:lang w:val="it-CH"/>
        </w:rPr>
      </w:pPr>
      <w:r>
        <w:rPr>
          <w:noProof/>
          <w:lang w:val="it-CH"/>
        </w:rPr>
        <w:sym w:font="Wingdings" w:char="F0A8"/>
      </w:r>
      <w:r>
        <w:rPr>
          <w:noProof/>
          <w:lang w:val="it-CH"/>
        </w:rPr>
        <w:tab/>
        <w:t xml:space="preserve">La proposta/iniziativa non comporta l'utilizzo di risorse umane. </w:t>
      </w:r>
    </w:p>
    <w:p>
      <w:pPr>
        <w:pStyle w:val="ListDash1"/>
        <w:rPr>
          <w:noProof/>
          <w:lang w:val="it-CH"/>
        </w:rPr>
      </w:pPr>
      <w:r>
        <w:rPr>
          <w:noProof/>
          <w:lang w:val="it-CH"/>
        </w:rPr>
        <w:t>X La proposta/iniziativa comporta l'utilizzo di risorse umane, come spiegato di seguito:</w:t>
      </w:r>
    </w:p>
    <w:p>
      <w:pPr>
        <w:spacing w:after="60"/>
        <w:jc w:val="right"/>
        <w:rPr>
          <w:i/>
          <w:noProof/>
          <w:sz w:val="20"/>
          <w:lang w:val="it-CH"/>
        </w:rPr>
      </w:pPr>
      <w:r>
        <w:rPr>
          <w:i/>
          <w:noProof/>
          <w:sz w:val="20"/>
          <w:lang w:val="it-CH"/>
        </w:rPr>
        <w:t>Stima da esprimere in equivalenti a tempo pieno</w:t>
      </w:r>
    </w:p>
    <w:tbl>
      <w:tblPr>
        <w:tblW w:w="5544" w:type="pct"/>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8"/>
        <w:gridCol w:w="1952"/>
        <w:gridCol w:w="1954"/>
        <w:gridCol w:w="655"/>
        <w:gridCol w:w="655"/>
        <w:gridCol w:w="3423"/>
        <w:gridCol w:w="939"/>
        <w:gridCol w:w="237"/>
        <w:gridCol w:w="237"/>
        <w:gridCol w:w="237"/>
      </w:tblGrid>
      <w:tr>
        <w:trPr>
          <w:gridBefore w:val="1"/>
          <w:wBefore w:w="4" w:type="pct"/>
          <w:trHeight w:val="289"/>
          <w:jc w:val="center"/>
        </w:trPr>
        <w:tc>
          <w:tcPr>
            <w:tcW w:w="1897" w:type="pct"/>
            <w:gridSpan w:val="2"/>
            <w:shd w:val="clear" w:color="auto" w:fill="auto"/>
          </w:tcPr>
          <w:p>
            <w:pPr>
              <w:pStyle w:val="Text1"/>
              <w:spacing w:before="40" w:after="40"/>
              <w:ind w:left="0"/>
              <w:jc w:val="center"/>
              <w:rPr>
                <w:i/>
                <w:noProof/>
                <w:sz w:val="16"/>
                <w:szCs w:val="16"/>
                <w:lang w:val="it-CH"/>
              </w:rPr>
            </w:pPr>
          </w:p>
        </w:tc>
        <w:tc>
          <w:tcPr>
            <w:tcW w:w="318" w:type="pct"/>
            <w:shd w:val="clear" w:color="auto" w:fill="auto"/>
            <w:vAlign w:val="center"/>
          </w:tcPr>
          <w:p>
            <w:pPr>
              <w:spacing w:before="20" w:after="20"/>
              <w:jc w:val="center"/>
              <w:rPr>
                <w:noProof/>
                <w:sz w:val="16"/>
                <w:szCs w:val="16"/>
                <w:lang w:val="it-CH"/>
              </w:rPr>
            </w:pPr>
            <w:r>
              <w:rPr>
                <w:noProof/>
                <w:sz w:val="16"/>
                <w:lang w:val="it-CH"/>
              </w:rPr>
              <w:t>Anno</w:t>
            </w:r>
            <w:r>
              <w:rPr>
                <w:noProof/>
                <w:sz w:val="22"/>
                <w:lang w:val="it-CH"/>
              </w:rPr>
              <w:br/>
            </w:r>
            <w:r>
              <w:rPr>
                <w:b/>
                <w:noProof/>
                <w:sz w:val="16"/>
                <w:lang w:val="it-CH"/>
              </w:rPr>
              <w:t>2017</w:t>
            </w:r>
          </w:p>
        </w:tc>
        <w:tc>
          <w:tcPr>
            <w:tcW w:w="318" w:type="pct"/>
            <w:shd w:val="clear" w:color="auto" w:fill="auto"/>
            <w:vAlign w:val="center"/>
          </w:tcPr>
          <w:p>
            <w:pPr>
              <w:spacing w:before="20" w:after="20"/>
              <w:jc w:val="center"/>
              <w:rPr>
                <w:noProof/>
                <w:sz w:val="16"/>
                <w:szCs w:val="16"/>
                <w:lang w:val="it-CH"/>
              </w:rPr>
            </w:pPr>
            <w:r>
              <w:rPr>
                <w:noProof/>
                <w:sz w:val="16"/>
                <w:lang w:val="it-CH"/>
              </w:rPr>
              <w:t>Anno</w:t>
            </w:r>
            <w:r>
              <w:rPr>
                <w:noProof/>
                <w:sz w:val="22"/>
                <w:lang w:val="it-CH"/>
              </w:rPr>
              <w:br/>
            </w:r>
            <w:r>
              <w:rPr>
                <w:b/>
                <w:noProof/>
                <w:sz w:val="16"/>
                <w:lang w:val="it-CH"/>
              </w:rPr>
              <w:t>2018</w:t>
            </w:r>
          </w:p>
        </w:tc>
        <w:tc>
          <w:tcPr>
            <w:tcW w:w="1662" w:type="pct"/>
            <w:shd w:val="clear" w:color="auto" w:fill="auto"/>
            <w:vAlign w:val="center"/>
          </w:tcPr>
          <w:p>
            <w:pPr>
              <w:spacing w:before="20" w:after="20"/>
              <w:jc w:val="center"/>
              <w:rPr>
                <w:noProof/>
                <w:sz w:val="16"/>
                <w:szCs w:val="16"/>
                <w:lang w:val="it-CH"/>
              </w:rPr>
            </w:pPr>
            <w:r>
              <w:rPr>
                <w:noProof/>
                <w:sz w:val="16"/>
                <w:lang w:val="it-CH"/>
              </w:rPr>
              <w:t>Anno 2019</w:t>
            </w:r>
          </w:p>
        </w:tc>
        <w:tc>
          <w:tcPr>
            <w:tcW w:w="456" w:type="pct"/>
            <w:shd w:val="clear" w:color="auto" w:fill="auto"/>
            <w:vAlign w:val="center"/>
          </w:tcPr>
          <w:p>
            <w:pPr>
              <w:spacing w:before="20" w:after="20"/>
              <w:jc w:val="center"/>
              <w:rPr>
                <w:noProof/>
                <w:sz w:val="16"/>
                <w:szCs w:val="16"/>
                <w:lang w:val="it-CH"/>
              </w:rPr>
            </w:pPr>
            <w:r>
              <w:rPr>
                <w:noProof/>
                <w:sz w:val="16"/>
                <w:lang w:val="it-CH"/>
              </w:rPr>
              <w:t>Anno 2020</w:t>
            </w:r>
          </w:p>
        </w:tc>
        <w:tc>
          <w:tcPr>
            <w:tcW w:w="345" w:type="pct"/>
            <w:gridSpan w:val="3"/>
            <w:shd w:val="clear" w:color="auto" w:fill="auto"/>
            <w:vAlign w:val="center"/>
          </w:tcPr>
          <w:p>
            <w:pPr>
              <w:jc w:val="center"/>
              <w:rPr>
                <w:b/>
                <w:noProof/>
                <w:sz w:val="16"/>
                <w:szCs w:val="16"/>
                <w:lang w:val="it-CH"/>
              </w:rPr>
            </w:pPr>
          </w:p>
        </w:tc>
      </w:tr>
      <w:tr>
        <w:trPr>
          <w:gridBefore w:val="1"/>
          <w:wBefore w:w="4" w:type="pct"/>
          <w:trHeight w:val="289"/>
          <w:jc w:val="center"/>
        </w:trPr>
        <w:tc>
          <w:tcPr>
            <w:tcW w:w="4195" w:type="pct"/>
            <w:gridSpan w:val="5"/>
            <w:shd w:val="clear" w:color="auto" w:fill="auto"/>
          </w:tcPr>
          <w:p>
            <w:pPr>
              <w:spacing w:before="20" w:after="20"/>
              <w:rPr>
                <w:noProof/>
                <w:sz w:val="16"/>
                <w:szCs w:val="16"/>
                <w:lang w:val="it-CH"/>
              </w:rPr>
            </w:pPr>
            <w:r>
              <w:rPr>
                <w:b/>
                <w:noProof/>
                <w:sz w:val="16"/>
                <w:lang w:val="it-CH"/>
              </w:rPr>
              <w:sym w:font="Wingdings" w:char="F09F"/>
            </w:r>
            <w:r>
              <w:rPr>
                <w:b/>
                <w:noProof/>
                <w:sz w:val="16"/>
                <w:lang w:val="it-CH"/>
              </w:rPr>
              <w:t xml:space="preserve"> </w:t>
            </w:r>
            <w:r>
              <w:rPr>
                <w:b/>
                <w:noProof/>
                <w:sz w:val="16"/>
                <w:szCs w:val="16"/>
                <w:lang w:val="it-CH"/>
              </w:rPr>
              <w:t>Posti della tabella dell'organico (funzionari e agenti temporanei)</w:t>
            </w:r>
          </w:p>
        </w:tc>
        <w:tc>
          <w:tcPr>
            <w:tcW w:w="456" w:type="pct"/>
            <w:shd w:val="clear" w:color="auto" w:fill="auto"/>
            <w:vAlign w:val="center"/>
          </w:tcPr>
          <w:p>
            <w:pPr>
              <w:spacing w:before="20" w:after="20"/>
              <w:jc w:val="center"/>
              <w:rPr>
                <w:noProof/>
                <w:sz w:val="16"/>
                <w:szCs w:val="16"/>
                <w:lang w:val="it-CH"/>
              </w:rPr>
            </w:pPr>
          </w:p>
        </w:tc>
        <w:tc>
          <w:tcPr>
            <w:tcW w:w="345" w:type="pct"/>
            <w:gridSpan w:val="3"/>
            <w:shd w:val="clear" w:color="auto" w:fill="auto"/>
            <w:vAlign w:val="center"/>
          </w:tcPr>
          <w:p>
            <w:pPr>
              <w:jc w:val="center"/>
              <w:rPr>
                <w:noProof/>
                <w:sz w:val="16"/>
                <w:szCs w:val="16"/>
                <w:lang w:val="it-CH"/>
              </w:rPr>
            </w:pPr>
          </w:p>
        </w:tc>
      </w:tr>
      <w:tr>
        <w:trPr>
          <w:gridBefore w:val="1"/>
          <w:wBefore w:w="4" w:type="pct"/>
          <w:trHeight w:val="289"/>
          <w:jc w:val="center"/>
        </w:trPr>
        <w:tc>
          <w:tcPr>
            <w:tcW w:w="1897" w:type="pct"/>
            <w:gridSpan w:val="2"/>
            <w:shd w:val="clear" w:color="auto" w:fill="auto"/>
            <w:vAlign w:val="center"/>
          </w:tcPr>
          <w:p>
            <w:pPr>
              <w:pStyle w:val="Text1"/>
              <w:spacing w:beforeLines="20" w:before="48" w:afterLines="20" w:after="48"/>
              <w:ind w:left="134"/>
              <w:jc w:val="left"/>
              <w:rPr>
                <w:b/>
                <w:noProof/>
                <w:sz w:val="16"/>
                <w:szCs w:val="16"/>
                <w:lang w:val="it-CH"/>
              </w:rPr>
            </w:pPr>
            <w:r>
              <w:rPr>
                <w:noProof/>
                <w:sz w:val="16"/>
                <w:lang w:val="it-CH"/>
              </w:rPr>
              <w:t>34 01 01 01 (in sede e negli uffici di rappresentanza della Commissione)</w:t>
            </w:r>
          </w:p>
        </w:tc>
        <w:tc>
          <w:tcPr>
            <w:tcW w:w="318" w:type="pct"/>
            <w:shd w:val="clear" w:color="auto" w:fill="auto"/>
            <w:vAlign w:val="center"/>
          </w:tcPr>
          <w:p>
            <w:pPr>
              <w:spacing w:beforeLines="20" w:before="48" w:afterLines="20" w:after="48"/>
              <w:jc w:val="center"/>
              <w:rPr>
                <w:noProof/>
                <w:sz w:val="16"/>
                <w:szCs w:val="16"/>
                <w:lang w:val="it-CH"/>
              </w:rPr>
            </w:pPr>
            <w:r>
              <w:rPr>
                <w:noProof/>
                <w:sz w:val="16"/>
                <w:szCs w:val="16"/>
                <w:lang w:val="it-CH"/>
              </w:rPr>
              <w:t>3</w:t>
            </w:r>
          </w:p>
        </w:tc>
        <w:tc>
          <w:tcPr>
            <w:tcW w:w="318" w:type="pct"/>
            <w:shd w:val="clear" w:color="auto" w:fill="auto"/>
            <w:vAlign w:val="center"/>
          </w:tcPr>
          <w:p>
            <w:pPr>
              <w:spacing w:beforeLines="20" w:before="48" w:afterLines="20" w:after="48"/>
              <w:jc w:val="center"/>
              <w:rPr>
                <w:noProof/>
                <w:sz w:val="16"/>
                <w:szCs w:val="16"/>
                <w:lang w:val="it-CH"/>
              </w:rPr>
            </w:pPr>
            <w:r>
              <w:rPr>
                <w:noProof/>
                <w:sz w:val="16"/>
                <w:szCs w:val="16"/>
                <w:lang w:val="it-CH"/>
              </w:rPr>
              <w:t>3</w:t>
            </w:r>
          </w:p>
        </w:tc>
        <w:tc>
          <w:tcPr>
            <w:tcW w:w="1662" w:type="pct"/>
            <w:shd w:val="clear" w:color="auto" w:fill="auto"/>
            <w:vAlign w:val="center"/>
          </w:tcPr>
          <w:p>
            <w:pPr>
              <w:spacing w:beforeLines="20" w:before="48" w:afterLines="20" w:after="48"/>
              <w:jc w:val="center"/>
              <w:rPr>
                <w:noProof/>
                <w:sz w:val="16"/>
                <w:szCs w:val="16"/>
                <w:lang w:val="it-CH"/>
              </w:rPr>
            </w:pPr>
            <w:r>
              <w:rPr>
                <w:noProof/>
                <w:sz w:val="16"/>
                <w:szCs w:val="16"/>
                <w:lang w:val="it-CH"/>
              </w:rPr>
              <w:t>4</w:t>
            </w:r>
          </w:p>
        </w:tc>
        <w:tc>
          <w:tcPr>
            <w:tcW w:w="456" w:type="pct"/>
            <w:shd w:val="clear" w:color="auto" w:fill="auto"/>
            <w:vAlign w:val="center"/>
          </w:tcPr>
          <w:p>
            <w:pPr>
              <w:spacing w:beforeLines="20" w:before="48" w:afterLines="20" w:after="48"/>
              <w:jc w:val="center"/>
              <w:rPr>
                <w:noProof/>
                <w:sz w:val="16"/>
                <w:szCs w:val="16"/>
                <w:lang w:val="it-CH"/>
              </w:rPr>
            </w:pPr>
            <w:r>
              <w:rPr>
                <w:noProof/>
                <w:sz w:val="16"/>
                <w:szCs w:val="16"/>
                <w:lang w:val="it-CH"/>
              </w:rPr>
              <w:t>4</w:t>
            </w:r>
          </w:p>
        </w:tc>
        <w:tc>
          <w:tcPr>
            <w:tcW w:w="115" w:type="pct"/>
            <w:shd w:val="clear" w:color="auto" w:fill="auto"/>
            <w:vAlign w:val="center"/>
          </w:tcPr>
          <w:p>
            <w:pPr>
              <w:spacing w:beforeLines="20" w:before="48" w:afterLines="20" w:after="48"/>
              <w:jc w:val="center"/>
              <w:rPr>
                <w:noProof/>
                <w:sz w:val="16"/>
                <w:szCs w:val="16"/>
                <w:lang w:val="it-CH"/>
              </w:rPr>
            </w:pPr>
          </w:p>
        </w:tc>
        <w:tc>
          <w:tcPr>
            <w:tcW w:w="115" w:type="pct"/>
            <w:shd w:val="clear" w:color="auto" w:fill="auto"/>
            <w:vAlign w:val="center"/>
          </w:tcPr>
          <w:p>
            <w:pPr>
              <w:spacing w:beforeLines="20" w:before="48" w:afterLines="20" w:after="48"/>
              <w:jc w:val="center"/>
              <w:rPr>
                <w:noProof/>
                <w:sz w:val="16"/>
                <w:szCs w:val="16"/>
                <w:lang w:val="it-CH"/>
              </w:rPr>
            </w:pPr>
          </w:p>
        </w:tc>
        <w:tc>
          <w:tcPr>
            <w:tcW w:w="115" w:type="pct"/>
            <w:shd w:val="clear" w:color="auto" w:fill="auto"/>
            <w:vAlign w:val="center"/>
          </w:tcPr>
          <w:p>
            <w:pPr>
              <w:spacing w:beforeLines="20" w:before="48" w:afterLines="20" w:after="48"/>
              <w:jc w:val="center"/>
              <w:rPr>
                <w:noProof/>
                <w:sz w:val="16"/>
                <w:szCs w:val="16"/>
                <w:lang w:val="it-CH"/>
              </w:rPr>
            </w:pPr>
          </w:p>
        </w:tc>
      </w:tr>
      <w:tr>
        <w:trPr>
          <w:gridBefore w:val="1"/>
          <w:wBefore w:w="4"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lang w:val="it-CH"/>
              </w:rPr>
            </w:pPr>
            <w:r>
              <w:rPr>
                <w:noProof/>
                <w:sz w:val="16"/>
                <w:lang w:val="it-CH"/>
              </w:rPr>
              <w:t>XX 01 01 02 (nelle delegazioni)</w:t>
            </w:r>
          </w:p>
        </w:tc>
        <w:tc>
          <w:tcPr>
            <w:tcW w:w="318" w:type="pct"/>
            <w:shd w:val="clear" w:color="auto" w:fill="auto"/>
            <w:vAlign w:val="center"/>
          </w:tcPr>
          <w:p>
            <w:pPr>
              <w:spacing w:beforeLines="20" w:before="48" w:afterLines="20" w:after="48"/>
              <w:jc w:val="center"/>
              <w:rPr>
                <w:noProof/>
                <w:sz w:val="16"/>
                <w:szCs w:val="16"/>
                <w:lang w:val="it-CH"/>
              </w:rPr>
            </w:pPr>
          </w:p>
        </w:tc>
        <w:tc>
          <w:tcPr>
            <w:tcW w:w="318" w:type="pct"/>
            <w:shd w:val="clear" w:color="auto" w:fill="auto"/>
            <w:vAlign w:val="center"/>
          </w:tcPr>
          <w:p>
            <w:pPr>
              <w:spacing w:beforeLines="20" w:before="48" w:afterLines="20" w:after="48"/>
              <w:jc w:val="center"/>
              <w:rPr>
                <w:noProof/>
                <w:sz w:val="16"/>
                <w:szCs w:val="16"/>
                <w:lang w:val="it-CH"/>
              </w:rPr>
            </w:pPr>
          </w:p>
        </w:tc>
        <w:tc>
          <w:tcPr>
            <w:tcW w:w="1662" w:type="pct"/>
            <w:shd w:val="clear" w:color="auto" w:fill="auto"/>
            <w:vAlign w:val="center"/>
          </w:tcPr>
          <w:p>
            <w:pPr>
              <w:spacing w:beforeLines="20" w:before="48" w:afterLines="20" w:after="48"/>
              <w:jc w:val="center"/>
              <w:rPr>
                <w:noProof/>
                <w:sz w:val="16"/>
                <w:szCs w:val="16"/>
                <w:lang w:val="it-CH"/>
              </w:rPr>
            </w:pPr>
          </w:p>
        </w:tc>
        <w:tc>
          <w:tcPr>
            <w:tcW w:w="456" w:type="pct"/>
            <w:shd w:val="clear" w:color="auto" w:fill="auto"/>
            <w:vAlign w:val="center"/>
          </w:tcPr>
          <w:p>
            <w:pPr>
              <w:spacing w:beforeLines="20" w:before="48" w:afterLines="20" w:after="48"/>
              <w:jc w:val="center"/>
              <w:rPr>
                <w:noProof/>
                <w:sz w:val="16"/>
                <w:szCs w:val="16"/>
                <w:lang w:val="it-CH"/>
              </w:rPr>
            </w:pPr>
          </w:p>
        </w:tc>
        <w:tc>
          <w:tcPr>
            <w:tcW w:w="115" w:type="pct"/>
            <w:shd w:val="clear" w:color="auto" w:fill="auto"/>
            <w:vAlign w:val="center"/>
          </w:tcPr>
          <w:p>
            <w:pPr>
              <w:spacing w:beforeLines="20" w:before="48" w:afterLines="20" w:after="48"/>
              <w:jc w:val="center"/>
              <w:rPr>
                <w:noProof/>
                <w:sz w:val="16"/>
                <w:szCs w:val="16"/>
                <w:lang w:val="it-CH"/>
              </w:rPr>
            </w:pPr>
          </w:p>
        </w:tc>
        <w:tc>
          <w:tcPr>
            <w:tcW w:w="115" w:type="pct"/>
            <w:shd w:val="clear" w:color="auto" w:fill="auto"/>
            <w:vAlign w:val="center"/>
          </w:tcPr>
          <w:p>
            <w:pPr>
              <w:spacing w:beforeLines="20" w:before="48" w:afterLines="20" w:after="48"/>
              <w:jc w:val="center"/>
              <w:rPr>
                <w:noProof/>
                <w:sz w:val="16"/>
                <w:szCs w:val="16"/>
                <w:lang w:val="it-CH"/>
              </w:rPr>
            </w:pPr>
          </w:p>
        </w:tc>
        <w:tc>
          <w:tcPr>
            <w:tcW w:w="115" w:type="pct"/>
            <w:shd w:val="clear" w:color="auto" w:fill="auto"/>
            <w:vAlign w:val="center"/>
          </w:tcPr>
          <w:p>
            <w:pPr>
              <w:spacing w:beforeLines="20" w:before="48" w:afterLines="20" w:after="48"/>
              <w:jc w:val="center"/>
              <w:rPr>
                <w:noProof/>
                <w:sz w:val="16"/>
                <w:szCs w:val="16"/>
                <w:lang w:val="it-CH"/>
              </w:rPr>
            </w:pPr>
          </w:p>
        </w:tc>
      </w:tr>
      <w:tr>
        <w:trPr>
          <w:gridBefore w:val="1"/>
          <w:wBefore w:w="4"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lang w:val="it-CH"/>
              </w:rPr>
            </w:pPr>
            <w:r>
              <w:rPr>
                <w:noProof/>
                <w:sz w:val="16"/>
                <w:lang w:val="it-CH"/>
              </w:rPr>
              <w:t>XX 01 05 01 (ricerca indiretta)</w:t>
            </w:r>
          </w:p>
        </w:tc>
        <w:tc>
          <w:tcPr>
            <w:tcW w:w="318" w:type="pct"/>
            <w:shd w:val="clear" w:color="auto" w:fill="auto"/>
            <w:vAlign w:val="center"/>
          </w:tcPr>
          <w:p>
            <w:pPr>
              <w:spacing w:beforeLines="20" w:before="48" w:afterLines="20" w:after="48"/>
              <w:jc w:val="center"/>
              <w:rPr>
                <w:noProof/>
                <w:sz w:val="16"/>
                <w:szCs w:val="16"/>
                <w:lang w:val="it-CH"/>
              </w:rPr>
            </w:pPr>
          </w:p>
        </w:tc>
        <w:tc>
          <w:tcPr>
            <w:tcW w:w="318" w:type="pct"/>
            <w:shd w:val="clear" w:color="auto" w:fill="auto"/>
            <w:vAlign w:val="center"/>
          </w:tcPr>
          <w:p>
            <w:pPr>
              <w:spacing w:beforeLines="20" w:before="48" w:afterLines="20" w:after="48"/>
              <w:jc w:val="center"/>
              <w:rPr>
                <w:noProof/>
                <w:sz w:val="16"/>
                <w:szCs w:val="16"/>
                <w:lang w:val="it-CH"/>
              </w:rPr>
            </w:pPr>
          </w:p>
        </w:tc>
        <w:tc>
          <w:tcPr>
            <w:tcW w:w="1662" w:type="pct"/>
            <w:shd w:val="clear" w:color="auto" w:fill="auto"/>
            <w:vAlign w:val="center"/>
          </w:tcPr>
          <w:p>
            <w:pPr>
              <w:spacing w:beforeLines="20" w:before="48" w:afterLines="20" w:after="48"/>
              <w:jc w:val="center"/>
              <w:rPr>
                <w:noProof/>
                <w:sz w:val="16"/>
                <w:szCs w:val="16"/>
                <w:lang w:val="it-CH"/>
              </w:rPr>
            </w:pPr>
          </w:p>
        </w:tc>
        <w:tc>
          <w:tcPr>
            <w:tcW w:w="456" w:type="pct"/>
            <w:shd w:val="clear" w:color="auto" w:fill="auto"/>
            <w:vAlign w:val="center"/>
          </w:tcPr>
          <w:p>
            <w:pPr>
              <w:spacing w:beforeLines="20" w:before="48" w:afterLines="20" w:after="48"/>
              <w:jc w:val="center"/>
              <w:rPr>
                <w:noProof/>
                <w:sz w:val="16"/>
                <w:szCs w:val="16"/>
                <w:lang w:val="it-CH"/>
              </w:rPr>
            </w:pPr>
          </w:p>
        </w:tc>
        <w:tc>
          <w:tcPr>
            <w:tcW w:w="115" w:type="pct"/>
            <w:shd w:val="clear" w:color="auto" w:fill="auto"/>
            <w:vAlign w:val="center"/>
          </w:tcPr>
          <w:p>
            <w:pPr>
              <w:spacing w:beforeLines="20" w:before="48" w:afterLines="20" w:after="48"/>
              <w:jc w:val="center"/>
              <w:rPr>
                <w:noProof/>
                <w:sz w:val="16"/>
                <w:szCs w:val="16"/>
                <w:lang w:val="it-CH"/>
              </w:rPr>
            </w:pPr>
          </w:p>
        </w:tc>
        <w:tc>
          <w:tcPr>
            <w:tcW w:w="115" w:type="pct"/>
            <w:shd w:val="clear" w:color="auto" w:fill="auto"/>
            <w:vAlign w:val="center"/>
          </w:tcPr>
          <w:p>
            <w:pPr>
              <w:spacing w:beforeLines="20" w:before="48" w:afterLines="20" w:after="48"/>
              <w:jc w:val="center"/>
              <w:rPr>
                <w:noProof/>
                <w:sz w:val="16"/>
                <w:szCs w:val="16"/>
                <w:lang w:val="it-CH"/>
              </w:rPr>
            </w:pPr>
          </w:p>
        </w:tc>
        <w:tc>
          <w:tcPr>
            <w:tcW w:w="115" w:type="pct"/>
            <w:shd w:val="clear" w:color="auto" w:fill="auto"/>
            <w:vAlign w:val="center"/>
          </w:tcPr>
          <w:p>
            <w:pPr>
              <w:spacing w:beforeLines="20" w:before="48" w:afterLines="20" w:after="48"/>
              <w:jc w:val="center"/>
              <w:rPr>
                <w:noProof/>
                <w:sz w:val="16"/>
                <w:szCs w:val="16"/>
                <w:lang w:val="it-CH"/>
              </w:rPr>
            </w:pPr>
          </w:p>
        </w:tc>
      </w:tr>
      <w:tr>
        <w:trPr>
          <w:gridBefore w:val="1"/>
          <w:wBefore w:w="4"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lang w:val="it-CH"/>
              </w:rPr>
            </w:pPr>
            <w:r>
              <w:rPr>
                <w:noProof/>
                <w:sz w:val="16"/>
                <w:lang w:val="it-CH"/>
              </w:rPr>
              <w:t>10 01 05 01 (ricerca diretta)</w:t>
            </w:r>
          </w:p>
        </w:tc>
        <w:tc>
          <w:tcPr>
            <w:tcW w:w="318" w:type="pct"/>
            <w:shd w:val="clear" w:color="auto" w:fill="auto"/>
            <w:vAlign w:val="center"/>
          </w:tcPr>
          <w:p>
            <w:pPr>
              <w:spacing w:beforeLines="20" w:before="48" w:afterLines="20" w:after="48"/>
              <w:jc w:val="center"/>
              <w:rPr>
                <w:noProof/>
                <w:sz w:val="16"/>
                <w:szCs w:val="16"/>
                <w:lang w:val="it-CH"/>
              </w:rPr>
            </w:pPr>
          </w:p>
        </w:tc>
        <w:tc>
          <w:tcPr>
            <w:tcW w:w="318" w:type="pct"/>
            <w:shd w:val="clear" w:color="auto" w:fill="auto"/>
            <w:vAlign w:val="center"/>
          </w:tcPr>
          <w:p>
            <w:pPr>
              <w:spacing w:beforeLines="20" w:before="48" w:afterLines="20" w:after="48"/>
              <w:jc w:val="center"/>
              <w:rPr>
                <w:noProof/>
                <w:sz w:val="16"/>
                <w:szCs w:val="16"/>
                <w:lang w:val="it-CH"/>
              </w:rPr>
            </w:pPr>
          </w:p>
        </w:tc>
        <w:tc>
          <w:tcPr>
            <w:tcW w:w="1662" w:type="pct"/>
            <w:shd w:val="clear" w:color="auto" w:fill="auto"/>
            <w:vAlign w:val="center"/>
          </w:tcPr>
          <w:p>
            <w:pPr>
              <w:spacing w:beforeLines="20" w:before="48" w:afterLines="20" w:after="48"/>
              <w:jc w:val="center"/>
              <w:rPr>
                <w:noProof/>
                <w:sz w:val="16"/>
                <w:szCs w:val="16"/>
                <w:lang w:val="it-CH"/>
              </w:rPr>
            </w:pPr>
          </w:p>
        </w:tc>
        <w:tc>
          <w:tcPr>
            <w:tcW w:w="456" w:type="pct"/>
            <w:shd w:val="clear" w:color="auto" w:fill="auto"/>
            <w:vAlign w:val="center"/>
          </w:tcPr>
          <w:p>
            <w:pPr>
              <w:spacing w:beforeLines="20" w:before="48" w:afterLines="20" w:after="48"/>
              <w:jc w:val="center"/>
              <w:rPr>
                <w:noProof/>
                <w:sz w:val="16"/>
                <w:szCs w:val="16"/>
                <w:lang w:val="it-CH"/>
              </w:rPr>
            </w:pPr>
          </w:p>
        </w:tc>
        <w:tc>
          <w:tcPr>
            <w:tcW w:w="115" w:type="pct"/>
            <w:shd w:val="clear" w:color="auto" w:fill="auto"/>
            <w:vAlign w:val="center"/>
          </w:tcPr>
          <w:p>
            <w:pPr>
              <w:spacing w:beforeLines="20" w:before="48" w:afterLines="20" w:after="48"/>
              <w:jc w:val="center"/>
              <w:rPr>
                <w:noProof/>
                <w:sz w:val="16"/>
                <w:szCs w:val="16"/>
                <w:lang w:val="it-CH"/>
              </w:rPr>
            </w:pPr>
          </w:p>
        </w:tc>
        <w:tc>
          <w:tcPr>
            <w:tcW w:w="115" w:type="pct"/>
            <w:shd w:val="clear" w:color="auto" w:fill="auto"/>
            <w:vAlign w:val="center"/>
          </w:tcPr>
          <w:p>
            <w:pPr>
              <w:spacing w:beforeLines="20" w:before="48" w:afterLines="20" w:after="48"/>
              <w:jc w:val="center"/>
              <w:rPr>
                <w:noProof/>
                <w:sz w:val="16"/>
                <w:szCs w:val="16"/>
                <w:lang w:val="it-CH"/>
              </w:rPr>
            </w:pPr>
          </w:p>
        </w:tc>
        <w:tc>
          <w:tcPr>
            <w:tcW w:w="115" w:type="pct"/>
            <w:shd w:val="clear" w:color="auto" w:fill="auto"/>
            <w:vAlign w:val="center"/>
          </w:tcPr>
          <w:p>
            <w:pPr>
              <w:spacing w:beforeLines="20" w:before="48" w:afterLines="20" w:after="48"/>
              <w:jc w:val="center"/>
              <w:rPr>
                <w:noProof/>
                <w:sz w:val="16"/>
                <w:szCs w:val="16"/>
                <w:lang w:val="it-CH"/>
              </w:rPr>
            </w:pPr>
          </w:p>
        </w:tc>
      </w:tr>
      <w:tr>
        <w:trPr>
          <w:gridAfter w:val="4"/>
          <w:wAfter w:w="801" w:type="pct"/>
          <w:trHeight w:val="248"/>
          <w:jc w:val="center"/>
        </w:trPr>
        <w:tc>
          <w:tcPr>
            <w:tcW w:w="4199" w:type="pct"/>
            <w:gridSpan w:val="6"/>
            <w:shd w:val="clear" w:color="auto" w:fill="auto"/>
            <w:vAlign w:val="center"/>
          </w:tcPr>
          <w:p>
            <w:pPr>
              <w:pStyle w:val="Text1"/>
              <w:spacing w:before="60" w:after="60"/>
              <w:ind w:left="0"/>
              <w:jc w:val="left"/>
              <w:rPr>
                <w:b/>
                <w:noProof/>
                <w:sz w:val="16"/>
                <w:szCs w:val="16"/>
                <w:lang w:val="it-CH"/>
              </w:rPr>
            </w:pPr>
            <w:r>
              <w:rPr>
                <w:b/>
                <w:noProof/>
                <w:sz w:val="16"/>
                <w:lang w:val="it-CH"/>
              </w:rPr>
              <w:sym w:font="Wingdings" w:char="F09F"/>
            </w:r>
            <w:r>
              <w:rPr>
                <w:b/>
                <w:noProof/>
                <w:sz w:val="16"/>
                <w:lang w:val="it-CH"/>
              </w:rPr>
              <w:t xml:space="preserve"> </w:t>
            </w:r>
            <w:r>
              <w:rPr>
                <w:b/>
                <w:noProof/>
                <w:sz w:val="16"/>
                <w:szCs w:val="16"/>
                <w:lang w:val="it-CH"/>
              </w:rPr>
              <w:t>Personale esterno (in equivalenti a tempo pieno: ETP)</w:t>
            </w:r>
            <w:r>
              <w:rPr>
                <w:rStyle w:val="FootnoteReference"/>
                <w:b/>
                <w:noProof/>
                <w:sz w:val="16"/>
                <w:szCs w:val="16"/>
                <w:lang w:val="it-CH"/>
              </w:rPr>
              <w:footnoteReference w:id="34"/>
            </w:r>
          </w:p>
          <w:p>
            <w:pPr>
              <w:pStyle w:val="Text1"/>
              <w:spacing w:before="0" w:after="0"/>
              <w:ind w:left="0"/>
              <w:jc w:val="left"/>
              <w:rPr>
                <w:noProof/>
                <w:sz w:val="16"/>
                <w:szCs w:val="16"/>
                <w:lang w:val="it-CH"/>
              </w:rPr>
            </w:pPr>
          </w:p>
        </w:tc>
      </w:tr>
      <w:tr>
        <w:trPr>
          <w:gridBefore w:val="1"/>
          <w:wBefore w:w="4" w:type="pct"/>
          <w:trHeight w:val="289"/>
          <w:jc w:val="center"/>
        </w:trPr>
        <w:tc>
          <w:tcPr>
            <w:tcW w:w="1897" w:type="pct"/>
            <w:gridSpan w:val="2"/>
            <w:shd w:val="clear" w:color="auto" w:fill="auto"/>
            <w:vAlign w:val="center"/>
          </w:tcPr>
          <w:p>
            <w:pPr>
              <w:pStyle w:val="Text1"/>
              <w:spacing w:beforeLines="20" w:before="48" w:afterLines="20" w:after="48"/>
              <w:ind w:left="136"/>
              <w:jc w:val="left"/>
              <w:rPr>
                <w:b/>
                <w:noProof/>
                <w:sz w:val="16"/>
                <w:szCs w:val="16"/>
                <w:lang w:val="it-CH"/>
              </w:rPr>
            </w:pPr>
            <w:r>
              <w:rPr>
                <w:noProof/>
                <w:sz w:val="16"/>
                <w:lang w:val="it-CH"/>
              </w:rPr>
              <w:t>34 01 02 01 (AC, END e INT della dotazione globale)</w:t>
            </w:r>
          </w:p>
        </w:tc>
        <w:tc>
          <w:tcPr>
            <w:tcW w:w="318" w:type="pct"/>
            <w:shd w:val="clear" w:color="auto" w:fill="auto"/>
            <w:vAlign w:val="center"/>
          </w:tcPr>
          <w:p>
            <w:pPr>
              <w:spacing w:beforeLines="20" w:before="48" w:afterLines="20" w:after="48"/>
              <w:jc w:val="center"/>
              <w:rPr>
                <w:noProof/>
                <w:sz w:val="16"/>
                <w:szCs w:val="16"/>
                <w:lang w:val="it-CH"/>
              </w:rPr>
            </w:pPr>
          </w:p>
        </w:tc>
        <w:tc>
          <w:tcPr>
            <w:tcW w:w="318" w:type="pct"/>
            <w:shd w:val="clear" w:color="auto" w:fill="auto"/>
            <w:vAlign w:val="center"/>
          </w:tcPr>
          <w:p>
            <w:pPr>
              <w:spacing w:beforeLines="20" w:before="48" w:afterLines="20" w:after="48"/>
              <w:jc w:val="center"/>
              <w:rPr>
                <w:noProof/>
                <w:sz w:val="16"/>
                <w:szCs w:val="16"/>
                <w:lang w:val="it-CH"/>
              </w:rPr>
            </w:pPr>
          </w:p>
        </w:tc>
        <w:tc>
          <w:tcPr>
            <w:tcW w:w="1662" w:type="pct"/>
            <w:shd w:val="clear" w:color="auto" w:fill="auto"/>
            <w:vAlign w:val="center"/>
          </w:tcPr>
          <w:p>
            <w:pPr>
              <w:spacing w:beforeLines="20" w:before="48" w:afterLines="20" w:after="48"/>
              <w:jc w:val="center"/>
              <w:rPr>
                <w:noProof/>
                <w:sz w:val="16"/>
                <w:szCs w:val="16"/>
                <w:lang w:val="it-CH"/>
              </w:rPr>
            </w:pPr>
            <w:r>
              <w:rPr>
                <w:noProof/>
                <w:sz w:val="16"/>
                <w:szCs w:val="16"/>
                <w:lang w:val="it-CH"/>
              </w:rPr>
              <w:t>1</w:t>
            </w:r>
          </w:p>
        </w:tc>
        <w:tc>
          <w:tcPr>
            <w:tcW w:w="456" w:type="pct"/>
            <w:shd w:val="clear" w:color="auto" w:fill="auto"/>
            <w:vAlign w:val="center"/>
          </w:tcPr>
          <w:p>
            <w:pPr>
              <w:spacing w:beforeLines="20" w:before="48" w:afterLines="20" w:after="48"/>
              <w:jc w:val="center"/>
              <w:rPr>
                <w:noProof/>
                <w:sz w:val="16"/>
                <w:szCs w:val="16"/>
                <w:lang w:val="it-CH"/>
              </w:rPr>
            </w:pPr>
            <w:r>
              <w:rPr>
                <w:noProof/>
                <w:sz w:val="16"/>
                <w:szCs w:val="16"/>
                <w:lang w:val="it-CH"/>
              </w:rPr>
              <w:t>1</w:t>
            </w:r>
          </w:p>
        </w:tc>
        <w:tc>
          <w:tcPr>
            <w:tcW w:w="115" w:type="pct"/>
            <w:shd w:val="clear" w:color="auto" w:fill="auto"/>
            <w:vAlign w:val="center"/>
          </w:tcPr>
          <w:p>
            <w:pPr>
              <w:spacing w:beforeLines="20" w:before="48" w:afterLines="20" w:after="48"/>
              <w:jc w:val="center"/>
              <w:rPr>
                <w:noProof/>
                <w:sz w:val="16"/>
                <w:szCs w:val="16"/>
                <w:lang w:val="it-CH"/>
              </w:rPr>
            </w:pPr>
          </w:p>
        </w:tc>
        <w:tc>
          <w:tcPr>
            <w:tcW w:w="115" w:type="pct"/>
            <w:shd w:val="clear" w:color="auto" w:fill="auto"/>
            <w:vAlign w:val="center"/>
          </w:tcPr>
          <w:p>
            <w:pPr>
              <w:spacing w:beforeLines="20" w:before="48" w:afterLines="20" w:after="48"/>
              <w:jc w:val="center"/>
              <w:rPr>
                <w:noProof/>
                <w:sz w:val="16"/>
                <w:szCs w:val="16"/>
                <w:lang w:val="it-CH"/>
              </w:rPr>
            </w:pPr>
          </w:p>
        </w:tc>
        <w:tc>
          <w:tcPr>
            <w:tcW w:w="115" w:type="pct"/>
            <w:shd w:val="clear" w:color="auto" w:fill="auto"/>
            <w:vAlign w:val="center"/>
          </w:tcPr>
          <w:p>
            <w:pPr>
              <w:spacing w:beforeLines="20" w:before="48" w:afterLines="20" w:after="48"/>
              <w:jc w:val="center"/>
              <w:rPr>
                <w:noProof/>
                <w:sz w:val="16"/>
                <w:szCs w:val="16"/>
                <w:lang w:val="it-CH"/>
              </w:rPr>
            </w:pPr>
          </w:p>
        </w:tc>
      </w:tr>
      <w:tr>
        <w:trPr>
          <w:gridBefore w:val="1"/>
          <w:wBefore w:w="4"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lang w:val="it-CH"/>
              </w:rPr>
            </w:pPr>
            <w:r>
              <w:rPr>
                <w:noProof/>
                <w:sz w:val="16"/>
                <w:lang w:val="it-CH"/>
              </w:rPr>
              <w:t>XX 01 02 02 (AC, AL, END, INT e JED nelle delegazioni)</w:t>
            </w:r>
          </w:p>
        </w:tc>
        <w:tc>
          <w:tcPr>
            <w:tcW w:w="318" w:type="pct"/>
            <w:shd w:val="clear" w:color="auto" w:fill="auto"/>
            <w:vAlign w:val="center"/>
          </w:tcPr>
          <w:p>
            <w:pPr>
              <w:spacing w:beforeLines="20" w:before="48" w:afterLines="20" w:after="48"/>
              <w:jc w:val="center"/>
              <w:rPr>
                <w:noProof/>
                <w:sz w:val="16"/>
                <w:szCs w:val="16"/>
                <w:lang w:val="it-CH"/>
              </w:rPr>
            </w:pPr>
          </w:p>
        </w:tc>
        <w:tc>
          <w:tcPr>
            <w:tcW w:w="318" w:type="pct"/>
            <w:shd w:val="clear" w:color="auto" w:fill="auto"/>
            <w:vAlign w:val="center"/>
          </w:tcPr>
          <w:p>
            <w:pPr>
              <w:spacing w:beforeLines="20" w:before="48" w:afterLines="20" w:after="48"/>
              <w:jc w:val="center"/>
              <w:rPr>
                <w:noProof/>
                <w:sz w:val="16"/>
                <w:szCs w:val="16"/>
                <w:lang w:val="it-CH"/>
              </w:rPr>
            </w:pPr>
          </w:p>
        </w:tc>
        <w:tc>
          <w:tcPr>
            <w:tcW w:w="1662" w:type="pct"/>
            <w:shd w:val="clear" w:color="auto" w:fill="auto"/>
            <w:vAlign w:val="center"/>
          </w:tcPr>
          <w:p>
            <w:pPr>
              <w:spacing w:beforeLines="20" w:before="48" w:afterLines="20" w:after="48"/>
              <w:jc w:val="center"/>
              <w:rPr>
                <w:noProof/>
                <w:sz w:val="16"/>
                <w:szCs w:val="16"/>
                <w:lang w:val="it-CH"/>
              </w:rPr>
            </w:pPr>
          </w:p>
        </w:tc>
        <w:tc>
          <w:tcPr>
            <w:tcW w:w="456" w:type="pct"/>
            <w:shd w:val="clear" w:color="auto" w:fill="auto"/>
            <w:vAlign w:val="center"/>
          </w:tcPr>
          <w:p>
            <w:pPr>
              <w:spacing w:beforeLines="20" w:before="48" w:afterLines="20" w:after="48"/>
              <w:jc w:val="center"/>
              <w:rPr>
                <w:noProof/>
                <w:sz w:val="16"/>
                <w:szCs w:val="16"/>
                <w:lang w:val="it-CH"/>
              </w:rPr>
            </w:pPr>
          </w:p>
        </w:tc>
        <w:tc>
          <w:tcPr>
            <w:tcW w:w="115" w:type="pct"/>
            <w:shd w:val="clear" w:color="auto" w:fill="auto"/>
            <w:vAlign w:val="center"/>
          </w:tcPr>
          <w:p>
            <w:pPr>
              <w:spacing w:beforeLines="20" w:before="48" w:afterLines="20" w:after="48"/>
              <w:jc w:val="center"/>
              <w:rPr>
                <w:noProof/>
                <w:sz w:val="16"/>
                <w:szCs w:val="16"/>
                <w:lang w:val="it-CH"/>
              </w:rPr>
            </w:pPr>
          </w:p>
        </w:tc>
        <w:tc>
          <w:tcPr>
            <w:tcW w:w="115" w:type="pct"/>
            <w:shd w:val="clear" w:color="auto" w:fill="auto"/>
            <w:vAlign w:val="center"/>
          </w:tcPr>
          <w:p>
            <w:pPr>
              <w:spacing w:beforeLines="20" w:before="48" w:afterLines="20" w:after="48"/>
              <w:jc w:val="center"/>
              <w:rPr>
                <w:noProof/>
                <w:sz w:val="16"/>
                <w:szCs w:val="16"/>
                <w:lang w:val="it-CH"/>
              </w:rPr>
            </w:pPr>
          </w:p>
        </w:tc>
        <w:tc>
          <w:tcPr>
            <w:tcW w:w="115" w:type="pct"/>
            <w:shd w:val="clear" w:color="auto" w:fill="auto"/>
            <w:vAlign w:val="center"/>
          </w:tcPr>
          <w:p>
            <w:pPr>
              <w:spacing w:beforeLines="20" w:before="48" w:afterLines="20" w:after="48"/>
              <w:jc w:val="center"/>
              <w:rPr>
                <w:noProof/>
                <w:sz w:val="16"/>
                <w:szCs w:val="16"/>
                <w:lang w:val="it-CH"/>
              </w:rPr>
            </w:pPr>
          </w:p>
        </w:tc>
      </w:tr>
      <w:tr>
        <w:trPr>
          <w:gridBefore w:val="1"/>
          <w:wBefore w:w="4" w:type="pct"/>
          <w:trHeight w:val="289"/>
          <w:jc w:val="center"/>
        </w:trPr>
        <w:tc>
          <w:tcPr>
            <w:tcW w:w="948" w:type="pct"/>
            <w:vMerge w:val="restart"/>
            <w:shd w:val="clear" w:color="auto" w:fill="auto"/>
            <w:vAlign w:val="center"/>
          </w:tcPr>
          <w:p>
            <w:pPr>
              <w:pStyle w:val="Text1"/>
              <w:spacing w:beforeLines="20" w:before="48" w:afterLines="20" w:after="48"/>
              <w:ind w:left="136"/>
              <w:jc w:val="left"/>
              <w:rPr>
                <w:b/>
                <w:noProof/>
                <w:sz w:val="16"/>
                <w:szCs w:val="16"/>
                <w:lang w:val="it-CH"/>
              </w:rPr>
            </w:pPr>
            <w:r>
              <w:rPr>
                <w:b/>
                <w:noProof/>
                <w:sz w:val="16"/>
                <w:lang w:val="it-CH"/>
              </w:rPr>
              <w:t>XX</w:t>
            </w:r>
            <w:r>
              <w:rPr>
                <w:noProof/>
                <w:sz w:val="16"/>
                <w:lang w:val="it-CH"/>
              </w:rPr>
              <w:t xml:space="preserve"> 01 04 </w:t>
            </w:r>
            <w:r>
              <w:rPr>
                <w:b/>
                <w:noProof/>
                <w:sz w:val="16"/>
                <w:lang w:val="it-CH"/>
              </w:rPr>
              <w:t>yy</w:t>
            </w:r>
            <w:r>
              <w:rPr>
                <w:b/>
                <w:i/>
                <w:noProof/>
                <w:sz w:val="16"/>
                <w:lang w:val="it-CH"/>
              </w:rPr>
              <w:t xml:space="preserve"> </w:t>
            </w:r>
            <w:r>
              <w:rPr>
                <w:rStyle w:val="FootnoteReference"/>
                <w:noProof/>
                <w:lang w:val="it-CH"/>
              </w:rPr>
              <w:footnoteReference w:id="35"/>
            </w:r>
          </w:p>
          <w:p>
            <w:pPr>
              <w:pStyle w:val="Text1"/>
              <w:spacing w:beforeLines="20" w:before="48" w:afterLines="20" w:after="48"/>
              <w:ind w:left="136"/>
              <w:jc w:val="left"/>
              <w:rPr>
                <w:b/>
                <w:noProof/>
                <w:sz w:val="16"/>
                <w:szCs w:val="16"/>
                <w:lang w:val="it-CH"/>
              </w:rPr>
            </w:pPr>
          </w:p>
        </w:tc>
        <w:tc>
          <w:tcPr>
            <w:tcW w:w="949" w:type="pct"/>
            <w:shd w:val="clear" w:color="auto" w:fill="auto"/>
            <w:vAlign w:val="center"/>
          </w:tcPr>
          <w:p>
            <w:pPr>
              <w:pStyle w:val="Text1"/>
              <w:spacing w:beforeLines="20" w:before="48" w:afterLines="20" w:after="48"/>
              <w:ind w:left="136"/>
              <w:jc w:val="left"/>
              <w:rPr>
                <w:b/>
                <w:noProof/>
                <w:sz w:val="16"/>
                <w:szCs w:val="16"/>
                <w:lang w:val="it-CH"/>
              </w:rPr>
            </w:pPr>
            <w:r>
              <w:rPr>
                <w:noProof/>
                <w:sz w:val="16"/>
                <w:lang w:val="it-CH"/>
              </w:rPr>
              <w:t>- in sede</w:t>
            </w:r>
          </w:p>
          <w:p>
            <w:pPr>
              <w:pStyle w:val="Text1"/>
              <w:spacing w:beforeLines="20" w:before="48" w:afterLines="20" w:after="48"/>
              <w:ind w:left="136"/>
              <w:jc w:val="left"/>
              <w:rPr>
                <w:b/>
                <w:noProof/>
                <w:sz w:val="16"/>
                <w:szCs w:val="16"/>
                <w:lang w:val="it-CH"/>
              </w:rPr>
            </w:pPr>
          </w:p>
        </w:tc>
        <w:tc>
          <w:tcPr>
            <w:tcW w:w="318" w:type="pct"/>
            <w:shd w:val="clear" w:color="auto" w:fill="auto"/>
            <w:vAlign w:val="center"/>
          </w:tcPr>
          <w:p>
            <w:pPr>
              <w:pStyle w:val="Text1"/>
              <w:spacing w:beforeLines="20" w:before="48" w:afterLines="20" w:after="48"/>
              <w:ind w:left="0"/>
              <w:rPr>
                <w:noProof/>
                <w:sz w:val="16"/>
                <w:szCs w:val="16"/>
                <w:lang w:val="it-CH"/>
              </w:rPr>
            </w:pPr>
          </w:p>
        </w:tc>
        <w:tc>
          <w:tcPr>
            <w:tcW w:w="318" w:type="pct"/>
            <w:shd w:val="clear" w:color="auto" w:fill="auto"/>
            <w:vAlign w:val="center"/>
          </w:tcPr>
          <w:p>
            <w:pPr>
              <w:spacing w:beforeLines="20" w:before="48" w:afterLines="20" w:after="48"/>
              <w:jc w:val="center"/>
              <w:rPr>
                <w:noProof/>
                <w:sz w:val="16"/>
                <w:szCs w:val="16"/>
                <w:lang w:val="it-CH"/>
              </w:rPr>
            </w:pPr>
          </w:p>
        </w:tc>
        <w:tc>
          <w:tcPr>
            <w:tcW w:w="1662" w:type="pct"/>
            <w:shd w:val="clear" w:color="auto" w:fill="auto"/>
            <w:vAlign w:val="center"/>
          </w:tcPr>
          <w:p>
            <w:pPr>
              <w:spacing w:beforeLines="20" w:before="48" w:afterLines="20" w:after="48"/>
              <w:jc w:val="center"/>
              <w:rPr>
                <w:noProof/>
                <w:sz w:val="16"/>
                <w:szCs w:val="16"/>
                <w:lang w:val="it-CH"/>
              </w:rPr>
            </w:pPr>
          </w:p>
        </w:tc>
        <w:tc>
          <w:tcPr>
            <w:tcW w:w="456" w:type="pct"/>
            <w:shd w:val="clear" w:color="auto" w:fill="auto"/>
            <w:vAlign w:val="center"/>
          </w:tcPr>
          <w:p>
            <w:pPr>
              <w:spacing w:beforeLines="20" w:before="48" w:afterLines="20" w:after="48"/>
              <w:jc w:val="center"/>
              <w:rPr>
                <w:noProof/>
                <w:sz w:val="16"/>
                <w:szCs w:val="16"/>
                <w:lang w:val="it-CH"/>
              </w:rPr>
            </w:pPr>
          </w:p>
        </w:tc>
        <w:tc>
          <w:tcPr>
            <w:tcW w:w="115" w:type="pct"/>
            <w:shd w:val="clear" w:color="auto" w:fill="auto"/>
            <w:vAlign w:val="center"/>
          </w:tcPr>
          <w:p>
            <w:pPr>
              <w:spacing w:beforeLines="20" w:before="48" w:afterLines="20" w:after="48"/>
              <w:jc w:val="center"/>
              <w:rPr>
                <w:noProof/>
                <w:sz w:val="16"/>
                <w:szCs w:val="16"/>
                <w:lang w:val="it-CH"/>
              </w:rPr>
            </w:pPr>
          </w:p>
        </w:tc>
        <w:tc>
          <w:tcPr>
            <w:tcW w:w="115" w:type="pct"/>
            <w:shd w:val="clear" w:color="auto" w:fill="auto"/>
            <w:vAlign w:val="center"/>
          </w:tcPr>
          <w:p>
            <w:pPr>
              <w:spacing w:beforeLines="20" w:before="48" w:afterLines="20" w:after="48"/>
              <w:jc w:val="center"/>
              <w:rPr>
                <w:noProof/>
                <w:sz w:val="16"/>
                <w:szCs w:val="16"/>
                <w:lang w:val="it-CH"/>
              </w:rPr>
            </w:pPr>
          </w:p>
        </w:tc>
        <w:tc>
          <w:tcPr>
            <w:tcW w:w="115" w:type="pct"/>
            <w:shd w:val="clear" w:color="auto" w:fill="auto"/>
            <w:vAlign w:val="center"/>
          </w:tcPr>
          <w:p>
            <w:pPr>
              <w:spacing w:beforeLines="20" w:before="48" w:afterLines="20" w:after="48"/>
              <w:jc w:val="center"/>
              <w:rPr>
                <w:noProof/>
                <w:sz w:val="16"/>
                <w:szCs w:val="16"/>
                <w:lang w:val="it-CH"/>
              </w:rPr>
            </w:pPr>
          </w:p>
        </w:tc>
      </w:tr>
      <w:tr>
        <w:trPr>
          <w:gridBefore w:val="1"/>
          <w:wBefore w:w="4" w:type="pct"/>
          <w:trHeight w:val="289"/>
          <w:jc w:val="center"/>
        </w:trPr>
        <w:tc>
          <w:tcPr>
            <w:tcW w:w="948" w:type="pct"/>
            <w:vMerge/>
            <w:shd w:val="clear" w:color="auto" w:fill="auto"/>
            <w:vAlign w:val="center"/>
          </w:tcPr>
          <w:p>
            <w:pPr>
              <w:pStyle w:val="Text1"/>
              <w:spacing w:beforeLines="20" w:before="48" w:afterLines="20" w:after="48"/>
              <w:ind w:left="136"/>
              <w:jc w:val="left"/>
              <w:rPr>
                <w:b/>
                <w:noProof/>
                <w:sz w:val="16"/>
                <w:szCs w:val="16"/>
                <w:lang w:val="it-CH"/>
              </w:rPr>
            </w:pPr>
          </w:p>
        </w:tc>
        <w:tc>
          <w:tcPr>
            <w:tcW w:w="949" w:type="pct"/>
            <w:shd w:val="clear" w:color="auto" w:fill="auto"/>
            <w:vAlign w:val="center"/>
          </w:tcPr>
          <w:p>
            <w:pPr>
              <w:pStyle w:val="Text1"/>
              <w:spacing w:beforeLines="20" w:before="48" w:afterLines="20" w:after="48"/>
              <w:ind w:left="136"/>
              <w:jc w:val="left"/>
              <w:rPr>
                <w:b/>
                <w:noProof/>
                <w:sz w:val="16"/>
                <w:szCs w:val="16"/>
                <w:lang w:val="it-CH"/>
              </w:rPr>
            </w:pPr>
            <w:r>
              <w:rPr>
                <w:noProof/>
                <w:sz w:val="16"/>
                <w:lang w:val="it-CH"/>
              </w:rPr>
              <w:t>- nelle delegazioni</w:t>
            </w:r>
          </w:p>
        </w:tc>
        <w:tc>
          <w:tcPr>
            <w:tcW w:w="318" w:type="pct"/>
            <w:shd w:val="clear" w:color="auto" w:fill="auto"/>
            <w:vAlign w:val="center"/>
          </w:tcPr>
          <w:p>
            <w:pPr>
              <w:pStyle w:val="Text1"/>
              <w:spacing w:beforeLines="20" w:before="48" w:afterLines="20" w:after="48"/>
              <w:ind w:left="0"/>
              <w:rPr>
                <w:noProof/>
                <w:sz w:val="16"/>
                <w:szCs w:val="16"/>
                <w:lang w:val="it-CH"/>
              </w:rPr>
            </w:pPr>
          </w:p>
        </w:tc>
        <w:tc>
          <w:tcPr>
            <w:tcW w:w="318" w:type="pct"/>
            <w:shd w:val="clear" w:color="auto" w:fill="auto"/>
            <w:vAlign w:val="center"/>
          </w:tcPr>
          <w:p>
            <w:pPr>
              <w:spacing w:beforeLines="20" w:before="48" w:afterLines="20" w:after="48"/>
              <w:jc w:val="center"/>
              <w:rPr>
                <w:noProof/>
                <w:sz w:val="16"/>
                <w:szCs w:val="16"/>
                <w:lang w:val="it-CH"/>
              </w:rPr>
            </w:pPr>
          </w:p>
        </w:tc>
        <w:tc>
          <w:tcPr>
            <w:tcW w:w="1662" w:type="pct"/>
            <w:shd w:val="clear" w:color="auto" w:fill="auto"/>
            <w:vAlign w:val="center"/>
          </w:tcPr>
          <w:p>
            <w:pPr>
              <w:spacing w:beforeLines="20" w:before="48" w:afterLines="20" w:after="48"/>
              <w:jc w:val="center"/>
              <w:rPr>
                <w:noProof/>
                <w:sz w:val="16"/>
                <w:szCs w:val="16"/>
                <w:lang w:val="it-CH"/>
              </w:rPr>
            </w:pPr>
          </w:p>
        </w:tc>
        <w:tc>
          <w:tcPr>
            <w:tcW w:w="456" w:type="pct"/>
            <w:shd w:val="clear" w:color="auto" w:fill="auto"/>
            <w:vAlign w:val="center"/>
          </w:tcPr>
          <w:p>
            <w:pPr>
              <w:spacing w:beforeLines="20" w:before="48" w:afterLines="20" w:after="48"/>
              <w:jc w:val="center"/>
              <w:rPr>
                <w:noProof/>
                <w:sz w:val="16"/>
                <w:szCs w:val="16"/>
                <w:lang w:val="it-CH"/>
              </w:rPr>
            </w:pPr>
          </w:p>
        </w:tc>
        <w:tc>
          <w:tcPr>
            <w:tcW w:w="115" w:type="pct"/>
            <w:shd w:val="clear" w:color="auto" w:fill="auto"/>
            <w:vAlign w:val="center"/>
          </w:tcPr>
          <w:p>
            <w:pPr>
              <w:spacing w:beforeLines="20" w:before="48" w:afterLines="20" w:after="48"/>
              <w:jc w:val="center"/>
              <w:rPr>
                <w:noProof/>
                <w:sz w:val="16"/>
                <w:szCs w:val="16"/>
                <w:lang w:val="it-CH"/>
              </w:rPr>
            </w:pPr>
          </w:p>
        </w:tc>
        <w:tc>
          <w:tcPr>
            <w:tcW w:w="115" w:type="pct"/>
            <w:shd w:val="clear" w:color="auto" w:fill="auto"/>
            <w:vAlign w:val="center"/>
          </w:tcPr>
          <w:p>
            <w:pPr>
              <w:spacing w:beforeLines="20" w:before="48" w:afterLines="20" w:after="48"/>
              <w:jc w:val="center"/>
              <w:rPr>
                <w:noProof/>
                <w:sz w:val="16"/>
                <w:szCs w:val="16"/>
                <w:lang w:val="it-CH"/>
              </w:rPr>
            </w:pPr>
          </w:p>
        </w:tc>
        <w:tc>
          <w:tcPr>
            <w:tcW w:w="115" w:type="pct"/>
            <w:shd w:val="clear" w:color="auto" w:fill="auto"/>
            <w:vAlign w:val="center"/>
          </w:tcPr>
          <w:p>
            <w:pPr>
              <w:spacing w:beforeLines="20" w:before="48" w:afterLines="20" w:after="48"/>
              <w:jc w:val="center"/>
              <w:rPr>
                <w:noProof/>
                <w:sz w:val="16"/>
                <w:szCs w:val="16"/>
                <w:lang w:val="it-CH"/>
              </w:rPr>
            </w:pPr>
          </w:p>
        </w:tc>
      </w:tr>
      <w:tr>
        <w:trPr>
          <w:gridBefore w:val="1"/>
          <w:wBefore w:w="4"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lang w:val="it-CH"/>
              </w:rPr>
            </w:pPr>
            <w:r>
              <w:rPr>
                <w:noProof/>
                <w:sz w:val="16"/>
                <w:szCs w:val="16"/>
                <w:lang w:val="it-CH"/>
              </w:rPr>
              <w:t>XX 01 05 02 (AC, END e INT – ricerca indiretta)</w:t>
            </w:r>
          </w:p>
        </w:tc>
        <w:tc>
          <w:tcPr>
            <w:tcW w:w="318" w:type="pct"/>
            <w:shd w:val="clear" w:color="auto" w:fill="auto"/>
            <w:vAlign w:val="center"/>
          </w:tcPr>
          <w:p>
            <w:pPr>
              <w:spacing w:beforeLines="20" w:before="48" w:afterLines="20" w:after="48"/>
              <w:jc w:val="center"/>
              <w:rPr>
                <w:noProof/>
                <w:sz w:val="16"/>
                <w:szCs w:val="16"/>
                <w:lang w:val="it-CH"/>
              </w:rPr>
            </w:pPr>
          </w:p>
        </w:tc>
        <w:tc>
          <w:tcPr>
            <w:tcW w:w="318" w:type="pct"/>
            <w:shd w:val="clear" w:color="auto" w:fill="auto"/>
            <w:vAlign w:val="center"/>
          </w:tcPr>
          <w:p>
            <w:pPr>
              <w:spacing w:beforeLines="20" w:before="48" w:afterLines="20" w:after="48"/>
              <w:jc w:val="center"/>
              <w:rPr>
                <w:noProof/>
                <w:sz w:val="16"/>
                <w:szCs w:val="16"/>
                <w:lang w:val="it-CH"/>
              </w:rPr>
            </w:pPr>
          </w:p>
        </w:tc>
        <w:tc>
          <w:tcPr>
            <w:tcW w:w="1662" w:type="pct"/>
            <w:shd w:val="clear" w:color="auto" w:fill="auto"/>
            <w:vAlign w:val="center"/>
          </w:tcPr>
          <w:p>
            <w:pPr>
              <w:spacing w:beforeLines="20" w:before="48" w:afterLines="20" w:after="48"/>
              <w:jc w:val="center"/>
              <w:rPr>
                <w:noProof/>
                <w:sz w:val="16"/>
                <w:szCs w:val="16"/>
                <w:lang w:val="it-CH"/>
              </w:rPr>
            </w:pPr>
          </w:p>
        </w:tc>
        <w:tc>
          <w:tcPr>
            <w:tcW w:w="456" w:type="pct"/>
            <w:shd w:val="clear" w:color="auto" w:fill="auto"/>
            <w:vAlign w:val="center"/>
          </w:tcPr>
          <w:p>
            <w:pPr>
              <w:spacing w:beforeLines="20" w:before="48" w:afterLines="20" w:after="48"/>
              <w:jc w:val="center"/>
              <w:rPr>
                <w:noProof/>
                <w:sz w:val="16"/>
                <w:szCs w:val="16"/>
                <w:lang w:val="it-CH"/>
              </w:rPr>
            </w:pPr>
          </w:p>
        </w:tc>
        <w:tc>
          <w:tcPr>
            <w:tcW w:w="115" w:type="pct"/>
            <w:shd w:val="clear" w:color="auto" w:fill="auto"/>
            <w:vAlign w:val="center"/>
          </w:tcPr>
          <w:p>
            <w:pPr>
              <w:spacing w:beforeLines="20" w:before="48" w:afterLines="20" w:after="48"/>
              <w:jc w:val="center"/>
              <w:rPr>
                <w:noProof/>
                <w:sz w:val="16"/>
                <w:szCs w:val="16"/>
                <w:lang w:val="it-CH"/>
              </w:rPr>
            </w:pPr>
          </w:p>
        </w:tc>
        <w:tc>
          <w:tcPr>
            <w:tcW w:w="115" w:type="pct"/>
            <w:shd w:val="clear" w:color="auto" w:fill="auto"/>
            <w:vAlign w:val="center"/>
          </w:tcPr>
          <w:p>
            <w:pPr>
              <w:spacing w:beforeLines="20" w:before="48" w:afterLines="20" w:after="48"/>
              <w:jc w:val="center"/>
              <w:rPr>
                <w:noProof/>
                <w:sz w:val="16"/>
                <w:szCs w:val="16"/>
                <w:lang w:val="it-CH"/>
              </w:rPr>
            </w:pPr>
          </w:p>
        </w:tc>
        <w:tc>
          <w:tcPr>
            <w:tcW w:w="115" w:type="pct"/>
            <w:shd w:val="clear" w:color="auto" w:fill="auto"/>
            <w:vAlign w:val="center"/>
          </w:tcPr>
          <w:p>
            <w:pPr>
              <w:spacing w:beforeLines="20" w:before="48" w:afterLines="20" w:after="48"/>
              <w:jc w:val="center"/>
              <w:rPr>
                <w:noProof/>
                <w:sz w:val="16"/>
                <w:szCs w:val="16"/>
                <w:lang w:val="it-CH"/>
              </w:rPr>
            </w:pPr>
          </w:p>
        </w:tc>
      </w:tr>
      <w:tr>
        <w:trPr>
          <w:gridBefore w:val="1"/>
          <w:wBefore w:w="4"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lang w:val="it-CH"/>
              </w:rPr>
            </w:pPr>
            <w:r>
              <w:rPr>
                <w:noProof/>
                <w:sz w:val="16"/>
                <w:lang w:val="it-CH"/>
              </w:rPr>
              <w:t>10 01 05 02 (AC, END e INT – ricerca diretta)</w:t>
            </w:r>
          </w:p>
        </w:tc>
        <w:tc>
          <w:tcPr>
            <w:tcW w:w="318" w:type="pct"/>
            <w:shd w:val="clear" w:color="auto" w:fill="auto"/>
            <w:vAlign w:val="center"/>
          </w:tcPr>
          <w:p>
            <w:pPr>
              <w:spacing w:beforeLines="20" w:before="48" w:afterLines="20" w:after="48"/>
              <w:jc w:val="center"/>
              <w:rPr>
                <w:noProof/>
                <w:sz w:val="16"/>
                <w:szCs w:val="16"/>
                <w:lang w:val="it-CH"/>
              </w:rPr>
            </w:pPr>
          </w:p>
        </w:tc>
        <w:tc>
          <w:tcPr>
            <w:tcW w:w="318" w:type="pct"/>
            <w:shd w:val="clear" w:color="auto" w:fill="auto"/>
            <w:vAlign w:val="center"/>
          </w:tcPr>
          <w:p>
            <w:pPr>
              <w:spacing w:beforeLines="20" w:before="48" w:afterLines="20" w:after="48"/>
              <w:jc w:val="center"/>
              <w:rPr>
                <w:noProof/>
                <w:sz w:val="16"/>
                <w:szCs w:val="16"/>
                <w:lang w:val="it-CH"/>
              </w:rPr>
            </w:pPr>
          </w:p>
        </w:tc>
        <w:tc>
          <w:tcPr>
            <w:tcW w:w="1662" w:type="pct"/>
            <w:shd w:val="clear" w:color="auto" w:fill="auto"/>
            <w:vAlign w:val="center"/>
          </w:tcPr>
          <w:p>
            <w:pPr>
              <w:spacing w:beforeLines="20" w:before="48" w:afterLines="20" w:after="48"/>
              <w:jc w:val="center"/>
              <w:rPr>
                <w:noProof/>
                <w:sz w:val="16"/>
                <w:szCs w:val="16"/>
                <w:lang w:val="it-CH"/>
              </w:rPr>
            </w:pPr>
          </w:p>
        </w:tc>
        <w:tc>
          <w:tcPr>
            <w:tcW w:w="456" w:type="pct"/>
            <w:shd w:val="clear" w:color="auto" w:fill="auto"/>
            <w:vAlign w:val="center"/>
          </w:tcPr>
          <w:p>
            <w:pPr>
              <w:spacing w:beforeLines="20" w:before="48" w:afterLines="20" w:after="48"/>
              <w:jc w:val="center"/>
              <w:rPr>
                <w:noProof/>
                <w:sz w:val="16"/>
                <w:szCs w:val="16"/>
                <w:lang w:val="it-CH"/>
              </w:rPr>
            </w:pPr>
          </w:p>
        </w:tc>
        <w:tc>
          <w:tcPr>
            <w:tcW w:w="115" w:type="pct"/>
            <w:shd w:val="clear" w:color="auto" w:fill="auto"/>
            <w:vAlign w:val="center"/>
          </w:tcPr>
          <w:p>
            <w:pPr>
              <w:spacing w:beforeLines="20" w:before="48" w:afterLines="20" w:after="48"/>
              <w:jc w:val="center"/>
              <w:rPr>
                <w:noProof/>
                <w:sz w:val="16"/>
                <w:szCs w:val="16"/>
                <w:lang w:val="it-CH"/>
              </w:rPr>
            </w:pPr>
          </w:p>
        </w:tc>
        <w:tc>
          <w:tcPr>
            <w:tcW w:w="115" w:type="pct"/>
            <w:shd w:val="clear" w:color="auto" w:fill="auto"/>
            <w:vAlign w:val="center"/>
          </w:tcPr>
          <w:p>
            <w:pPr>
              <w:spacing w:beforeLines="20" w:before="48" w:afterLines="20" w:after="48"/>
              <w:jc w:val="center"/>
              <w:rPr>
                <w:noProof/>
                <w:sz w:val="16"/>
                <w:szCs w:val="16"/>
                <w:lang w:val="it-CH"/>
              </w:rPr>
            </w:pPr>
          </w:p>
        </w:tc>
        <w:tc>
          <w:tcPr>
            <w:tcW w:w="115" w:type="pct"/>
            <w:shd w:val="clear" w:color="auto" w:fill="auto"/>
            <w:vAlign w:val="center"/>
          </w:tcPr>
          <w:p>
            <w:pPr>
              <w:spacing w:beforeLines="20" w:before="48" w:afterLines="20" w:after="48"/>
              <w:jc w:val="center"/>
              <w:rPr>
                <w:noProof/>
                <w:sz w:val="16"/>
                <w:szCs w:val="16"/>
                <w:lang w:val="it-CH"/>
              </w:rPr>
            </w:pPr>
          </w:p>
        </w:tc>
      </w:tr>
      <w:tr>
        <w:trPr>
          <w:gridBefore w:val="1"/>
          <w:wBefore w:w="4" w:type="pct"/>
          <w:trHeight w:val="289"/>
          <w:jc w:val="center"/>
        </w:trPr>
        <w:tc>
          <w:tcPr>
            <w:tcW w:w="1897"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lang w:val="it-CH"/>
              </w:rPr>
            </w:pPr>
            <w:r>
              <w:rPr>
                <w:noProof/>
                <w:sz w:val="16"/>
                <w:lang w:val="it-CH"/>
              </w:rPr>
              <w:t>Altre linee di bilancio (specificare)</w:t>
            </w: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lang w:val="it-CH"/>
              </w:rPr>
            </w:pP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lang w:val="it-CH"/>
              </w:rPr>
            </w:pPr>
          </w:p>
        </w:tc>
        <w:tc>
          <w:tcPr>
            <w:tcW w:w="1662" w:type="pct"/>
            <w:tcBorders>
              <w:bottom w:val="double" w:sz="4" w:space="0" w:color="auto"/>
            </w:tcBorders>
            <w:shd w:val="clear" w:color="auto" w:fill="auto"/>
            <w:vAlign w:val="center"/>
          </w:tcPr>
          <w:p>
            <w:pPr>
              <w:spacing w:beforeLines="20" w:before="48" w:afterLines="20" w:after="48"/>
              <w:jc w:val="center"/>
              <w:rPr>
                <w:noProof/>
                <w:sz w:val="16"/>
                <w:szCs w:val="16"/>
                <w:lang w:val="it-CH"/>
              </w:rPr>
            </w:pPr>
          </w:p>
        </w:tc>
        <w:tc>
          <w:tcPr>
            <w:tcW w:w="456" w:type="pct"/>
            <w:tcBorders>
              <w:bottom w:val="double" w:sz="4" w:space="0" w:color="auto"/>
            </w:tcBorders>
            <w:shd w:val="clear" w:color="auto" w:fill="auto"/>
            <w:vAlign w:val="center"/>
          </w:tcPr>
          <w:p>
            <w:pPr>
              <w:spacing w:beforeLines="20" w:before="48" w:afterLines="20" w:after="48"/>
              <w:jc w:val="center"/>
              <w:rPr>
                <w:noProof/>
                <w:sz w:val="16"/>
                <w:szCs w:val="16"/>
                <w:lang w:val="it-CH"/>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lang w:val="it-CH"/>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lang w:val="it-CH"/>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lang w:val="it-CH"/>
              </w:rPr>
            </w:pPr>
          </w:p>
        </w:tc>
      </w:tr>
      <w:tr>
        <w:trPr>
          <w:gridBefore w:val="1"/>
          <w:wBefore w:w="4" w:type="pct"/>
          <w:trHeight w:val="289"/>
          <w:jc w:val="center"/>
        </w:trPr>
        <w:tc>
          <w:tcPr>
            <w:tcW w:w="1897"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lang w:val="it-CH"/>
              </w:rPr>
            </w:pPr>
            <w:r>
              <w:rPr>
                <w:b/>
                <w:noProof/>
                <w:sz w:val="16"/>
                <w:lang w:val="it-CH"/>
              </w:rPr>
              <w:t>TOTALE</w:t>
            </w: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lang w:val="it-CH"/>
              </w:rPr>
            </w:pPr>
            <w:r>
              <w:rPr>
                <w:b/>
                <w:noProof/>
                <w:sz w:val="16"/>
                <w:szCs w:val="16"/>
                <w:lang w:val="it-CH"/>
              </w:rPr>
              <w:t>3</w:t>
            </w: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lang w:val="it-CH"/>
              </w:rPr>
            </w:pPr>
            <w:r>
              <w:rPr>
                <w:b/>
                <w:noProof/>
                <w:sz w:val="16"/>
                <w:szCs w:val="16"/>
                <w:lang w:val="it-CH"/>
              </w:rPr>
              <w:t>3</w:t>
            </w:r>
          </w:p>
        </w:tc>
        <w:tc>
          <w:tcPr>
            <w:tcW w:w="1662" w:type="pct"/>
            <w:tcBorders>
              <w:top w:val="double" w:sz="4" w:space="0" w:color="auto"/>
            </w:tcBorders>
            <w:shd w:val="clear" w:color="auto" w:fill="auto"/>
            <w:vAlign w:val="center"/>
          </w:tcPr>
          <w:p>
            <w:pPr>
              <w:spacing w:beforeLines="20" w:before="48" w:afterLines="20" w:after="48"/>
              <w:jc w:val="center"/>
              <w:rPr>
                <w:b/>
                <w:noProof/>
                <w:sz w:val="16"/>
                <w:szCs w:val="16"/>
                <w:lang w:val="it-CH"/>
              </w:rPr>
            </w:pPr>
            <w:r>
              <w:rPr>
                <w:b/>
                <w:noProof/>
                <w:sz w:val="16"/>
                <w:szCs w:val="16"/>
                <w:lang w:val="it-CH"/>
              </w:rPr>
              <w:t>5</w:t>
            </w:r>
          </w:p>
        </w:tc>
        <w:tc>
          <w:tcPr>
            <w:tcW w:w="456" w:type="pct"/>
            <w:tcBorders>
              <w:top w:val="double" w:sz="4" w:space="0" w:color="auto"/>
            </w:tcBorders>
            <w:shd w:val="clear" w:color="auto" w:fill="auto"/>
            <w:vAlign w:val="center"/>
          </w:tcPr>
          <w:p>
            <w:pPr>
              <w:spacing w:beforeLines="20" w:before="48" w:afterLines="20" w:after="48"/>
              <w:jc w:val="center"/>
              <w:rPr>
                <w:b/>
                <w:noProof/>
                <w:sz w:val="16"/>
                <w:szCs w:val="16"/>
                <w:lang w:val="it-CH"/>
              </w:rPr>
            </w:pPr>
            <w:r>
              <w:rPr>
                <w:b/>
                <w:noProof/>
                <w:sz w:val="16"/>
                <w:szCs w:val="16"/>
                <w:lang w:val="it-CH"/>
              </w:rPr>
              <w:t>5</w:t>
            </w: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lang w:val="it-CH"/>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lang w:val="it-CH"/>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lang w:val="it-CH"/>
              </w:rPr>
            </w:pPr>
          </w:p>
        </w:tc>
      </w:tr>
    </w:tbl>
    <w:p>
      <w:pPr>
        <w:pStyle w:val="Text1"/>
        <w:spacing w:before="60" w:after="60"/>
        <w:ind w:left="851"/>
        <w:rPr>
          <w:noProof/>
          <w:sz w:val="18"/>
          <w:szCs w:val="18"/>
          <w:lang w:val="it-CH"/>
        </w:rPr>
      </w:pPr>
      <w:r>
        <w:rPr>
          <w:b/>
          <w:noProof/>
          <w:sz w:val="18"/>
          <w:szCs w:val="18"/>
          <w:lang w:val="it-CH"/>
        </w:rPr>
        <w:t>34</w:t>
      </w:r>
      <w:r>
        <w:rPr>
          <w:noProof/>
          <w:sz w:val="18"/>
          <w:szCs w:val="18"/>
          <w:lang w:val="it-CH"/>
        </w:rPr>
        <w:t xml:space="preserve"> è il settore o il titolo di bilancio interessato.</w:t>
      </w:r>
    </w:p>
    <w:p>
      <w:pPr>
        <w:pStyle w:val="Text1"/>
        <w:rPr>
          <w:noProof/>
          <w:sz w:val="18"/>
          <w:szCs w:val="18"/>
          <w:lang w:val="it-CH"/>
        </w:rPr>
      </w:pPr>
      <w:r>
        <w:rPr>
          <w:noProof/>
          <w:sz w:val="18"/>
          <w:lang w:val="it-CH"/>
        </w:rPr>
        <w:t>Il fabbisogno di risorse umane è coperto dal personale della DG già assegnato alla gestione dell'azione e/o riassegnato all'interno della stessa DG, integrato dall'eventuale dotazione supplementare concessa alla DG responsabile nell'ambito della procedura annuale di assegnazione, tenendo conto dei vincoli di bilancio.</w:t>
      </w:r>
    </w:p>
    <w:p>
      <w:pPr>
        <w:rPr>
          <w:noProof/>
          <w:sz w:val="20"/>
          <w:lang w:val="it-CH"/>
        </w:rPr>
      </w:pPr>
      <w:r>
        <w:rPr>
          <w:noProof/>
          <w:sz w:val="20"/>
          <w:lang w:val="it-CH"/>
        </w:rPr>
        <w:t>Descrizione dei compiti da svolgere:</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lang w:val="it-CH"/>
              </w:rPr>
            </w:pPr>
            <w:r>
              <w:rPr>
                <w:noProof/>
                <w:sz w:val="20"/>
                <w:lang w:val="it-CH"/>
              </w:rPr>
              <w:t>Funzionari e agenti temporanei</w:t>
            </w:r>
          </w:p>
        </w:tc>
        <w:tc>
          <w:tcPr>
            <w:tcW w:w="7200" w:type="dxa"/>
          </w:tcPr>
          <w:p>
            <w:pPr>
              <w:rPr>
                <w:noProof/>
                <w:sz w:val="20"/>
                <w:lang w:val="it-CH"/>
              </w:rPr>
            </w:pPr>
            <w:r>
              <w:rPr>
                <w:noProof/>
                <w:sz w:val="20"/>
                <w:lang w:val="it-CH"/>
              </w:rPr>
              <w:t xml:space="preserve">Poiché la proposta prevede la continuazione della decisione sulla condivisione dello sforzo vigente, l'attuale équipe AD di CLIMA ne continuerà la gestione. Dal 2019 sarà necessario un ulteriore funzionario AD per garantire l'assistenza dei rappresentanti degli Stati membri e per sviluppare e gestire la parte ESD del registro dell'Unione esistente, un sistema fondamentale e complesso. </w:t>
            </w:r>
          </w:p>
        </w:tc>
      </w:tr>
      <w:tr>
        <w:tc>
          <w:tcPr>
            <w:tcW w:w="3240" w:type="dxa"/>
          </w:tcPr>
          <w:p>
            <w:pPr>
              <w:spacing w:before="60" w:after="60"/>
              <w:rPr>
                <w:noProof/>
                <w:sz w:val="20"/>
                <w:lang w:val="it-CH"/>
              </w:rPr>
            </w:pPr>
            <w:r>
              <w:rPr>
                <w:noProof/>
                <w:sz w:val="20"/>
                <w:lang w:val="it-CH"/>
              </w:rPr>
              <w:t>Personale esterno</w:t>
            </w:r>
          </w:p>
        </w:tc>
        <w:tc>
          <w:tcPr>
            <w:tcW w:w="7200" w:type="dxa"/>
          </w:tcPr>
          <w:p>
            <w:pPr>
              <w:rPr>
                <w:noProof/>
                <w:sz w:val="20"/>
                <w:lang w:val="it-CH"/>
              </w:rPr>
            </w:pPr>
            <w:r>
              <w:rPr>
                <w:noProof/>
                <w:sz w:val="20"/>
                <w:lang w:val="it-CH"/>
              </w:rPr>
              <w:t>Occorrerà un agente contrattuale (AC) come supporto durante la fase di transizione e la fase di sovrapposizione tra la decisione ESD attuale e quella futura nel 2019-2020 e per l'avvio della nuova iniziativa.</w:t>
            </w:r>
          </w:p>
        </w:tc>
      </w:tr>
    </w:tbl>
    <w:p>
      <w:pPr>
        <w:rPr>
          <w:noProof/>
          <w:lang w:val="it-CH"/>
        </w:rPr>
        <w:sectPr>
          <w:pgSz w:w="11907" w:h="16840"/>
          <w:pgMar w:top="1134" w:right="1418" w:bottom="1134" w:left="1418" w:header="709" w:footer="709" w:gutter="0"/>
          <w:cols w:space="708"/>
          <w:docGrid w:linePitch="360"/>
        </w:sectPr>
      </w:pPr>
    </w:p>
    <w:p>
      <w:pPr>
        <w:pStyle w:val="ManualHeading3"/>
        <w:rPr>
          <w:bCs/>
          <w:noProof/>
          <w:szCs w:val="24"/>
          <w:lang w:val="it-CH"/>
        </w:rPr>
      </w:pPr>
      <w:r>
        <w:rPr>
          <w:noProof/>
          <w:lang w:val="it-CH"/>
        </w:rPr>
        <w:t>3.2.4.</w:t>
      </w:r>
      <w:r>
        <w:rPr>
          <w:noProof/>
          <w:lang w:val="it-CH"/>
        </w:rPr>
        <w:tab/>
        <w:t>Compatibilità con il quadro finanziario pluriennale attuale</w:t>
      </w:r>
    </w:p>
    <w:p>
      <w:pPr>
        <w:pStyle w:val="ListDash1"/>
        <w:rPr>
          <w:noProof/>
          <w:lang w:val="it-CH"/>
        </w:rPr>
      </w:pPr>
      <w:r>
        <w:rPr>
          <w:noProof/>
          <w:lang w:val="it-CH"/>
        </w:rPr>
        <w:t>X La proposta/iniziativa è compatibile con il quadro finanziario pluriennale attuale.</w:t>
      </w:r>
    </w:p>
    <w:p>
      <w:pPr>
        <w:pStyle w:val="ListDash1"/>
        <w:rPr>
          <w:noProof/>
          <w:lang w:val="it-CH"/>
        </w:rPr>
      </w:pPr>
      <w:r>
        <w:rPr>
          <w:noProof/>
          <w:lang w:val="it-CH"/>
        </w:rPr>
        <w:sym w:font="Wingdings" w:char="F0A8"/>
      </w:r>
      <w:r>
        <w:rPr>
          <w:noProof/>
          <w:lang w:val="it-CH"/>
        </w:rPr>
        <w:tab/>
        <w:t>La proposta/iniziativa richiede una riprogrammazione della pertinente rubrica del quadro finanziario pluriennale.</w:t>
      </w:r>
    </w:p>
    <w:p>
      <w:pPr>
        <w:pStyle w:val="Text1"/>
        <w:pBdr>
          <w:top w:val="single" w:sz="4" w:space="1" w:color="auto"/>
          <w:left w:val="single" w:sz="4" w:space="4" w:color="auto"/>
          <w:bottom w:val="single" w:sz="4" w:space="1" w:color="auto"/>
          <w:right w:val="single" w:sz="4" w:space="4" w:color="auto"/>
        </w:pBdr>
        <w:rPr>
          <w:noProof/>
          <w:sz w:val="20"/>
          <w:lang w:val="it-CH"/>
        </w:rPr>
      </w:pPr>
      <w:r>
        <w:rPr>
          <w:noProof/>
          <w:sz w:val="20"/>
          <w:lang w:val="it-CH"/>
        </w:rPr>
        <w:t>Spiegare la riprogrammazione richiesta, precisando le linee di bilancio interessate e gli importi corrispondenti.</w:t>
      </w:r>
    </w:p>
    <w:p>
      <w:pPr>
        <w:pStyle w:val="Text1"/>
        <w:pBdr>
          <w:top w:val="single" w:sz="4" w:space="1" w:color="auto"/>
          <w:left w:val="single" w:sz="4" w:space="4" w:color="auto"/>
          <w:bottom w:val="single" w:sz="4" w:space="1" w:color="auto"/>
          <w:right w:val="single" w:sz="4" w:space="4" w:color="auto"/>
        </w:pBdr>
        <w:rPr>
          <w:noProof/>
          <w:lang w:val="it-CH"/>
        </w:rPr>
      </w:pPr>
    </w:p>
    <w:p>
      <w:pPr>
        <w:pStyle w:val="ListDash1"/>
        <w:rPr>
          <w:noProof/>
          <w:lang w:val="it-CH"/>
        </w:rPr>
      </w:pPr>
      <w:r>
        <w:rPr>
          <w:noProof/>
          <w:lang w:val="it-CH"/>
        </w:rPr>
        <w:sym w:font="Wingdings" w:char="F0A8"/>
      </w:r>
      <w:r>
        <w:rPr>
          <w:noProof/>
          <w:lang w:val="it-CH"/>
        </w:rPr>
        <w:tab/>
        <w:t>La proposta/iniziativa richiede l'applicazione dello strumento di flessibilità o la revisione del quadro finanziario pluriennale.</w:t>
      </w:r>
    </w:p>
    <w:p>
      <w:pPr>
        <w:pStyle w:val="Text1"/>
        <w:pBdr>
          <w:top w:val="single" w:sz="4" w:space="1" w:color="auto"/>
          <w:left w:val="single" w:sz="4" w:space="4" w:color="auto"/>
          <w:bottom w:val="single" w:sz="4" w:space="1" w:color="auto"/>
          <w:right w:val="single" w:sz="4" w:space="4" w:color="auto"/>
        </w:pBdr>
        <w:rPr>
          <w:noProof/>
          <w:sz w:val="20"/>
          <w:lang w:val="it-CH"/>
        </w:rPr>
      </w:pPr>
      <w:r>
        <w:rPr>
          <w:noProof/>
          <w:sz w:val="20"/>
          <w:lang w:val="it-CH"/>
        </w:rPr>
        <w:t>Spiegare la necessità, precisando le rubriche e le linee di bilancio interessate e gli importi corrispondenti.</w:t>
      </w:r>
    </w:p>
    <w:p>
      <w:pPr>
        <w:pStyle w:val="Text1"/>
        <w:pBdr>
          <w:top w:val="single" w:sz="4" w:space="1" w:color="auto"/>
          <w:left w:val="single" w:sz="4" w:space="4" w:color="auto"/>
          <w:bottom w:val="single" w:sz="4" w:space="1" w:color="auto"/>
          <w:right w:val="single" w:sz="4" w:space="4" w:color="auto"/>
        </w:pBdr>
        <w:rPr>
          <w:noProof/>
          <w:lang w:val="it-CH"/>
        </w:rPr>
      </w:pPr>
    </w:p>
    <w:p>
      <w:pPr>
        <w:pStyle w:val="ManualHeading3"/>
        <w:rPr>
          <w:bCs/>
          <w:noProof/>
          <w:szCs w:val="24"/>
          <w:lang w:val="it-CH"/>
        </w:rPr>
      </w:pPr>
      <w:r>
        <w:rPr>
          <w:noProof/>
          <w:lang w:val="it-CH"/>
        </w:rPr>
        <w:t>3.2.5.</w:t>
      </w:r>
      <w:r>
        <w:rPr>
          <w:noProof/>
          <w:lang w:val="it-CH"/>
        </w:rPr>
        <w:tab/>
        <w:t>Partecipazione di terzi al finanziamento</w:t>
      </w:r>
    </w:p>
    <w:p>
      <w:pPr>
        <w:pStyle w:val="ListDash1"/>
        <w:rPr>
          <w:noProof/>
          <w:lang w:val="it-CH"/>
        </w:rPr>
      </w:pPr>
      <w:r>
        <w:rPr>
          <w:noProof/>
          <w:lang w:val="it-CH"/>
        </w:rPr>
        <w:t>X La proposta/iniziativa non prevede cofinanziamenti da terzi.</w:t>
      </w:r>
    </w:p>
    <w:p>
      <w:pPr>
        <w:pStyle w:val="ListDash1"/>
        <w:rPr>
          <w:noProof/>
          <w:lang w:val="it-CH"/>
        </w:rPr>
      </w:pPr>
      <w:r>
        <w:rPr>
          <w:noProof/>
          <w:lang w:val="it-CH"/>
        </w:rPr>
        <w:t>La proposta/iniziativa prevede il cofinanziamento indicato di seguito:</w:t>
      </w:r>
    </w:p>
    <w:p>
      <w:pPr>
        <w:jc w:val="right"/>
        <w:rPr>
          <w:noProof/>
          <w:sz w:val="20"/>
          <w:lang w:val="it-CH"/>
        </w:rPr>
      </w:pPr>
      <w:r>
        <w:rPr>
          <w:noProof/>
          <w:sz w:val="20"/>
          <w:lang w:val="it-CH"/>
        </w:rPr>
        <w:t>Stanziamenti in Mio EUR (al terzo decimale)</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lang w:val="it-CH"/>
              </w:rPr>
            </w:pPr>
          </w:p>
        </w:tc>
        <w:tc>
          <w:tcPr>
            <w:tcW w:w="964" w:type="dxa"/>
            <w:vAlign w:val="center"/>
          </w:tcPr>
          <w:p>
            <w:pPr>
              <w:jc w:val="center"/>
              <w:rPr>
                <w:noProof/>
                <w:sz w:val="20"/>
                <w:lang w:val="it-CH"/>
              </w:rPr>
            </w:pPr>
            <w:r>
              <w:rPr>
                <w:noProof/>
                <w:sz w:val="20"/>
                <w:lang w:val="it-CH"/>
              </w:rPr>
              <w:t>Anno</w:t>
            </w:r>
            <w:r>
              <w:rPr>
                <w:noProof/>
                <w:sz w:val="22"/>
                <w:lang w:val="it-CH"/>
              </w:rPr>
              <w:br/>
            </w:r>
            <w:r>
              <w:rPr>
                <w:b/>
                <w:noProof/>
                <w:sz w:val="20"/>
                <w:lang w:val="it-CH"/>
              </w:rPr>
              <w:t>N</w:t>
            </w:r>
          </w:p>
        </w:tc>
        <w:tc>
          <w:tcPr>
            <w:tcW w:w="964" w:type="dxa"/>
            <w:vAlign w:val="center"/>
          </w:tcPr>
          <w:p>
            <w:pPr>
              <w:jc w:val="center"/>
              <w:rPr>
                <w:noProof/>
                <w:sz w:val="20"/>
                <w:lang w:val="it-CH"/>
              </w:rPr>
            </w:pPr>
            <w:r>
              <w:rPr>
                <w:noProof/>
                <w:sz w:val="20"/>
                <w:lang w:val="it-CH"/>
              </w:rPr>
              <w:t>Anno</w:t>
            </w:r>
            <w:r>
              <w:rPr>
                <w:noProof/>
                <w:sz w:val="22"/>
                <w:lang w:val="it-CH"/>
              </w:rPr>
              <w:br/>
            </w:r>
            <w:r>
              <w:rPr>
                <w:b/>
                <w:noProof/>
                <w:sz w:val="20"/>
                <w:lang w:val="it-CH"/>
              </w:rPr>
              <w:t>N+1</w:t>
            </w:r>
          </w:p>
        </w:tc>
        <w:tc>
          <w:tcPr>
            <w:tcW w:w="964" w:type="dxa"/>
            <w:vAlign w:val="center"/>
          </w:tcPr>
          <w:p>
            <w:pPr>
              <w:jc w:val="center"/>
              <w:rPr>
                <w:noProof/>
                <w:sz w:val="20"/>
                <w:lang w:val="it-CH"/>
              </w:rPr>
            </w:pPr>
            <w:r>
              <w:rPr>
                <w:noProof/>
                <w:sz w:val="20"/>
                <w:lang w:val="it-CH"/>
              </w:rPr>
              <w:t>Anno</w:t>
            </w:r>
            <w:r>
              <w:rPr>
                <w:noProof/>
                <w:sz w:val="22"/>
                <w:lang w:val="it-CH"/>
              </w:rPr>
              <w:br/>
            </w:r>
            <w:r>
              <w:rPr>
                <w:b/>
                <w:noProof/>
                <w:sz w:val="20"/>
                <w:lang w:val="it-CH"/>
              </w:rPr>
              <w:t>N+2</w:t>
            </w:r>
          </w:p>
        </w:tc>
        <w:tc>
          <w:tcPr>
            <w:tcW w:w="964" w:type="dxa"/>
            <w:vAlign w:val="center"/>
          </w:tcPr>
          <w:p>
            <w:pPr>
              <w:jc w:val="center"/>
              <w:rPr>
                <w:noProof/>
                <w:sz w:val="20"/>
                <w:lang w:val="it-CH"/>
              </w:rPr>
            </w:pPr>
            <w:r>
              <w:rPr>
                <w:noProof/>
                <w:sz w:val="20"/>
                <w:lang w:val="it-CH"/>
              </w:rPr>
              <w:t>Anno</w:t>
            </w:r>
            <w:r>
              <w:rPr>
                <w:noProof/>
                <w:sz w:val="22"/>
                <w:lang w:val="it-CH"/>
              </w:rPr>
              <w:br/>
            </w:r>
            <w:r>
              <w:rPr>
                <w:b/>
                <w:noProof/>
                <w:sz w:val="20"/>
                <w:lang w:val="it-CH"/>
              </w:rPr>
              <w:t>N+3</w:t>
            </w:r>
          </w:p>
        </w:tc>
        <w:tc>
          <w:tcPr>
            <w:tcW w:w="2892" w:type="dxa"/>
            <w:gridSpan w:val="3"/>
            <w:vAlign w:val="center"/>
          </w:tcPr>
          <w:p>
            <w:pPr>
              <w:jc w:val="center"/>
              <w:rPr>
                <w:b/>
                <w:noProof/>
                <w:sz w:val="20"/>
                <w:lang w:val="it-CH"/>
              </w:rPr>
            </w:pPr>
            <w:r>
              <w:rPr>
                <w:noProof/>
                <w:sz w:val="20"/>
                <w:lang w:val="it-CH"/>
              </w:rPr>
              <w:t>Inserire gli anni necessari per evidenziare la durata dell'incidenza (cfr. punto 1.6)</w:t>
            </w:r>
          </w:p>
        </w:tc>
        <w:tc>
          <w:tcPr>
            <w:tcW w:w="1158" w:type="dxa"/>
            <w:vAlign w:val="center"/>
          </w:tcPr>
          <w:p>
            <w:pPr>
              <w:spacing w:before="60" w:after="60"/>
              <w:jc w:val="center"/>
              <w:rPr>
                <w:noProof/>
                <w:sz w:val="20"/>
                <w:lang w:val="it-CH"/>
              </w:rPr>
            </w:pPr>
            <w:r>
              <w:rPr>
                <w:noProof/>
                <w:sz w:val="20"/>
                <w:lang w:val="it-CH"/>
              </w:rPr>
              <w:t>Totale</w:t>
            </w:r>
          </w:p>
        </w:tc>
      </w:tr>
      <w:tr>
        <w:trPr>
          <w:cantSplit/>
        </w:trPr>
        <w:tc>
          <w:tcPr>
            <w:tcW w:w="2340" w:type="dxa"/>
          </w:tcPr>
          <w:p>
            <w:pPr>
              <w:rPr>
                <w:noProof/>
                <w:sz w:val="22"/>
                <w:lang w:val="it-CH"/>
              </w:rPr>
            </w:pPr>
            <w:r>
              <w:rPr>
                <w:noProof/>
                <w:sz w:val="20"/>
                <w:lang w:val="it-CH"/>
              </w:rPr>
              <w:t>Specificare l'organismo di cofinanziamento</w:t>
            </w:r>
            <w:r>
              <w:rPr>
                <w:i/>
                <w:noProof/>
                <w:sz w:val="20"/>
                <w:lang w:val="it-CH"/>
              </w:rPr>
              <w:t xml:space="preserve"> </w:t>
            </w:r>
          </w:p>
        </w:tc>
        <w:tc>
          <w:tcPr>
            <w:tcW w:w="964" w:type="dxa"/>
            <w:vAlign w:val="center"/>
          </w:tcPr>
          <w:p>
            <w:pPr>
              <w:spacing w:before="60" w:after="60"/>
              <w:jc w:val="center"/>
              <w:rPr>
                <w:noProof/>
                <w:sz w:val="20"/>
                <w:lang w:val="it-CH"/>
              </w:rPr>
            </w:pPr>
          </w:p>
        </w:tc>
        <w:tc>
          <w:tcPr>
            <w:tcW w:w="964" w:type="dxa"/>
            <w:vAlign w:val="center"/>
          </w:tcPr>
          <w:p>
            <w:pPr>
              <w:spacing w:before="60" w:after="60"/>
              <w:jc w:val="center"/>
              <w:rPr>
                <w:noProof/>
                <w:sz w:val="20"/>
                <w:lang w:val="it-CH"/>
              </w:rPr>
            </w:pPr>
          </w:p>
        </w:tc>
        <w:tc>
          <w:tcPr>
            <w:tcW w:w="964" w:type="dxa"/>
            <w:vAlign w:val="center"/>
          </w:tcPr>
          <w:p>
            <w:pPr>
              <w:spacing w:before="60" w:after="60"/>
              <w:jc w:val="center"/>
              <w:rPr>
                <w:noProof/>
                <w:sz w:val="20"/>
                <w:lang w:val="it-CH"/>
              </w:rPr>
            </w:pPr>
          </w:p>
        </w:tc>
        <w:tc>
          <w:tcPr>
            <w:tcW w:w="964" w:type="dxa"/>
            <w:vAlign w:val="center"/>
          </w:tcPr>
          <w:p>
            <w:pPr>
              <w:spacing w:before="60" w:after="60"/>
              <w:jc w:val="center"/>
              <w:rPr>
                <w:noProof/>
                <w:sz w:val="20"/>
                <w:lang w:val="it-CH"/>
              </w:rPr>
            </w:pPr>
          </w:p>
        </w:tc>
        <w:tc>
          <w:tcPr>
            <w:tcW w:w="964" w:type="dxa"/>
            <w:vAlign w:val="center"/>
          </w:tcPr>
          <w:p>
            <w:pPr>
              <w:spacing w:before="60" w:after="60"/>
              <w:jc w:val="center"/>
              <w:rPr>
                <w:noProof/>
                <w:sz w:val="20"/>
                <w:lang w:val="it-CH"/>
              </w:rPr>
            </w:pPr>
          </w:p>
        </w:tc>
        <w:tc>
          <w:tcPr>
            <w:tcW w:w="964" w:type="dxa"/>
            <w:vAlign w:val="center"/>
          </w:tcPr>
          <w:p>
            <w:pPr>
              <w:spacing w:before="60" w:after="60"/>
              <w:jc w:val="center"/>
              <w:rPr>
                <w:noProof/>
                <w:sz w:val="20"/>
                <w:lang w:val="it-CH"/>
              </w:rPr>
            </w:pPr>
          </w:p>
        </w:tc>
        <w:tc>
          <w:tcPr>
            <w:tcW w:w="964" w:type="dxa"/>
            <w:vAlign w:val="center"/>
          </w:tcPr>
          <w:p>
            <w:pPr>
              <w:spacing w:before="60" w:after="60"/>
              <w:jc w:val="center"/>
              <w:rPr>
                <w:noProof/>
                <w:sz w:val="20"/>
                <w:lang w:val="it-CH"/>
              </w:rPr>
            </w:pPr>
          </w:p>
        </w:tc>
        <w:tc>
          <w:tcPr>
            <w:tcW w:w="1158" w:type="dxa"/>
            <w:vAlign w:val="center"/>
          </w:tcPr>
          <w:p>
            <w:pPr>
              <w:spacing w:before="60" w:after="60"/>
              <w:jc w:val="center"/>
              <w:rPr>
                <w:noProof/>
                <w:sz w:val="20"/>
                <w:lang w:val="it-CH"/>
              </w:rPr>
            </w:pPr>
          </w:p>
        </w:tc>
      </w:tr>
      <w:tr>
        <w:trPr>
          <w:cantSplit/>
        </w:trPr>
        <w:tc>
          <w:tcPr>
            <w:tcW w:w="2340" w:type="dxa"/>
          </w:tcPr>
          <w:p>
            <w:pPr>
              <w:spacing w:before="60" w:after="60"/>
              <w:jc w:val="left"/>
              <w:rPr>
                <w:noProof/>
                <w:sz w:val="20"/>
                <w:lang w:val="it-CH"/>
              </w:rPr>
            </w:pPr>
            <w:r>
              <w:rPr>
                <w:noProof/>
                <w:sz w:val="20"/>
                <w:lang w:val="it-CH"/>
              </w:rPr>
              <w:t>TOTALE degli stanziamenti cofinanziati</w:t>
            </w:r>
          </w:p>
        </w:tc>
        <w:tc>
          <w:tcPr>
            <w:tcW w:w="964" w:type="dxa"/>
            <w:vAlign w:val="center"/>
          </w:tcPr>
          <w:p>
            <w:pPr>
              <w:spacing w:before="60" w:after="60"/>
              <w:jc w:val="center"/>
              <w:rPr>
                <w:noProof/>
                <w:sz w:val="20"/>
                <w:lang w:val="it-CH"/>
              </w:rPr>
            </w:pPr>
          </w:p>
        </w:tc>
        <w:tc>
          <w:tcPr>
            <w:tcW w:w="964" w:type="dxa"/>
            <w:vAlign w:val="center"/>
          </w:tcPr>
          <w:p>
            <w:pPr>
              <w:spacing w:before="60" w:after="60"/>
              <w:jc w:val="center"/>
              <w:rPr>
                <w:noProof/>
                <w:sz w:val="20"/>
                <w:lang w:val="it-CH"/>
              </w:rPr>
            </w:pPr>
          </w:p>
        </w:tc>
        <w:tc>
          <w:tcPr>
            <w:tcW w:w="964" w:type="dxa"/>
            <w:vAlign w:val="center"/>
          </w:tcPr>
          <w:p>
            <w:pPr>
              <w:spacing w:before="60" w:after="60"/>
              <w:jc w:val="center"/>
              <w:rPr>
                <w:noProof/>
                <w:sz w:val="20"/>
                <w:lang w:val="it-CH"/>
              </w:rPr>
            </w:pPr>
          </w:p>
        </w:tc>
        <w:tc>
          <w:tcPr>
            <w:tcW w:w="964" w:type="dxa"/>
            <w:vAlign w:val="center"/>
          </w:tcPr>
          <w:p>
            <w:pPr>
              <w:spacing w:before="60" w:after="60"/>
              <w:jc w:val="center"/>
              <w:rPr>
                <w:noProof/>
                <w:sz w:val="20"/>
                <w:lang w:val="it-CH"/>
              </w:rPr>
            </w:pPr>
          </w:p>
        </w:tc>
        <w:tc>
          <w:tcPr>
            <w:tcW w:w="964" w:type="dxa"/>
            <w:vAlign w:val="center"/>
          </w:tcPr>
          <w:p>
            <w:pPr>
              <w:spacing w:before="60" w:after="60"/>
              <w:jc w:val="center"/>
              <w:rPr>
                <w:noProof/>
                <w:sz w:val="20"/>
                <w:lang w:val="it-CH"/>
              </w:rPr>
            </w:pPr>
          </w:p>
        </w:tc>
        <w:tc>
          <w:tcPr>
            <w:tcW w:w="964" w:type="dxa"/>
            <w:vAlign w:val="center"/>
          </w:tcPr>
          <w:p>
            <w:pPr>
              <w:spacing w:before="60" w:after="60"/>
              <w:jc w:val="center"/>
              <w:rPr>
                <w:noProof/>
                <w:sz w:val="20"/>
                <w:lang w:val="it-CH"/>
              </w:rPr>
            </w:pPr>
          </w:p>
        </w:tc>
        <w:tc>
          <w:tcPr>
            <w:tcW w:w="964" w:type="dxa"/>
            <w:vAlign w:val="center"/>
          </w:tcPr>
          <w:p>
            <w:pPr>
              <w:spacing w:before="60" w:after="60"/>
              <w:jc w:val="center"/>
              <w:rPr>
                <w:noProof/>
                <w:sz w:val="20"/>
                <w:lang w:val="it-CH"/>
              </w:rPr>
            </w:pPr>
          </w:p>
        </w:tc>
        <w:tc>
          <w:tcPr>
            <w:tcW w:w="1158" w:type="dxa"/>
            <w:vAlign w:val="center"/>
          </w:tcPr>
          <w:p>
            <w:pPr>
              <w:spacing w:before="60" w:after="60"/>
              <w:jc w:val="center"/>
              <w:rPr>
                <w:noProof/>
                <w:sz w:val="20"/>
                <w:lang w:val="it-CH"/>
              </w:rPr>
            </w:pPr>
          </w:p>
        </w:tc>
      </w:tr>
    </w:tbl>
    <w:p>
      <w:pPr>
        <w:rPr>
          <w:noProof/>
          <w:lang w:val="it-CH"/>
        </w:rPr>
      </w:pPr>
      <w:r>
        <w:rPr>
          <w:noProof/>
          <w:lang w:val="it-CH"/>
        </w:rPr>
        <w:br/>
      </w:r>
    </w:p>
    <w:p>
      <w:pPr>
        <w:pStyle w:val="ManualHeading2"/>
        <w:rPr>
          <w:bCs/>
          <w:noProof/>
          <w:szCs w:val="24"/>
          <w:lang w:val="it-CH"/>
        </w:rPr>
      </w:pPr>
      <w:r>
        <w:rPr>
          <w:noProof/>
          <w:lang w:val="it-CH"/>
        </w:rPr>
        <w:br w:type="page"/>
        <w:t>3.3.</w:t>
      </w:r>
      <w:r>
        <w:rPr>
          <w:noProof/>
          <w:lang w:val="it-CH"/>
        </w:rPr>
        <w:tab/>
        <w:t>Incidenza prevista sulle entrate</w:t>
      </w:r>
    </w:p>
    <w:p>
      <w:pPr>
        <w:pStyle w:val="ListDash1"/>
        <w:rPr>
          <w:noProof/>
          <w:lang w:val="it-CH"/>
        </w:rPr>
      </w:pPr>
      <w:r>
        <w:rPr>
          <w:noProof/>
          <w:lang w:val="it-CH"/>
        </w:rPr>
        <w:t>X La proposta/iniziativa non ha incidenza finanziaria sulle entrate.</w:t>
      </w:r>
    </w:p>
    <w:p>
      <w:pPr>
        <w:pStyle w:val="ListDash1"/>
        <w:rPr>
          <w:noProof/>
          <w:lang w:val="it-CH"/>
        </w:rPr>
      </w:pPr>
      <w:r>
        <w:rPr>
          <w:noProof/>
          <w:lang w:val="it-CH"/>
        </w:rPr>
        <w:sym w:font="Wingdings" w:char="F0A8"/>
      </w:r>
      <w:r>
        <w:rPr>
          <w:noProof/>
          <w:lang w:val="it-CH"/>
        </w:rPr>
        <w:tab/>
        <w:t>La proposta/iniziativa ha la seguente incidenza finanziaria:</w:t>
      </w:r>
    </w:p>
    <w:p>
      <w:pPr>
        <w:pStyle w:val="ListNumberLevel3"/>
        <w:rPr>
          <w:noProof/>
          <w:lang w:val="it-CH"/>
        </w:rPr>
      </w:pPr>
      <w:r>
        <w:rPr>
          <w:noProof/>
          <w:lang w:val="it-CH"/>
        </w:rPr>
        <w:sym w:font="Wingdings" w:char="F0A8"/>
      </w:r>
      <w:r>
        <w:rPr>
          <w:noProof/>
          <w:lang w:val="it-CH"/>
        </w:rPr>
        <w:tab/>
        <w:t>sulle risorse proprie</w:t>
      </w:r>
    </w:p>
    <w:p>
      <w:pPr>
        <w:pStyle w:val="ListNumberLevel3"/>
        <w:rPr>
          <w:noProof/>
          <w:lang w:val="it-CH"/>
        </w:rPr>
      </w:pPr>
      <w:r>
        <w:rPr>
          <w:noProof/>
          <w:lang w:val="it-CH"/>
        </w:rPr>
        <w:sym w:font="Wingdings" w:char="F0A8"/>
      </w:r>
      <w:r>
        <w:rPr>
          <w:noProof/>
          <w:lang w:val="it-CH"/>
        </w:rPr>
        <w:tab/>
        <w:t>sulle entrate varie</w:t>
      </w:r>
    </w:p>
    <w:p>
      <w:pPr>
        <w:jc w:val="right"/>
        <w:rPr>
          <w:i/>
          <w:noProof/>
          <w:sz w:val="20"/>
          <w:lang w:val="it-CH"/>
        </w:rPr>
      </w:pPr>
      <w:r>
        <w:rPr>
          <w:noProof/>
          <w:lang w:val="it-CH"/>
        </w:rPr>
        <w:t>Mio EUR (al terzo decimale)</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lang w:val="it-CH"/>
              </w:rPr>
            </w:pPr>
            <w:r>
              <w:rPr>
                <w:noProof/>
                <w:sz w:val="18"/>
                <w:lang w:val="it-CH"/>
              </w:rPr>
              <w:t>Linea di bilancio delle entrate:</w:t>
            </w:r>
          </w:p>
        </w:tc>
        <w:tc>
          <w:tcPr>
            <w:tcW w:w="1276" w:type="dxa"/>
            <w:vMerge w:val="restart"/>
            <w:vAlign w:val="center"/>
          </w:tcPr>
          <w:p>
            <w:pPr>
              <w:jc w:val="center"/>
              <w:rPr>
                <w:noProof/>
                <w:sz w:val="18"/>
                <w:lang w:val="it-CH"/>
              </w:rPr>
            </w:pPr>
            <w:r>
              <w:rPr>
                <w:noProof/>
                <w:sz w:val="18"/>
                <w:lang w:val="it-CH"/>
              </w:rPr>
              <w:t>Stanziamenti disponibili per l'esercizio in corso</w:t>
            </w:r>
          </w:p>
        </w:tc>
        <w:tc>
          <w:tcPr>
            <w:tcW w:w="7200" w:type="dxa"/>
            <w:gridSpan w:val="7"/>
            <w:vAlign w:val="center"/>
          </w:tcPr>
          <w:p>
            <w:pPr>
              <w:jc w:val="center"/>
              <w:rPr>
                <w:noProof/>
                <w:sz w:val="18"/>
                <w:lang w:val="it-CH"/>
              </w:rPr>
            </w:pPr>
            <w:r>
              <w:rPr>
                <w:noProof/>
                <w:sz w:val="18"/>
                <w:lang w:val="it-CH"/>
              </w:rPr>
              <w:t>Incidenza della proposta/iniziativa</w:t>
            </w:r>
            <w:r>
              <w:rPr>
                <w:rStyle w:val="FootnoteReference"/>
                <w:noProof/>
                <w:lang w:val="it-CH"/>
              </w:rPr>
              <w:footnoteReference w:id="36"/>
            </w:r>
          </w:p>
        </w:tc>
      </w:tr>
      <w:tr>
        <w:trPr>
          <w:trHeight w:val="388"/>
        </w:trPr>
        <w:tc>
          <w:tcPr>
            <w:tcW w:w="2144" w:type="dxa"/>
            <w:vMerge/>
          </w:tcPr>
          <w:p>
            <w:pPr>
              <w:spacing w:before="40" w:after="40"/>
              <w:rPr>
                <w:noProof/>
                <w:sz w:val="18"/>
                <w:lang w:val="it-CH"/>
              </w:rPr>
            </w:pPr>
          </w:p>
        </w:tc>
        <w:tc>
          <w:tcPr>
            <w:tcW w:w="1276" w:type="dxa"/>
            <w:vMerge/>
          </w:tcPr>
          <w:p>
            <w:pPr>
              <w:spacing w:beforeLines="40" w:before="96" w:afterLines="40" w:after="96"/>
              <w:rPr>
                <w:i/>
                <w:noProof/>
                <w:sz w:val="18"/>
                <w:lang w:val="it-CH"/>
              </w:rPr>
            </w:pPr>
          </w:p>
        </w:tc>
        <w:tc>
          <w:tcPr>
            <w:tcW w:w="1080" w:type="dxa"/>
            <w:vAlign w:val="center"/>
          </w:tcPr>
          <w:p>
            <w:pPr>
              <w:jc w:val="center"/>
              <w:rPr>
                <w:noProof/>
                <w:sz w:val="18"/>
                <w:lang w:val="it-CH"/>
              </w:rPr>
            </w:pPr>
            <w:r>
              <w:rPr>
                <w:noProof/>
                <w:sz w:val="18"/>
                <w:lang w:val="it-CH"/>
              </w:rPr>
              <w:t>Anno</w:t>
            </w:r>
            <w:r>
              <w:rPr>
                <w:noProof/>
                <w:sz w:val="22"/>
                <w:lang w:val="it-CH"/>
              </w:rPr>
              <w:br/>
            </w:r>
            <w:r>
              <w:rPr>
                <w:b/>
                <w:noProof/>
                <w:sz w:val="18"/>
                <w:lang w:val="it-CH"/>
              </w:rPr>
              <w:t>N</w:t>
            </w:r>
          </w:p>
        </w:tc>
        <w:tc>
          <w:tcPr>
            <w:tcW w:w="900" w:type="dxa"/>
            <w:vAlign w:val="center"/>
          </w:tcPr>
          <w:p>
            <w:pPr>
              <w:jc w:val="center"/>
              <w:rPr>
                <w:noProof/>
                <w:sz w:val="18"/>
                <w:lang w:val="it-CH"/>
              </w:rPr>
            </w:pPr>
            <w:r>
              <w:rPr>
                <w:noProof/>
                <w:sz w:val="18"/>
                <w:lang w:val="it-CH"/>
              </w:rPr>
              <w:t>Anno</w:t>
            </w:r>
            <w:r>
              <w:rPr>
                <w:noProof/>
                <w:sz w:val="22"/>
                <w:lang w:val="it-CH"/>
              </w:rPr>
              <w:br/>
            </w:r>
            <w:r>
              <w:rPr>
                <w:b/>
                <w:noProof/>
                <w:sz w:val="18"/>
                <w:lang w:val="it-CH"/>
              </w:rPr>
              <w:t>N+1</w:t>
            </w:r>
          </w:p>
        </w:tc>
        <w:tc>
          <w:tcPr>
            <w:tcW w:w="900" w:type="dxa"/>
            <w:vAlign w:val="center"/>
          </w:tcPr>
          <w:p>
            <w:pPr>
              <w:jc w:val="center"/>
              <w:rPr>
                <w:noProof/>
                <w:sz w:val="18"/>
                <w:lang w:val="it-CH"/>
              </w:rPr>
            </w:pPr>
            <w:r>
              <w:rPr>
                <w:noProof/>
                <w:sz w:val="18"/>
                <w:lang w:val="it-CH"/>
              </w:rPr>
              <w:t>Anno</w:t>
            </w:r>
            <w:r>
              <w:rPr>
                <w:noProof/>
                <w:sz w:val="22"/>
                <w:lang w:val="it-CH"/>
              </w:rPr>
              <w:br/>
            </w:r>
            <w:r>
              <w:rPr>
                <w:b/>
                <w:noProof/>
                <w:sz w:val="18"/>
                <w:lang w:val="it-CH"/>
              </w:rPr>
              <w:t>N+2</w:t>
            </w:r>
          </w:p>
        </w:tc>
        <w:tc>
          <w:tcPr>
            <w:tcW w:w="1080" w:type="dxa"/>
            <w:vAlign w:val="center"/>
          </w:tcPr>
          <w:p>
            <w:pPr>
              <w:jc w:val="center"/>
              <w:rPr>
                <w:noProof/>
                <w:sz w:val="18"/>
                <w:lang w:val="it-CH"/>
              </w:rPr>
            </w:pPr>
            <w:r>
              <w:rPr>
                <w:noProof/>
                <w:sz w:val="18"/>
                <w:lang w:val="it-CH"/>
              </w:rPr>
              <w:t>Anno</w:t>
            </w:r>
            <w:r>
              <w:rPr>
                <w:noProof/>
                <w:sz w:val="22"/>
                <w:lang w:val="it-CH"/>
              </w:rPr>
              <w:br/>
            </w:r>
            <w:r>
              <w:rPr>
                <w:b/>
                <w:noProof/>
                <w:sz w:val="18"/>
                <w:lang w:val="it-CH"/>
              </w:rPr>
              <w:t>N+3</w:t>
            </w:r>
          </w:p>
        </w:tc>
        <w:tc>
          <w:tcPr>
            <w:tcW w:w="3240" w:type="dxa"/>
            <w:gridSpan w:val="3"/>
            <w:vAlign w:val="center"/>
          </w:tcPr>
          <w:p>
            <w:pPr>
              <w:jc w:val="center"/>
              <w:rPr>
                <w:b/>
                <w:noProof/>
                <w:sz w:val="18"/>
                <w:lang w:val="it-CH"/>
              </w:rPr>
            </w:pPr>
            <w:r>
              <w:rPr>
                <w:noProof/>
                <w:sz w:val="18"/>
                <w:lang w:val="it-CH"/>
              </w:rPr>
              <w:t>Inserire gli anni necessari per evidenziare la durata dell'incidenza (cfr. punto 1.6)</w:t>
            </w:r>
          </w:p>
        </w:tc>
      </w:tr>
      <w:tr>
        <w:trPr>
          <w:trHeight w:val="388"/>
        </w:trPr>
        <w:tc>
          <w:tcPr>
            <w:tcW w:w="2144" w:type="dxa"/>
            <w:vAlign w:val="center"/>
          </w:tcPr>
          <w:p>
            <w:pPr>
              <w:spacing w:before="40" w:after="40"/>
              <w:rPr>
                <w:noProof/>
                <w:sz w:val="18"/>
                <w:lang w:val="it-CH"/>
              </w:rPr>
            </w:pPr>
            <w:r>
              <w:rPr>
                <w:noProof/>
                <w:sz w:val="18"/>
                <w:lang w:val="it-CH"/>
              </w:rPr>
              <w:t>Articolo ….</w:t>
            </w:r>
          </w:p>
        </w:tc>
        <w:tc>
          <w:tcPr>
            <w:tcW w:w="1276" w:type="dxa"/>
          </w:tcPr>
          <w:p>
            <w:pPr>
              <w:spacing w:beforeLines="40" w:before="96" w:afterLines="40" w:after="96"/>
              <w:jc w:val="center"/>
              <w:rPr>
                <w:i/>
                <w:noProof/>
                <w:sz w:val="18"/>
                <w:lang w:val="it-CH"/>
              </w:rPr>
            </w:pPr>
          </w:p>
        </w:tc>
        <w:tc>
          <w:tcPr>
            <w:tcW w:w="1080" w:type="dxa"/>
          </w:tcPr>
          <w:p>
            <w:pPr>
              <w:spacing w:beforeLines="40" w:before="96" w:afterLines="40" w:after="96"/>
              <w:jc w:val="center"/>
              <w:rPr>
                <w:noProof/>
                <w:sz w:val="18"/>
                <w:lang w:val="it-CH"/>
              </w:rPr>
            </w:pPr>
          </w:p>
        </w:tc>
        <w:tc>
          <w:tcPr>
            <w:tcW w:w="900" w:type="dxa"/>
          </w:tcPr>
          <w:p>
            <w:pPr>
              <w:spacing w:beforeLines="40" w:before="96" w:afterLines="40" w:after="96"/>
              <w:jc w:val="center"/>
              <w:rPr>
                <w:noProof/>
                <w:sz w:val="18"/>
                <w:lang w:val="it-CH"/>
              </w:rPr>
            </w:pPr>
          </w:p>
        </w:tc>
        <w:tc>
          <w:tcPr>
            <w:tcW w:w="900" w:type="dxa"/>
          </w:tcPr>
          <w:p>
            <w:pPr>
              <w:spacing w:beforeLines="40" w:before="96" w:afterLines="40" w:after="96"/>
              <w:jc w:val="center"/>
              <w:rPr>
                <w:noProof/>
                <w:sz w:val="18"/>
                <w:lang w:val="it-CH"/>
              </w:rPr>
            </w:pPr>
          </w:p>
        </w:tc>
        <w:tc>
          <w:tcPr>
            <w:tcW w:w="1080" w:type="dxa"/>
          </w:tcPr>
          <w:p>
            <w:pPr>
              <w:spacing w:beforeLines="40" w:before="96" w:afterLines="40" w:after="96"/>
              <w:jc w:val="center"/>
              <w:rPr>
                <w:noProof/>
                <w:sz w:val="18"/>
                <w:lang w:val="it-CH"/>
              </w:rPr>
            </w:pPr>
          </w:p>
        </w:tc>
        <w:tc>
          <w:tcPr>
            <w:tcW w:w="1080" w:type="dxa"/>
          </w:tcPr>
          <w:p>
            <w:pPr>
              <w:spacing w:beforeLines="40" w:before="96" w:afterLines="40" w:after="96"/>
              <w:jc w:val="center"/>
              <w:rPr>
                <w:noProof/>
                <w:sz w:val="18"/>
                <w:lang w:val="it-CH"/>
              </w:rPr>
            </w:pPr>
          </w:p>
        </w:tc>
        <w:tc>
          <w:tcPr>
            <w:tcW w:w="1080" w:type="dxa"/>
          </w:tcPr>
          <w:p>
            <w:pPr>
              <w:spacing w:beforeLines="40" w:before="96" w:afterLines="40" w:after="96"/>
              <w:jc w:val="center"/>
              <w:rPr>
                <w:noProof/>
                <w:sz w:val="18"/>
                <w:lang w:val="it-CH"/>
              </w:rPr>
            </w:pPr>
          </w:p>
        </w:tc>
        <w:tc>
          <w:tcPr>
            <w:tcW w:w="1080" w:type="dxa"/>
          </w:tcPr>
          <w:p>
            <w:pPr>
              <w:spacing w:beforeLines="40" w:before="96" w:afterLines="40" w:after="96"/>
              <w:jc w:val="center"/>
              <w:rPr>
                <w:noProof/>
                <w:sz w:val="18"/>
                <w:lang w:val="it-CH"/>
              </w:rPr>
            </w:pPr>
          </w:p>
        </w:tc>
      </w:tr>
    </w:tbl>
    <w:p>
      <w:pPr>
        <w:pStyle w:val="Text1"/>
        <w:rPr>
          <w:noProof/>
          <w:sz w:val="20"/>
          <w:lang w:val="it-CH"/>
        </w:rPr>
      </w:pPr>
      <w:r>
        <w:rPr>
          <w:noProof/>
          <w:sz w:val="20"/>
          <w:lang w:val="it-CH"/>
        </w:rPr>
        <w:t>Per quanto riguarda le entrate varie con destinazione specifica, precisare la o le linee di spesa interessate.</w:t>
      </w:r>
    </w:p>
    <w:p>
      <w:pPr>
        <w:pStyle w:val="Text1"/>
        <w:pBdr>
          <w:top w:val="single" w:sz="4" w:space="1" w:color="auto"/>
          <w:left w:val="single" w:sz="4" w:space="4" w:color="auto"/>
          <w:bottom w:val="single" w:sz="4" w:space="1" w:color="auto"/>
          <w:right w:val="single" w:sz="4" w:space="4" w:color="auto"/>
        </w:pBdr>
        <w:rPr>
          <w:noProof/>
          <w:lang w:val="it-CH"/>
        </w:rPr>
      </w:pPr>
    </w:p>
    <w:p>
      <w:pPr>
        <w:pStyle w:val="Text1"/>
        <w:rPr>
          <w:noProof/>
          <w:sz w:val="20"/>
          <w:lang w:val="it-CH"/>
        </w:rPr>
      </w:pPr>
      <w:r>
        <w:rPr>
          <w:noProof/>
          <w:sz w:val="20"/>
          <w:lang w:val="it-CH"/>
        </w:rPr>
        <w:t>Precisare il metodo di calcolo dell'incidenza sulle entrate.</w:t>
      </w:r>
    </w:p>
    <w:p>
      <w:pPr>
        <w:pStyle w:val="Text1"/>
        <w:pBdr>
          <w:top w:val="single" w:sz="4" w:space="1" w:color="auto"/>
          <w:left w:val="single" w:sz="4" w:space="4" w:color="auto"/>
          <w:bottom w:val="single" w:sz="4" w:space="1" w:color="auto"/>
          <w:right w:val="single" w:sz="4" w:space="4" w:color="auto"/>
        </w:pBdr>
        <w:rPr>
          <w:noProof/>
          <w:lang w:val="it-CH"/>
        </w:rPr>
      </w:pP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26</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37</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IT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41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IT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Decisione n. 406/2009/CE del Parlamento europeo e del Consiglio, del 23 aprile 2009, concernente gli sforzi degli Stati membri per ridurre le emissioni dei gas a effetto serra al fine di adempiere agli impegni della Comunità in materia di riduzione delle emissioni di gas a effetto serra entro il 2020 (GU L 140 del 5.6.2009, pag. 136).</w:t>
      </w:r>
    </w:p>
  </w:footnote>
  <w:footnote w:id="2">
    <w:p>
      <w:pPr>
        <w:pStyle w:val="FootnoteText"/>
      </w:pPr>
      <w:r>
        <w:rPr>
          <w:rStyle w:val="FootnoteReference"/>
        </w:rPr>
        <w:footnoteRef/>
      </w:r>
      <w:r>
        <w:tab/>
        <w:t>COM(2016) 395 final.</w:t>
      </w:r>
    </w:p>
  </w:footnote>
  <w:footnote w:id="3">
    <w:p>
      <w:pPr>
        <w:pStyle w:val="FootnoteText"/>
      </w:pPr>
      <w:r>
        <w:rPr>
          <w:rStyle w:val="FootnoteReference"/>
        </w:rPr>
        <w:footnoteRef/>
      </w:r>
      <w:r>
        <w:tab/>
        <w:t>COM(2016) 110 final.</w:t>
      </w:r>
    </w:p>
  </w:footnote>
  <w:footnote w:id="4">
    <w:p>
      <w:pPr>
        <w:pStyle w:val="FootnoteText"/>
      </w:pPr>
      <w:r>
        <w:rPr>
          <w:rStyle w:val="FootnoteReference"/>
        </w:rPr>
        <w:footnoteRef/>
      </w:r>
      <w:r>
        <w:tab/>
        <w:t>Regolamento (UE) n. 525/2013 del Parlamento europeo e del Consiglio, del 21 maggio 2013, relativo a un meccanismo di monitoraggio e comunicazione delle emissioni di gas a effetto serra e di comunicazione di altre informazioni in materia di cambiamenti climatici a livello nazionale e dell'Unione europea e che abroga la decisione n. 280/2004/CE (GU L 165 del 18.6.2013, p. 13).</w:t>
      </w:r>
    </w:p>
  </w:footnote>
  <w:footnote w:id="5">
    <w:p>
      <w:pPr>
        <w:pStyle w:val="FootnoteText"/>
        <w:rPr>
          <w:rFonts w:eastAsia="Times New Roman"/>
        </w:rPr>
      </w:pPr>
      <w:r>
        <w:rPr>
          <w:rStyle w:val="FootnoteReference"/>
        </w:rPr>
        <w:footnoteRef/>
      </w:r>
      <w:r>
        <w:tab/>
        <w:t>COM(2016) 483 Relazione della Commissione al Parlamento europeo e al Consiglio sulla valutazione dell'attuazione della decisione n. 406/2009/CE conformemente al suo articolo 14.</w:t>
      </w:r>
    </w:p>
  </w:footnote>
  <w:footnote w:id="6">
    <w:p>
      <w:pPr>
        <w:pStyle w:val="FootnoteText"/>
      </w:pPr>
      <w:r>
        <w:rPr>
          <w:rStyle w:val="FootnoteReference"/>
        </w:rPr>
        <w:footnoteRef/>
      </w:r>
      <w:r>
        <w:rPr>
          <w:rStyle w:val="FootnoteReference"/>
        </w:rPr>
        <w:tab/>
      </w:r>
      <w:r>
        <w:t>La consultazione ha avuto luogo dal 26 marzo al 18 giugno 2015 ed è disponibile sul sito web "EU Survey http://ec.europa.eu/clima/consultations/articles/0025_en.htm</w:t>
      </w:r>
    </w:p>
  </w:footnote>
  <w:footnote w:id="7">
    <w:p>
      <w:pPr>
        <w:pStyle w:val="FootnoteText"/>
        <w:contextualSpacing/>
      </w:pPr>
      <w:r>
        <w:rPr>
          <w:rStyle w:val="FootnoteReference"/>
        </w:rPr>
        <w:footnoteRef/>
      </w:r>
      <w:r>
        <w:tab/>
        <w:t>Vedi SWD(2016) 247, Allegato 8.2.</w:t>
      </w:r>
    </w:p>
  </w:footnote>
  <w:footnote w:id="8">
    <w:p>
      <w:pPr>
        <w:pStyle w:val="FootnoteText"/>
      </w:pPr>
      <w:r>
        <w:rPr>
          <w:rStyle w:val="FootnoteReference"/>
        </w:rPr>
        <w:footnoteRef/>
      </w:r>
      <w:r>
        <w:tab/>
        <w:t>Commissione europea: Scenario di Riferimento UE 2016, Energia, Trasporti ed Emissioni GES, Tendenze al 2050.</w:t>
      </w:r>
    </w:p>
  </w:footnote>
  <w:footnote w:id="9">
    <w:p>
      <w:pPr>
        <w:pStyle w:val="FootnoteText"/>
        <w:rPr>
          <w:lang w:val="en-US"/>
        </w:rPr>
      </w:pPr>
      <w:r>
        <w:rPr>
          <w:rStyle w:val="FootnoteReference"/>
        </w:rPr>
        <w:footnoteRef/>
      </w:r>
      <w:r>
        <w:rPr>
          <w:rStyle w:val="FootnoteReference"/>
          <w:lang w:val="en-GB"/>
        </w:rPr>
        <w:tab/>
      </w:r>
      <w:r>
        <w:rPr>
          <w:i/>
          <w:lang w:val="en-US"/>
        </w:rPr>
        <w:t>Supporting study for the Evaluation of Decision No. 406/2009/EC (Effort Sharing Decision)</w:t>
      </w:r>
      <w:r>
        <w:rPr>
          <w:lang w:val="en-US"/>
        </w:rPr>
        <w:t>, Ricardo Energy and Environment with Trinomic and Vito.</w:t>
      </w:r>
    </w:p>
  </w:footnote>
  <w:footnote w:id="10">
    <w:p>
      <w:pPr>
        <w:pStyle w:val="FootnoteText"/>
      </w:pPr>
      <w:r>
        <w:rPr>
          <w:rStyle w:val="FootnoteReference"/>
        </w:rPr>
        <w:footnoteRef/>
      </w:r>
      <w:r>
        <w:rPr>
          <w:vertAlign w:val="superscript"/>
        </w:rPr>
        <w:tab/>
      </w:r>
      <w:r>
        <w:t>SWD(2016) 247 e SWD(2016) 248. Il comitato per il controllo normativo ha espresso parere positivo sul progetto di relazione sulla valutazione d'impatto, vedi SEC(2016)339.</w:t>
      </w:r>
    </w:p>
  </w:footnote>
  <w:footnote w:id="11">
    <w:p>
      <w:pPr>
        <w:pStyle w:val="FootnoteText"/>
        <w:contextualSpacing/>
      </w:pPr>
      <w:r>
        <w:rPr>
          <w:rStyle w:val="FootnoteReference"/>
        </w:rPr>
        <w:footnoteRef/>
      </w:r>
      <w:r>
        <w:tab/>
        <w:t>SWD(2014)15, SWD(2014)255 final.</w:t>
      </w:r>
    </w:p>
  </w:footnote>
  <w:footnote w:id="12">
    <w:p>
      <w:pPr>
        <w:pStyle w:val="FootnoteText"/>
      </w:pPr>
      <w:r>
        <w:rPr>
          <w:rStyle w:val="FootnoteReference"/>
        </w:rPr>
        <w:footnoteRef/>
      </w:r>
      <w:r>
        <w:tab/>
      </w:r>
      <w:r>
        <w:rPr>
          <w:rStyle w:val="FootnoteTextChar"/>
          <w:lang w:val="it-IT"/>
        </w:rPr>
        <w:t xml:space="preserve">La relazione illustra i progressi degli Stati membri nei confronti dei loro obblighi in base all'Unione dell'energia e al suo sistema di governance. </w:t>
      </w:r>
    </w:p>
  </w:footnote>
  <w:footnote w:id="13">
    <w:p>
      <w:pPr>
        <w:pStyle w:val="FootnoteText"/>
      </w:pPr>
      <w:r>
        <w:rPr>
          <w:rStyle w:val="FootnoteReference"/>
        </w:rPr>
        <w:footnoteRef/>
      </w:r>
      <w:r>
        <w:tab/>
        <w:t>GU C  del , pag. .</w:t>
      </w:r>
    </w:p>
  </w:footnote>
  <w:footnote w:id="14">
    <w:p>
      <w:pPr>
        <w:pStyle w:val="FootnoteText"/>
      </w:pPr>
      <w:r>
        <w:rPr>
          <w:rStyle w:val="FootnoteReference"/>
        </w:rPr>
        <w:footnoteRef/>
      </w:r>
      <w:r>
        <w:tab/>
        <w:t>GU C  del , pag. .</w:t>
      </w:r>
    </w:p>
  </w:footnote>
  <w:footnote w:id="15">
    <w:p>
      <w:pPr>
        <w:pStyle w:val="FootnoteText"/>
      </w:pPr>
      <w:r>
        <w:rPr>
          <w:rStyle w:val="FootnoteReference"/>
        </w:rPr>
        <w:footnoteRef/>
      </w:r>
      <w:r>
        <w:tab/>
        <w:t>GU C  del , pag. .</w:t>
      </w:r>
    </w:p>
  </w:footnote>
  <w:footnote w:id="16">
    <w:p>
      <w:pPr>
        <w:pStyle w:val="FootnoteText"/>
      </w:pPr>
      <w:r>
        <w:rPr>
          <w:rStyle w:val="FootnoteReference"/>
        </w:rPr>
        <w:footnoteRef/>
      </w:r>
      <w:r>
        <w:tab/>
        <w:t>COM(2015) 80.</w:t>
      </w:r>
    </w:p>
  </w:footnote>
  <w:footnote w:id="17">
    <w:p>
      <w:pPr>
        <w:pStyle w:val="FootnoteText"/>
      </w:pPr>
      <w:r>
        <w:rPr>
          <w:rStyle w:val="FootnoteReference"/>
        </w:rPr>
        <w:footnoteRef/>
      </w:r>
      <w:r>
        <w:tab/>
        <w:t>Regolamento (UE) n. 525/2013 del Parlamento europeo e del Consiglio, del 21 maggio 2013, relativo a un meccanismo di monitoraggio e comunicazione delle emissioni di gas a effetto serra e di comunicazione di altre informazioni in materia di cambiamenti climatici a livello nazionale e dell'Unione europea e che abroga la decisione n. 280/2004/CE (GU L 165 del 18.6.2013, pag. 13).</w:t>
      </w:r>
    </w:p>
  </w:footnote>
  <w:footnote w:id="18">
    <w:p>
      <w:pPr>
        <w:pStyle w:val="FootnoteText"/>
      </w:pPr>
      <w:r>
        <w:rPr>
          <w:rStyle w:val="FootnoteReference"/>
        </w:rPr>
        <w:footnoteRef/>
      </w:r>
      <w:r>
        <w:tab/>
        <w:t>Direttiva 2003/87/CE del Parlamento europeo e del Consiglio, del 13 ottobre 2003, che istituisce un sistema per lo scambio di quote di emissioni dei gas a effetto serra nella Comunità e che modifica la direttiva 96/61/CE del Consiglio (GU L 275 del 25.10.2003, pag. 32).</w:t>
      </w:r>
    </w:p>
  </w:footnote>
  <w:footnote w:id="19">
    <w:p>
      <w:pPr>
        <w:pStyle w:val="FootnoteText"/>
      </w:pPr>
      <w:r>
        <w:rPr>
          <w:rStyle w:val="FootnoteReference"/>
        </w:rPr>
        <w:footnoteRef/>
      </w:r>
      <w:r>
        <w:tab/>
        <w:t>Decisione n. 406/2009/CE del Parlamento europeo e del Consiglio, del 23 aprile 2009, concernente gli sforzi degli Stati membri per ridurre le emissioni dei gas a effetto serra al fine di adempiere agli impegni della Comunità in materia di riduzione delle emissioni di gas a effetto serra entro il 2020 (GU L 140 del 5.6.2009, pag. 136).</w:t>
      </w:r>
    </w:p>
  </w:footnote>
  <w:footnote w:id="20">
    <w:p>
      <w:pPr>
        <w:pStyle w:val="FootnoteText"/>
      </w:pPr>
      <w:r>
        <w:rPr>
          <w:rStyle w:val="FootnoteReference"/>
        </w:rPr>
        <w:footnoteRef/>
      </w:r>
      <w:r>
        <w:tab/>
        <w:t>SWD(2016) 247.</w:t>
      </w:r>
    </w:p>
  </w:footnote>
  <w:footnote w:id="21">
    <w:p>
      <w:pPr>
        <w:pStyle w:val="FootnoteText"/>
      </w:pPr>
      <w:r>
        <w:rPr>
          <w:rStyle w:val="FootnoteReference"/>
        </w:rPr>
        <w:footnoteRef/>
      </w:r>
      <w:r>
        <w:tab/>
        <w:t>Regolamento (UE) n. 182/2011 del Parlamento europeo e del Consiglio, del 16 febbraio 2011, che stabilisce le regole e i principi generali relativi alle modalità di controllo da parte degli Stati membri dell'esercizio delle competenze di esecuzione attribuite alla Commissione (GU L 55 del 28.2.2011, pag. 13).</w:t>
      </w:r>
    </w:p>
  </w:footnote>
  <w:footnote w:id="22">
    <w:p>
      <w:pPr>
        <w:pStyle w:val="FootnoteText"/>
      </w:pPr>
      <w:r>
        <w:rPr>
          <w:rStyle w:val="FootnoteReference"/>
        </w:rPr>
        <w:footnoteRef/>
      </w:r>
      <w:r>
        <w:tab/>
        <w:t>Direttiva 2003/87/CE del Parlamento europeo e del Consiglio, del 13 ottobre 2003, che istituisce un sistema per lo scambio di quote di emissioni dei gas a effetto serra nella Comunità e che modifica la direttiva 96/61/CE del Consiglio (GU L 275 del 25.10.2003, pag. 32).</w:t>
      </w:r>
    </w:p>
  </w:footnote>
  <w:footnote w:id="23">
    <w:p>
      <w:pPr>
        <w:pStyle w:val="FootnoteText"/>
        <w:rPr>
          <w:szCs w:val="24"/>
        </w:rPr>
      </w:pPr>
      <w:r>
        <w:rPr>
          <w:rStyle w:val="FootnoteReference"/>
        </w:rPr>
        <w:footnoteRef/>
      </w:r>
      <w:r>
        <w:tab/>
        <w:t>ABM: gestione basata sulle attività; ABM: bilancio basato sulle attività.</w:t>
      </w:r>
    </w:p>
  </w:footnote>
  <w:footnote w:id="24">
    <w:p>
      <w:pPr>
        <w:pStyle w:val="FootnoteText"/>
        <w:rPr>
          <w:szCs w:val="24"/>
        </w:rPr>
      </w:pPr>
      <w:r>
        <w:rPr>
          <w:rStyle w:val="FootnoteReference"/>
        </w:rPr>
        <w:footnoteRef/>
      </w:r>
      <w:r>
        <w:tab/>
        <w:t>A norma dell'articolo 54, paragrafo 2, lettera a) o b), del regolamento finanziario.</w:t>
      </w:r>
    </w:p>
  </w:footnote>
  <w:footnote w:id="25">
    <w:p>
      <w:pPr>
        <w:pStyle w:val="FootnoteText"/>
        <w:rPr>
          <w:szCs w:val="24"/>
        </w:rPr>
      </w:pPr>
      <w:r>
        <w:rPr>
          <w:rStyle w:val="FootnoteReference"/>
        </w:rPr>
        <w:footnoteRef/>
      </w:r>
      <w:r>
        <w:tab/>
        <w:t xml:space="preserve">Le spiegazioni sulle modalità di gestione e i riferimenti al regolamento finanziario sono disponibili sul sito BudgWeb: </w:t>
      </w:r>
      <w:hyperlink r:id="rId1">
        <w:r>
          <w:rPr>
            <w:rStyle w:val="Hyperlink"/>
            <w:sz w:val="18"/>
          </w:rPr>
          <w:t>http://www.cc.cec/budg/man/budgmanag/budgmanag_en.html</w:t>
        </w:r>
      </w:hyperlink>
    </w:p>
  </w:footnote>
  <w:footnote w:id="26">
    <w:p>
      <w:pPr>
        <w:pStyle w:val="FootnoteText"/>
        <w:rPr>
          <w:szCs w:val="24"/>
        </w:rPr>
      </w:pPr>
      <w:r>
        <w:rPr>
          <w:rStyle w:val="FootnoteReference"/>
        </w:rPr>
        <w:footnoteRef/>
      </w:r>
      <w:r>
        <w:tab/>
        <w:t>Diff. = Stanziamenti differenziati/Non-diff. = stanziamenti non differenziati.</w:t>
      </w:r>
    </w:p>
  </w:footnote>
  <w:footnote w:id="27">
    <w:p>
      <w:pPr>
        <w:pStyle w:val="FootnoteText"/>
        <w:rPr>
          <w:szCs w:val="24"/>
        </w:rPr>
      </w:pPr>
      <w:r>
        <w:rPr>
          <w:rStyle w:val="FootnoteReference"/>
        </w:rPr>
        <w:footnoteRef/>
      </w:r>
      <w:r>
        <w:tab/>
        <w:t xml:space="preserve">EFTA: Associazione europea di libero scambio. </w:t>
      </w:r>
    </w:p>
  </w:footnote>
  <w:footnote w:id="28">
    <w:p>
      <w:pPr>
        <w:pStyle w:val="FootnoteText"/>
        <w:rPr>
          <w:szCs w:val="24"/>
        </w:rPr>
      </w:pPr>
      <w:r>
        <w:rPr>
          <w:rStyle w:val="FootnoteReference"/>
        </w:rPr>
        <w:footnoteRef/>
      </w:r>
      <w:r>
        <w:tab/>
        <w:t>Paesi candidati e, se del caso, paesi potenziali candidati dei Balcani occidentali.</w:t>
      </w:r>
    </w:p>
  </w:footnote>
  <w:footnote w:id="29">
    <w:p>
      <w:pPr>
        <w:pStyle w:val="FootnoteText"/>
      </w:pPr>
      <w:r>
        <w:rPr>
          <w:rStyle w:val="FootnoteReference"/>
        </w:rPr>
        <w:footnoteRef/>
      </w:r>
      <w:r>
        <w:tab/>
        <w:t>Riduzione delle emissioni di gas a effetto serra (mitigazione).</w:t>
      </w:r>
    </w:p>
  </w:footnote>
  <w:footnote w:id="30">
    <w:p>
      <w:pPr>
        <w:pStyle w:val="FootnoteText"/>
      </w:pPr>
      <w:r>
        <w:rPr>
          <w:rStyle w:val="FootnoteReference"/>
        </w:rPr>
        <w:footnoteRef/>
      </w:r>
      <w:r>
        <w:tab/>
        <w:t>Sovvenzione all'Agenzia europea dell'ambiente.</w:t>
      </w:r>
    </w:p>
  </w:footnote>
  <w:footnote w:id="31">
    <w:p>
      <w:pPr>
        <w:pStyle w:val="FootnoteText"/>
        <w:rPr>
          <w:szCs w:val="24"/>
        </w:rPr>
      </w:pPr>
      <w:r>
        <w:rPr>
          <w:rStyle w:val="FootnoteReference"/>
        </w:rPr>
        <w:footnoteRef/>
      </w:r>
      <w:r>
        <w:tab/>
        <w:t>Assistenza tecnica e/o amministrativa e spese di sostegno all'attuazione di programmi e/o azioni dell'UE (ex linee "BA"), ricerca indiretta, ricerca diretta.</w:t>
      </w:r>
    </w:p>
  </w:footnote>
  <w:footnote w:id="32">
    <w:p>
      <w:pPr>
        <w:pStyle w:val="FootnoteText"/>
        <w:rPr>
          <w:szCs w:val="24"/>
        </w:rPr>
      </w:pPr>
      <w:r>
        <w:rPr>
          <w:rStyle w:val="FootnoteReference"/>
        </w:rPr>
        <w:footnoteRef/>
      </w:r>
      <w:r>
        <w:tab/>
        <w:t>I risultati sono i prodotti e servizi da fornire (ad esempio: numero di scambi di studenti finanziati, numero di km di strada costruiti ecc.).</w:t>
      </w:r>
    </w:p>
  </w:footnote>
  <w:footnote w:id="33">
    <w:p>
      <w:pPr>
        <w:pStyle w:val="FootnoteText"/>
        <w:rPr>
          <w:szCs w:val="24"/>
        </w:rPr>
      </w:pPr>
      <w:r>
        <w:rPr>
          <w:rStyle w:val="FootnoteReference"/>
        </w:rPr>
        <w:footnoteRef/>
      </w:r>
      <w:r>
        <w:tab/>
        <w:t>Assistenza tecnica e/o amministrativa e spese di sostegno all'attuazione di programmi e/o azioni dell'UE (ex linee "BA"), ricerca indiretta, ricerca diretta.</w:t>
      </w:r>
    </w:p>
  </w:footnote>
  <w:footnote w:id="34">
    <w:p>
      <w:pPr>
        <w:pStyle w:val="FootnoteText"/>
        <w:rPr>
          <w:szCs w:val="24"/>
        </w:rPr>
      </w:pPr>
      <w:r>
        <w:rPr>
          <w:rStyle w:val="FootnoteReference"/>
        </w:rPr>
        <w:footnoteRef/>
      </w:r>
      <w:r>
        <w:tab/>
        <w:t xml:space="preserve">AC = Agenti contrattuali; AL = personale locale; END = esperto nazionale distaccato; personale INT = agenzia; JED = Junior Esperti in delegazioni. </w:t>
      </w:r>
    </w:p>
  </w:footnote>
  <w:footnote w:id="35">
    <w:p>
      <w:pPr>
        <w:pStyle w:val="FootnoteText"/>
        <w:rPr>
          <w:szCs w:val="24"/>
        </w:rPr>
      </w:pPr>
      <w:r>
        <w:rPr>
          <w:rStyle w:val="FootnoteReference"/>
        </w:rPr>
        <w:footnoteRef/>
      </w:r>
      <w:r>
        <w:tab/>
        <w:t>Sottomassimale per il personale esterno previsto dagli stanziamenti operativi (ex linee "BA").</w:t>
      </w:r>
    </w:p>
  </w:footnote>
  <w:footnote w:id="36">
    <w:p>
      <w:pPr>
        <w:pStyle w:val="FootnoteText"/>
        <w:rPr>
          <w:szCs w:val="24"/>
        </w:rPr>
      </w:pPr>
      <w:r>
        <w:rPr>
          <w:rStyle w:val="FootnoteReference"/>
        </w:rPr>
        <w:footnoteRef/>
      </w:r>
      <w:r>
        <w:tab/>
        <w:t>Per le risorse proprie tradizionali (dazi doganali, contributi zucchero), indicare gli importi netti, cioè gli importi lordi al netto del 25% per spese di riscossione.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C4623B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5761CB4"/>
    <w:lvl w:ilvl="0">
      <w:start w:val="1"/>
      <w:numFmt w:val="decimal"/>
      <w:pStyle w:val="ListNumber3"/>
      <w:lvlText w:val="%1."/>
      <w:lvlJc w:val="left"/>
      <w:pPr>
        <w:tabs>
          <w:tab w:val="num" w:pos="926"/>
        </w:tabs>
        <w:ind w:left="926" w:hanging="360"/>
      </w:pPr>
    </w:lvl>
  </w:abstractNum>
  <w:abstractNum w:abstractNumId="2">
    <w:nsid w:val="FFFFFF7F"/>
    <w:multiLevelType w:val="singleLevel"/>
    <w:tmpl w:val="B57AC166"/>
    <w:lvl w:ilvl="0">
      <w:start w:val="1"/>
      <w:numFmt w:val="decimal"/>
      <w:pStyle w:val="ListNumber2"/>
      <w:lvlText w:val="%1."/>
      <w:lvlJc w:val="left"/>
      <w:pPr>
        <w:tabs>
          <w:tab w:val="num" w:pos="643"/>
        </w:tabs>
        <w:ind w:left="643" w:hanging="360"/>
      </w:pPr>
    </w:lvl>
  </w:abstractNum>
  <w:abstractNum w:abstractNumId="3">
    <w:nsid w:val="FFFFFF81"/>
    <w:multiLevelType w:val="singleLevel"/>
    <w:tmpl w:val="437A04D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E6CB5A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4">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5">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6">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8">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3"/>
  </w:num>
  <w:num w:numId="3">
    <w:abstractNumId w:val="21"/>
  </w:num>
  <w:num w:numId="4">
    <w:abstractNumId w:val="18"/>
  </w:num>
  <w:num w:numId="5">
    <w:abstractNumId w:val="22"/>
  </w:num>
  <w:num w:numId="6">
    <w:abstractNumId w:val="4"/>
  </w:num>
  <w:num w:numId="7">
    <w:abstractNumId w:val="3"/>
  </w:num>
  <w:num w:numId="8">
    <w:abstractNumId w:val="2"/>
  </w:num>
  <w:num w:numId="9">
    <w:abstractNumId w:val="1"/>
  </w:num>
  <w:num w:numId="10">
    <w:abstractNumId w:val="0"/>
  </w:num>
  <w:num w:numId="11">
    <w:abstractNumId w:val="17"/>
  </w:num>
  <w:num w:numId="12">
    <w:abstractNumId w:val="10"/>
  </w:num>
  <w:num w:numId="13">
    <w:abstractNumId w:val="20"/>
  </w:num>
  <w:num w:numId="14">
    <w:abstractNumId w:val="9"/>
  </w:num>
  <w:num w:numId="15">
    <w:abstractNumId w:val="11"/>
  </w:num>
  <w:num w:numId="16">
    <w:abstractNumId w:val="7"/>
  </w:num>
  <w:num w:numId="17">
    <w:abstractNumId w:val="19"/>
  </w:num>
  <w:num w:numId="18">
    <w:abstractNumId w:val="6"/>
  </w:num>
  <w:num w:numId="19">
    <w:abstractNumId w:val="12"/>
  </w:num>
  <w:num w:numId="20">
    <w:abstractNumId w:val="15"/>
  </w:num>
  <w:num w:numId="21">
    <w:abstractNumId w:val="16"/>
  </w:num>
  <w:num w:numId="22">
    <w:abstractNumId w:val="8"/>
  </w:num>
  <w:num w:numId="23">
    <w:abstractNumId w:val="14"/>
  </w:num>
  <w:num w:numId="24">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removePersonalInformation/>
  <w:removeDateAndTime/>
  <w:hideSpellingErrors/>
  <w:hideGrammaticalErrors/>
  <w:attachedTemplate r:id="rId1"/>
  <w:revisionView w:markup="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7-29 10:17:43"/>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7"/>
    <w:docVar w:name="DQCResult_ModifiedMarkers" w:val="0;0"/>
    <w:docVar w:name="DQCResult_ModifiedNumbering" w:val="0;0"/>
    <w:docVar w:name="DQCResult_Objects" w:val="0;0"/>
    <w:docVar w:name="DQCResult_Sections" w:val="0;0"/>
    <w:docVar w:name="DQCResult_StructureCheck" w:val="0;0"/>
    <w:docVar w:name="DQCResult_SuperfluousWhitespace" w:val="0;34"/>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8F6BA541C27C4328ACDAC64E20149FD8"/>
    <w:docVar w:name="LW_CROSSREFERENCE" w:val="{SWD(2016) 247 final}_x000b_{SWD(2016) 248 final}"/>
    <w:docVar w:name="LW_DocType" w:val="COM"/>
    <w:docVar w:name="LW_EMISSION" w:val="20.7.2016"/>
    <w:docVar w:name="LW_EMISSION_ISODATE" w:val="2016-07-20"/>
    <w:docVar w:name="LW_EMISSION_LOCATION" w:val="BRX"/>
    <w:docVar w:name="LW_EMISSION_PREFIX" w:val="Bruxelles, "/>
    <w:docVar w:name="LW_EMISSION_SUFFIX" w:val=" "/>
    <w:docVar w:name="LW_ID_DOCMODEL" w:val="SJ-023"/>
    <w:docVar w:name="LW_ID_DOCSIGNATURE" w:val="SJ-023"/>
    <w:docVar w:name="LW_ID_DOCSTRUCTURE" w:val="COM/PL/ORG"/>
    <w:docVar w:name="LW_ID_DOCTYPE" w:val="SJ-023"/>
    <w:docVar w:name="LW_ID_STATUT" w:val="SJ-023"/>
    <w:docVar w:name="LW_INTERETEEE.CP" w:val=" (Testo rilevante ai fini del SEE)"/>
    <w:docVar w:name="LW_LANGUE" w:val="IT"/>
    <w:docVar w:name="LW_MARKING" w:val="&lt;UNUSED&gt;"/>
    <w:docVar w:name="LW_NOM.INST" w:val="COMMISSIONE EUROPEA"/>
    <w:docVar w:name="LW_NOM.INST_JOINTDOC" w:val="&lt;EMPTY&gt;"/>
    <w:docVar w:name="LW_PART_NBR" w:val="1"/>
    <w:docVar w:name="LW_PART_NBR_TOTAL" w:val="1"/>
    <w:docVar w:name="LW_REF.II.NEW.CP" w:val="COD"/>
    <w:docVar w:name="LW_REF.II.NEW.CP_NUMBER" w:val="0231"/>
    <w:docVar w:name="LW_REF.II.NEW.CP_YEAR" w:val="2016"/>
    <w:docVar w:name="LW_REF.INST.NEW" w:val="COM"/>
    <w:docVar w:name="LW_REF.INST.NEW_ADOPTED" w:val="final"/>
    <w:docVar w:name="LW_REF.INST.NEW_TEXT" w:val="(2016) 482"/>
    <w:docVar w:name="LW_REF.INTERNE" w:val="&lt;UNUSED&gt;"/>
    <w:docVar w:name="LW_SOUS.TITRE.OBJ.CP" w:val="&lt;UNUSED&gt;"/>
    <w:docVar w:name="LW_STATUT.CP" w:val="Proposta di"/>
    <w:docVar w:name="LW_SUPERTITRE" w:val="&lt;UNUSED&gt;"/>
    <w:docVar w:name="LW_TITRE.OBJ.CP" w:val="relativo alle riduzioni annuali vincolanti delle emissioni di gas a effetto serra a carico degli Stati membri nel periodo 2021-2030 per un'Unione dell'energia resiliente e per onorare gli impegni assunti a norma dell'accordo di Parigi e recante modifica del regolamento (UE) n. 525/2013 del Parlamento europeo e del Consiglio relativo ad un meccanismo di monitoraggio e comunicazione delle emissioni di gas a effetto serra e di comunicazione di altre informazioni in materia di cambiamenti climatici"/>
    <w:docVar w:name="LW_TYPE.DOC.CP" w:val="REGOLAMENTO DEL PARLAMENTO EUROPEO E DEL CONSIGLIO"/>
  </w:docVar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3"/>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1">
    <w:name w:val="List Dash 1"/>
    <w:basedOn w:val="Normal"/>
    <w:rPr>
      <w:rFonts w:eastAsia="Times New Roman"/>
      <w:lang w:eastAsia="de-DE"/>
    </w:rPr>
  </w:style>
  <w:style w:type="paragraph" w:customStyle="1" w:styleId="ListDash2">
    <w:name w:val="List Dash 2"/>
    <w:basedOn w:val="Normal"/>
    <w:pPr>
      <w:numPr>
        <w:numId w:val="2"/>
      </w:numPr>
    </w:pPr>
    <w:rPr>
      <w:rFonts w:eastAsia="Times New Roman"/>
      <w:lang w:eastAsia="de-DE"/>
    </w:rPr>
  </w:style>
  <w:style w:type="paragraph" w:customStyle="1" w:styleId="ListNumberLevel2">
    <w:name w:val="List Number (Level 2)"/>
    <w:basedOn w:val="Normal"/>
    <w:pPr>
      <w:numPr>
        <w:ilvl w:val="1"/>
        <w:numId w:val="3"/>
      </w:numPr>
    </w:pPr>
    <w:rPr>
      <w:rFonts w:eastAsia="Times New Roman"/>
      <w:lang w:eastAsia="de-DE"/>
    </w:rPr>
  </w:style>
  <w:style w:type="paragraph" w:customStyle="1" w:styleId="ListNumberLevel3">
    <w:name w:val="List Number (Level 3)"/>
    <w:basedOn w:val="Normal"/>
    <w:pPr>
      <w:numPr>
        <w:ilvl w:val="2"/>
        <w:numId w:val="3"/>
      </w:numPr>
    </w:pPr>
    <w:rPr>
      <w:rFonts w:eastAsia="Times New Roman"/>
      <w:lang w:eastAsia="de-DE"/>
    </w:rPr>
  </w:style>
  <w:style w:type="paragraph" w:customStyle="1" w:styleId="ListNumberLevel4">
    <w:name w:val="List Number (Level 4)"/>
    <w:basedOn w:val="Normal"/>
    <w:pPr>
      <w:numPr>
        <w:ilvl w:val="3"/>
        <w:numId w:val="3"/>
      </w:numPr>
    </w:pPr>
    <w:rPr>
      <w:rFonts w:eastAsia="Times New Roman"/>
      <w:lang w:eastAsia="de-DE"/>
    </w:rPr>
  </w:style>
  <w:style w:type="character" w:styleId="Hyperlink">
    <w:name w:val="Hyperlink"/>
    <w:uiPriority w:val="99"/>
    <w:rPr>
      <w:color w:val="0000FF"/>
      <w:u w:val="single"/>
    </w:rPr>
  </w:style>
  <w:style w:type="paragraph" w:styleId="ListBullet">
    <w:name w:val="List Bullet"/>
    <w:basedOn w:val="Normal"/>
    <w:pPr>
      <w:numPr>
        <w:numId w:val="4"/>
      </w:numPr>
    </w:pPr>
    <w:rPr>
      <w:rFonts w:eastAsia="Times New Roman"/>
      <w:lang w:val="fr-FR" w:eastAsia="en-GB"/>
    </w:rPr>
  </w:style>
  <w:style w:type="paragraph" w:styleId="ListBullet2">
    <w:name w:val="List Bullet 2"/>
    <w:basedOn w:val="Normal"/>
    <w:uiPriority w:val="99"/>
    <w:pPr>
      <w:numPr>
        <w:numId w:val="5"/>
      </w:numPr>
    </w:pPr>
    <w:rPr>
      <w:rFonts w:eastAsia="Times New Roman"/>
      <w:lang w:val="fr-FR" w:eastAsia="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rPr>
      <w:rFonts w:eastAsia="Times New Roman"/>
      <w:b/>
      <w:bCs/>
      <w:szCs w:val="22"/>
      <w:lang w:eastAsia="en-GB"/>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en-GB" w:eastAsia="en-GB"/>
    </w:r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character" w:customStyle="1" w:styleId="s4">
    <w:name w:val="s4"/>
    <w:basedOn w:val="DefaultParagraphFont"/>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Corpsdutexte6">
    <w:name w:val="Corps du texte (6)"/>
    <w:basedOn w:val="DefaultParagraphFont"/>
    <w:uiPriority w:val="99"/>
    <w:rPr>
      <w:color w:val="1A171C"/>
      <w:sz w:val="13"/>
      <w:szCs w:val="13"/>
      <w:shd w:val="clear" w:color="auto" w:fill="FFFFFF"/>
    </w:rPr>
  </w:style>
  <w:style w:type="character" w:customStyle="1" w:styleId="Corpsdutexte3">
    <w:name w:val="Corps du texte3"/>
    <w:basedOn w:val="DefaultParagraphFont"/>
    <w:uiPriority w:val="99"/>
    <w:rPr>
      <w:color w:val="1A171C"/>
      <w:sz w:val="16"/>
      <w:szCs w:val="16"/>
      <w:shd w:val="clear" w:color="auto" w:fill="FFFFFF"/>
    </w:rPr>
  </w:style>
  <w:style w:type="paragraph" w:customStyle="1" w:styleId="Corpsdutexte1">
    <w:name w:val="Corps du texte1"/>
    <w:basedOn w:val="Normal"/>
    <w:uiPriority w:val="99"/>
    <w:pPr>
      <w:widowControl w:val="0"/>
      <w:shd w:val="clear" w:color="auto" w:fill="FFFFFF"/>
      <w:spacing w:before="0" w:after="480" w:line="192" w:lineRule="exact"/>
      <w:ind w:hanging="500"/>
    </w:pPr>
    <w:rPr>
      <w:rFonts w:asciiTheme="minorHAnsi" w:hAnsiTheme="minorHAnsi" w:cstheme="minorBidi"/>
      <w:sz w:val="16"/>
      <w:szCs w:val="16"/>
      <w:lang w:val="en-US"/>
    </w:rPr>
  </w:style>
  <w:style w:type="paragraph" w:customStyle="1" w:styleId="Corpsdutexte61">
    <w:name w:val="Corps du texte (6)1"/>
    <w:basedOn w:val="Normal"/>
    <w:uiPriority w:val="99"/>
    <w:pPr>
      <w:widowControl w:val="0"/>
      <w:shd w:val="clear" w:color="auto" w:fill="FFFFFF"/>
      <w:spacing w:before="0" w:after="0" w:line="168" w:lineRule="exact"/>
      <w:jc w:val="center"/>
    </w:pPr>
    <w:rPr>
      <w:rFonts w:asciiTheme="minorHAnsi" w:hAnsiTheme="minorHAnsi" w:cstheme="minorBidi"/>
      <w:sz w:val="13"/>
      <w:szCs w:val="13"/>
      <w:lang w:val="en-US"/>
    </w:rPr>
  </w:style>
  <w:style w:type="table" w:styleId="TableGrid">
    <w:name w:val="Table Grid"/>
    <w:basedOn w:val="TableNormal"/>
    <w:uiPriority w:val="59"/>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customStyle="1" w:styleId="Style1">
    <w:name w:val="Style1"/>
    <w:basedOn w:val="Normal"/>
    <w:qFormat/>
  </w:style>
  <w:style w:type="paragraph" w:customStyle="1" w:styleId="Style2">
    <w:name w:val="Style2"/>
    <w:basedOn w:val="Considrant"/>
    <w:qFormat/>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3"/>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1">
    <w:name w:val="List Dash 1"/>
    <w:basedOn w:val="Normal"/>
    <w:rPr>
      <w:rFonts w:eastAsia="Times New Roman"/>
      <w:lang w:eastAsia="de-DE"/>
    </w:rPr>
  </w:style>
  <w:style w:type="paragraph" w:customStyle="1" w:styleId="ListDash2">
    <w:name w:val="List Dash 2"/>
    <w:basedOn w:val="Normal"/>
    <w:pPr>
      <w:numPr>
        <w:numId w:val="2"/>
      </w:numPr>
    </w:pPr>
    <w:rPr>
      <w:rFonts w:eastAsia="Times New Roman"/>
      <w:lang w:eastAsia="de-DE"/>
    </w:rPr>
  </w:style>
  <w:style w:type="paragraph" w:customStyle="1" w:styleId="ListNumberLevel2">
    <w:name w:val="List Number (Level 2)"/>
    <w:basedOn w:val="Normal"/>
    <w:pPr>
      <w:numPr>
        <w:ilvl w:val="1"/>
        <w:numId w:val="3"/>
      </w:numPr>
    </w:pPr>
    <w:rPr>
      <w:rFonts w:eastAsia="Times New Roman"/>
      <w:lang w:eastAsia="de-DE"/>
    </w:rPr>
  </w:style>
  <w:style w:type="paragraph" w:customStyle="1" w:styleId="ListNumberLevel3">
    <w:name w:val="List Number (Level 3)"/>
    <w:basedOn w:val="Normal"/>
    <w:pPr>
      <w:numPr>
        <w:ilvl w:val="2"/>
        <w:numId w:val="3"/>
      </w:numPr>
    </w:pPr>
    <w:rPr>
      <w:rFonts w:eastAsia="Times New Roman"/>
      <w:lang w:eastAsia="de-DE"/>
    </w:rPr>
  </w:style>
  <w:style w:type="paragraph" w:customStyle="1" w:styleId="ListNumberLevel4">
    <w:name w:val="List Number (Level 4)"/>
    <w:basedOn w:val="Normal"/>
    <w:pPr>
      <w:numPr>
        <w:ilvl w:val="3"/>
        <w:numId w:val="3"/>
      </w:numPr>
    </w:pPr>
    <w:rPr>
      <w:rFonts w:eastAsia="Times New Roman"/>
      <w:lang w:eastAsia="de-DE"/>
    </w:rPr>
  </w:style>
  <w:style w:type="character" w:styleId="Hyperlink">
    <w:name w:val="Hyperlink"/>
    <w:uiPriority w:val="99"/>
    <w:rPr>
      <w:color w:val="0000FF"/>
      <w:u w:val="single"/>
    </w:rPr>
  </w:style>
  <w:style w:type="paragraph" w:styleId="ListBullet">
    <w:name w:val="List Bullet"/>
    <w:basedOn w:val="Normal"/>
    <w:pPr>
      <w:numPr>
        <w:numId w:val="4"/>
      </w:numPr>
    </w:pPr>
    <w:rPr>
      <w:rFonts w:eastAsia="Times New Roman"/>
      <w:lang w:val="fr-FR" w:eastAsia="en-GB"/>
    </w:rPr>
  </w:style>
  <w:style w:type="paragraph" w:styleId="ListBullet2">
    <w:name w:val="List Bullet 2"/>
    <w:basedOn w:val="Normal"/>
    <w:uiPriority w:val="99"/>
    <w:pPr>
      <w:numPr>
        <w:numId w:val="5"/>
      </w:numPr>
    </w:pPr>
    <w:rPr>
      <w:rFonts w:eastAsia="Times New Roman"/>
      <w:lang w:val="fr-FR" w:eastAsia="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rPr>
      <w:rFonts w:eastAsia="Times New Roman"/>
      <w:b/>
      <w:bCs/>
      <w:szCs w:val="22"/>
      <w:lang w:eastAsia="en-GB"/>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en-GB" w:eastAsia="en-GB"/>
    </w:r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character" w:customStyle="1" w:styleId="s4">
    <w:name w:val="s4"/>
    <w:basedOn w:val="DefaultParagraphFont"/>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Corpsdutexte6">
    <w:name w:val="Corps du texte (6)"/>
    <w:basedOn w:val="DefaultParagraphFont"/>
    <w:uiPriority w:val="99"/>
    <w:rPr>
      <w:color w:val="1A171C"/>
      <w:sz w:val="13"/>
      <w:szCs w:val="13"/>
      <w:shd w:val="clear" w:color="auto" w:fill="FFFFFF"/>
    </w:rPr>
  </w:style>
  <w:style w:type="character" w:customStyle="1" w:styleId="Corpsdutexte3">
    <w:name w:val="Corps du texte3"/>
    <w:basedOn w:val="DefaultParagraphFont"/>
    <w:uiPriority w:val="99"/>
    <w:rPr>
      <w:color w:val="1A171C"/>
      <w:sz w:val="16"/>
      <w:szCs w:val="16"/>
      <w:shd w:val="clear" w:color="auto" w:fill="FFFFFF"/>
    </w:rPr>
  </w:style>
  <w:style w:type="paragraph" w:customStyle="1" w:styleId="Corpsdutexte1">
    <w:name w:val="Corps du texte1"/>
    <w:basedOn w:val="Normal"/>
    <w:uiPriority w:val="99"/>
    <w:pPr>
      <w:widowControl w:val="0"/>
      <w:shd w:val="clear" w:color="auto" w:fill="FFFFFF"/>
      <w:spacing w:before="0" w:after="480" w:line="192" w:lineRule="exact"/>
      <w:ind w:hanging="500"/>
    </w:pPr>
    <w:rPr>
      <w:rFonts w:asciiTheme="minorHAnsi" w:hAnsiTheme="minorHAnsi" w:cstheme="minorBidi"/>
      <w:sz w:val="16"/>
      <w:szCs w:val="16"/>
      <w:lang w:val="en-US"/>
    </w:rPr>
  </w:style>
  <w:style w:type="paragraph" w:customStyle="1" w:styleId="Corpsdutexte61">
    <w:name w:val="Corps du texte (6)1"/>
    <w:basedOn w:val="Normal"/>
    <w:uiPriority w:val="99"/>
    <w:pPr>
      <w:widowControl w:val="0"/>
      <w:shd w:val="clear" w:color="auto" w:fill="FFFFFF"/>
      <w:spacing w:before="0" w:after="0" w:line="168" w:lineRule="exact"/>
      <w:jc w:val="center"/>
    </w:pPr>
    <w:rPr>
      <w:rFonts w:asciiTheme="minorHAnsi" w:hAnsiTheme="minorHAnsi" w:cstheme="minorBidi"/>
      <w:sz w:val="13"/>
      <w:szCs w:val="13"/>
      <w:lang w:val="en-US"/>
    </w:rPr>
  </w:style>
  <w:style w:type="table" w:styleId="TableGrid">
    <w:name w:val="Table Grid"/>
    <w:basedOn w:val="TableNormal"/>
    <w:uiPriority w:val="59"/>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customStyle="1" w:styleId="Style1">
    <w:name w:val="Style1"/>
    <w:basedOn w:val="Normal"/>
    <w:qFormat/>
  </w:style>
  <w:style w:type="paragraph" w:customStyle="1" w:styleId="Style2">
    <w:name w:val="Style2"/>
    <w:basedOn w:val="Considrant"/>
    <w:qFormat/>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13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4.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02CB3-C955-41E7-AEAB-2D7F013BB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41</Pages>
  <Words>13525</Words>
  <Characters>79258</Characters>
  <Application>Microsoft Office Word</Application>
  <DocSecurity>0</DocSecurity>
  <Lines>2142</Lines>
  <Paragraphs>843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2016-07-25T15:54:00Z</dcterms:created>
  <dcterms:modified xsi:type="dcterms:W3CDTF">2016-07-29T08:17:00Z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5.8.4, Build 20141001</vt:lpwstr>
  </property>
  <property fmtid="{D5CDD505-2E9C-101B-9397-08002B2CF9AE}" pid="3" name="Classification">
    <vt:lpwstr> </vt:lpwstr>
  </property>
  <property fmtid="{D5CDD505-2E9C-101B-9397-08002B2CF9AE}" pid="4" name="Category">
    <vt:lpwstr>COM/PL/ORG</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SJ-023</vt:lpwstr>
  </property>
  <property fmtid="{D5CDD505-2E9C-101B-9397-08002B2CF9AE}" pid="8" name="DQCStatus">
    <vt:lpwstr>Green (DQC version 03)</vt:lpwstr>
  </property>
</Properties>
</file>