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B0E2413D76A4AF3AE3721D160F33535" style="width:450.75pt;height:46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spacing w:before="100" w:beforeAutospacing="1" w:after="100" w:afterAutospacing="1"/>
        <w:jc w:val="center"/>
        <w:rPr>
          <w:b/>
          <w:noProof/>
          <w:szCs w:val="24"/>
        </w:rPr>
      </w:pPr>
      <w:bookmarkStart w:id="0" w:name="_GoBack"/>
      <w:bookmarkEnd w:id="0"/>
      <w:r>
        <w:rPr>
          <w:b/>
          <w:noProof/>
        </w:rPr>
        <w:lastRenderedPageBreak/>
        <w:t>Príloha I: Skleníkové plyny a úložiská uhlíka</w:t>
      </w:r>
    </w:p>
    <w:p>
      <w:pPr>
        <w:spacing w:before="100" w:beforeAutospacing="1" w:after="100" w:afterAutospacing="1"/>
        <w:rPr>
          <w:rFonts w:eastAsia="Times New Roman"/>
          <w:noProof/>
          <w:szCs w:val="24"/>
        </w:rPr>
      </w:pPr>
      <w:r>
        <w:rPr>
          <w:noProof/>
        </w:rPr>
        <w:t>A. Skleníkové plyny podľa článku 2: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oxid uhličitý (CO</w:t>
      </w:r>
      <w:r>
        <w:rPr>
          <w:noProof/>
          <w:vertAlign w:val="subscript"/>
        </w:rPr>
        <w:t>2</w:t>
      </w:r>
      <w:r>
        <w:rPr>
          <w:noProof/>
        </w:rPr>
        <w:t>);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metán (CH</w:t>
      </w:r>
      <w:r>
        <w:rPr>
          <w:noProof/>
          <w:vertAlign w:val="subscript"/>
        </w:rPr>
        <w:t>4</w:t>
      </w:r>
      <w:r>
        <w:rPr>
          <w:noProof/>
        </w:rPr>
        <w:t>);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oxid dusný (N</w:t>
      </w:r>
      <w:r>
        <w:rPr>
          <w:noProof/>
          <w:vertAlign w:val="subscript"/>
        </w:rPr>
        <w:t>2</w:t>
      </w:r>
      <w:r>
        <w:rPr>
          <w:noProof/>
        </w:rPr>
        <w:t>O)</w:t>
      </w:r>
    </w:p>
    <w:p>
      <w:pPr>
        <w:spacing w:before="100" w:beforeAutospacing="1" w:after="100" w:afterAutospacing="1"/>
        <w:rPr>
          <w:rFonts w:eastAsia="Times New Roman"/>
          <w:noProof/>
          <w:szCs w:val="24"/>
        </w:rPr>
      </w:pPr>
      <w:r>
        <w:rPr>
          <w:noProof/>
        </w:rPr>
        <w:t>vyjadrené v tonách ekvivalentu CO</w:t>
      </w:r>
      <w:r>
        <w:rPr>
          <w:noProof/>
          <w:vertAlign w:val="subscript"/>
        </w:rPr>
        <w:t>2</w:t>
      </w:r>
      <w:r>
        <w:rPr>
          <w:noProof/>
        </w:rPr>
        <w:t xml:space="preserve"> a určené podľa nariadenia (EÚ) č. 525/2013.</w:t>
      </w:r>
    </w:p>
    <w:p>
      <w:pPr>
        <w:spacing w:before="100" w:beforeAutospacing="1" w:after="100" w:afterAutospacing="1"/>
        <w:rPr>
          <w:rFonts w:eastAsia="Times New Roman"/>
          <w:noProof/>
          <w:szCs w:val="24"/>
        </w:rPr>
      </w:pPr>
      <w:r>
        <w:rPr>
          <w:noProof/>
        </w:rPr>
        <w:t>B. Úložiská uhlíka podľa článku 5 ods. 4: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nadzemná biomasa;</w:t>
      </w:r>
    </w:p>
    <w:p>
      <w:pPr>
        <w:pStyle w:val="Point0"/>
        <w:rPr>
          <w:rFonts w:eastAsia="Times New Roman"/>
          <w:noProof/>
          <w:szCs w:val="24"/>
        </w:rPr>
      </w:pPr>
      <w:r>
        <w:rPr>
          <w:noProof/>
        </w:rPr>
        <w:t>b)</w:t>
      </w:r>
      <w:r>
        <w:rPr>
          <w:noProof/>
        </w:rPr>
        <w:tab/>
        <w:t>podzemná biomasa;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hrabanka;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odumreté drevo;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organický uhlík v pôde;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v prípade zalesnenej pôdy a obhospodarovanej lesnej pôdy: produkty z vyťaženého dreva.</w:t>
      </w:r>
    </w:p>
    <w:p>
      <w:pPr>
        <w:pStyle w:val="ListParagraph"/>
        <w:jc w:val="center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Príloha II: Minimálne hodnoty pre veľkosť plochy, korunový zápoj a výšku stromov a lesné referenčné úrovne</w:t>
      </w:r>
    </w:p>
    <w:tbl>
      <w:tblPr>
        <w:tblW w:w="8241" w:type="dxa"/>
        <w:jc w:val="center"/>
        <w:tblCellSpacing w:w="0" w:type="dxa"/>
        <w:tblInd w:w="-1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43"/>
        <w:gridCol w:w="1310"/>
        <w:gridCol w:w="2552"/>
        <w:gridCol w:w="2136"/>
      </w:tblGrid>
      <w:tr>
        <w:trPr>
          <w:tblCellSpacing w:w="0" w:type="dxa"/>
          <w:jc w:val="center"/>
        </w:trPr>
        <w:tc>
          <w:tcPr>
            <w:tcW w:w="8241" w:type="dxa"/>
            <w:gridSpan w:val="4"/>
          </w:tcPr>
          <w:p>
            <w:pPr>
              <w:pStyle w:val="tbl-norm"/>
              <w:rPr>
                <w:rFonts w:eastAsia="Arial Unicode MS"/>
                <w:b/>
                <w:bCs/>
                <w:noProof/>
                <w:color w:val="000000"/>
              </w:rPr>
            </w:pPr>
            <w:r>
              <w:rPr>
                <w:b/>
                <w:noProof/>
              </w:rPr>
              <w:t xml:space="preserve">Minimálne hodnoty pre veľkosť plochy, korunový zápoj a výšku stromov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Členský štát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Plocha (ha)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Korunový zápoj (%)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Výška stromov (m)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Belgicko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Bulharsko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Chorvátsko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Česká republika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0,05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30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Dánsko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Nemecko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Estónsko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30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Írsko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Grécko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0,3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25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Španielsko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1,0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3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Francúzsko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Taliansko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Cyprus</w:t>
            </w:r>
          </w:p>
        </w:tc>
        <w:tc>
          <w:tcPr>
            <w:tcW w:w="1310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  <w:tc>
          <w:tcPr>
            <w:tcW w:w="2552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  <w:tc>
          <w:tcPr>
            <w:tcW w:w="2136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Lotyšsko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Litva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30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Luxembursko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Maďarsko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30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Malta</w:t>
            </w:r>
          </w:p>
        </w:tc>
        <w:tc>
          <w:tcPr>
            <w:tcW w:w="1310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  <w:tc>
          <w:tcPr>
            <w:tcW w:w="2552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  <w:tc>
          <w:tcPr>
            <w:tcW w:w="2136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Holandsko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Rakúsko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0,05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30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Poľsko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Portugalsko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1,0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Rumunsko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0,25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Slovinsko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0,25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30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Slovensko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0,3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Fínsko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Švédsko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0,5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</w:t>
            </w:r>
          </w:p>
        </w:tc>
      </w:tr>
      <w:tr>
        <w:trPr>
          <w:tblCellSpacing w:w="0" w:type="dxa"/>
          <w:jc w:val="center"/>
        </w:trPr>
        <w:tc>
          <w:tcPr>
            <w:tcW w:w="2243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Spojené kráľovstvo</w:t>
            </w:r>
          </w:p>
        </w:tc>
        <w:tc>
          <w:tcPr>
            <w:tcW w:w="1310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0,1 </w:t>
            </w:r>
          </w:p>
        </w:tc>
        <w:tc>
          <w:tcPr>
            <w:tcW w:w="2552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2136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 </w:t>
            </w:r>
          </w:p>
        </w:tc>
      </w:tr>
    </w:tbl>
    <w:p>
      <w:pPr>
        <w:spacing w:before="100" w:beforeAutospacing="1" w:after="100" w:afterAutospacing="1"/>
        <w:rPr>
          <w:noProof/>
          <w:szCs w:val="24"/>
        </w:rPr>
      </w:pP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br w:type="column"/>
      </w:r>
    </w:p>
    <w:tbl>
      <w:tblPr>
        <w:tblW w:w="4407" w:type="dxa"/>
        <w:jc w:val="center"/>
        <w:tblCellSpacing w:w="0" w:type="dxa"/>
        <w:tblInd w:w="-18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012"/>
        <w:gridCol w:w="2395"/>
      </w:tblGrid>
      <w:tr>
        <w:trPr>
          <w:tblCellSpacing w:w="0" w:type="dxa"/>
          <w:jc w:val="center"/>
        </w:trPr>
        <w:tc>
          <w:tcPr>
            <w:tcW w:w="4407" w:type="dxa"/>
            <w:gridSpan w:val="2"/>
          </w:tcPr>
          <w:p>
            <w:pPr>
              <w:spacing w:before="100" w:beforeAutospacing="1" w:after="100" w:afterAutospacing="1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</w:rPr>
              <w:t>Lesné referenčné úrovne členských štátov vrátane produktov z vyťaženého dreva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</w:rPr>
              <w:t>Členský štát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</w:rPr>
              <w:t>Gg ekvivalenty oxidu uhličitého (CO</w:t>
            </w:r>
            <w:r>
              <w:rPr>
                <w:b/>
                <w:noProof/>
                <w:vertAlign w:val="subscript"/>
              </w:rPr>
              <w:t>2</w:t>
            </w:r>
            <w:r>
              <w:rPr>
                <w:b/>
                <w:noProof/>
              </w:rPr>
              <w:t>) za rok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Belgicko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–2 499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Bulharsko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–7 950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Chorvátsko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–6 289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Česká republika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–4 686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Dánsko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409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Nemecko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–22 418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Estónsko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–2 741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Írsko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–142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Grécko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–1 830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Španielsko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–23 100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Francúzsko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–67 410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Taliansko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–22 166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Cyprus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–157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Lotyšsko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–16 302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Litva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–4 552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Luxembursko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–418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Maďarsko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–1 000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Malta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–49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Holandsko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–1 425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Rakúsko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–6 516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Poľsko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–27 133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Portugalsko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–6 830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Rumunsko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–15 793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Slovinsko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–3 171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Slovensko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–1 084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Fínsko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–20 466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Švédsko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–41 336 </w:t>
            </w:r>
          </w:p>
        </w:tc>
      </w:tr>
      <w:tr>
        <w:trPr>
          <w:tblCellSpacing w:w="0" w:type="dxa"/>
          <w:jc w:val="center"/>
        </w:trPr>
        <w:tc>
          <w:tcPr>
            <w:tcW w:w="2012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>Spojené kráľovstvo</w:t>
            </w:r>
          </w:p>
        </w:tc>
        <w:tc>
          <w:tcPr>
            <w:tcW w:w="2395" w:type="dxa"/>
            <w:hideMark/>
          </w:tcPr>
          <w:p>
            <w:pPr>
              <w:spacing w:before="100" w:beforeAutospacing="1" w:after="100" w:afterAutospacing="1"/>
              <w:rPr>
                <w:noProof/>
                <w:szCs w:val="24"/>
              </w:rPr>
            </w:pPr>
            <w:r>
              <w:rPr>
                <w:noProof/>
              </w:rPr>
              <w:t xml:space="preserve">–8 268 </w:t>
            </w:r>
          </w:p>
        </w:tc>
      </w:tr>
    </w:tbl>
    <w:p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column"/>
      </w:r>
      <w:r>
        <w:rPr>
          <w:rFonts w:ascii="Times New Roman" w:hAnsi="Times New Roman"/>
          <w:b/>
          <w:noProof/>
          <w:sz w:val="24"/>
        </w:rPr>
        <w:lastRenderedPageBreak/>
        <w:t>Príloha III: Základné roky na účely výpočtustropu podľa článku 8 ods. 2</w:t>
      </w:r>
    </w:p>
    <w:tbl>
      <w:tblPr>
        <w:tblW w:w="5916" w:type="dxa"/>
        <w:jc w:val="center"/>
        <w:tblCellSpacing w:w="0" w:type="dxa"/>
        <w:tblInd w:w="-20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559"/>
        <w:gridCol w:w="2357"/>
      </w:tblGrid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Členský štát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Základný rok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Belgicko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Bulharsko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1988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Chorvátsko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Česká republika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Dánsko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Nemecko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Estónsko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Írsko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Grécko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Španielsko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Francúzsko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Taliansko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Cyprus</w:t>
            </w:r>
          </w:p>
        </w:tc>
        <w:tc>
          <w:tcPr>
            <w:tcW w:w="2357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Lotyšsko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Litva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Luxembursko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Maďarsko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1985 – 1987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Malta</w:t>
            </w:r>
          </w:p>
        </w:tc>
        <w:tc>
          <w:tcPr>
            <w:tcW w:w="2357" w:type="dxa"/>
            <w:hideMark/>
          </w:tcPr>
          <w:p>
            <w:pPr>
              <w:pStyle w:val="Normal1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Holandsko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Rakúsko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Poľsko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1988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Portugalsko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Rumunsko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1989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Slovinsko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1986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Slovensko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Fínsko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Švédsko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  <w:tr>
        <w:trPr>
          <w:tblCellSpacing w:w="0" w:type="dxa"/>
          <w:jc w:val="center"/>
        </w:trPr>
        <w:tc>
          <w:tcPr>
            <w:tcW w:w="3559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Spojené kráľovstvo</w:t>
            </w:r>
          </w:p>
        </w:tc>
        <w:tc>
          <w:tcPr>
            <w:tcW w:w="2357" w:type="dxa"/>
            <w:hideMark/>
          </w:tcPr>
          <w:p>
            <w:pPr>
              <w:pStyle w:val="tbl-norm"/>
              <w:rPr>
                <w:rFonts w:eastAsia="Arial Unicode MS"/>
                <w:noProof/>
                <w:color w:val="000000"/>
              </w:rPr>
            </w:pPr>
            <w:r>
              <w:rPr>
                <w:noProof/>
                <w:color w:val="000000"/>
              </w:rPr>
              <w:t>1990</w:t>
            </w:r>
          </w:p>
        </w:tc>
      </w:tr>
    </w:tbl>
    <w:p>
      <w:pPr>
        <w:spacing w:before="100" w:beforeAutospacing="1" w:after="100" w:afterAutospacing="1"/>
        <w:jc w:val="center"/>
        <w:rPr>
          <w:b/>
          <w:noProof/>
          <w:szCs w:val="24"/>
        </w:rPr>
      </w:pPr>
      <w:r>
        <w:rPr>
          <w:b/>
          <w:noProof/>
        </w:rPr>
        <w:t>Príloha IV: Národné lesohospodárske plány započítavania obsahujúce aktualizované lesné referenčné úrovne členských štátov</w:t>
      </w:r>
    </w:p>
    <w:p>
      <w:pPr>
        <w:rPr>
          <w:rFonts w:eastAsia="Times New Roman"/>
          <w:noProof/>
          <w:szCs w:val="24"/>
          <w:u w:val="single"/>
        </w:rPr>
      </w:pPr>
      <w:r>
        <w:rPr>
          <w:noProof/>
          <w:u w:val="single"/>
        </w:rPr>
        <w:t>A. Kritériá na určovanie lesných referenčných úrovní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Členský štát stanoví lesné referenčné úrovne v súlade s týmito kritériami: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Referenčné úrovne musia byť v súlade s cieľom dosiahnuť rovnováhu medzi antropogénnymi emisiami skleníkových plynov zo zdrojov a ich záchytmi v druhej polovici tohto storočia;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Referenčnými úrovňami sa zabezpečí, aby sa zo započítavania vylúčila samotná prítomnosť zásob uhlíka;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Referenčné úrovne by mali zabezpečiť spoľahlivé a dôveryhodné započítavanie, aby sa zaručilo riadne zohľadnenie emisií a záchytov pochádzajúcich z používania biomasy;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Referenčné úrovne musia zahŕňať úložisko uhlíka produktov z vyťaženého dreva, ako aj porovnanie medzi odhadom okamžitej oxidácie a uplatnením funkcie rozpadu prvého rádu a hodnôt polčasu rozpadu;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Referenčné úrovne by mali zohľadňovať cieľ prispievať k zachovaniu biodiverzity a udržateľné využívanie prírodných zdrojov, ako sa uvádza v stratégii lesného hospodárstva EÚ, vnútroštátnych lesohospodárskych politikách členských štátov a v stratégii EÚ v oblasti biodiverzity; 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Referenčné úrovne musia byť v súlade s národnými projekciami antropogénnych emisií skleníkových plynov zo zdrojov a ich záchytov nahlásenými podľa nariadenia (EÚ) č. 525/2013;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>Referenčné úrovne musia byť v súlade s inventúrami skleníkových plynov a príslušnými historickými údajmi a vychádzať z transparentných, úplných, konzistentných, porovnateľných a presných informácií. Dôležité je najmä to, aby model použitý na stanovenie referenčnej úrovne dokázal reprodukovať historické údaje z národných inventúr emisií skleníkových plynov.</w:t>
      </w:r>
    </w:p>
    <w:p>
      <w:pPr>
        <w:spacing w:before="100" w:beforeAutospacing="1" w:after="100" w:afterAutospacing="1"/>
        <w:rPr>
          <w:noProof/>
          <w:szCs w:val="24"/>
          <w:u w:val="single"/>
        </w:rPr>
      </w:pPr>
      <w:r>
        <w:rPr>
          <w:noProof/>
          <w:u w:val="single"/>
        </w:rPr>
        <w:t xml:space="preserve">B. Prvky národného lesohospodárskeho plánu započítavania </w:t>
      </w:r>
    </w:p>
    <w:p>
      <w:pPr>
        <w:spacing w:before="100" w:beforeAutospacing="1" w:after="100" w:afterAutospacing="1"/>
        <w:ind w:left="360"/>
        <w:rPr>
          <w:noProof/>
          <w:szCs w:val="24"/>
        </w:rPr>
      </w:pPr>
      <w:r>
        <w:rPr>
          <w:noProof/>
        </w:rPr>
        <w:t xml:space="preserve">Národné lesohospodárske plány započítavania predložené v súlade s článkom 8 tohto nariadenia musia obsahovať tieto prvky: 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Všeobecný opis výpočtu referenčnej úrovne a opis toho, ako boli zohľadnené kritériá obsiahnuté v tomto nariadení;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Identifikácia úložísk uhlíka a skleníkových plynov, ktoré boli zahrnuté do referenčnej úrovne, dôvody prípadného vynechania úložiska uhlíka z výpočtu referenčnej úrovne a preukázanie konzistentnosti medzi úložiskami zahrnutými v referenčnej úrovni;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Opis prístupov, metód a modelov vrátane kvantitatívnych informácií používaných pri výpočte referenčnej úrovne v súlade s najnovšou predloženou národnou inventarizačnou správou a dokumentácia postupov a intenzity obhospodarovania lesov;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Opis toho, ako prebiehali konzultácie so zainteresovanými stranami a ako boli zohľadnené ich názory;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Informácie o tom, ako sa podľa očakávaní bude vyvíjať miera ťažby v závislosti od rôznych politických scenárov;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Opis toho, ako sa pri stanovovaní referenčnej úrovne zvažovali všetky tieto prvky:</w:t>
      </w:r>
    </w:p>
    <w:p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plocha obhospodarovaných lesov;</w:t>
      </w:r>
    </w:p>
    <w:p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emisie a záchyty z lesov a produktov z vyťaženého dreva podľa inventúr skleníkových plynov a príslušných historických údajov; </w:t>
      </w:r>
    </w:p>
    <w:p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  <w:t>vlastnosti lesov vrátane vekovej štruktúry, prírastkov, dĺžky rotácie a iných informácií o činnostiach obhospodarovania lesov podľa „scenára nezmeneného prístupu“;</w:t>
      </w:r>
    </w:p>
    <w:p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historické a budúce miery ťažby rozlíšené v závislosti od energetického, resp. iného využitia. </w:t>
      </w:r>
    </w:p>
    <w:p>
      <w:pPr>
        <w:spacing w:before="100" w:beforeAutospacing="1" w:after="100" w:afterAutospacing="1"/>
        <w:jc w:val="center"/>
        <w:rPr>
          <w:b/>
          <w:noProof/>
          <w:szCs w:val="24"/>
        </w:rPr>
      </w:pPr>
      <w:r>
        <w:rPr>
          <w:b/>
          <w:noProof/>
        </w:rPr>
        <w:t>Príloha V: Funkcia rozpadu prvého rádu a štandardné hodnoty polčasu rozpadu pre produkty z vyťaženého dreva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Metodické otázky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Ak nie je možné rozlíšiť medzi produktmi z vyťaženého dreva na zalesnenej pôde a na obhospodarovanej lesnej pôde, členský štát sa môže rozhodnúť započítavať produkty z vyťaženého dreva, akoby všetky emisie a záchyty pochádzali z obhospodarovanej lesnej pôdy.</w:t>
      </w:r>
    </w:p>
    <w:p>
      <w:pPr>
        <w:pStyle w:val="Tiret0"/>
        <w:rPr>
          <w:noProof/>
        </w:rPr>
      </w:pPr>
      <w:r>
        <w:rPr>
          <w:noProof/>
        </w:rPr>
        <w:t>Produkty z vyťaženého dreva na skládkach tuhého odpadu a produkty z vyťaženého dreva, ktoré boli vyťažené na energetické účely, sa započítavajú na základe okamžitej oxidácie.</w:t>
      </w:r>
    </w:p>
    <w:p>
      <w:pPr>
        <w:pStyle w:val="Tiret0"/>
        <w:rPr>
          <w:noProof/>
        </w:rPr>
      </w:pPr>
      <w:r>
        <w:rPr>
          <w:noProof/>
        </w:rPr>
        <w:t xml:space="preserve">Dovážajúce členské štáty nezapočítavajú dovezené produkty z vyťaženého dreva, a to bez ohľadu na ich pôvod („prístup zameraný na produkciu“). </w:t>
      </w:r>
    </w:p>
    <w:p>
      <w:pPr>
        <w:pStyle w:val="Tiret0"/>
        <w:rPr>
          <w:noProof/>
        </w:rPr>
      </w:pPr>
      <w:r>
        <w:rPr>
          <w:noProof/>
        </w:rPr>
        <w:t>Pokiaľ ide o vyvážané produkty z vyťaženého dreva, v údajoch pre jednotlivé krajiny sa uvádzajú hodnoty polčasu rozpadu pre jednotlivé krajiny a použitie produktov z vyťaženého dreva v dovážajúcej krajine.</w:t>
      </w:r>
    </w:p>
    <w:p>
      <w:pPr>
        <w:pStyle w:val="Tiret0"/>
        <w:rPr>
          <w:noProof/>
        </w:rPr>
      </w:pPr>
      <w:r>
        <w:rPr>
          <w:noProof/>
        </w:rPr>
        <w:t>Hodnoty polčasu rozpadu špecifické pre jednotlivé krajiny v prípade produktov z vyťaženého dreva umiestnených na trhu v Únii by sa nemali líšiť od tých, ktoré používa dovážajúci členský štát.</w:t>
      </w:r>
    </w:p>
    <w:p>
      <w:pPr>
        <w:pStyle w:val="Tiret0"/>
        <w:rPr>
          <w:noProof/>
        </w:rPr>
      </w:pPr>
      <w:r>
        <w:rPr>
          <w:noProof/>
        </w:rPr>
        <w:t>Členské štáty môžu iba na informačné účely poskytovať v rámci predkladania údajov aj údaje o podiele dreva používaného na energetické účely, ktoré sa doviezlo z krajín mimo Únie, ako aj údaje o krajinách pôvodu tohto dreva.</w:t>
      </w:r>
    </w:p>
    <w:p>
      <w:pPr>
        <w:spacing w:before="100" w:beforeAutospacing="1" w:after="100" w:afterAutospacing="1"/>
        <w:rPr>
          <w:b/>
          <w:noProof/>
          <w:szCs w:val="24"/>
        </w:rPr>
      </w:pPr>
      <w:r>
        <w:rPr>
          <w:noProof/>
        </w:rPr>
        <w:t>Členské štáty môžu namiesto metodík a štandardných hodnôt polčasu rozpadu uvedených v tejto prílohe použiť metodiky a hodnoty polčasu rozpadu špecifické pre jednotlivé krajiny za predpokladu, že tieto metodiky a hodnoty sa určia na základe transparentných a overiteľných údajov a že použité metódy sú aspoň také podrobné a presné ako tie, ktoré sa uvádzajú v tejto prílohe.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Funkcia rozpadu prvého rádu začínajúca sa s i = 1900 a pokračujúca do súčasného roku: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8781"/>
      </w:tblGrid>
      <w:tr>
        <w:trPr>
          <w:tblCellSpacing w:w="0" w:type="dxa"/>
        </w:trPr>
        <w:tc>
          <w:tcPr>
            <w:tcW w:w="161" w:type="pct"/>
          </w:tcPr>
          <w:p>
            <w:pPr>
              <w:pStyle w:val="Point0"/>
              <w:ind w:left="0" w:firstLine="0"/>
              <w:rPr>
                <w:noProof/>
              </w:rPr>
            </w:pPr>
            <w:r>
              <w:rPr>
                <w:noProof/>
              </w:rPr>
              <w:t>a)</w:t>
            </w:r>
          </w:p>
        </w:tc>
        <w:tc>
          <w:tcPr>
            <w:tcW w:w="4839" w:type="pct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noProof/>
                  <w:szCs w:val="24"/>
                </w:rPr>
                <w:br/>
              </m:r>
            </m:oMath>
            <m:oMathPara>
              <m:oMath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C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i+1</m:t>
                    </m:r>
                  </m:e>
                </m:d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-k</m:t>
                    </m:r>
                  </m:sup>
                </m:sSup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 ⋅C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i</m:t>
                    </m:r>
                  </m:e>
                </m:d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noProof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noProof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noProof/>
                                <w:szCs w:val="24"/>
                              </w:rPr>
                              <m:t>i-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noProof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noProof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/>
                                    <w:noProof/>
                                    <w:szCs w:val="24"/>
                                  </w:rPr>
                                  <m:t>-k</m:t>
                                </m:r>
                              </m:sup>
                            </m:sSup>
                          </m:e>
                        </m:d>
                      </m:num>
                      <m:den>
                        <m:r>
                          <w:rPr>
                            <w:rFonts w:ascii="Cambria Math" w:eastAsia="Times New Roman" w:hAnsi="Cambria Math"/>
                            <w:noProof/>
                            <w:szCs w:val="24"/>
                          </w:rPr>
                          <m:t>k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⋅Inflow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i</m:t>
                    </m:r>
                  </m:e>
                </m:d>
              </m:oMath>
            </m:oMathPara>
          </w:p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s </w:t>
            </w: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C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noProof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noProof/>
                      <w:szCs w:val="24"/>
                    </w:rPr>
                    <m:t>1900</m:t>
                  </m:r>
                </m:e>
              </m:d>
              <m:r>
                <w:rPr>
                  <w:rFonts w:ascii="Cambria Math" w:eastAsia="Times New Roman" w:hAnsi="Cambria Math"/>
                  <w:noProof/>
                  <w:szCs w:val="24"/>
                </w:rPr>
                <m:t>=0</m:t>
              </m:r>
            </m:oMath>
            <w:r>
              <w:rPr>
                <w:noProof/>
              </w:rPr>
              <w:t xml:space="preserve">,0 </w:t>
            </w:r>
          </w:p>
        </w:tc>
      </w:tr>
      <w:tr>
        <w:trPr>
          <w:tblCellSpacing w:w="0" w:type="dxa"/>
        </w:trPr>
        <w:tc>
          <w:tcPr>
            <w:tcW w:w="161" w:type="pct"/>
            <w:hideMark/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b)</w:t>
            </w:r>
          </w:p>
        </w:tc>
        <w:tc>
          <w:tcPr>
            <w:tcW w:w="4839" w:type="pct"/>
            <w:hideMark/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  <w:lang w:val="en-US" w:eastAsia="en-US" w:bidi="ar-SA"/>
              </w:rPr>
              <w:drawing>
                <wp:inline distT="0" distB="0" distL="0" distR="0">
                  <wp:extent cx="1628140" cy="244475"/>
                  <wp:effectExtent l="0" t="0" r="0" b="3175"/>
                  <wp:docPr id="2" name="Picture 2" descr="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Times New Roman"/>
                <w:noProof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hint="eastAsia"/>
                    <w:noProof/>
                    <w:szCs w:val="24"/>
                  </w:rPr>
                  <m:t>Δ</m:t>
                </m:r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C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i</m:t>
                    </m:r>
                  </m:e>
                </m:d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=C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i+1</m:t>
                    </m:r>
                  </m:e>
                </m:d>
                <m:r>
                  <w:rPr>
                    <w:rFonts w:ascii="Cambria Math" w:eastAsia="Times New Roman" w:hAnsi="Cambria Math"/>
                    <w:noProof/>
                    <w:szCs w:val="24"/>
                  </w:rPr>
                  <m:t>-C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noProof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noProof/>
                        <w:szCs w:val="24"/>
                      </w:rPr>
                      <m:t>i</m:t>
                    </m:r>
                  </m:e>
                </m:d>
              </m:oMath>
            </m:oMathPara>
          </w:p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kde:</w:t>
            </w:r>
          </w:p>
          <w:p>
            <w:pPr>
              <w:rPr>
                <w:rFonts w:eastAsia="Times New Roman"/>
                <w:noProof/>
                <w:szCs w:val="24"/>
              </w:rPr>
            </w:pP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i</m:t>
              </m:r>
            </m:oMath>
            <w:r>
              <w:rPr>
                <w:noProof/>
              </w:rPr>
              <w:t>= rok</w:t>
            </w:r>
          </w:p>
          <w:p>
            <w:pPr>
              <w:rPr>
                <w:rFonts w:ascii="Cambria Math" w:eastAsia="Times New Roman" w:hAnsi="Cambria Math"/>
                <w:noProof/>
                <w:szCs w:val="24"/>
                <w:oMath/>
              </w:rPr>
            </w:pP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C(i)</m:t>
              </m:r>
            </m:oMath>
            <w:r>
              <w:rPr>
                <w:noProof/>
              </w:rPr>
              <w:t xml:space="preserve">= zásoby uhlíka v súbore produktov z vyťaženého dreva na začiatku roku i, v </w:t>
            </w: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Gg C</m:t>
              </m:r>
            </m:oMath>
          </w:p>
          <w:p>
            <w:pPr>
              <w:rPr>
                <w:rFonts w:eastAsia="Times New Roman"/>
                <w:noProof/>
                <w:szCs w:val="24"/>
              </w:rPr>
            </w:pP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k</m:t>
              </m:r>
            </m:oMath>
            <w:r>
              <w:rPr>
                <w:noProof/>
              </w:rPr>
              <w:t>= rozpadová konštanta rozpadu prvého rádu daná v jednotkách v roku – 1 (</w:t>
            </w: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k=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noProof/>
                      <w:szCs w:val="24"/>
                    </w:rPr>
                  </m:ctrlPr>
                </m:funcPr>
                <m:fName>
                  <m:r>
                    <w:rPr>
                      <w:rFonts w:ascii="Cambria Math" w:eastAsia="Times New Roman" w:hAnsi="Cambria Math"/>
                      <w:noProof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noProof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noProof/>
                          <w:szCs w:val="24"/>
                        </w:rPr>
                        <m:t>2</m:t>
                      </m:r>
                    </m:e>
                  </m:d>
                  <m:r>
                    <w:rPr>
                      <w:rFonts w:ascii="Cambria Math" w:eastAsia="Times New Roman" w:hAnsi="Cambria Math"/>
                      <w:noProof/>
                      <w:szCs w:val="24"/>
                    </w:rPr>
                    <m:t>/HL</m:t>
                  </m:r>
                </m:e>
              </m:func>
            </m:oMath>
            <w:r>
              <w:rPr>
                <w:rFonts w:eastAsia="Times New Roman"/>
                <w:noProof/>
                <w:szCs w:val="24"/>
                <w:lang w:val="en-US" w:eastAsia="en-US" w:bidi="ar-SA"/>
              </w:rPr>
              <w:drawing>
                <wp:inline distT="0" distB="0" distL="0" distR="0">
                  <wp:extent cx="885190" cy="244475"/>
                  <wp:effectExtent l="0" t="0" r="0" b="3175"/>
                  <wp:docPr id="1" name="Picture 1" descr="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, kde </w:t>
            </w: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HL</m:t>
              </m:r>
            </m:oMath>
            <w:r>
              <w:rPr>
                <w:noProof/>
              </w:rPr>
              <w:t xml:space="preserve"> je polčas rozpadu súboru produktov z vyťaženého dreva v rokoch.)</w:t>
            </w:r>
          </w:p>
          <w:p>
            <w:pPr>
              <w:rPr>
                <w:rFonts w:eastAsia="Times New Roman"/>
                <w:noProof/>
                <w:szCs w:val="24"/>
              </w:rPr>
            </w:pP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Inflow(i)</m:t>
              </m:r>
            </m:oMath>
            <w:r>
              <w:rPr>
                <w:noProof/>
              </w:rPr>
              <w:t xml:space="preserve">= prírastok do súboru produktov z vyťaženého dreva počas roka </w:t>
            </w: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i</m:t>
              </m:r>
            </m:oMath>
            <w:r>
              <w:rPr>
                <w:noProof/>
              </w:rPr>
              <w:t>, Gg C rok – 1</w:t>
            </w:r>
          </w:p>
          <w:p>
            <w:pPr>
              <w:rPr>
                <w:rFonts w:eastAsia="Times New Roman"/>
                <w:noProof/>
                <w:szCs w:val="24"/>
              </w:rPr>
            </w:pP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ΔC(i)</m:t>
              </m:r>
            </m:oMath>
            <w:r>
              <w:rPr>
                <w:noProof/>
              </w:rPr>
              <w:t xml:space="preserve">= zmena zásob uhlíka v súbore produktov z vyťaženého dreva počas roka </w:t>
            </w:r>
            <m:oMath>
              <m:r>
                <w:rPr>
                  <w:rFonts w:ascii="Cambria Math" w:eastAsia="Times New Roman" w:hAnsi="Cambria Math"/>
                  <w:noProof/>
                  <w:szCs w:val="24"/>
                </w:rPr>
                <m:t>i</m:t>
              </m:r>
            </m:oMath>
            <w:r>
              <w:rPr>
                <w:noProof/>
              </w:rPr>
              <w:t>, Gg C rok – 1,</w:t>
            </w:r>
          </w:p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Štandardné hodnoty polčasu rozpadu:</w:t>
            </w:r>
          </w:p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Hodnota polčasu rozpadu je počet rokov, ktorý je potrebný na to, aby sa množstvo uhlíka uloženého v jednej z kategórií produktov z vyťaženého dreva znížilo na polovicu svojej pôvodnej hodnoty. Štandardné hodnoty polčasu rozpadu (HL):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8769"/>
            </w:tblGrid>
            <w:tr>
              <w:trPr>
                <w:tblCellSpacing w:w="0" w:type="dxa"/>
              </w:trPr>
              <w:tc>
                <w:tcPr>
                  <w:tcW w:w="0" w:type="auto"/>
                  <w:hideMark/>
                </w:tcPr>
                <w:p>
                  <w:pPr>
                    <w:pStyle w:val="ListParagraph"/>
                    <w:numPr>
                      <w:ilvl w:val="0"/>
                      <w:numId w:val="9"/>
                    </w:num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ListParagraph"/>
                    <w:numPr>
                      <w:ilvl w:val="0"/>
                      <w:numId w:val="29"/>
                    </w:num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t>2 roky pre papier;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hideMark/>
                </w:tcPr>
                <w:p>
                  <w:pPr>
                    <w:pStyle w:val="ListParagraph"/>
                    <w:numPr>
                      <w:ilvl w:val="0"/>
                      <w:numId w:val="29"/>
                    </w:num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ListParagraph"/>
                    <w:numPr>
                      <w:ilvl w:val="0"/>
                      <w:numId w:val="32"/>
                    </w:num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t>25 rokov pre aglomerované dosky;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hideMark/>
                </w:tcPr>
                <w:p>
                  <w:pPr>
                    <w:pStyle w:val="ListParagraph"/>
                    <w:numPr>
                      <w:ilvl w:val="0"/>
                      <w:numId w:val="32"/>
                    </w:num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ListParagraph"/>
                    <w:numPr>
                      <w:ilvl w:val="0"/>
                      <w:numId w:val="33"/>
                    </w:num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t>35 rokov pre rezivo.</w:t>
                  </w:r>
                </w:p>
              </w:tc>
            </w:tr>
          </w:tbl>
          <w:p>
            <w:pPr>
              <w:rPr>
                <w:rFonts w:eastAsia="Times New Roman"/>
                <w:noProof/>
                <w:szCs w:val="24"/>
              </w:rPr>
            </w:pPr>
          </w:p>
        </w:tc>
      </w:tr>
    </w:tbl>
    <w:p>
      <w:pPr>
        <w:spacing w:before="100" w:beforeAutospacing="1" w:after="100" w:afterAutospacing="1"/>
        <w:rPr>
          <w:noProof/>
        </w:rPr>
      </w:pPr>
      <w:r>
        <w:rPr>
          <w:noProof/>
        </w:rPr>
        <w:t>Členské štáty môžu doplniť uvedené kategórie informáciami o kôre za predpokladu, že dostupné údaje sú transparentné a overiteľné. Členské štáty môžu v rámci týchto kategórií použiť aj podkategórie špecifické pre jednotlivé krajiny.</w:t>
      </w:r>
    </w:p>
    <w:p>
      <w:pPr>
        <w:spacing w:before="100" w:beforeAutospacing="1" w:after="100" w:afterAutospacing="1"/>
        <w:jc w:val="center"/>
        <w:rPr>
          <w:b/>
          <w:noProof/>
          <w:szCs w:val="24"/>
        </w:rPr>
      </w:pPr>
      <w:r>
        <w:rPr>
          <w:b/>
          <w:noProof/>
        </w:rPr>
        <w:t>Príloha VI: Výpočet úrovne pozadia prírodných škodlivých činiteľov</w:t>
      </w:r>
    </w:p>
    <w:p>
      <w:pPr>
        <w:pStyle w:val="CM4"/>
        <w:spacing w:before="60" w:after="60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1. Na výpočet úrovne pozadia sa uvedú tieto informácie: </w:t>
      </w:r>
    </w:p>
    <w:p>
      <w:pPr>
        <w:pStyle w:val="CM4"/>
        <w:spacing w:before="60" w:after="60"/>
        <w:jc w:val="both"/>
        <w:rPr>
          <w:rFonts w:ascii="Times New Roman" w:hAnsi="Times New Roman" w:cs="Times New Roman"/>
          <w:noProof/>
          <w:color w:val="000000"/>
        </w:rPr>
      </w:pP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historické úrovne emisií zapríčinených prírodnými škodlivými činiteľmi;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druhy prírodných škodlivých činiteľov zahrnutých do odhadu; 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odhady celkových ročných emisií na obdobie rokov 2001 – 2020 pre tieto druhy prírodných škodlivých činiteľov, a to podľa kategórie započítavania pôdy; 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dôkaz konzistentnosti časového radu vo všetkých relevantných ukazovateľoch vrátane minimálnej plochy, metodík odhadu emisií, pokrytia úložísk a plynov. </w:t>
      </w:r>
    </w:p>
    <w:p>
      <w:pPr>
        <w:pStyle w:val="CM4"/>
        <w:spacing w:before="60" w:after="60"/>
        <w:jc w:val="both"/>
        <w:rPr>
          <w:rFonts w:ascii="Times New Roman" w:hAnsi="Times New Roman" w:cs="Times New Roman"/>
          <w:noProof/>
          <w:color w:val="000000"/>
        </w:rPr>
      </w:pPr>
    </w:p>
    <w:p>
      <w:pPr>
        <w:pStyle w:val="CM4"/>
        <w:spacing w:before="60" w:after="60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2. Úroveň pozadia sa vypočíta ako priemer časového radu 2001 – 2020, pričom sa vylúčia všetky roky, v ktorých sa zaznamenali abnormálne úrovne emisií, t. j. vylúčia sa všetky štatistické odľahlé hodnoty. Štatistické odľahlé hodnoty sa určujú takto: 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výpočet priemernej aritmetickej hodnoty a štandardnej odchýlky úplného časového radu 2001 – 2020;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vylúčenie všetkých rokov, v ktorých ročné emisie prekračujú dvojnásobnú štandardnú odchýlku od priemeru, z časového radu; 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opätovný výpočet priemernej aritmetickej hodnoty a štandardnej odchýlky časového radu 2001 – 2020 po odpočítaní rokov vylúčených v písmene b); </w:t>
      </w:r>
    </w:p>
    <w:p>
      <w:pPr>
        <w:pStyle w:val="Point0"/>
        <w:rPr>
          <w:rFonts w:eastAsia="Times New Roman"/>
          <w:noProof/>
          <w:szCs w:val="24"/>
        </w:rPr>
      </w:pPr>
      <w:r>
        <w:rPr>
          <w:noProof/>
        </w:rPr>
        <w:t>d)</w:t>
      </w:r>
      <w:r>
        <w:rPr>
          <w:noProof/>
        </w:rPr>
        <w:tab/>
        <w:t>opakovanie postupu podľa písmen b) a c), kým sa neidentifikujú všetky extrémne údaje.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3. Ak po výpočte úrovne pozadia podľa bodu 2 tejto prílohy emisie v konkrétnom roku v období rokov 2021 až 2025 a 2026 až 2030 prekračujú úroveň pozadia navýšenú o rezervu, množstvo emisií prekračujúcich úroveň pozadia možno vylúčiť v súlade s článkom 10. Rezerva sa rovná hladine pravdepodobnosti 95 %.</w:t>
      </w:r>
    </w:p>
    <w:p>
      <w:pPr>
        <w:spacing w:before="100" w:beforeAutospacing="1" w:after="100" w:afterAutospacing="1"/>
        <w:rPr>
          <w:rFonts w:eastAsia="Times New Roman"/>
          <w:noProof/>
          <w:szCs w:val="24"/>
        </w:rPr>
      </w:pPr>
      <w:r>
        <w:rPr>
          <w:noProof/>
        </w:rPr>
        <w:t>4. Vylúčiť nemožno tieto emisie: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emisie vyplývajúce z ťažobnej činnosti a kalamitnej ťažby, ku ktorým došlo na tejto pôde po výskyte prírodných škodlivých činiteľov;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emisie vyplývajúce z predpísaného vypaľovania, ku ktorému došlo na tejto pôde v danom roku obdobia rokov 2021 až 2025 alebo 2026 až 2030;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emisie na pôde, ktorá bola predmetom odlesňovania po výskyte prírodných škodlivých činiteľov.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5. Informačné požiadavky podľa článku 10 ods. 2 zahŕňajú tieto prvky: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identifikáciu všetkej plochy pôdy, ktorá bola v príslušnom roku postihnutá prírodnými škodlivými činiteľmi, vrátane jej zemepisnej polohy, obdobia výskytu a druhu prírodných škodlivých činiteľov;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dôkazy, že na pôde, ktorá bola postihnutá prírodnými škodlivými činiteľmi a v súvislosti s ktorou boli emisie vylúčené zo započítavania, nedošlo počas zvyšku obdobia rokov 2021 až 2025 ani 2026 až 2030 k žiadnemu odlesňovaniu;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opis overiteľných metód a kritérií, ktoré sa majú použiť pri identifikácii odlesňovania na takejto pôde v nasledujúcich rokoch obdobia rokov 2021 až 2025 alebo 2026 až 2030;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ak je to možné, opis opatrení, ktoré členský štát prijal na zabránenie výskytu alebo obmedzenie vplyvu týchto prírodných škodlivých činiteľov;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ak je to možné, opis opatrení, ktoré členský štát prijal na obnovu pôdy postihnutej týmito prírodnými škodlivými činiteľmi.</w:t>
      </w:r>
    </w:p>
    <w:p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Personnequisigne"/>
        <w:jc w:val="both"/>
        <w:rPr>
          <w:noProof/>
          <w:szCs w:val="24"/>
        </w:rPr>
      </w:pPr>
    </w:p>
    <w:p>
      <w:pPr>
        <w:pStyle w:val="Typedudocument"/>
        <w:rPr>
          <w:noProof/>
        </w:rPr>
      </w:pP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C68D3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88253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6EC3B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7029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5EAA5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0C65E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68A14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BE852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7036C9"/>
    <w:multiLevelType w:val="hybridMultilevel"/>
    <w:tmpl w:val="F5848D5E"/>
    <w:lvl w:ilvl="0" w:tplc="C34234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761E7"/>
    <w:multiLevelType w:val="hybridMultilevel"/>
    <w:tmpl w:val="445ABF98"/>
    <w:lvl w:ilvl="0" w:tplc="C34234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E1722"/>
    <w:multiLevelType w:val="hybridMultilevel"/>
    <w:tmpl w:val="8554674C"/>
    <w:lvl w:ilvl="0" w:tplc="6CBAAE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24BA4"/>
    <w:multiLevelType w:val="hybridMultilevel"/>
    <w:tmpl w:val="18C25238"/>
    <w:lvl w:ilvl="0" w:tplc="6E2AAE38">
      <w:start w:val="3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BCA2601"/>
    <w:multiLevelType w:val="hybridMultilevel"/>
    <w:tmpl w:val="704A5752"/>
    <w:lvl w:ilvl="0" w:tplc="F1504CC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6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9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0">
    <w:nsid w:val="4C2020B6"/>
    <w:multiLevelType w:val="hybridMultilevel"/>
    <w:tmpl w:val="6C8CA702"/>
    <w:lvl w:ilvl="0" w:tplc="C34234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>
    <w:nsid w:val="5AF77D65"/>
    <w:multiLevelType w:val="hybridMultilevel"/>
    <w:tmpl w:val="A4C24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8">
    <w:nsid w:val="708459DE"/>
    <w:multiLevelType w:val="hybridMultilevel"/>
    <w:tmpl w:val="9104BEA0"/>
    <w:lvl w:ilvl="0" w:tplc="C34234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F750E"/>
    <w:multiLevelType w:val="hybridMultilevel"/>
    <w:tmpl w:val="C3461072"/>
    <w:lvl w:ilvl="0" w:tplc="3CE6944E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22"/>
  </w:num>
  <w:num w:numId="12">
    <w:abstractNumId w:val="11"/>
  </w:num>
  <w:num w:numId="13">
    <w:abstractNumId w:val="25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7"/>
  </w:num>
  <w:num w:numId="17">
    <w:abstractNumId w:val="27"/>
  </w:num>
  <w:num w:numId="18">
    <w:abstractNumId w:val="16"/>
  </w:num>
  <w:num w:numId="19">
    <w:abstractNumId w:val="18"/>
  </w:num>
  <w:num w:numId="20">
    <w:abstractNumId w:val="13"/>
  </w:num>
  <w:num w:numId="21">
    <w:abstractNumId w:val="26"/>
  </w:num>
  <w:num w:numId="22">
    <w:abstractNumId w:val="12"/>
  </w:num>
  <w:num w:numId="23">
    <w:abstractNumId w:val="19"/>
  </w:num>
  <w:num w:numId="24">
    <w:abstractNumId w:val="23"/>
  </w:num>
  <w:num w:numId="25">
    <w:abstractNumId w:val="24"/>
  </w:num>
  <w:num w:numId="26">
    <w:abstractNumId w:val="15"/>
  </w:num>
  <w:num w:numId="27">
    <w:abstractNumId w:val="21"/>
  </w:num>
  <w:num w:numId="28">
    <w:abstractNumId w:val="30"/>
  </w:num>
  <w:num w:numId="29">
    <w:abstractNumId w:val="9"/>
  </w:num>
  <w:num w:numId="30">
    <w:abstractNumId w:val="20"/>
  </w:num>
  <w:num w:numId="31">
    <w:abstractNumId w:val="28"/>
  </w:num>
  <w:num w:numId="32">
    <w:abstractNumId w:val="14"/>
  </w:num>
  <w:num w:numId="33">
    <w:abstractNumId w:val="29"/>
  </w:num>
  <w:num w:numId="34">
    <w:abstractNumId w:val="25"/>
  </w:num>
  <w:num w:numId="35">
    <w:abstractNumId w:val="17"/>
  </w:num>
  <w:num w:numId="36">
    <w:abstractNumId w:val="27"/>
  </w:num>
  <w:num w:numId="37">
    <w:abstractNumId w:val="16"/>
  </w:num>
  <w:num w:numId="38">
    <w:abstractNumId w:val="18"/>
  </w:num>
  <w:num w:numId="39">
    <w:abstractNumId w:val="13"/>
  </w:num>
  <w:num w:numId="40">
    <w:abstractNumId w:val="26"/>
  </w:num>
  <w:num w:numId="41">
    <w:abstractNumId w:val="12"/>
  </w:num>
  <w:num w:numId="42">
    <w:abstractNumId w:val="19"/>
  </w:num>
  <w:num w:numId="43">
    <w:abstractNumId w:val="23"/>
  </w:num>
  <w:num w:numId="44">
    <w:abstractNumId w:val="24"/>
  </w:num>
  <w:num w:numId="45">
    <w:abstractNumId w:val="15"/>
  </w:num>
  <w:num w:numId="46">
    <w:abstractNumId w:val="21"/>
  </w:num>
  <w:num w:numId="47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7-29 10:40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8"/>
    <w:docVar w:name="DQCStatus" w:val="Green"/>
    <w:docVar w:name="DQCVersion" w:val="3"/>
    <w:docVar w:name="DQCWithWarnings" w:val="0"/>
    <w:docVar w:name="LW_ACCOMPAGNANT.CP" w:val="k"/>
    <w:docVar w:name="LW_ANNEX_NBR_FIRST" w:val="1"/>
    <w:docVar w:name="LW_ANNEX_NBR_LAST" w:val="6"/>
    <w:docVar w:name="LW_CONFIDENCE" w:val=" "/>
    <w:docVar w:name="LW_CONST_RESTREINT_UE" w:val="RESTREINT UE"/>
    <w:docVar w:name="LW_CORRIGENDUM" w:val="&lt;UNUSED&gt;"/>
    <w:docVar w:name="LW_COVERPAGE_GUID" w:val="FB0E2413D76A4AF3AE3721D160F33535"/>
    <w:docVar w:name="LW_CROSSREFERENCE" w:val="{SWD(2016) 246 final}_x000b_{SWD(2016) 249 final}"/>
    <w:docVar w:name="LW_DocType" w:val="ANNEX"/>
    <w:docVar w:name="LW_EMISSION" w:val="20. 7. 2016"/>
    <w:docVar w:name="LW_EMISSION_ISODATE" w:val="2016-07-20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MARKING" w:val="&lt;UNUSED&gt;"/>
    <w:docVar w:name="LW_NOM.INST" w:val="EURÓPSKA KOMISIA"/>
    <w:docVar w:name="LW_NOM.INST_JOINTDOC" w:val="&lt;EMPTY&gt;"/>
    <w:docVar w:name="LW_OBJETACTEPRINCIPAL.CP" w:val="o za\u269?lenení emisií a záchytov skleníkových plynov z vyu\u382?ívania pôdy, zo zmien vo vyu\u382?ívaní pôdy a z lesného hospodárstva do rámca politík v oblasti klímy a energetiky na rok 2030, ktorým sa mení nariadenie Európskeho parlamentu a Rady \u269?. 525/2013 o mechanizme monitorovania a nahlasovania emisií skleníkových plynov a nahlasovania \u271?al\u353?ích informácií relevantných z h\u318?adiska zmeny klímy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479"/>
    <w:docVar w:name="LW_REF.INTERNE" w:val="&lt;UNUSED&gt;"/>
    <w:docVar w:name="LW_SUPERTITRE" w:val="&lt;UNUSED&gt;"/>
    <w:docVar w:name="LW_TITRE.OBJ.CP" w:val="&lt;UNUSED&gt;"/>
    <w:docVar w:name="LW_TYPE.DOC.CP" w:val="PRÍLOHY"/>
    <w:docVar w:name="LW_TYPEACTEPRINCIPAL.CP" w:val="Návrh_x000b_NARIADENIE EURÓPSKEHO PARLAMENTU 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">
    <w:name w:val="Corps du texte_"/>
    <w:basedOn w:val="DefaultParagraphFont"/>
    <w:uiPriority w:val="99"/>
    <w:rPr>
      <w:sz w:val="16"/>
      <w:szCs w:val="16"/>
      <w:shd w:val="clear" w:color="auto" w:fill="FFFFFF"/>
    </w:rPr>
  </w:style>
  <w:style w:type="character" w:customStyle="1" w:styleId="Corpsdutexte6">
    <w:name w:val="Corps du texte (6)_"/>
    <w:basedOn w:val="DefaultParagraphFont"/>
    <w:uiPriority w:val="99"/>
    <w:rPr>
      <w:sz w:val="13"/>
      <w:szCs w:val="13"/>
      <w:shd w:val="clear" w:color="auto" w:fill="FFFFFF"/>
    </w:rPr>
  </w:style>
  <w:style w:type="character" w:customStyle="1" w:styleId="Corpsdutexte60">
    <w:name w:val="Corps du texte (6)"/>
    <w:basedOn w:val="Corpsdutexte6"/>
    <w:uiPriority w:val="99"/>
    <w:rPr>
      <w:color w:val="1A171C"/>
      <w:sz w:val="13"/>
      <w:szCs w:val="13"/>
      <w:shd w:val="clear" w:color="auto" w:fill="FFFFFF"/>
    </w:rPr>
  </w:style>
  <w:style w:type="character" w:customStyle="1" w:styleId="Corpsdutexte3">
    <w:name w:val="Corps du texte3"/>
    <w:basedOn w:val="Corpsdutexte"/>
    <w:uiPriority w:val="99"/>
    <w:rPr>
      <w:color w:val="1A171C"/>
      <w:sz w:val="16"/>
      <w:szCs w:val="16"/>
      <w:shd w:val="clear" w:color="auto" w:fill="FFFFFF"/>
    </w:rPr>
  </w:style>
  <w:style w:type="paragraph" w:customStyle="1" w:styleId="Corpsdutexte1">
    <w:name w:val="Corps du texte1"/>
    <w:basedOn w:val="Normal"/>
    <w:uiPriority w:val="99"/>
    <w:pPr>
      <w:widowControl w:val="0"/>
      <w:shd w:val="clear" w:color="auto" w:fill="FFFFFF"/>
      <w:spacing w:before="0" w:after="480" w:line="192" w:lineRule="exact"/>
      <w:ind w:hanging="500"/>
    </w:pPr>
    <w:rPr>
      <w:rFonts w:asciiTheme="minorHAnsi" w:hAnsiTheme="minorHAnsi" w:cstheme="minorBidi"/>
      <w:sz w:val="16"/>
      <w:szCs w:val="16"/>
    </w:rPr>
  </w:style>
  <w:style w:type="paragraph" w:customStyle="1" w:styleId="Corpsdutexte61">
    <w:name w:val="Corps du texte (6)1"/>
    <w:basedOn w:val="Normal"/>
    <w:uiPriority w:val="99"/>
    <w:pPr>
      <w:widowControl w:val="0"/>
      <w:shd w:val="clear" w:color="auto" w:fill="FFFFFF"/>
      <w:spacing w:before="0" w:after="0" w:line="168" w:lineRule="exact"/>
      <w:jc w:val="center"/>
    </w:pPr>
    <w:rPr>
      <w:rFonts w:asciiTheme="minorHAnsi" w:hAnsiTheme="minorHAnsi" w:cstheme="minorBidi"/>
      <w:sz w:val="13"/>
      <w:szCs w:val="13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paragraph" w:customStyle="1" w:styleId="tbl-norm">
    <w:name w:val="tbl-norm"/>
    <w:basedOn w:val="Normal"/>
    <w:pPr>
      <w:spacing w:before="60" w:after="60"/>
    </w:pPr>
    <w:rPr>
      <w:rFonts w:eastAsia="Times New Roman"/>
      <w:szCs w:val="24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4"/>
      </w:numPr>
    </w:pPr>
  </w:style>
  <w:style w:type="paragraph" w:customStyle="1" w:styleId="Tiret1">
    <w:name w:val="Tiret 1"/>
    <w:basedOn w:val="Point1"/>
    <w:pPr>
      <w:numPr>
        <w:numId w:val="35"/>
      </w:numPr>
    </w:pPr>
  </w:style>
  <w:style w:type="paragraph" w:customStyle="1" w:styleId="Tiret2">
    <w:name w:val="Tiret 2"/>
    <w:basedOn w:val="Point2"/>
    <w:pPr>
      <w:numPr>
        <w:numId w:val="36"/>
      </w:numPr>
    </w:pPr>
  </w:style>
  <w:style w:type="paragraph" w:customStyle="1" w:styleId="Tiret3">
    <w:name w:val="Tiret 3"/>
    <w:basedOn w:val="Point3"/>
    <w:pPr>
      <w:numPr>
        <w:numId w:val="37"/>
      </w:numPr>
    </w:pPr>
  </w:style>
  <w:style w:type="paragraph" w:customStyle="1" w:styleId="Tiret4">
    <w:name w:val="Tiret 4"/>
    <w:basedOn w:val="Point4"/>
    <w:pPr>
      <w:numPr>
        <w:numId w:val="3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1"/>
      </w:numPr>
    </w:pPr>
  </w:style>
  <w:style w:type="paragraph" w:customStyle="1" w:styleId="Point1number">
    <w:name w:val="Point 1 (number)"/>
    <w:basedOn w:val="Normal"/>
    <w:pPr>
      <w:numPr>
        <w:ilvl w:val="2"/>
        <w:numId w:val="41"/>
      </w:numPr>
    </w:pPr>
  </w:style>
  <w:style w:type="paragraph" w:customStyle="1" w:styleId="Point2number">
    <w:name w:val="Point 2 (number)"/>
    <w:basedOn w:val="Normal"/>
    <w:pPr>
      <w:numPr>
        <w:ilvl w:val="4"/>
        <w:numId w:val="41"/>
      </w:numPr>
    </w:pPr>
  </w:style>
  <w:style w:type="paragraph" w:customStyle="1" w:styleId="Point3number">
    <w:name w:val="Point 3 (number)"/>
    <w:basedOn w:val="Normal"/>
    <w:pPr>
      <w:numPr>
        <w:ilvl w:val="6"/>
        <w:numId w:val="41"/>
      </w:numPr>
    </w:pPr>
  </w:style>
  <w:style w:type="paragraph" w:customStyle="1" w:styleId="Point0letter">
    <w:name w:val="Point 0 (letter)"/>
    <w:basedOn w:val="Normal"/>
    <w:pPr>
      <w:numPr>
        <w:ilvl w:val="1"/>
        <w:numId w:val="41"/>
      </w:numPr>
    </w:pPr>
  </w:style>
  <w:style w:type="paragraph" w:customStyle="1" w:styleId="Point1letter">
    <w:name w:val="Point 1 (letter)"/>
    <w:basedOn w:val="Normal"/>
    <w:pPr>
      <w:numPr>
        <w:ilvl w:val="3"/>
        <w:numId w:val="41"/>
      </w:numPr>
    </w:pPr>
  </w:style>
  <w:style w:type="paragraph" w:customStyle="1" w:styleId="Point2letter">
    <w:name w:val="Point 2 (letter)"/>
    <w:basedOn w:val="Normal"/>
    <w:pPr>
      <w:numPr>
        <w:ilvl w:val="5"/>
        <w:numId w:val="41"/>
      </w:numPr>
    </w:pPr>
  </w:style>
  <w:style w:type="paragraph" w:customStyle="1" w:styleId="Point3letter">
    <w:name w:val="Point 3 (letter)"/>
    <w:basedOn w:val="Normal"/>
    <w:pPr>
      <w:numPr>
        <w:ilvl w:val="7"/>
        <w:numId w:val="41"/>
      </w:numPr>
    </w:pPr>
  </w:style>
  <w:style w:type="paragraph" w:customStyle="1" w:styleId="Point4letter">
    <w:name w:val="Point 4 (letter)"/>
    <w:basedOn w:val="Normal"/>
    <w:pPr>
      <w:numPr>
        <w:ilvl w:val="8"/>
        <w:numId w:val="41"/>
      </w:numPr>
    </w:pPr>
  </w:style>
  <w:style w:type="paragraph" w:customStyle="1" w:styleId="Bullet0">
    <w:name w:val="Bullet 0"/>
    <w:basedOn w:val="Normal"/>
    <w:pPr>
      <w:numPr>
        <w:numId w:val="42"/>
      </w:numPr>
    </w:pPr>
  </w:style>
  <w:style w:type="paragraph" w:customStyle="1" w:styleId="Bullet1">
    <w:name w:val="Bullet 1"/>
    <w:basedOn w:val="Normal"/>
    <w:pPr>
      <w:numPr>
        <w:numId w:val="43"/>
      </w:numPr>
    </w:pPr>
  </w:style>
  <w:style w:type="paragraph" w:customStyle="1" w:styleId="Bullet2">
    <w:name w:val="Bullet 2"/>
    <w:basedOn w:val="Normal"/>
    <w:pPr>
      <w:numPr>
        <w:numId w:val="44"/>
      </w:numPr>
    </w:pPr>
  </w:style>
  <w:style w:type="paragraph" w:customStyle="1" w:styleId="Bullet3">
    <w:name w:val="Bullet 3"/>
    <w:basedOn w:val="Normal"/>
    <w:pPr>
      <w:numPr>
        <w:numId w:val="45"/>
      </w:numPr>
    </w:pPr>
  </w:style>
  <w:style w:type="paragraph" w:customStyle="1" w:styleId="Bullet4">
    <w:name w:val="Bullet 4"/>
    <w:basedOn w:val="Normal"/>
    <w:pPr>
      <w:numPr>
        <w:numId w:val="4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">
    <w:name w:val="Corps du texte_"/>
    <w:basedOn w:val="DefaultParagraphFont"/>
    <w:uiPriority w:val="99"/>
    <w:rPr>
      <w:sz w:val="16"/>
      <w:szCs w:val="16"/>
      <w:shd w:val="clear" w:color="auto" w:fill="FFFFFF"/>
    </w:rPr>
  </w:style>
  <w:style w:type="character" w:customStyle="1" w:styleId="Corpsdutexte6">
    <w:name w:val="Corps du texte (6)_"/>
    <w:basedOn w:val="DefaultParagraphFont"/>
    <w:uiPriority w:val="99"/>
    <w:rPr>
      <w:sz w:val="13"/>
      <w:szCs w:val="13"/>
      <w:shd w:val="clear" w:color="auto" w:fill="FFFFFF"/>
    </w:rPr>
  </w:style>
  <w:style w:type="character" w:customStyle="1" w:styleId="Corpsdutexte60">
    <w:name w:val="Corps du texte (6)"/>
    <w:basedOn w:val="Corpsdutexte6"/>
    <w:uiPriority w:val="99"/>
    <w:rPr>
      <w:color w:val="1A171C"/>
      <w:sz w:val="13"/>
      <w:szCs w:val="13"/>
      <w:shd w:val="clear" w:color="auto" w:fill="FFFFFF"/>
    </w:rPr>
  </w:style>
  <w:style w:type="character" w:customStyle="1" w:styleId="Corpsdutexte3">
    <w:name w:val="Corps du texte3"/>
    <w:basedOn w:val="Corpsdutexte"/>
    <w:uiPriority w:val="99"/>
    <w:rPr>
      <w:color w:val="1A171C"/>
      <w:sz w:val="16"/>
      <w:szCs w:val="16"/>
      <w:shd w:val="clear" w:color="auto" w:fill="FFFFFF"/>
    </w:rPr>
  </w:style>
  <w:style w:type="paragraph" w:customStyle="1" w:styleId="Corpsdutexte1">
    <w:name w:val="Corps du texte1"/>
    <w:basedOn w:val="Normal"/>
    <w:uiPriority w:val="99"/>
    <w:pPr>
      <w:widowControl w:val="0"/>
      <w:shd w:val="clear" w:color="auto" w:fill="FFFFFF"/>
      <w:spacing w:before="0" w:after="480" w:line="192" w:lineRule="exact"/>
      <w:ind w:hanging="500"/>
    </w:pPr>
    <w:rPr>
      <w:rFonts w:asciiTheme="minorHAnsi" w:hAnsiTheme="minorHAnsi" w:cstheme="minorBidi"/>
      <w:sz w:val="16"/>
      <w:szCs w:val="16"/>
    </w:rPr>
  </w:style>
  <w:style w:type="paragraph" w:customStyle="1" w:styleId="Corpsdutexte61">
    <w:name w:val="Corps du texte (6)1"/>
    <w:basedOn w:val="Normal"/>
    <w:uiPriority w:val="99"/>
    <w:pPr>
      <w:widowControl w:val="0"/>
      <w:shd w:val="clear" w:color="auto" w:fill="FFFFFF"/>
      <w:spacing w:before="0" w:after="0" w:line="168" w:lineRule="exact"/>
      <w:jc w:val="center"/>
    </w:pPr>
    <w:rPr>
      <w:rFonts w:asciiTheme="minorHAnsi" w:hAnsiTheme="minorHAnsi" w:cstheme="minorBidi"/>
      <w:sz w:val="13"/>
      <w:szCs w:val="13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paragraph" w:customStyle="1" w:styleId="tbl-norm">
    <w:name w:val="tbl-norm"/>
    <w:basedOn w:val="Normal"/>
    <w:pPr>
      <w:spacing w:before="60" w:after="60"/>
    </w:pPr>
    <w:rPr>
      <w:rFonts w:eastAsia="Times New Roman"/>
      <w:szCs w:val="24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4"/>
      </w:numPr>
    </w:pPr>
  </w:style>
  <w:style w:type="paragraph" w:customStyle="1" w:styleId="Tiret1">
    <w:name w:val="Tiret 1"/>
    <w:basedOn w:val="Point1"/>
    <w:pPr>
      <w:numPr>
        <w:numId w:val="35"/>
      </w:numPr>
    </w:pPr>
  </w:style>
  <w:style w:type="paragraph" w:customStyle="1" w:styleId="Tiret2">
    <w:name w:val="Tiret 2"/>
    <w:basedOn w:val="Point2"/>
    <w:pPr>
      <w:numPr>
        <w:numId w:val="36"/>
      </w:numPr>
    </w:pPr>
  </w:style>
  <w:style w:type="paragraph" w:customStyle="1" w:styleId="Tiret3">
    <w:name w:val="Tiret 3"/>
    <w:basedOn w:val="Point3"/>
    <w:pPr>
      <w:numPr>
        <w:numId w:val="37"/>
      </w:numPr>
    </w:pPr>
  </w:style>
  <w:style w:type="paragraph" w:customStyle="1" w:styleId="Tiret4">
    <w:name w:val="Tiret 4"/>
    <w:basedOn w:val="Point4"/>
    <w:pPr>
      <w:numPr>
        <w:numId w:val="3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1"/>
      </w:numPr>
    </w:pPr>
  </w:style>
  <w:style w:type="paragraph" w:customStyle="1" w:styleId="Point1number">
    <w:name w:val="Point 1 (number)"/>
    <w:basedOn w:val="Normal"/>
    <w:pPr>
      <w:numPr>
        <w:ilvl w:val="2"/>
        <w:numId w:val="41"/>
      </w:numPr>
    </w:pPr>
  </w:style>
  <w:style w:type="paragraph" w:customStyle="1" w:styleId="Point2number">
    <w:name w:val="Point 2 (number)"/>
    <w:basedOn w:val="Normal"/>
    <w:pPr>
      <w:numPr>
        <w:ilvl w:val="4"/>
        <w:numId w:val="41"/>
      </w:numPr>
    </w:pPr>
  </w:style>
  <w:style w:type="paragraph" w:customStyle="1" w:styleId="Point3number">
    <w:name w:val="Point 3 (number)"/>
    <w:basedOn w:val="Normal"/>
    <w:pPr>
      <w:numPr>
        <w:ilvl w:val="6"/>
        <w:numId w:val="41"/>
      </w:numPr>
    </w:pPr>
  </w:style>
  <w:style w:type="paragraph" w:customStyle="1" w:styleId="Point0letter">
    <w:name w:val="Point 0 (letter)"/>
    <w:basedOn w:val="Normal"/>
    <w:pPr>
      <w:numPr>
        <w:ilvl w:val="1"/>
        <w:numId w:val="41"/>
      </w:numPr>
    </w:pPr>
  </w:style>
  <w:style w:type="paragraph" w:customStyle="1" w:styleId="Point1letter">
    <w:name w:val="Point 1 (letter)"/>
    <w:basedOn w:val="Normal"/>
    <w:pPr>
      <w:numPr>
        <w:ilvl w:val="3"/>
        <w:numId w:val="41"/>
      </w:numPr>
    </w:pPr>
  </w:style>
  <w:style w:type="paragraph" w:customStyle="1" w:styleId="Point2letter">
    <w:name w:val="Point 2 (letter)"/>
    <w:basedOn w:val="Normal"/>
    <w:pPr>
      <w:numPr>
        <w:ilvl w:val="5"/>
        <w:numId w:val="41"/>
      </w:numPr>
    </w:pPr>
  </w:style>
  <w:style w:type="paragraph" w:customStyle="1" w:styleId="Point3letter">
    <w:name w:val="Point 3 (letter)"/>
    <w:basedOn w:val="Normal"/>
    <w:pPr>
      <w:numPr>
        <w:ilvl w:val="7"/>
        <w:numId w:val="41"/>
      </w:numPr>
    </w:pPr>
  </w:style>
  <w:style w:type="paragraph" w:customStyle="1" w:styleId="Point4letter">
    <w:name w:val="Point 4 (letter)"/>
    <w:basedOn w:val="Normal"/>
    <w:pPr>
      <w:numPr>
        <w:ilvl w:val="8"/>
        <w:numId w:val="41"/>
      </w:numPr>
    </w:pPr>
  </w:style>
  <w:style w:type="paragraph" w:customStyle="1" w:styleId="Bullet0">
    <w:name w:val="Bullet 0"/>
    <w:basedOn w:val="Normal"/>
    <w:pPr>
      <w:numPr>
        <w:numId w:val="42"/>
      </w:numPr>
    </w:pPr>
  </w:style>
  <w:style w:type="paragraph" w:customStyle="1" w:styleId="Bullet1">
    <w:name w:val="Bullet 1"/>
    <w:basedOn w:val="Normal"/>
    <w:pPr>
      <w:numPr>
        <w:numId w:val="43"/>
      </w:numPr>
    </w:pPr>
  </w:style>
  <w:style w:type="paragraph" w:customStyle="1" w:styleId="Bullet2">
    <w:name w:val="Bullet 2"/>
    <w:basedOn w:val="Normal"/>
    <w:pPr>
      <w:numPr>
        <w:numId w:val="44"/>
      </w:numPr>
    </w:pPr>
  </w:style>
  <w:style w:type="paragraph" w:customStyle="1" w:styleId="Bullet3">
    <w:name w:val="Bullet 3"/>
    <w:basedOn w:val="Normal"/>
    <w:pPr>
      <w:numPr>
        <w:numId w:val="45"/>
      </w:numPr>
    </w:pPr>
  </w:style>
  <w:style w:type="paragraph" w:customStyle="1" w:styleId="Bullet4">
    <w:name w:val="Bullet 4"/>
    <w:basedOn w:val="Normal"/>
    <w:pPr>
      <w:numPr>
        <w:numId w:val="4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CF3F-DFFA-4476-9FE6-403CEB28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10</Pages>
  <Words>1737</Words>
  <Characters>9919</Characters>
  <Application>Microsoft Office Word</Application>
  <DocSecurity>0</DocSecurity>
  <Lines>431</Lines>
  <Paragraphs>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BEAUPORT Helene (CLIMA)</dc:creator>
  <cp:lastModifiedBy>DIGIT/A3</cp:lastModifiedBy>
  <cp:revision>8</cp:revision>
  <cp:lastPrinted>2016-06-30T12:44:00Z</cp:lastPrinted>
  <dcterms:created xsi:type="dcterms:W3CDTF">2016-07-22T12:14:00Z</dcterms:created>
  <dcterms:modified xsi:type="dcterms:W3CDTF">2016-07-29T08:40:00Z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6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