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EEDD8266E834226A0D6BB8A89F39CD3" style="width:450.7pt;height:41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2013/0297 (COD)</w:t>
      </w:r>
    </w:p>
    <w:p>
      <w:pPr>
        <w:pStyle w:val="Typedudocument"/>
        <w:rPr>
          <w:noProof/>
        </w:rPr>
      </w:pPr>
      <w:r>
        <w:rPr>
          <w:noProof/>
        </w:rPr>
        <w:t>KOMISSION TIEDONANTO</w:t>
      </w:r>
      <w:r>
        <w:rPr>
          <w:noProof/>
        </w:rPr>
        <w:br/>
        <w:t>EUROOPAN PARLAMENTILLE</w:t>
      </w:r>
      <w:r>
        <w:rPr>
          <w:noProof/>
        </w:rPr>
        <w:br/>
      </w:r>
      <w:r>
        <w:rPr>
          <w:noProof/>
        </w:rPr>
        <w:br/>
        <w:t>Euroopan unionin toiminnasta tehdyn sopimuksen 294 artiklan 6 kohdan mukaisesti</w:t>
      </w:r>
    </w:p>
    <w:p>
      <w:pPr>
        <w:pStyle w:val="Titreobjet"/>
        <w:rPr>
          <w:noProof/>
        </w:rPr>
      </w:pPr>
      <w:r>
        <w:rPr>
          <w:noProof/>
        </w:rPr>
        <w:t>Euroopan parlamentin ja neuvoston asetuksen antamiseksi rautatieliikenteen tilastoista annetun asetuksen (EY) N:o 91/2003 muuttamisesta tavaroita, matkustajia ja onnettomuuksia koskevien tietojen keruun osalta</w:t>
      </w:r>
    </w:p>
    <w:p>
      <w:pPr>
        <w:pStyle w:val="IntrtEEE"/>
        <w:rPr>
          <w:noProof/>
        </w:rPr>
      </w:pPr>
      <w:r>
        <w:rPr>
          <w:noProof/>
        </w:rPr>
        <w:t>(ETA:n kannalta merkityksellinen teksti)</w:t>
      </w:r>
    </w:p>
    <w:p>
      <w:pPr>
        <w:pStyle w:val="ManualHeading1"/>
        <w:rPr>
          <w:noProof/>
          <w:sz w:val="22"/>
        </w:rPr>
      </w:pPr>
      <w:r>
        <w:rPr>
          <w:noProof/>
        </w:rPr>
        <w:t>1.</w:t>
      </w:r>
      <w:r>
        <w:rPr>
          <w:noProof/>
        </w:rPr>
        <w:tab/>
        <w:t>Tausta</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Päivä, jona ehdotus on toimitettu Euroopan parlamentille ja neuvostolle:</w:t>
            </w:r>
          </w:p>
          <w:p>
            <w:pPr>
              <w:ind w:left="2127" w:hanging="2127"/>
              <w:rPr>
                <w:b/>
                <w:noProof/>
              </w:rPr>
            </w:pPr>
            <w:r>
              <w:rPr>
                <w:noProof/>
              </w:rPr>
              <w:t>COM(2013) 611– 2013/297(COD)</w:t>
            </w:r>
          </w:p>
        </w:tc>
        <w:tc>
          <w:tcPr>
            <w:tcW w:w="2483" w:type="dxa"/>
          </w:tcPr>
          <w:p>
            <w:pPr>
              <w:jc w:val="left"/>
              <w:rPr>
                <w:noProof/>
              </w:rPr>
            </w:pPr>
            <w:r>
              <w:rPr>
                <w:noProof/>
              </w:rPr>
              <w:t xml:space="preserve">30. elokuuta 2013 </w:t>
            </w:r>
          </w:p>
        </w:tc>
      </w:tr>
      <w:tr>
        <w:tc>
          <w:tcPr>
            <w:tcW w:w="6804" w:type="dxa"/>
          </w:tcPr>
          <w:p>
            <w:pPr>
              <w:rPr>
                <w:noProof/>
              </w:rPr>
            </w:pPr>
            <w:r>
              <w:rPr>
                <w:noProof/>
              </w:rPr>
              <w:t>Päivä, jona Euroopan talous- ja sosiaalikomitea on antanut lausuntonsa:</w:t>
            </w:r>
          </w:p>
        </w:tc>
        <w:tc>
          <w:tcPr>
            <w:tcW w:w="2483" w:type="dxa"/>
          </w:tcPr>
          <w:p>
            <w:pPr>
              <w:jc w:val="left"/>
              <w:rPr>
                <w:noProof/>
              </w:rPr>
            </w:pPr>
            <w:r>
              <w:rPr>
                <w:noProof/>
              </w:rPr>
              <w:t>Ei ole</w:t>
            </w:r>
          </w:p>
        </w:tc>
      </w:tr>
      <w:tr>
        <w:tc>
          <w:tcPr>
            <w:tcW w:w="6804" w:type="dxa"/>
          </w:tcPr>
          <w:p>
            <w:pPr>
              <w:rPr>
                <w:noProof/>
              </w:rPr>
            </w:pPr>
            <w:r>
              <w:rPr>
                <w:noProof/>
              </w:rPr>
              <w:t>Päivä, jona Euroopan parlamentti on vahvistanut ensimmäisen käsittelyn kantansa:</w:t>
            </w:r>
          </w:p>
        </w:tc>
        <w:tc>
          <w:tcPr>
            <w:tcW w:w="2483" w:type="dxa"/>
          </w:tcPr>
          <w:p>
            <w:pPr>
              <w:jc w:val="left"/>
              <w:rPr>
                <w:noProof/>
              </w:rPr>
            </w:pPr>
            <w:r>
              <w:rPr>
                <w:noProof/>
              </w:rPr>
              <w:t xml:space="preserve">11. maaliskuuta 2014 </w:t>
            </w:r>
          </w:p>
        </w:tc>
      </w:tr>
      <w:tr>
        <w:tc>
          <w:tcPr>
            <w:tcW w:w="6804" w:type="dxa"/>
          </w:tcPr>
          <w:p>
            <w:pPr>
              <w:rPr>
                <w:noProof/>
              </w:rPr>
            </w:pPr>
            <w:r>
              <w:rPr>
                <w:noProof/>
              </w:rPr>
              <w:t>Päivä, jona muutettu ehdotus on toimitettu:</w:t>
            </w:r>
          </w:p>
        </w:tc>
        <w:tc>
          <w:tcPr>
            <w:tcW w:w="2483" w:type="dxa"/>
          </w:tcPr>
          <w:p>
            <w:pPr>
              <w:jc w:val="left"/>
              <w:rPr>
                <w:noProof/>
              </w:rPr>
            </w:pPr>
            <w:r>
              <w:rPr>
                <w:noProof/>
              </w:rPr>
              <w:t xml:space="preserve">Ei ole </w:t>
            </w:r>
          </w:p>
        </w:tc>
      </w:tr>
      <w:tr>
        <w:tc>
          <w:tcPr>
            <w:tcW w:w="6804" w:type="dxa"/>
          </w:tcPr>
          <w:p>
            <w:pPr>
              <w:rPr>
                <w:noProof/>
              </w:rPr>
            </w:pPr>
            <w:r>
              <w:rPr>
                <w:noProof/>
              </w:rPr>
              <w:t>Päivä, jona neuvoston kanta on vahvistettu:</w:t>
            </w:r>
          </w:p>
        </w:tc>
        <w:tc>
          <w:tcPr>
            <w:tcW w:w="2483" w:type="dxa"/>
          </w:tcPr>
          <w:p>
            <w:pPr>
              <w:jc w:val="left"/>
              <w:rPr>
                <w:noProof/>
              </w:rPr>
            </w:pPr>
            <w:r>
              <w:rPr>
                <w:noProof/>
              </w:rPr>
              <w:t>18. heinäkuuta 2016</w:t>
            </w:r>
          </w:p>
        </w:tc>
      </w:tr>
    </w:tbl>
    <w:p>
      <w:pPr>
        <w:pStyle w:val="ManualHeading1"/>
        <w:rPr>
          <w:noProof/>
        </w:rPr>
      </w:pPr>
      <w:r>
        <w:rPr>
          <w:noProof/>
        </w:rPr>
        <w:t>2.</w:t>
      </w:r>
      <w:r>
        <w:rPr>
          <w:noProof/>
        </w:rPr>
        <w:tab/>
        <w:t>Komission ehdotuksen tavoite</w:t>
      </w:r>
    </w:p>
    <w:p>
      <w:pPr>
        <w:autoSpaceDE w:val="0"/>
        <w:autoSpaceDN w:val="0"/>
        <w:adjustRightInd w:val="0"/>
        <w:rPr>
          <w:noProof/>
          <w:szCs w:val="20"/>
        </w:rPr>
      </w:pPr>
      <w:r>
        <w:rPr>
          <w:noProof/>
        </w:rPr>
        <w:t>Komission ehdotuksen tavoitteena on muuttaa asetusta (EY) N:o 91/2003</w:t>
      </w:r>
      <w:r>
        <w:rPr>
          <w:rStyle w:val="FootnoteReference"/>
          <w:noProof/>
        </w:rPr>
        <w:footnoteReference w:id="1"/>
      </w:r>
      <w:r>
        <w:rPr>
          <w:noProof/>
        </w:rPr>
        <w:t xml:space="preserve">, jotta voidaan päivittää, yksinkertaistaa ja optimoida rautatieliikennettä koskevien Euroopan tilastojen nykyinen oikeudellinen kehys ja yhdenmukaistaa se Euroopan unionin toiminnasta tehdyn sopimuksen (SEUT-sopimuksen) kanssa siltä osin kuin on kyse säädösvallasta ja täytäntöönpanovallasta. </w:t>
      </w:r>
    </w:p>
    <w:p>
      <w:pPr>
        <w:rPr>
          <w:noProof/>
        </w:rPr>
      </w:pPr>
      <w:r>
        <w:rPr>
          <w:noProof/>
        </w:rPr>
        <w:t>Ehdotetulla asetuksella on tarkoitus antaa komissiolle valta antaa delegoituja säädöksiä määritelmien ja ilmoittamiselle asetettujen kynnysarvojen mukauttamiseksi, liitteiden sisällön muuttamiseksi ja toimitettavien tietojen määrittämiseksi.</w:t>
      </w:r>
    </w:p>
    <w:p>
      <w:pPr>
        <w:rPr>
          <w:noProof/>
        </w:rPr>
      </w:pPr>
      <w:r>
        <w:rPr>
          <w:noProof/>
        </w:rPr>
        <w:t xml:space="preserve">Lisäksi sillä siirretään komissiolle täytäntöönpanovaltaa tarkoituksena varmistaa yhdenmukaiset edellytykset siltä osin kuin on kyse tulosten laatua ja vertailtavuutta koskevien </w:t>
      </w:r>
      <w:r>
        <w:rPr>
          <w:noProof/>
        </w:rPr>
        <w:lastRenderedPageBreak/>
        <w:t>kertomusten tuottamista varten toimitettavien tietojen määrittämisestä asetuksen (EU) N:o 182/2011</w:t>
      </w:r>
      <w:r>
        <w:rPr>
          <w:rStyle w:val="FootnoteReference"/>
          <w:noProof/>
        </w:rPr>
        <w:footnoteReference w:id="2"/>
      </w:r>
      <w:r>
        <w:rPr>
          <w:noProof/>
        </w:rPr>
        <w:t xml:space="preserve"> 5 artiklassa säädettyä tarkastelumenettelyä noudattaen. </w:t>
      </w:r>
    </w:p>
    <w:p>
      <w:pPr>
        <w:pStyle w:val="ManualHeading1"/>
        <w:rPr>
          <w:noProof/>
        </w:rPr>
      </w:pPr>
      <w:r>
        <w:rPr>
          <w:noProof/>
        </w:rPr>
        <w:t>3.</w:t>
      </w:r>
      <w:r>
        <w:rPr>
          <w:noProof/>
        </w:rPr>
        <w:tab/>
        <w:t>Neuvoston kantaa koskevat huomautukset</w:t>
      </w:r>
    </w:p>
    <w:p>
      <w:pPr>
        <w:pStyle w:val="ManualHeading2"/>
        <w:rPr>
          <w:noProof/>
        </w:rPr>
      </w:pPr>
      <w:r>
        <w:rPr>
          <w:noProof/>
        </w:rPr>
        <w:t>3.1</w:t>
      </w:r>
      <w:r>
        <w:rPr>
          <w:noProof/>
        </w:rPr>
        <w:tab/>
        <w:t>Yleiset huomautukset</w:t>
      </w:r>
    </w:p>
    <w:p>
      <w:pPr>
        <w:widowControl w:val="0"/>
        <w:rPr>
          <w:noProof/>
        </w:rPr>
      </w:pPr>
      <w:r>
        <w:rPr>
          <w:noProof/>
        </w:rPr>
        <w:t>Neuvoston kanta noudattelee yhtäältä yhteisymmärrystä, johon neuvosto, Euroopan parlamentin liikenne- ja matkailuvaliokunta ja komissio pääsivät 24. toukokuuta 2016 käymässään kolmikantakeskustelussa, ja toisaalta paremmasta lainsäädännöstä 13. huhtikuuta 2016 tehtyä toimielinten välistä uutta sopimusta</w:t>
      </w:r>
      <w:r>
        <w:rPr>
          <w:rStyle w:val="FootnoteReference"/>
          <w:noProof/>
        </w:rPr>
        <w:footnoteReference w:id="3"/>
      </w:r>
      <w:r>
        <w:rPr>
          <w:noProof/>
        </w:rPr>
        <w:t xml:space="preserve">. </w:t>
      </w:r>
    </w:p>
    <w:p>
      <w:pPr>
        <w:widowControl w:val="0"/>
        <w:rPr>
          <w:noProof/>
        </w:rPr>
      </w:pPr>
      <w:r>
        <w:rPr>
          <w:noProof/>
        </w:rPr>
        <w:t>Tärkein asian käsittelyä haittaava kysymys oli yhteisymmärrykseen pääseminen Euroopan parlamentin kanssa tietojen jakamisen virallistamisesta Eurostatin, Euroopan rautatieviraston (ERA)</w:t>
      </w:r>
      <w:r>
        <w:rPr>
          <w:rStyle w:val="FootnoteReference"/>
          <w:noProof/>
        </w:rPr>
        <w:footnoteReference w:id="4"/>
      </w:r>
      <w:r>
        <w:rPr>
          <w:noProof/>
        </w:rPr>
        <w:t xml:space="preserve"> ja liikenteen ja liikkumisen pääosaston (PO MOVE) välillä kahdenvälisten yhteisymmärryspöytäkirjojen avulla. </w:t>
      </w:r>
    </w:p>
    <w:p>
      <w:pPr>
        <w:spacing w:before="0" w:after="0"/>
        <w:rPr>
          <w:noProof/>
        </w:rPr>
      </w:pPr>
      <w:r>
        <w:rPr>
          <w:noProof/>
        </w:rPr>
        <w:t xml:space="preserve">Yksimielisyyteen päästiin lopulta allekirjoittamalla kaksi yhteisymmärryspöytäkirjaa, yksi Eurostatin ja PO MOVEn välillä ja yksi Eurostatin ja ERAn välillä. Näin Euroopan parlamentti sai takeet siitä, että sen pyytämät tiedot käsitellään ja asetetaan saataville. </w:t>
      </w:r>
    </w:p>
    <w:p>
      <w:pPr>
        <w:ind w:left="14" w:right="-8"/>
        <w:rPr>
          <w:bCs/>
          <w:iCs/>
          <w:noProof/>
        </w:rPr>
      </w:pPr>
      <w:r>
        <w:rPr>
          <w:noProof/>
        </w:rPr>
        <w:t>Tekstiin ei sisälly nimenomaista viittausta yhteisymmärryspöytäkirjoihin, mutta yhdessä johdanto-osan kappaleessa viitataan ”asianmukaisiin tilastotoimia koskeviin yhteistyösopimuksiin”.</w:t>
      </w:r>
    </w:p>
    <w:p>
      <w:pPr>
        <w:widowControl w:val="0"/>
        <w:rPr>
          <w:noProof/>
        </w:rPr>
      </w:pPr>
      <w:r>
        <w:rPr>
          <w:noProof/>
        </w:rPr>
        <w:t xml:space="preserve">Neuvosto vahvisti ensimmäisen käsittelyn kantansa 18. heinäkuuta 2016. </w:t>
      </w:r>
    </w:p>
    <w:p>
      <w:pPr>
        <w:widowControl w:val="0"/>
        <w:rPr>
          <w:noProof/>
          <w:szCs w:val="24"/>
        </w:rPr>
      </w:pPr>
      <w:r>
        <w:rPr>
          <w:noProof/>
        </w:rPr>
        <w:t>Komissio pitää neuvoston kantaa hyväksyttävänä.</w:t>
      </w:r>
    </w:p>
    <w:p>
      <w:pPr>
        <w:pStyle w:val="ManualHeading2"/>
        <w:rPr>
          <w:noProof/>
        </w:rPr>
      </w:pPr>
      <w:r>
        <w:rPr>
          <w:noProof/>
        </w:rPr>
        <w:t>3.2</w:t>
      </w:r>
      <w:r>
        <w:rPr>
          <w:noProof/>
        </w:rPr>
        <w:tab/>
        <w:t>Huomautukset Euroopan parlamentin esittämiin tarkistuksiin</w:t>
      </w:r>
    </w:p>
    <w:p>
      <w:pPr>
        <w:pStyle w:val="ManualHeading3"/>
        <w:rPr>
          <w:noProof/>
          <w:highlight w:val="yellow"/>
        </w:rPr>
      </w:pPr>
      <w:r>
        <w:rPr>
          <w:noProof/>
        </w:rPr>
        <w:t>3.2.1.</w:t>
      </w:r>
      <w:r>
        <w:rPr>
          <w:noProof/>
        </w:rPr>
        <w:tab/>
        <w:t>Euroopan parlamentin tarkistukset, jotka on sisällytetty kokonaan, osittain tai periaatteessa neuvoston ensimmäisessä käsittelyssä vahvistamaan kantaan</w:t>
      </w:r>
    </w:p>
    <w:p>
      <w:pPr>
        <w:spacing w:before="0" w:after="0"/>
        <w:rPr>
          <w:noProof/>
        </w:rPr>
      </w:pPr>
      <w:r>
        <w:rPr>
          <w:noProof/>
        </w:rPr>
        <w:t xml:space="preserve">Euroopan parlamentti antoi 11. maaliskuuta 2014 lainsäädäntöpäätöslauselman, jossa se ehdotti 23:a tarkistusta. Komissio hylkäsi suurimman osan niistä, mukaan lukien lisämuuttujia koskevat pyynnöt. Euroopan parlamentti oli erityisesti sitä mieltä, että tietojen keruu olisi laajennettava kattamaan rautatieinfrastruktuuria koskevat tiedot ja että henkilöliikenteen tilastoja varten olisi oltava enemmän mittausmuuttujia, erityisesti rajat ylittävistä yhteyksistä, joiden olisi sen mielestä oltava keskeisellä sijalla EU:n liikennepolitiikassa. </w:t>
      </w:r>
    </w:p>
    <w:p>
      <w:pPr>
        <w:pStyle w:val="ManualHeading3"/>
        <w:rPr>
          <w:noProof/>
          <w:szCs w:val="24"/>
        </w:rPr>
      </w:pPr>
      <w:r>
        <w:rPr>
          <w:noProof/>
        </w:rPr>
        <w:t>3.2.2.</w:t>
      </w:r>
      <w:r>
        <w:rPr>
          <w:noProof/>
        </w:rPr>
        <w:tab/>
        <w:t>Euroopan parlamentin tarkistukset, joita ei ole sisällytetty neuvoston ensimmäisessä käsittelyssä vahvistamaan kantaan</w:t>
      </w:r>
    </w:p>
    <w:p>
      <w:pPr>
        <w:rPr>
          <w:noProof/>
        </w:rPr>
      </w:pPr>
      <w:r>
        <w:rPr>
          <w:noProof/>
        </w:rPr>
        <w:t xml:space="preserve">Neuvoston kantaan ei sisällytetty tärkeimpiä uusien muuttujien nimenomaiseen lisäämiseen liittyviä tarkistuksia. </w:t>
      </w:r>
    </w:p>
    <w:p>
      <w:pPr>
        <w:pStyle w:val="ManualHeading2"/>
        <w:rPr>
          <w:noProof/>
        </w:rPr>
      </w:pPr>
      <w:r>
        <w:rPr>
          <w:noProof/>
        </w:rPr>
        <w:lastRenderedPageBreak/>
        <w:t>3.3</w:t>
      </w:r>
      <w:r>
        <w:rPr>
          <w:noProof/>
        </w:rPr>
        <w:tab/>
        <w:t>Neuvoston muuttamat säännökset ja komission kanta niihin</w:t>
      </w:r>
    </w:p>
    <w:p>
      <w:pPr>
        <w:rPr>
          <w:bCs/>
          <w:iCs/>
          <w:noProof/>
        </w:rPr>
      </w:pPr>
      <w:r>
        <w:rPr>
          <w:noProof/>
        </w:rPr>
        <w:t>Uudessa johdanto-osan kappaleessa (3 a) käsitellään lisätietojen keruuta, jotta voidaan välttää työskentelyn päällekkäisyyttä ja optimoida olemassa olevien tietojen käyttö. Siinä säädetään myös, että ”komission yksiköiden ja asiaankuuluvien yhteisöjen välille olisi laadittava asianmukaiset tilastotoimia koskevat yhteistyösopimukset, myös kansainvälisellä tasolla”.</w:t>
      </w:r>
    </w:p>
    <w:p>
      <w:pPr>
        <w:rPr>
          <w:noProof/>
        </w:rPr>
      </w:pPr>
      <w:r>
        <w:rPr>
          <w:noProof/>
        </w:rPr>
        <w:t>3 artiklan 2 kohdassa viitataan komissiolle siirrettyyn yksinomaiseen säädösvaltaan antaa delegoituja säädöksiä olemassa olevien teknisten määritelmien mukauttamiseksi ja uusien teknisten määritelmien ottamiseksi käyttöön. Siinä täsmennetään myös, että käyttäessään tätä valtaansa komission on varmistettava, ettei delegoiduista säädöksistä aiheudu huomattavaa lisärasitetta jäsenvaltioille tai vastaajille. Komission on lisäksi perusteltava asianmukaisesti näissä delegoiduissa säädöksissä säädetyt toimenpiteet ja hyödynnettävä tarvittaessa kustannustehokkuusanalyysia, mukaan lukien asetuksen (EY) N:o 223/2009 14 artiklan 3 kohdan c alakohdassa tarkoitettu arviointi vastaajille aiheutuvasta rasitteesta ja tuottamisen kustannuksista.</w:t>
      </w:r>
    </w:p>
    <w:p>
      <w:pPr>
        <w:pStyle w:val="Text1"/>
        <w:spacing w:before="100" w:beforeAutospacing="1" w:after="100" w:afterAutospacing="1"/>
        <w:ind w:left="0"/>
        <w:rPr>
          <w:noProof/>
          <w:szCs w:val="24"/>
        </w:rPr>
      </w:pPr>
      <w:r>
        <w:rPr>
          <w:noProof/>
        </w:rPr>
        <w:t>Vaikka komissio pitää valitettavana sitä, että säädösvallan siirtoa on rajattu alkuperäiseen ehdotukseen verrattuna, se voi kuitenkin hyväksyä nykymuotoisen säännöksen, jotta päästäisiin sopimukseen.</w:t>
      </w:r>
    </w:p>
    <w:p>
      <w:pPr>
        <w:pStyle w:val="Text1"/>
        <w:spacing w:before="100" w:beforeAutospacing="1" w:after="100" w:afterAutospacing="1"/>
        <w:ind w:left="0"/>
        <w:rPr>
          <w:noProof/>
          <w:szCs w:val="24"/>
        </w:rPr>
      </w:pPr>
      <w:r>
        <w:rPr>
          <w:noProof/>
        </w:rPr>
        <w:t xml:space="preserve">Lisäksi tehtiin vielä kaksi muutosta: </w:t>
      </w:r>
    </w:p>
    <w:p>
      <w:pPr>
        <w:pStyle w:val="Default"/>
        <w:jc w:val="both"/>
        <w:rPr>
          <w:noProof/>
        </w:rPr>
      </w:pPr>
      <w:r>
        <w:rPr>
          <w:noProof/>
        </w:rPr>
        <w:t xml:space="preserve">7 artiklaan on lisätty uusi kohta täytäntöönpanotoimenpiteistä, joissa vahvistetaan tulosten levittämistä koskevat järjestelyt. </w:t>
      </w:r>
    </w:p>
    <w:p>
      <w:pPr>
        <w:pStyle w:val="Default"/>
        <w:jc w:val="both"/>
        <w:rPr>
          <w:noProof/>
        </w:rPr>
      </w:pPr>
    </w:p>
    <w:p>
      <w:pPr>
        <w:pStyle w:val="Default"/>
        <w:jc w:val="both"/>
        <w:rPr>
          <w:noProof/>
        </w:rPr>
      </w:pPr>
      <w:r>
        <w:rPr>
          <w:noProof/>
        </w:rPr>
        <w:t>Kertomuksia koskevassa uudessa 9 artiklassa säädetään, että komissio toimittaa Euroopan parlamentille ja neuvostolle kertomuksen asetuksen (EY) N:o 91/2003 täytäntöönpanosta viimeistään 31. joulukuuta 2020 ja sen jälkeen joka neljäs vuosi, nykyisessä asetuksessa mainitun yhden kertomuksen sijasta.</w:t>
      </w:r>
    </w:p>
    <w:p>
      <w:pPr>
        <w:pStyle w:val="Text1"/>
        <w:ind w:left="0"/>
        <w:rPr>
          <w:noProof/>
        </w:rPr>
      </w:pPr>
      <w:r>
        <w:rPr>
          <w:noProof/>
        </w:rPr>
        <w:t>Siirretyn säädösvallan käyttämistä koskeva vakiomuotoinen johdanto-osan kappale ja 10 artikla ovat paremmasta lainsäädännöstä tehdyn uuden toimielinten välisen sopimuksen mukaiset.</w:t>
      </w:r>
    </w:p>
    <w:p>
      <w:pPr>
        <w:pStyle w:val="Text1"/>
        <w:ind w:left="0"/>
        <w:rPr>
          <w:noProof/>
        </w:rPr>
      </w:pPr>
      <w:r>
        <w:rPr>
          <w:noProof/>
        </w:rPr>
        <w:t>Komissio hyväksyy edellä mainitut muutokset.</w:t>
      </w:r>
    </w:p>
    <w:p>
      <w:pPr>
        <w:pStyle w:val="ManualHeading1"/>
        <w:rPr>
          <w:noProof/>
        </w:rPr>
      </w:pPr>
      <w:r>
        <w:rPr>
          <w:noProof/>
        </w:rPr>
        <w:t>4.</w:t>
      </w:r>
      <w:r>
        <w:rPr>
          <w:noProof/>
        </w:rPr>
        <w:tab/>
        <w:t>Päätelmät</w:t>
      </w:r>
    </w:p>
    <w:p>
      <w:pPr>
        <w:autoSpaceDE w:val="0"/>
        <w:autoSpaceDN w:val="0"/>
        <w:adjustRightInd w:val="0"/>
        <w:rPr>
          <w:noProof/>
        </w:rPr>
      </w:pPr>
      <w:r>
        <w:rPr>
          <w:noProof/>
        </w:rPr>
        <w:t>Komissio tukee saavutettua kompromissia, koska se on hyvin lähellä komission alkuperäistä ehdotusta. Se ei myöskään luo lisärasitteita tietojen toimittajille ja on siten rautatieliikennettä koskevien Euroopan tilastojen nykyisen oikeudellisen kehyksen yksinkertaistamistavoitteen mukainen. Mitä tulee asetuksen (EY) N:o 91/2003 yhdenmukaistamiseen SEUT-sopimuksen kanssa, kompromissi muodostaa joistakin rajoituksista huolimatta hyvän tasapainon delegoitujen säädösten ja täytäntöönpanosäädösten välillä. Teksti on esimerkki paremmasta lainsäädännöstä tehdyn uuden toimielinten välisen sopimuksen onnistuneesta soveltamisesta.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asetus (EY) N:o 91/2003, annettu 16 päivänä joulukuuta 2002, rautatieliikenteen tilastoista (EYVL L 14, 21.1.2003, s. 1).</w:t>
      </w:r>
    </w:p>
  </w:footnote>
  <w:footnote w:id="2">
    <w:p>
      <w:pPr>
        <w:pStyle w:val="FootnoteText"/>
      </w:pPr>
      <w:r>
        <w:rPr>
          <w:rStyle w:val="FootnoteReference"/>
        </w:rPr>
        <w:footnoteRef/>
      </w:r>
      <w:r>
        <w:tab/>
      </w:r>
      <w:r>
        <w:rPr>
          <w:rStyle w:val="Strong"/>
          <w:b w:val="0"/>
          <w:noProof/>
        </w:rPr>
        <w:t>Euroopan parlamentin ja neuvoston asetus (EU) N:o 182/2011, annettu 16 päivänä helmikuuta 2011, yleisistä säännöistä ja periaatteista, joiden mukaisesti jäsenvaltiot valvovat komission täytäntöönpanovallan käyttöä (</w:t>
      </w:r>
      <w:r>
        <w:rPr>
          <w:rStyle w:val="Emphasis"/>
          <w:i w:val="0"/>
        </w:rPr>
        <w:t>EUVL L 55, 28.2.2011, s. 13).</w:t>
      </w:r>
    </w:p>
  </w:footnote>
  <w:footnote w:id="3">
    <w:p>
      <w:pPr>
        <w:pStyle w:val="FootnoteText"/>
      </w:pPr>
      <w:r>
        <w:rPr>
          <w:rStyle w:val="FootnoteReference"/>
        </w:rPr>
        <w:footnoteRef/>
      </w:r>
      <w:r>
        <w:tab/>
        <w:t>EUVL L 123, 12.5.2016, s. 1.</w:t>
      </w:r>
    </w:p>
  </w:footnote>
  <w:footnote w:id="4">
    <w:p>
      <w:pPr>
        <w:spacing w:before="0" w:after="0"/>
        <w:rPr>
          <w:sz w:val="20"/>
          <w:szCs w:val="20"/>
        </w:rPr>
      </w:pPr>
      <w:r>
        <w:rPr>
          <w:rStyle w:val="FootnoteReference"/>
        </w:rPr>
        <w:footnoteRef/>
      </w:r>
      <w:r>
        <w:tab/>
      </w:r>
      <w:r>
        <w:rPr>
          <w:sz w:val="20"/>
        </w:rPr>
        <w:t>Euroopan parlamentin ja neuvoston asetus (EY) N:o 881/2004, annettu 29 päivänä huhtikuuta 2004, Euroopan rautatieviraston perustamisesta (EUVL L 164, 30.4.2004, s. 1). Euroopan unionin rautatievirastosta ja asetuksen (EY) N:o 881/2004 kumoamisesta 11 päivänä toukokuuta 2016 annetun Euroopan parlamentin ja neuvoston asetuksen (EU) 2016/796 (EUVL L 138, 26.5.2016, s. 1) voimaantulon jälkeen Euroopan unionin rautatievirasto korvasi 16. kesäkuuta 2016 Euroopan rautatieviraston (ERA) ja toimii sen seuraajana.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E6A7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C17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48A4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2480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3E4F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0D1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204BD4"/>
    <w:lvl w:ilvl="0">
      <w:start w:val="1"/>
      <w:numFmt w:val="decimal"/>
      <w:pStyle w:val="ListNumber"/>
      <w:lvlText w:val="%1."/>
      <w:lvlJc w:val="left"/>
      <w:pPr>
        <w:tabs>
          <w:tab w:val="num" w:pos="360"/>
        </w:tabs>
        <w:ind w:left="360" w:hanging="360"/>
      </w:pPr>
    </w:lvl>
  </w:abstractNum>
  <w:abstractNum w:abstractNumId="7">
    <w:nsid w:val="FFFFFF89"/>
    <w:multiLevelType w:val="singleLevel"/>
    <w:tmpl w:val="3F5064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num>
  <w:num w:numId="10">
    <w:abstractNumId w:val="19"/>
  </w:num>
  <w:num w:numId="11">
    <w:abstractNumId w:val="13"/>
  </w:num>
  <w:num w:numId="12">
    <w:abstractNumId w:val="21"/>
  </w:num>
  <w:num w:numId="13">
    <w:abstractNumId w:val="12"/>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1 13:49: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3EEDD8266E834226A0D6BB8A89F39CD3"/>
    <w:docVar w:name="LW_CROSSREFERENCE" w:val="&lt;UNUSED&gt;"/>
    <w:docVar w:name="LW_DocType" w:val="COM"/>
    <w:docVar w:name="LW_EMISSION" w:val="10.8.2016"/>
    <w:docVar w:name="LW_EMISSION_ISODATE" w:val="2016-08-10"/>
    <w:docVar w:name="LW_EMISSION_LOCATION" w:val="BRX"/>
    <w:docVar w:name="LW_EMISSION_PREFIX" w:val="Bryssel "/>
    <w:docVar w:name="LW_EMISSION_SUFFIX" w:val=" "/>
    <w:docVar w:name="LW_ID_DOCMODEL" w:val="SJ-028"/>
    <w:docVar w:name="LW_ID_DOCSTRUCTURE" w:val="COM/PL/CODEC"/>
    <w:docVar w:name="LW_ID_DOCTYPE" w:val="SJ-028"/>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97"/>
    <w:docVar w:name="LW_REF.II.NEW.CP_YEAR" w:val="2013"/>
    <w:docVar w:name="LW_REF.INST.NEW" w:val="COM"/>
    <w:docVar w:name="LW_REF.INST.NEW_ADOPTED" w:val="final"/>
    <w:docVar w:name="LW_REF.INST.NEW_TEXT" w:val="(2016) 506"/>
    <w:docVar w:name="LW_REF.INTERNE" w:val="&lt;UNUSED&gt;"/>
    <w:docVar w:name="LW_SOUS.TITRE.OBJ.CP" w:val="&lt;UNUSED&gt;"/>
    <w:docVar w:name="LW_SUPERTITRE" w:val="&lt;UNUSED&gt;"/>
    <w:docVar w:name="LW_TITRE.OBJ.CP" w:val="Euroopan parlamentin ja neuvoston asetuksen antamiseksi rautatieliikenteen tilastoista annetun asetuksen (EY) N:o 91/2003 muuttamisesta tavaroita, matkustajia ja onnettomuuksia koskevien tietojen keruun osalta"/>
    <w:docVar w:name="LW_TYPE.DOC.CP" w:val="KOMISSION TIEDONANTO_x000b_EUROOPAN PARLAMENTILLE_x000b__x000b_Euroopan unionin toiminnasta tehdyn sopimuksen 294 artiklan 6 kohdan mukaisest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qFormat/>
    <w:rPr>
      <w:b/>
      <w:bCs/>
      <w:shd w:val="clear" w:color="auto" w:fill="auto"/>
    </w:rPr>
  </w:style>
  <w:style w:type="character" w:styleId="Emphasis">
    <w:name w:val="Emphasis"/>
    <w:qFormat/>
    <w:rPr>
      <w:i/>
      <w:iCs/>
      <w:shd w:val="clear" w:color="auto" w:fill="auto"/>
    </w:rPr>
  </w:style>
  <w:style w:type="character" w:customStyle="1" w:styleId="DefaultMargins">
    <w:name w:val="DefaultMargins"/>
    <w:rPr>
      <w:rFonts w:ascii="Courier New" w:hAnsi="Courier New" w:cs="Times New Roman" w:hint="default"/>
      <w:sz w:val="20"/>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itialChar">
    <w:name w:val="Initial Char"/>
    <w:link w:val="Initial"/>
    <w:locked/>
    <w:rPr>
      <w:spacing w:val="-3"/>
      <w:sz w:val="24"/>
      <w:lang w:eastAsia="fi-FI"/>
    </w:rPr>
  </w:style>
  <w:style w:type="paragraph" w:customStyle="1" w:styleId="Initial">
    <w:name w:val="Initial"/>
    <w:link w:val="InitialChar"/>
    <w:pPr>
      <w:tabs>
        <w:tab w:val="left" w:pos="-720"/>
      </w:tabs>
      <w:suppressAutoHyphens/>
      <w:spacing w:after="0" w:line="240" w:lineRule="auto"/>
      <w:jc w:val="both"/>
    </w:pPr>
    <w:rPr>
      <w:spacing w:val="-3"/>
      <w:sz w:val="24"/>
    </w:rPr>
  </w:style>
  <w:style w:type="paragraph" w:styleId="NormalWeb">
    <w:name w:val="Normal (Web)"/>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ListBullet1">
    <w:name w:val="List Bullet 1"/>
    <w:basedOn w:val="Text1"/>
    <w:pPr>
      <w:numPr>
        <w:numId w:val="9"/>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qFormat/>
    <w:rPr>
      <w:b/>
      <w:bCs/>
      <w:shd w:val="clear" w:color="auto" w:fill="auto"/>
    </w:rPr>
  </w:style>
  <w:style w:type="character" w:styleId="Emphasis">
    <w:name w:val="Emphasis"/>
    <w:qFormat/>
    <w:rPr>
      <w:i/>
      <w:iCs/>
      <w:shd w:val="clear" w:color="auto" w:fill="auto"/>
    </w:rPr>
  </w:style>
  <w:style w:type="character" w:customStyle="1" w:styleId="DefaultMargins">
    <w:name w:val="DefaultMargins"/>
    <w:rPr>
      <w:rFonts w:ascii="Courier New" w:hAnsi="Courier New" w:cs="Times New Roman" w:hint="default"/>
      <w:sz w:val="20"/>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itialChar">
    <w:name w:val="Initial Char"/>
    <w:link w:val="Initial"/>
    <w:locked/>
    <w:rPr>
      <w:spacing w:val="-3"/>
      <w:sz w:val="24"/>
      <w:lang w:eastAsia="fi-FI"/>
    </w:rPr>
  </w:style>
  <w:style w:type="paragraph" w:customStyle="1" w:styleId="Initial">
    <w:name w:val="Initial"/>
    <w:link w:val="InitialChar"/>
    <w:pPr>
      <w:tabs>
        <w:tab w:val="left" w:pos="-720"/>
      </w:tabs>
      <w:suppressAutoHyphens/>
      <w:spacing w:after="0" w:line="240" w:lineRule="auto"/>
      <w:jc w:val="both"/>
    </w:pPr>
    <w:rPr>
      <w:spacing w:val="-3"/>
      <w:sz w:val="24"/>
    </w:rPr>
  </w:style>
  <w:style w:type="paragraph" w:styleId="NormalWeb">
    <w:name w:val="Normal (Web)"/>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ListBullet1">
    <w:name w:val="List Bullet 1"/>
    <w:basedOn w:val="Text1"/>
    <w:pPr>
      <w:numPr>
        <w:numId w:val="9"/>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832">
      <w:bodyDiv w:val="1"/>
      <w:marLeft w:val="0"/>
      <w:marRight w:val="0"/>
      <w:marTop w:val="0"/>
      <w:marBottom w:val="0"/>
      <w:divBdr>
        <w:top w:val="none" w:sz="0" w:space="0" w:color="auto"/>
        <w:left w:val="none" w:sz="0" w:space="0" w:color="auto"/>
        <w:bottom w:val="none" w:sz="0" w:space="0" w:color="auto"/>
        <w:right w:val="none" w:sz="0" w:space="0" w:color="auto"/>
      </w:divBdr>
    </w:div>
    <w:div w:id="781189942">
      <w:bodyDiv w:val="1"/>
      <w:marLeft w:val="0"/>
      <w:marRight w:val="0"/>
      <w:marTop w:val="0"/>
      <w:marBottom w:val="0"/>
      <w:divBdr>
        <w:top w:val="none" w:sz="0" w:space="0" w:color="auto"/>
        <w:left w:val="none" w:sz="0" w:space="0" w:color="auto"/>
        <w:bottom w:val="none" w:sz="0" w:space="0" w:color="auto"/>
        <w:right w:val="none" w:sz="0" w:space="0" w:color="auto"/>
      </w:divBdr>
    </w:div>
    <w:div w:id="1046443012">
      <w:bodyDiv w:val="1"/>
      <w:marLeft w:val="0"/>
      <w:marRight w:val="0"/>
      <w:marTop w:val="0"/>
      <w:marBottom w:val="0"/>
      <w:divBdr>
        <w:top w:val="none" w:sz="0" w:space="0" w:color="auto"/>
        <w:left w:val="none" w:sz="0" w:space="0" w:color="auto"/>
        <w:bottom w:val="none" w:sz="0" w:space="0" w:color="auto"/>
        <w:right w:val="none" w:sz="0" w:space="0" w:color="auto"/>
      </w:divBdr>
    </w:div>
    <w:div w:id="1281642853">
      <w:bodyDiv w:val="1"/>
      <w:marLeft w:val="0"/>
      <w:marRight w:val="0"/>
      <w:marTop w:val="0"/>
      <w:marBottom w:val="0"/>
      <w:divBdr>
        <w:top w:val="none" w:sz="0" w:space="0" w:color="auto"/>
        <w:left w:val="none" w:sz="0" w:space="0" w:color="auto"/>
        <w:bottom w:val="none" w:sz="0" w:space="0" w:color="auto"/>
        <w:right w:val="none" w:sz="0" w:space="0" w:color="auto"/>
      </w:divBdr>
    </w:div>
    <w:div w:id="1632979602">
      <w:bodyDiv w:val="1"/>
      <w:marLeft w:val="0"/>
      <w:marRight w:val="0"/>
      <w:marTop w:val="0"/>
      <w:marBottom w:val="0"/>
      <w:divBdr>
        <w:top w:val="none" w:sz="0" w:space="0" w:color="auto"/>
        <w:left w:val="none" w:sz="0" w:space="0" w:color="auto"/>
        <w:bottom w:val="none" w:sz="0" w:space="0" w:color="auto"/>
        <w:right w:val="none" w:sz="0" w:space="0" w:color="auto"/>
      </w:divBdr>
    </w:div>
    <w:div w:id="1704551639">
      <w:bodyDiv w:val="1"/>
      <w:marLeft w:val="0"/>
      <w:marRight w:val="0"/>
      <w:marTop w:val="0"/>
      <w:marBottom w:val="0"/>
      <w:divBdr>
        <w:top w:val="none" w:sz="0" w:space="0" w:color="auto"/>
        <w:left w:val="none" w:sz="0" w:space="0" w:color="auto"/>
        <w:bottom w:val="none" w:sz="0" w:space="0" w:color="auto"/>
        <w:right w:val="none" w:sz="0" w:space="0" w:color="auto"/>
      </w:divBdr>
    </w:div>
    <w:div w:id="18991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F5F9-307D-4DF6-B634-FFAF2F9A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725</Words>
  <Characters>6030</Characters>
  <Application>Microsoft Office Word</Application>
  <DocSecurity>0</DocSecurity>
  <Lines>107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2016-07-14T08:38:00Z</cp:lastPrinted>
  <dcterms:created xsi:type="dcterms:W3CDTF">2016-08-10T12:16:00Z</dcterms:created>
  <dcterms:modified xsi:type="dcterms:W3CDTF">2016-08-11T11:49:00Z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