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841A8AC5A9DA4687B24A4F1FBA5AF022" style="width:450.75pt;height:6in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2013/0297 (COD)</w:t>
      </w:r>
    </w:p>
    <w:p>
      <w:pPr>
        <w:pStyle w:val="Typedudocument"/>
        <w:rPr>
          <w:noProof/>
        </w:rPr>
      </w:pPr>
      <w:r>
        <w:rPr>
          <w:noProof/>
        </w:rPr>
        <w:t>SDĚLENÍ KOMISE EVROPSKÉMU PARLAMENTU</w:t>
      </w:r>
      <w:r>
        <w:rPr>
          <w:noProof/>
        </w:rPr>
        <w:br/>
      </w:r>
      <w:r>
        <w:rPr>
          <w:noProof/>
        </w:rPr>
        <w:br/>
        <w:t>podle čl. 294 odst. 6 Smlouvy o fungování Evropské unie</w:t>
      </w:r>
      <w:r>
        <w:rPr>
          <w:noProof/>
        </w:rPr>
        <w:br/>
      </w:r>
      <w:r>
        <w:rPr>
          <w:noProof/>
        </w:rPr>
        <w:br/>
        <w:t>týkající se</w:t>
      </w:r>
    </w:p>
    <w:p>
      <w:pPr>
        <w:pStyle w:val="Titreobjet"/>
        <w:rPr>
          <w:noProof/>
        </w:rPr>
      </w:pPr>
      <w:r>
        <w:rPr>
          <w:noProof/>
        </w:rPr>
        <w:t>postoje Rady k přijetí návrhu nařízení Evropského parlamentu a Rady, kterým se mění nařízení (ES) č. 91/2003 o statistice železniční dopravy, pokud jde o shromažďování údajů o zboží, cestujících a nehodách</w:t>
      </w:r>
    </w:p>
    <w:p>
      <w:pPr>
        <w:pStyle w:val="IntrtEEE"/>
        <w:rPr>
          <w:noProof/>
        </w:rPr>
      </w:pPr>
      <w:r>
        <w:rPr>
          <w:noProof/>
        </w:rPr>
        <w:t>(Text s významem pro EHP)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Souvislosti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Datum předání návrhu Evropskému parlamentu a Radě</w:t>
            </w:r>
          </w:p>
          <w:p>
            <w:pPr>
              <w:ind w:left="2127" w:hanging="2127"/>
              <w:rPr>
                <w:b/>
                <w:noProof/>
              </w:rPr>
            </w:pPr>
            <w:r>
              <w:rPr>
                <w:noProof/>
              </w:rPr>
              <w:t>COM(2013) 611– 2013/297(COD)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30. srpna 2013 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vydání stanoviska Evropského hospodářského a sociálního výboru: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NEPOUŽIJE SE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přijetí postoje Evropského parlamentu v prvním čtení: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11. března 2014 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předání pozměněného návrhu: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NEPOUŽIJE SE 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přijetí postoje Rady: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18. července 2016</w:t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Cíl návrhu Komise</w:t>
      </w:r>
    </w:p>
    <w:p>
      <w:pPr>
        <w:autoSpaceDE w:val="0"/>
        <w:autoSpaceDN w:val="0"/>
        <w:adjustRightInd w:val="0"/>
        <w:rPr>
          <w:noProof/>
          <w:szCs w:val="20"/>
        </w:rPr>
      </w:pPr>
      <w:r>
        <w:rPr>
          <w:noProof/>
        </w:rPr>
        <w:t>Cílem návrhu Komise je změnit nařízení (ES) č. 91/2003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s cílem aktualizovat, zjednodušit a optimalizovat stávající právní rámec evropské statistiky o železniční dopravě a uvést jej do souladu se Smlouvou o fungování Evropské unie (SFEU), pokud jde o přenesené a prováděcí pravomoci. </w:t>
      </w:r>
    </w:p>
    <w:p>
      <w:pPr>
        <w:rPr>
          <w:noProof/>
        </w:rPr>
      </w:pPr>
      <w:r>
        <w:rPr>
          <w:noProof/>
        </w:rPr>
        <w:t>Navrhované nařízení by dalo Komisi pravomoc přijímat akty v přenesené pravomoci za účelem úpravy definic a prahových hodnot pro vykazování, změny obsahu příloh a stanovení informací, jež mají být poskytnuty.</w:t>
      </w:r>
    </w:p>
    <w:p>
      <w:pPr>
        <w:rPr>
          <w:noProof/>
        </w:rPr>
      </w:pPr>
      <w:r>
        <w:rPr>
          <w:noProof/>
        </w:rPr>
        <w:t>Rovněž by Komisi svěřilo prováděcí pravomoci za účelem zajištění jednotných podmínek, pokud jde o přesné stanovení informací, které mají být poskytovány pro vypracovávání zpráv o kvalitě a porovnatelnosti výsledků, v souladu s přezkumným postupem stanoveným v článku 5 nařízení (EU) č. 182/2011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Připomínky k postoji Rady</w:t>
      </w:r>
    </w:p>
    <w:p>
      <w:pPr>
        <w:pStyle w:val="ManualHeading2"/>
        <w:rPr>
          <w:noProof/>
        </w:rPr>
      </w:pPr>
      <w:r>
        <w:rPr>
          <w:noProof/>
        </w:rPr>
        <w:t>3.1</w:t>
      </w:r>
      <w:r>
        <w:rPr>
          <w:noProof/>
        </w:rPr>
        <w:tab/>
        <w:t>Obecné připomínky</w:t>
      </w:r>
    </w:p>
    <w:p>
      <w:pPr>
        <w:widowControl w:val="0"/>
        <w:rPr>
          <w:noProof/>
        </w:rPr>
      </w:pPr>
      <w:r>
        <w:rPr>
          <w:noProof/>
        </w:rPr>
        <w:t>Postoj Rady odráží na jedné straně dohodu dosaženou mezi Radou, Výborem Evropského parlamentu pro dopravu a cestovní ruch a Komisí při trojstranných jednáních dne 24. května 2016 a na druhé straně novou interinstitucionální dohodu o zdokonalení tvorby právních předpisů ze dne 13. dubna 2016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. </w:t>
      </w:r>
    </w:p>
    <w:p>
      <w:pPr>
        <w:widowControl w:val="0"/>
        <w:rPr>
          <w:noProof/>
        </w:rPr>
      </w:pPr>
      <w:r>
        <w:rPr>
          <w:noProof/>
        </w:rPr>
        <w:t>Ke zdržení došlo zejména kvůli snaze dosáhnout dohody s Evropským parlamentem ohledně formalizace sdílení údajů mezi Eurostatem, Evropskou agenturou pro železnice (ERA)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a Generálním ředitelstvím pro mobilitu a dopravu (GŘ MOVE) prostřednictvím dvoustranných memorand o porozumění. </w:t>
      </w:r>
    </w:p>
    <w:p>
      <w:pPr>
        <w:spacing w:before="0" w:after="0"/>
        <w:rPr>
          <w:noProof/>
        </w:rPr>
      </w:pPr>
      <w:r>
        <w:rPr>
          <w:noProof/>
        </w:rPr>
        <w:t xml:space="preserve">Konsenzu bylo nakonec dosaženo podpisem dvou memorand o porozumění – jednoho mezi Eurostatem a GŘ MOVE a druhého mezi Eurostatem a ERA. Evropský parlament tak získal záruku, že jím vyžádané údaje budou zpracovány a zpřístupněny. </w:t>
      </w:r>
    </w:p>
    <w:p>
      <w:pPr>
        <w:ind w:left="14" w:right="-8"/>
        <w:rPr>
          <w:bCs/>
          <w:iCs/>
          <w:noProof/>
        </w:rPr>
      </w:pPr>
      <w:r>
        <w:rPr>
          <w:noProof/>
        </w:rPr>
        <w:t>Text neobsahuje žádný výslovný odkaz na tato memoranda o porozumění, ale v jednom bodě odůvodnění se odkazuje na „dohody o spolupráci při statistických činnostech“.</w:t>
      </w:r>
    </w:p>
    <w:p>
      <w:pPr>
        <w:widowControl w:val="0"/>
        <w:rPr>
          <w:noProof/>
        </w:rPr>
      </w:pPr>
      <w:r>
        <w:rPr>
          <w:noProof/>
        </w:rPr>
        <w:t xml:space="preserve">Rada přijala postoj v prvním čtení dne 18. července 2016. </w:t>
      </w:r>
    </w:p>
    <w:p>
      <w:pPr>
        <w:widowControl w:val="0"/>
        <w:rPr>
          <w:noProof/>
          <w:szCs w:val="24"/>
        </w:rPr>
      </w:pPr>
      <w:r>
        <w:rPr>
          <w:noProof/>
        </w:rPr>
        <w:t>Postoj Rady je pro Komisi přijatelný.</w:t>
      </w:r>
    </w:p>
    <w:p>
      <w:pPr>
        <w:pStyle w:val="ManualHeading2"/>
        <w:rPr>
          <w:noProof/>
        </w:rPr>
      </w:pPr>
      <w:r>
        <w:rPr>
          <w:noProof/>
        </w:rPr>
        <w:t>3.2</w:t>
      </w:r>
      <w:r>
        <w:rPr>
          <w:noProof/>
        </w:rPr>
        <w:tab/>
        <w:t>Připomínky k pozměňovacím návrhům přijatým Evropským parlamentem</w:t>
      </w:r>
    </w:p>
    <w:p>
      <w:pPr>
        <w:pStyle w:val="ManualHeading3"/>
        <w:rPr>
          <w:noProof/>
          <w:highlight w:val="yellow"/>
        </w:rPr>
      </w:pPr>
      <w:r>
        <w:rPr>
          <w:noProof/>
        </w:rPr>
        <w:t>3.2.1</w:t>
      </w:r>
      <w:r>
        <w:rPr>
          <w:noProof/>
        </w:rPr>
        <w:tab/>
        <w:t>Pozměňovací návrhy Evropského parlamentu zahrnuté zcela, zčásti nebo v zásadě do postoje Rady v prvním čtení</w:t>
      </w:r>
    </w:p>
    <w:p>
      <w:pPr>
        <w:spacing w:before="0" w:after="0"/>
        <w:rPr>
          <w:noProof/>
        </w:rPr>
      </w:pPr>
      <w:r>
        <w:rPr>
          <w:noProof/>
        </w:rPr>
        <w:t xml:space="preserve">Dne 11. března 2014 přijal Evropský parlament legislativní usnesení, ve kterém předkládá 23 pozměňovacích návrhů. Komise odmítla většinu z nich, včetně požadavků ohledně dalších proměnných. Konkrétně byl Evropský parlament toho názoru, že shromažďování údajů by mělo být rozšířeno o údaje o železniční infrastruktuře a že by do statistik o osobní přepravě měly být zahrnuty další proměnné, zejména s ohledem na přeshraniční spojení, která by měla být jádrem dopravní politiky EU. </w:t>
      </w:r>
    </w:p>
    <w:p>
      <w:pPr>
        <w:pStyle w:val="ManualHeading3"/>
        <w:rPr>
          <w:noProof/>
          <w:szCs w:val="24"/>
        </w:rPr>
      </w:pPr>
      <w:r>
        <w:rPr>
          <w:noProof/>
        </w:rPr>
        <w:t>3.2.2</w:t>
      </w:r>
      <w:r>
        <w:rPr>
          <w:noProof/>
        </w:rPr>
        <w:tab/>
        <w:t>Pozměňovací návrhy Evropského parlamentu nezahrnuté do postoje Rady v prvním čtení</w:t>
      </w:r>
    </w:p>
    <w:p>
      <w:pPr>
        <w:rPr>
          <w:noProof/>
        </w:rPr>
      </w:pPr>
      <w:r>
        <w:rPr>
          <w:noProof/>
        </w:rPr>
        <w:t xml:space="preserve">Nejdůležitější pozměňovací návrhy týkající se výslovného doplnění nových proměnných nebyly do postoje Rady zahrnuty. </w:t>
      </w:r>
    </w:p>
    <w:p>
      <w:pPr>
        <w:pStyle w:val="ManualHeading2"/>
        <w:rPr>
          <w:noProof/>
        </w:rPr>
      </w:pPr>
      <w:r>
        <w:rPr>
          <w:noProof/>
        </w:rPr>
        <w:t>3.3</w:t>
      </w:r>
      <w:r>
        <w:rPr>
          <w:noProof/>
        </w:rPr>
        <w:tab/>
        <w:t>Ustanovení pozměněná Radou a postoj Komise k těmto ustanovením</w:t>
      </w:r>
    </w:p>
    <w:p>
      <w:pPr>
        <w:rPr>
          <w:bCs/>
          <w:iCs/>
          <w:noProof/>
        </w:rPr>
      </w:pPr>
      <w:r>
        <w:rPr>
          <w:noProof/>
        </w:rPr>
        <w:t>Nový bod odůvodnění (3a) řeší otázku dalšího shromažďování údajů, tak aby nedocházelo ke zdvojování činností a aby byly co nejlépe využívány stávající informace. Uvádí se v něm rovněž, že „by mezi útvary Komise a příslušnými subjekty, a to i na mezinárodní úrovni, měly být uzavřeny dohody o spolupráci při statistických činnostech“.</w:t>
      </w:r>
    </w:p>
    <w:p>
      <w:pPr>
        <w:rPr>
          <w:noProof/>
        </w:rPr>
      </w:pPr>
      <w:r>
        <w:rPr>
          <w:noProof/>
        </w:rPr>
        <w:lastRenderedPageBreak/>
        <w:t>V čl. 3 odst. 2 se odkazuje na pravomoc Komise přijímat akty v přenesené pravomoci pouze za účelem úpravy stávajících technických definic a zavedení nových technických definic. Dále se zde uvádí, že při výkonu této pravomoci Komise zajistí, aby akty v přenesené pravomoci nepředstavovaly pro členské státy nebo respondenty významnou dodatečnou zátěž. Dále Komise řádně odůvodní opatření stanovená v aktech v přenesené pravomoci, přičemž ve vhodných případech použije analýzu efektivity nákladů, včetně hodnocení zatížení respondentů a nákladů na vypracovávání, jak je uvedeno v čl. 14 odst. 3 písm. c) nařízení (ES) č. 223/2009.</w:t>
      </w:r>
    </w:p>
    <w:p>
      <w:pPr>
        <w:pStyle w:val="Text1"/>
        <w:spacing w:before="100" w:beforeAutospacing="1" w:after="100" w:afterAutospacing="1"/>
        <w:ind w:left="0"/>
        <w:rPr>
          <w:noProof/>
          <w:szCs w:val="24"/>
        </w:rPr>
      </w:pPr>
      <w:r>
        <w:rPr>
          <w:noProof/>
        </w:rPr>
        <w:t>Ačkoli Komise vyjadřuje politování nad omezenou povahou zmocnění ve vztahu k původnímu návrhu, může stávající ustanovení považovat za přijatelné v duchu dosažení dohody.</w:t>
      </w:r>
    </w:p>
    <w:p>
      <w:pPr>
        <w:pStyle w:val="Text1"/>
        <w:spacing w:before="100" w:beforeAutospacing="1" w:after="100" w:afterAutospacing="1"/>
        <w:ind w:left="0"/>
        <w:rPr>
          <w:noProof/>
          <w:szCs w:val="24"/>
        </w:rPr>
      </w:pPr>
      <w:r>
        <w:rPr>
          <w:noProof/>
        </w:rPr>
        <w:t xml:space="preserve">Byly provedeny ještě dvě další změny: </w:t>
      </w:r>
    </w:p>
    <w:p>
      <w:pPr>
        <w:pStyle w:val="Default"/>
        <w:jc w:val="both"/>
        <w:rPr>
          <w:noProof/>
        </w:rPr>
      </w:pPr>
      <w:r>
        <w:rPr>
          <w:noProof/>
        </w:rPr>
        <w:t xml:space="preserve">V článku 7 byl doplněn nový odstavec týkající se prováděcích opatření, jež mají být přijata a kterými se stanoví způsoby šíření výsledků. </w:t>
      </w:r>
    </w:p>
    <w:p>
      <w:pPr>
        <w:pStyle w:val="Default"/>
        <w:jc w:val="both"/>
        <w:rPr>
          <w:noProof/>
        </w:rPr>
      </w:pPr>
    </w:p>
    <w:p>
      <w:pPr>
        <w:pStyle w:val="Default"/>
        <w:jc w:val="both"/>
        <w:rPr>
          <w:noProof/>
        </w:rPr>
      </w:pPr>
      <w:r>
        <w:rPr>
          <w:noProof/>
        </w:rPr>
        <w:t>Nový článek 9 o podávání zpráv ukládá Komisi povinnost podat Evropskému parlamentu a Radě zprávu o provádění nařízení (ES) č. 91/2003 do 31. prosince 2020 a poté vždy jednou za čtyři roky namísto předložení jen jediné zprávy, jak je stanoveno ve stávajícím nařízení.</w:t>
      </w:r>
    </w:p>
    <w:p>
      <w:pPr>
        <w:pStyle w:val="Text1"/>
        <w:ind w:left="0"/>
        <w:rPr>
          <w:noProof/>
        </w:rPr>
      </w:pPr>
      <w:r>
        <w:rPr>
          <w:noProof/>
        </w:rPr>
        <w:t>Standardní bod odůvodnění a článek 10 o výkonu přenesení pravomoci jsou v souladu s novou interinstitucionální dohodou o zdokonalení tvorby právních předpisů.</w:t>
      </w:r>
    </w:p>
    <w:p>
      <w:pPr>
        <w:pStyle w:val="Text1"/>
        <w:ind w:left="0"/>
        <w:rPr>
          <w:noProof/>
        </w:rPr>
      </w:pPr>
      <w:r>
        <w:rPr>
          <w:noProof/>
        </w:rPr>
        <w:t>Komise výše uvedené podporuje.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Závěr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Komise podporuje dosažený kompromis, neboť se velmi blíží původnímu návrhu Komise. Navíc nezavádí žádnou dodatečnou zátěž pro poskytovatele údajů, a je tedy v souladu s cílem zjednodušit stávající právní rámec pro evropskou statistiku o železniční dopravě. V souvislosti s uvedením nařízení (ES) č. 91/2003 do souladu se Smlouvou o fungování Evropské unie vytváří tento kompromis i přes určitá omezení správnou rovnováhu mezi akty v přenesené pravomoci a prováděcími akty. Tento text je příkladem úspěšného uplatnění nové interinstitucionální dohody o zdokonalení tvorby právních předpisů.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 Rady (ES) č. 91/2003 ze dne 16. prosince 2002 o statistice železniční dopravy (Úř. věst. L 14, 21.1.2003, s. 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(EU) č. 182/2011 ze dne 16. února 2011, kterým se stanoví pravidla a obecné zásady způsobu, jakým členské státy kontrolují Komisi při výkonu prováděcích pravomocí (Úř. věst. L 55, 28.2.2011, s. 13).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Úř. věst. L 123, 12.5.2016, s. 1.</w:t>
      </w:r>
    </w:p>
  </w:footnote>
  <w:footnote w:id="4">
    <w:p>
      <w:pPr>
        <w:spacing w:before="0" w:after="0"/>
        <w:rPr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sz w:val="20"/>
        </w:rPr>
        <w:t>Nařízení Evropského parlamentu a Rady (ES) č. 881/2004 ze dne 29. dubna 2004 o o zřízení Evropské agentury pro železnice (Úř. věst. L 164, 30.4.2004, s. 1). Dne 16. června 2016, poté, co vstoupilo v platnost nařízení Evropského parlamentu a Rady (EU) 2016/796 ze dne 11. května 2016 o Agentuře Evropské unie pro železnice a o zrušení nařízení (ES) č. 881/2004 (Úř. věst. L 138, 26.5.2016, s. 1), byla Evropská agentura pro železnice (ERA) nahrazena Agenturou Evropské unie pro železnice, která je její nástupkyní. </w:t>
      </w:r>
    </w:p>
    <w:p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3E6A7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B0C1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048A4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42480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D3E4F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330D1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7204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F5064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9"/>
  </w:num>
  <w:num w:numId="11">
    <w:abstractNumId w:val="13"/>
  </w:num>
  <w:num w:numId="12">
    <w:abstractNumId w:val="21"/>
  </w:num>
  <w:num w:numId="13">
    <w:abstractNumId w:val="12"/>
  </w:num>
  <w:num w:numId="14">
    <w:abstractNumId w:val="14"/>
  </w:num>
  <w:num w:numId="15">
    <w:abstractNumId w:val="9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1"/>
  </w:num>
  <w:num w:numId="22">
    <w:abstractNumId w:val="16"/>
  </w:num>
  <w:num w:numId="23">
    <w:abstractNumId w:val="22"/>
  </w:num>
  <w:num w:numId="24">
    <w:abstractNumId w:val="19"/>
  </w:num>
  <w:num w:numId="25">
    <w:abstractNumId w:val="13"/>
  </w:num>
  <w:num w:numId="26">
    <w:abstractNumId w:val="21"/>
  </w:num>
  <w:num w:numId="27">
    <w:abstractNumId w:val="12"/>
  </w:num>
  <w:num w:numId="28">
    <w:abstractNumId w:val="14"/>
  </w:num>
  <w:num w:numId="29">
    <w:abstractNumId w:val="9"/>
  </w:num>
  <w:num w:numId="30">
    <w:abstractNumId w:val="20"/>
  </w:num>
  <w:num w:numId="31">
    <w:abstractNumId w:val="8"/>
  </w:num>
  <w:num w:numId="32">
    <w:abstractNumId w:val="15"/>
  </w:num>
  <w:num w:numId="33">
    <w:abstractNumId w:val="17"/>
  </w:num>
  <w:num w:numId="34">
    <w:abstractNumId w:val="18"/>
  </w:num>
  <w:num w:numId="35">
    <w:abstractNumId w:val="11"/>
  </w:num>
  <w:num w:numId="36">
    <w:abstractNumId w:val="16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8-11 13:49:5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4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841A8AC5A9DA4687B24A4F1FBA5AF022"/>
    <w:docVar w:name="LW_CROSSREFERENCE" w:val="&lt;UNUSED&gt;"/>
    <w:docVar w:name="LW_DocType" w:val="COM"/>
    <w:docVar w:name="LW_EMISSION" w:val="10.8.2016"/>
    <w:docVar w:name="LW_EMISSION_ISODATE" w:val="2016-08-10"/>
    <w:docVar w:name="LW_EMISSION_LOCATION" w:val="BRX"/>
    <w:docVar w:name="LW_EMISSION_PREFIX" w:val="V Bruselu dne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(Text s významem pro EHP)"/>
    <w:docVar w:name="LW_LANGUE" w:val="CS"/>
    <w:docVar w:name="LW_MARKING" w:val="&lt;UNUSED&gt;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97"/>
    <w:docVar w:name="LW_REF.II.NEW.CP_YEAR" w:val="2013"/>
    <w:docVar w:name="LW_REF.INST.NEW" w:val="COM"/>
    <w:docVar w:name="LW_REF.INST.NEW_ADOPTED" w:val="final"/>
    <w:docVar w:name="LW_REF.INST.NEW_TEXT" w:val="(2016) 506"/>
    <w:docVar w:name="LW_REF.INTERNE" w:val="&lt;UNUSED&gt;"/>
    <w:docVar w:name="LW_SOUS.TITRE.OBJ.CP" w:val="&lt;UNUSED&gt;"/>
    <w:docVar w:name="LW_SUPERTITRE" w:val="&lt;UNUSED&gt;"/>
    <w:docVar w:name="LW_TITRE.OBJ.CP" w:val="postoje Rady k p\u345?ijetí návrhu na\u345?ízení Evropského parlamentu a Rady, kterým se m\u283?ní na\u345?ízení (ES) \u269?. 91/2003 o statistice \u382?elezni\u269?ní dopravy, pokud jde o shroma\u382?\u271?ování údaj\u367? o zbo\u382?í, cestujících a nehodách"/>
    <w:docVar w:name="LW_TYPE.DOC.CP" w:val="SD\u282?LENÍ KOMISE EVROPSKÉMU PARLAMENTU_x000b__x000b_podle \u269?l. 294 odst. 6 Smlouvy o fungování Evropské unie_x000b__x000b_týkající 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Strong">
    <w:name w:val="Strong"/>
    <w:qFormat/>
    <w:rPr>
      <w:b/>
      <w:bCs/>
      <w:shd w:val="clear" w:color="auto" w:fill="auto"/>
    </w:rPr>
  </w:style>
  <w:style w:type="character" w:styleId="Emphasis">
    <w:name w:val="Emphasis"/>
    <w:qFormat/>
    <w:rPr>
      <w:i/>
      <w:iCs/>
      <w:shd w:val="clear" w:color="auto" w:fill="auto"/>
    </w:rPr>
  </w:style>
  <w:style w:type="character" w:customStyle="1" w:styleId="DefaultMargins">
    <w:name w:val="DefaultMargins"/>
    <w:rPr>
      <w:rFonts w:ascii="Courier New" w:hAnsi="Courier New" w:cs="Times New Roman" w:hint="default"/>
      <w:sz w:val="20"/>
      <w:lang w:val="cs-CZ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itialChar">
    <w:name w:val="Initial Char"/>
    <w:link w:val="Initial"/>
    <w:locked/>
    <w:rPr>
      <w:spacing w:val="-3"/>
      <w:sz w:val="24"/>
      <w:lang w:eastAsia="cs-CZ"/>
    </w:rPr>
  </w:style>
  <w:style w:type="paragraph" w:customStyle="1" w:styleId="Initial">
    <w:name w:val="Initial"/>
    <w:link w:val="InitialChar"/>
    <w:pPr>
      <w:tabs>
        <w:tab w:val="left" w:pos="-720"/>
      </w:tabs>
      <w:suppressAutoHyphens/>
      <w:spacing w:after="0" w:line="240" w:lineRule="auto"/>
      <w:jc w:val="both"/>
    </w:pPr>
    <w:rPr>
      <w:spacing w:val="-3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ListBullet1">
    <w:name w:val="List Bullet 1"/>
    <w:basedOn w:val="Text1"/>
    <w:pPr>
      <w:numPr>
        <w:numId w:val="9"/>
      </w:numPr>
      <w:spacing w:before="0" w:after="240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Strong">
    <w:name w:val="Strong"/>
    <w:qFormat/>
    <w:rPr>
      <w:b/>
      <w:bCs/>
      <w:shd w:val="clear" w:color="auto" w:fill="auto"/>
    </w:rPr>
  </w:style>
  <w:style w:type="character" w:styleId="Emphasis">
    <w:name w:val="Emphasis"/>
    <w:qFormat/>
    <w:rPr>
      <w:i/>
      <w:iCs/>
      <w:shd w:val="clear" w:color="auto" w:fill="auto"/>
    </w:rPr>
  </w:style>
  <w:style w:type="character" w:customStyle="1" w:styleId="DefaultMargins">
    <w:name w:val="DefaultMargins"/>
    <w:rPr>
      <w:rFonts w:ascii="Courier New" w:hAnsi="Courier New" w:cs="Times New Roman" w:hint="default"/>
      <w:sz w:val="20"/>
      <w:lang w:val="cs-CZ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itialChar">
    <w:name w:val="Initial Char"/>
    <w:link w:val="Initial"/>
    <w:locked/>
    <w:rPr>
      <w:spacing w:val="-3"/>
      <w:sz w:val="24"/>
      <w:lang w:eastAsia="cs-CZ"/>
    </w:rPr>
  </w:style>
  <w:style w:type="paragraph" w:customStyle="1" w:styleId="Initial">
    <w:name w:val="Initial"/>
    <w:link w:val="InitialChar"/>
    <w:pPr>
      <w:tabs>
        <w:tab w:val="left" w:pos="-720"/>
      </w:tabs>
      <w:suppressAutoHyphens/>
      <w:spacing w:after="0" w:line="240" w:lineRule="auto"/>
      <w:jc w:val="both"/>
    </w:pPr>
    <w:rPr>
      <w:spacing w:val="-3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ListBullet1">
    <w:name w:val="List Bullet 1"/>
    <w:basedOn w:val="Text1"/>
    <w:pPr>
      <w:numPr>
        <w:numId w:val="9"/>
      </w:numPr>
      <w:spacing w:before="0" w:after="240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3275-DA63-410B-8B1D-CF03E1CF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4</Pages>
  <Words>868</Words>
  <Characters>5099</Characters>
  <Application>Microsoft Office Word</Application>
  <DocSecurity>0</DocSecurity>
  <Lines>101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16</cp:revision>
  <cp:lastPrinted>2016-07-14T08:38:00Z</cp:lastPrinted>
  <dcterms:created xsi:type="dcterms:W3CDTF">2016-08-09T09:19:00Z</dcterms:created>
  <dcterms:modified xsi:type="dcterms:W3CDTF">2016-08-11T11:49:00Z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20130911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