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70" w:rsidRDefault="00B85DCD" w:rsidP="00B85DCD">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AFE320B8CAF4E0EB46583BB91A6581F" style="width:450.75pt;height:464.25pt">
            <v:imagedata r:id="rId9" o:title=""/>
          </v:shape>
        </w:pict>
      </w:r>
    </w:p>
    <w:p w:rsidR="00DE7E70" w:rsidRDefault="00DE7E70">
      <w:pPr>
        <w:rPr>
          <w:noProof/>
        </w:rPr>
        <w:sectPr w:rsidR="00DE7E70" w:rsidSect="00B85DCD">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DE7E70" w:rsidRDefault="00B85DCD">
      <w:pPr>
        <w:pStyle w:val="Exposdesmotifstitre"/>
        <w:rPr>
          <w:noProof/>
        </w:rPr>
      </w:pPr>
      <w:bookmarkStart w:id="0" w:name="_GoBack"/>
      <w:bookmarkEnd w:id="0"/>
      <w:r>
        <w:rPr>
          <w:noProof/>
        </w:rPr>
        <w:lastRenderedPageBreak/>
        <w:t>BEGRUNDELSE</w:t>
      </w:r>
    </w:p>
    <w:p w:rsidR="00DE7E70" w:rsidRDefault="00B85DCD">
      <w:pPr>
        <w:pStyle w:val="ManualHeading1"/>
        <w:rPr>
          <w:noProof/>
        </w:rPr>
      </w:pPr>
      <w:r>
        <w:rPr>
          <w:noProof/>
        </w:rPr>
        <w:t>1.</w:t>
      </w:r>
      <w:r>
        <w:rPr>
          <w:noProof/>
        </w:rPr>
        <w:tab/>
        <w:t>BAGGRUND FOR FORSLAGET</w:t>
      </w:r>
    </w:p>
    <w:p w:rsidR="00DE7E70" w:rsidRDefault="00B85DCD">
      <w:pPr>
        <w:pStyle w:val="ManualHeading2"/>
        <w:rPr>
          <w:rFonts w:eastAsia="Arial Unicode MS"/>
          <w:noProof/>
        </w:rPr>
      </w:pPr>
      <w:r>
        <w:rPr>
          <w:noProof/>
          <w:color w:val="000000"/>
          <w:u w:color="000000"/>
          <w:bdr w:val="nil"/>
        </w:rPr>
        <w:t>•</w:t>
      </w:r>
      <w:r>
        <w:rPr>
          <w:noProof/>
          <w:color w:val="000000"/>
          <w:u w:color="000000"/>
          <w:bdr w:val="nil"/>
        </w:rPr>
        <w:tab/>
      </w:r>
      <w:r>
        <w:rPr>
          <w:noProof/>
        </w:rPr>
        <w:t>Forslagets begrundelse og formål</w:t>
      </w:r>
    </w:p>
    <w:p w:rsidR="00DE7E70" w:rsidRDefault="00B85DCD">
      <w:pPr>
        <w:rPr>
          <w:noProof/>
          <w:szCs w:val="24"/>
        </w:rPr>
      </w:pPr>
      <w:r>
        <w:rPr>
          <w:noProof/>
        </w:rPr>
        <w:t xml:space="preserve">I oktober 2014 nåede Det Europæiske Råd til enighed om klima- og energirammen for 2030. Heri fastsættes Den Europæiske Unions (EU's) tilsagn om </w:t>
      </w:r>
      <w:r>
        <w:rPr>
          <w:noProof/>
          <w:szCs w:val="24"/>
        </w:rPr>
        <w:t>et bindende EU-mål for reduktion af EU's egne drivhusgasemissioner på mindst 40 % senest i 2030 i forhold til 19</w:t>
      </w:r>
      <w:r>
        <w:rPr>
          <w:noProof/>
          <w:szCs w:val="24"/>
        </w:rPr>
        <w:t>90</w:t>
      </w:r>
      <w:r>
        <w:rPr>
          <w:noProof/>
        </w:rPr>
        <w:t xml:space="preserve">. Alle sektorer skal bidrage til at opnå disse emissionsreduktioner. Det Europæiske Råd bekræftede, at målet skal nås i fællesskab af Den Europæiske Union på den mest omkostningseffektive måde med en reduktion </w:t>
      </w:r>
      <w:r>
        <w:rPr>
          <w:noProof/>
          <w:szCs w:val="24"/>
        </w:rPr>
        <w:t>i sektorerne i og uden for emissionshandelss</w:t>
      </w:r>
      <w:r>
        <w:rPr>
          <w:noProof/>
          <w:szCs w:val="24"/>
        </w:rPr>
        <w:t>ystemet (ETS) på henholdsvis 43 % og 30 % senest i 2030 i forhold til 2005</w:t>
      </w:r>
      <w:r>
        <w:rPr>
          <w:noProof/>
        </w:rPr>
        <w:t xml:space="preserve">. </w:t>
      </w:r>
    </w:p>
    <w:p w:rsidR="00DE7E70" w:rsidRDefault="00B85DCD">
      <w:pPr>
        <w:spacing w:before="0" w:after="240"/>
        <w:rPr>
          <w:noProof/>
          <w:szCs w:val="24"/>
        </w:rPr>
      </w:pPr>
      <w:r>
        <w:rPr>
          <w:noProof/>
        </w:rPr>
        <w:t>Set på baggrund af den nuværende politik forventes drivhusgasemissionerne ikke at være tilstrækkeligt mindskede til at nå EU's reduktionsmål senest i 2030 på mindst 40 % i forhold</w:t>
      </w:r>
      <w:r>
        <w:rPr>
          <w:noProof/>
        </w:rPr>
        <w:t xml:space="preserve"> til 1990 og navnlig ikke til at opnå en reduktion på 30 % i forhold til 2005 i sektorerne uden for ETS.  I betragtning af den nuværende udvikling og under hensyntagen til en fuld gennemførelse af de gældende juridisk bindende mål og de vedtagne politikker</w:t>
      </w:r>
      <w:r>
        <w:rPr>
          <w:noProof/>
        </w:rPr>
        <w:t xml:space="preserve"> for bl.a. energieffektivitet, bygningers energimæssige ydeevne, CO</w:t>
      </w:r>
      <w:r>
        <w:rPr>
          <w:noProof/>
          <w:vertAlign w:val="subscript"/>
        </w:rPr>
        <w:t>2</w:t>
      </w:r>
      <w:r>
        <w:rPr>
          <w:noProof/>
        </w:rPr>
        <w:t>-reduktioner fra køretøjer, vedvarende energi, deponeringsdirektivet, den cirkulære økonomi og fluorholdige drivhusgasser forventes de emissioner, der er omfattet af beslutningen om byrdef</w:t>
      </w:r>
      <w:r>
        <w:rPr>
          <w:noProof/>
        </w:rPr>
        <w:t>ordeling</w:t>
      </w:r>
      <w:r>
        <w:rPr>
          <w:rStyle w:val="FootnoteReference"/>
          <w:noProof/>
        </w:rPr>
        <w:footnoteReference w:id="1"/>
      </w:r>
      <w:r>
        <w:rPr>
          <w:noProof/>
        </w:rPr>
        <w:t xml:space="preserve"> (ESD), kun at falde med ca. 24 % i 2030 i forhold til 2005. Derfor skal der opstilles nationale reduktionsmål for at give et incitament til yderligere bestemmelser, der leder til større reduktioner. Dette forslag fastsætter nationale mål, der på </w:t>
      </w:r>
      <w:r>
        <w:rPr>
          <w:noProof/>
        </w:rPr>
        <w:t xml:space="preserve">retfærdig vis kan føre til en samlet EU-reduktion på 30 % i sektorerne uden for ETS senest i 2030 set i forhold til 2005 og samtidig sikre omkostningseffektivitet som anbefalet af Det Europæiske Råd. Medlemsstaterne bidrager til den samlede EU-reduktion i </w:t>
      </w:r>
      <w:r>
        <w:rPr>
          <w:noProof/>
        </w:rPr>
        <w:t>2030 med mål på fra 0 % til -40 % i forhold til 2005. Reduktionerne i denne forordning fremmer især forbedringer inden for bygninger, landbruget, affaldsforvaltning og transport.</w:t>
      </w:r>
    </w:p>
    <w:p w:rsidR="00DE7E70" w:rsidRDefault="00B85DCD">
      <w:pPr>
        <w:spacing w:before="0" w:after="240"/>
        <w:rPr>
          <w:noProof/>
        </w:rPr>
      </w:pPr>
      <w:r>
        <w:rPr>
          <w:noProof/>
        </w:rPr>
        <w:t>Dette forslag skal også gennemføre EU's tilsagn under Parisaftalen om klimaæn</w:t>
      </w:r>
      <w:r>
        <w:rPr>
          <w:noProof/>
        </w:rPr>
        <w:t>dringer. Den 10. juni 2016 fremlagde Kommissionen et forslag for EU om at ratificere Parisaftalen</w:t>
      </w:r>
      <w:r>
        <w:rPr>
          <w:rStyle w:val="FootnoteReference"/>
          <w:noProof/>
        </w:rPr>
        <w:footnoteReference w:id="2"/>
      </w:r>
      <w:r>
        <w:rPr>
          <w:noProof/>
        </w:rPr>
        <w:t>. Dette forslag fulgte efter Kommissionens vurdering af Parisaftalen</w:t>
      </w:r>
      <w:r>
        <w:rPr>
          <w:rStyle w:val="FootnoteReference"/>
          <w:noProof/>
        </w:rPr>
        <w:footnoteReference w:id="3"/>
      </w:r>
      <w:r>
        <w:rPr>
          <w:noProof/>
        </w:rPr>
        <w:t>.</w:t>
      </w:r>
    </w:p>
    <w:p w:rsidR="00DE7E70" w:rsidRDefault="00B85DCD">
      <w:pPr>
        <w:pBdr>
          <w:top w:val="nil"/>
          <w:left w:val="nil"/>
          <w:bottom w:val="nil"/>
          <w:right w:val="nil"/>
          <w:between w:val="nil"/>
          <w:bar w:val="nil"/>
        </w:pBdr>
        <w:spacing w:before="0" w:after="240"/>
        <w:rPr>
          <w:noProof/>
        </w:rPr>
      </w:pPr>
      <w:r>
        <w:rPr>
          <w:noProof/>
        </w:rPr>
        <w:t>Den 21. partskonference under De Forenede Nationers rammekonvention om klimaændringer (</w:t>
      </w:r>
      <w:r>
        <w:rPr>
          <w:noProof/>
        </w:rPr>
        <w:t>UNFCCC) vedtog i december 2015 Parisaftalen. Den omfatter et langsigtet mål for at holde den globale temperaturstigning et godt stykke under 2 °C over det førindustrielle niveau og et mål om at fortsætte bestræbelserne på at holde det til under 1,5 °C. I o</w:t>
      </w:r>
      <w:r>
        <w:rPr>
          <w:noProof/>
        </w:rPr>
        <w:t>verensstemmelse med de videnskabelige resultater fra det internationale klimapanel (IPCC) er det Den Europæiske Unions klimamål at reducere drivhusgasemissionerne med 80-95 % i 2050 i forhold til 1990 som led i de nødvendige reduktioner for de udviklede la</w:t>
      </w:r>
      <w:r>
        <w:rPr>
          <w:noProof/>
        </w:rPr>
        <w:t xml:space="preserve">nde under ét. </w:t>
      </w:r>
    </w:p>
    <w:p w:rsidR="00DE7E70" w:rsidRDefault="00B85DCD">
      <w:pPr>
        <w:spacing w:before="0" w:after="240"/>
        <w:rPr>
          <w:noProof/>
        </w:rPr>
      </w:pPr>
      <w:r>
        <w:rPr>
          <w:noProof/>
        </w:rPr>
        <w:t xml:space="preserve">Den Europæiske Union og alle andre parter er forpligtet til at meddele deres nationalt bestemte bidrag hvert femte år i henhold til </w:t>
      </w:r>
      <w:r>
        <w:rPr>
          <w:noProof/>
          <w:szCs w:val="24"/>
        </w:rPr>
        <w:t>den globale statusopgørelse over aftalen</w:t>
      </w:r>
      <w:r>
        <w:rPr>
          <w:noProof/>
          <w:sz w:val="19"/>
          <w:szCs w:val="19"/>
        </w:rPr>
        <w:t xml:space="preserve"> </w:t>
      </w:r>
      <w:r>
        <w:rPr>
          <w:noProof/>
        </w:rPr>
        <w:t xml:space="preserve">i 2023 og hver femte år derefter. </w:t>
      </w:r>
    </w:p>
    <w:p w:rsidR="00DE7E70" w:rsidRDefault="00B85DCD">
      <w:pPr>
        <w:pBdr>
          <w:top w:val="nil"/>
          <w:left w:val="nil"/>
          <w:bottom w:val="nil"/>
          <w:right w:val="nil"/>
          <w:between w:val="nil"/>
          <w:bar w:val="nil"/>
        </w:pBdr>
        <w:spacing w:before="0" w:after="240"/>
        <w:rPr>
          <w:rFonts w:eastAsia="Times New Roman"/>
          <w:noProof/>
        </w:rPr>
      </w:pPr>
      <w:r>
        <w:rPr>
          <w:noProof/>
        </w:rPr>
        <w:lastRenderedPageBreak/>
        <w:t>For at Den Europæiske Union kan n</w:t>
      </w:r>
      <w:r>
        <w:rPr>
          <w:noProof/>
        </w:rPr>
        <w:t>å sit langsigtede mål om at reducere emissionerne med mindst 80 % senest i 2050, er det nødvendigt at gøre konstante fremskridt for at sikre overgangen til en lavemissionsøkonomi. Denne overgang kræver en ændret forretnings- og investeringsadfærd og incita</w:t>
      </w:r>
      <w:r>
        <w:rPr>
          <w:noProof/>
        </w:rPr>
        <w:t>menter i hele det politiske spektrum.</w:t>
      </w:r>
      <w:r>
        <w:rPr>
          <w:noProof/>
          <w:sz w:val="23"/>
          <w:szCs w:val="23"/>
        </w:rPr>
        <w:t xml:space="preserve"> Det er i denne sammenhæng </w:t>
      </w:r>
      <w:r>
        <w:rPr>
          <w:noProof/>
          <w:szCs w:val="24"/>
        </w:rPr>
        <w:t xml:space="preserve">meget vigtigt, at overgangen vil give Den Europæiske Union muligheder for nye jobs og øget vækst. Den vil stimulere investering og innovation inden for vedvarende energi og dermed bidrage til </w:t>
      </w:r>
      <w:r>
        <w:rPr>
          <w:noProof/>
          <w:szCs w:val="24"/>
        </w:rPr>
        <w:t xml:space="preserve">Den Europæiske Unions ambition om at blive førende på verdensplan og hjælpe med til at skabe vækst på markederne for EU-produkter og </w:t>
      </w:r>
      <w:r>
        <w:rPr>
          <w:noProof/>
          <w:szCs w:val="24"/>
        </w:rPr>
        <w:noBreakHyphen/>
        <w:t>tjenester, for eksempel inden for energieffektivitet.</w:t>
      </w:r>
      <w:r>
        <w:rPr>
          <w:noProof/>
          <w:sz w:val="23"/>
          <w:szCs w:val="23"/>
        </w:rPr>
        <w:t xml:space="preserve"> </w:t>
      </w:r>
      <w:r>
        <w:rPr>
          <w:noProof/>
        </w:rPr>
        <w:t xml:space="preserve">Som led i overgangen til ren energi er det nødvendigt at gennemføre </w:t>
      </w:r>
      <w:r>
        <w:rPr>
          <w:noProof/>
        </w:rPr>
        <w:t>yderligere lovgivning og foranstaltninger for at reducere medlemsstaternes emissioner. Tiltag fra lokale og regionale forvaltninger, byer og lokale og regionale organisationer bør tilskyndes på det kraftigste. Medlemsstaterne bør sikre samarbejde mellem ce</w:t>
      </w:r>
      <w:r>
        <w:rPr>
          <w:noProof/>
        </w:rPr>
        <w:t>ntrale og lokale myndigheder på alle niveauer.</w:t>
      </w:r>
    </w:p>
    <w:p w:rsidR="00DE7E70" w:rsidRDefault="00B85DCD">
      <w:pPr>
        <w:pBdr>
          <w:top w:val="nil"/>
          <w:left w:val="nil"/>
          <w:bottom w:val="nil"/>
          <w:right w:val="nil"/>
          <w:between w:val="nil"/>
          <w:bar w:val="nil"/>
        </w:pBdr>
        <w:spacing w:before="0" w:after="240"/>
        <w:rPr>
          <w:noProof/>
        </w:rPr>
      </w:pPr>
      <w:r>
        <w:rPr>
          <w:noProof/>
        </w:rPr>
        <w:t>Et solidt energisamarbejde er nøgleelementet i opbygningen af en modstandsdygtig energiunion med en fremsynet klimapolitik. For at opnå dette kræves der en fortsat ambitiøs klimaindsats, også i sektorerne uden</w:t>
      </w:r>
      <w:r>
        <w:rPr>
          <w:noProof/>
        </w:rPr>
        <w:t xml:space="preserve"> for ETS, og fremskridt inden for alle områder af energiunionen for at sikre sikker, bæredygtig, konkurrencedygtig og billig energi til borgerne.</w:t>
      </w:r>
    </w:p>
    <w:p w:rsidR="00DE7E70" w:rsidRDefault="00B85DCD">
      <w:pPr>
        <w:rPr>
          <w:noProof/>
        </w:rPr>
      </w:pPr>
      <w:r>
        <w:rPr>
          <w:noProof/>
        </w:rPr>
        <w:t xml:space="preserve">Norge og Island har givet udtryk for deres hensigt om at deltage i Unionens og medlemsstaternes fælles indsats. Vilkårene for Norges og Islands eventuelle deltagelse vil blive fastlagt i medfølgende lovgivning. </w:t>
      </w:r>
      <w:r>
        <w:rPr>
          <w:rStyle w:val="s4"/>
          <w:noProof/>
          <w:color w:val="000000"/>
        </w:rPr>
        <w:t>Norge har gjort det klart, at det vil deltage</w:t>
      </w:r>
      <w:r>
        <w:rPr>
          <w:rStyle w:val="s4"/>
          <w:noProof/>
          <w:color w:val="000000"/>
        </w:rPr>
        <w:t xml:space="preserve"> fuldt ud i reduktionsindsatsen på området uden for ETS for perioden fra 2021 til 2030. </w:t>
      </w:r>
      <w:r>
        <w:rPr>
          <w:rStyle w:val="s4"/>
          <w:noProof/>
        </w:rPr>
        <w:t>Da medlemsstaternes mål ligger på mellem 0 %-40 % beregnet på grundlag af bruttonationalproduktet pr. indbygger, vil Norge bidrage med et beregnet reduktionsmål på 40 %</w:t>
      </w:r>
      <w:r>
        <w:rPr>
          <w:rStyle w:val="s4"/>
          <w:noProof/>
        </w:rPr>
        <w:t xml:space="preserve"> under 2005-niveau, og der vil</w:t>
      </w:r>
      <w:r>
        <w:rPr>
          <w:noProof/>
        </w:rPr>
        <w:t xml:space="preserve"> være en vis fleksibilitet for Norge og Island på samme vis som for medlemsstaterne.</w:t>
      </w:r>
      <w:r>
        <w:rPr>
          <w:noProof/>
          <w:color w:val="000000"/>
        </w:rPr>
        <w:t xml:space="preserve"> De endelige mål vil først blive bestemt, når forslaget vedtages. </w:t>
      </w:r>
      <w:r>
        <w:rPr>
          <w:noProof/>
        </w:rPr>
        <w:t xml:space="preserve">Dette forslag berører ikke, hvordan Norge og Island kommer til at deltage i </w:t>
      </w:r>
      <w:r>
        <w:rPr>
          <w:noProof/>
        </w:rPr>
        <w:t xml:space="preserve">samarbejdet. </w:t>
      </w:r>
    </w:p>
    <w:p w:rsidR="00DE7E70" w:rsidRDefault="00B85DCD">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Sammenhæng med de gældende regler på samme område</w:t>
      </w:r>
    </w:p>
    <w:p w:rsidR="00DE7E70" w:rsidRDefault="00B85DCD">
      <w:pPr>
        <w:pBdr>
          <w:top w:val="nil"/>
          <w:left w:val="nil"/>
          <w:bottom w:val="nil"/>
          <w:right w:val="nil"/>
          <w:between w:val="nil"/>
          <w:bar w:val="nil"/>
        </w:pBdr>
        <w:spacing w:before="0" w:after="240"/>
        <w:rPr>
          <w:noProof/>
          <w:szCs w:val="24"/>
        </w:rPr>
      </w:pPr>
      <w:r>
        <w:rPr>
          <w:noProof/>
        </w:rPr>
        <w:t>Dette forslag viderefører generelt de eksisterende politiske bestemmelser for sektorerne uden for ETS som fastsat i den gældende beslutning om byrdefordeling. Det Europæiske Råd har udtrykke</w:t>
      </w:r>
      <w:r>
        <w:rPr>
          <w:noProof/>
        </w:rPr>
        <w:t>ligt opfordret til at videreføre den nuværende politiske struktur og har vejledt om særlige problemstillinger, der skal løses for perioden 2021-2030, herunder for etablering af nationale reduktionsmål.</w:t>
      </w:r>
    </w:p>
    <w:p w:rsidR="00DE7E70" w:rsidRDefault="00B85DCD">
      <w:pPr>
        <w:pBdr>
          <w:top w:val="nil"/>
          <w:left w:val="nil"/>
          <w:bottom w:val="nil"/>
          <w:right w:val="nil"/>
          <w:between w:val="nil"/>
          <w:bar w:val="nil"/>
        </w:pBdr>
        <w:spacing w:before="0" w:after="240"/>
        <w:rPr>
          <w:noProof/>
        </w:rPr>
      </w:pPr>
      <w:r>
        <w:rPr>
          <w:noProof/>
        </w:rPr>
        <w:t>Den overordnede tilgang til fastsættelsen af nationale</w:t>
      </w:r>
      <w:r>
        <w:rPr>
          <w:noProof/>
        </w:rPr>
        <w:t xml:space="preserve"> reduktionsmål er i overensstemmelse med tilgangen i den aktuelle beslutning om byrdefordeling og den vejledning, som Det Europæiske Råd vedtog oktober i 2014, fastlagt på baggrund af det relative BNP pr. indbygger. For medlemsstater med et BNP pr. indbygg</w:t>
      </w:r>
      <w:r>
        <w:rPr>
          <w:noProof/>
        </w:rPr>
        <w:t>er over EU-gennemsnittet justeres målene yderligere for at afspejle omkostningseffektiviteten inden for denne gruppe. En sådan tilgang balancerer hensyn til retfærdighed og omkostningseffektivitet, som det bekræftes af Det Europæiske Råd.</w:t>
      </w:r>
    </w:p>
    <w:p w:rsidR="00DE7E70" w:rsidRDefault="00B85DCD">
      <w:pPr>
        <w:rPr>
          <w:noProof/>
        </w:rPr>
      </w:pPr>
      <w:r>
        <w:rPr>
          <w:noProof/>
        </w:rPr>
        <w:t>For at fremme yde</w:t>
      </w:r>
      <w:r>
        <w:rPr>
          <w:noProof/>
        </w:rPr>
        <w:t>rligere reelle foranstaltninger i den landbaserede sektor, herunder landbrug, og samtidig sikre solide regnskabsmetoder og overordnet miljømæssig integritet indeholder dette forslag en ny fleksibilitet, som giver mulighed for en begrænset anvendelse af net</w:t>
      </w:r>
      <w:r>
        <w:rPr>
          <w:noProof/>
        </w:rPr>
        <w:t>tooptag fra visse af regnskabskategorierne arealanvendelser, ændringer i arealanvendelse og skovbrug (LULUCF), samtidig med at det sikres, at der ikke forekommer nogen debiteringer i LULUCF-sektorerne, for derved om nødvendigt at tage højde for medlemsstat</w:t>
      </w:r>
      <w:r>
        <w:rPr>
          <w:noProof/>
        </w:rPr>
        <w:t xml:space="preserve">ernes overholdelse af målene i ESD-sektorerne. </w:t>
      </w:r>
    </w:p>
    <w:p w:rsidR="00DE7E70" w:rsidRDefault="00B85DCD">
      <w:pPr>
        <w:rPr>
          <w:noProof/>
          <w:szCs w:val="24"/>
        </w:rPr>
      </w:pPr>
      <w:r>
        <w:rPr>
          <w:noProof/>
        </w:rPr>
        <w:lastRenderedPageBreak/>
        <w:t>Dette er i overensstemmelse med de retningslinjer, der er udstukket af Det Europæiske Råd, der noterer sig det lavere modvirkningspotentiale for landbrugs- og arealanvendelsessektoren og vigtigheden af at und</w:t>
      </w:r>
      <w:r>
        <w:rPr>
          <w:noProof/>
        </w:rPr>
        <w:t xml:space="preserve">ersøge, </w:t>
      </w:r>
      <w:r>
        <w:rPr>
          <w:noProof/>
          <w:szCs w:val="24"/>
        </w:rPr>
        <w:t xml:space="preserve">hvordan sektorens bidrag til modvirkningen af drivhusgasemissioner og kulstofbinding, herunder ved skovrejsning, bedst kan optimeres. </w:t>
      </w:r>
    </w:p>
    <w:p w:rsidR="00DE7E70" w:rsidRDefault="00B85DCD">
      <w:pPr>
        <w:spacing w:after="0"/>
        <w:rPr>
          <w:noProof/>
        </w:rPr>
      </w:pPr>
      <w:r>
        <w:rPr>
          <w:noProof/>
        </w:rPr>
        <w:t xml:space="preserve">Der er også indført en anden ny fleksibilitet, i overensstemmelse med Det Europæiske Råds vejledning, </w:t>
      </w:r>
      <w:r>
        <w:rPr>
          <w:noProof/>
          <w:szCs w:val="24"/>
        </w:rPr>
        <w:t>for medlems</w:t>
      </w:r>
      <w:r>
        <w:rPr>
          <w:noProof/>
          <w:szCs w:val="24"/>
        </w:rPr>
        <w:t>stater med nationale reduktionsmål, der ligger betydeligt over både EU-gennemsnittet og et omkostningseffektivt reduktionspotentiale, og for medlemsstater, der ikke havde gratis tildeling til industrianlæg i 2013</w:t>
      </w:r>
      <w:r>
        <w:rPr>
          <w:noProof/>
        </w:rPr>
        <w:t xml:space="preserve">. Denne fleksibilitet gør det muligt for de </w:t>
      </w:r>
      <w:r>
        <w:rPr>
          <w:noProof/>
        </w:rPr>
        <w:t>pågældende medlemslande at opfylde deres ESD-forpligtelser ved annullering af EU ETS-kvoter.</w:t>
      </w:r>
    </w:p>
    <w:p w:rsidR="00DE7E70" w:rsidRDefault="00B85DCD">
      <w:pPr>
        <w:pStyle w:val="ManualHeading2"/>
        <w:rPr>
          <w:rFonts w:eastAsia="Arial Unicode MS"/>
          <w:noProof/>
        </w:rPr>
      </w:pPr>
      <w:r>
        <w:rPr>
          <w:b w:val="0"/>
          <w:noProof/>
        </w:rPr>
        <w:t>•</w:t>
      </w:r>
      <w:r>
        <w:rPr>
          <w:b w:val="0"/>
          <w:noProof/>
        </w:rPr>
        <w:tab/>
      </w:r>
      <w:r>
        <w:rPr>
          <w:noProof/>
        </w:rPr>
        <w:t>Overensstemmelse med andre EU-bestemmelser</w:t>
      </w:r>
    </w:p>
    <w:p w:rsidR="00DE7E70" w:rsidRDefault="00B85DCD">
      <w:pPr>
        <w:pBdr>
          <w:top w:val="nil"/>
          <w:left w:val="nil"/>
          <w:bottom w:val="nil"/>
          <w:right w:val="nil"/>
          <w:between w:val="nil"/>
          <w:bar w:val="nil"/>
        </w:pBdr>
        <w:spacing w:before="0" w:after="240"/>
        <w:rPr>
          <w:rFonts w:eastAsia="Arial Unicode MS"/>
          <w:noProof/>
        </w:rPr>
      </w:pPr>
      <w:r>
        <w:rPr>
          <w:noProof/>
        </w:rPr>
        <w:t xml:space="preserve">Yderligere lovforslag forventes senere i 2016 for at hjælpe med til at opnå </w:t>
      </w:r>
      <w:r>
        <w:rPr>
          <w:noProof/>
          <w:szCs w:val="24"/>
        </w:rPr>
        <w:t>det mål, som Det Europæiske Råd har fastsa</w:t>
      </w:r>
      <w:r>
        <w:rPr>
          <w:noProof/>
          <w:szCs w:val="24"/>
        </w:rPr>
        <w:t>t på mindst 27 % for den andel af vedvarende energi, der forbruges i EU i 2030</w:t>
      </w:r>
      <w:r>
        <w:rPr>
          <w:noProof/>
        </w:rPr>
        <w:t>, og om en forbedring af energieffektiviteten i 2030 på mindst 27 % (dette vil blive evalueret i 2020 med henblik på at nå et EU-niveau på 30 %). Disse forslag skal hjælpe med ti</w:t>
      </w:r>
      <w:r>
        <w:rPr>
          <w:noProof/>
        </w:rPr>
        <w:t xml:space="preserve">l at nå klimamålene uden for ETS, i særdeleshed inden for byggesektoren. Desuden vil Kommissionens meddelelse om en dekarbonisering af transportsektoren omfatte en handlingsplan for yderligere reduktion af drivhusgasemissionerne på transportområdet.  </w:t>
      </w:r>
    </w:p>
    <w:p w:rsidR="00DE7E70" w:rsidRDefault="00B85DCD">
      <w:pPr>
        <w:pStyle w:val="ManualHeading1"/>
        <w:rPr>
          <w:noProof/>
        </w:rPr>
      </w:pPr>
      <w:r>
        <w:rPr>
          <w:noProof/>
        </w:rPr>
        <w:t>2.</w:t>
      </w:r>
      <w:r>
        <w:rPr>
          <w:noProof/>
        </w:rPr>
        <w:tab/>
        <w:t>R</w:t>
      </w:r>
      <w:r>
        <w:rPr>
          <w:noProof/>
        </w:rPr>
        <w:t>ETSGRUNDLAG, NÆRHEDSPRINCIPPET OG PROPORTIONALITETSPRINCIPPET</w:t>
      </w:r>
    </w:p>
    <w:p w:rsidR="00DE7E70" w:rsidRDefault="00B85DCD">
      <w:pPr>
        <w:pStyle w:val="ManualHeading2"/>
        <w:rPr>
          <w:rFonts w:eastAsia="Arial Unicode MS"/>
          <w:noProof/>
          <w:u w:color="000000"/>
          <w:bdr w:val="nil"/>
        </w:rPr>
      </w:pPr>
      <w:r>
        <w:rPr>
          <w:b w:val="0"/>
          <w:noProof/>
        </w:rPr>
        <w:t>•</w:t>
      </w:r>
      <w:r>
        <w:rPr>
          <w:b w:val="0"/>
          <w:noProof/>
        </w:rPr>
        <w:tab/>
      </w:r>
      <w:r>
        <w:rPr>
          <w:noProof/>
          <w:u w:color="000000"/>
          <w:bdr w:val="nil"/>
        </w:rPr>
        <w:t>Retsgrundlag</w:t>
      </w:r>
    </w:p>
    <w:p w:rsidR="00DE7E70" w:rsidRDefault="00B85DCD">
      <w:pPr>
        <w:rPr>
          <w:rFonts w:eastAsia="Times New Roman"/>
          <w:noProof/>
          <w:szCs w:val="24"/>
        </w:rPr>
      </w:pPr>
      <w:r>
        <w:rPr>
          <w:noProof/>
        </w:rPr>
        <w:t>Klimaændringer er et grænseoverskridende fænomen, der ikke udelukkende kan løses af nationale og lokale tiltag. Koordination af klimaindsatsen er nødvendig på europæisk plan og hv</w:t>
      </w:r>
      <w:r>
        <w:rPr>
          <w:noProof/>
        </w:rPr>
        <w:t>or muligt på globalt plan. Den Europæiske Unions indsats er berettiget ud fra nærhedsprincippet. Siden 1992 har den Europæiske Union arbejdet på at udvikle fælles løsninger og drive den globale indsats for at takle klimaforandringerne fremad. Mere specifik</w:t>
      </w:r>
      <w:r>
        <w:rPr>
          <w:noProof/>
        </w:rPr>
        <w:t>t vil handling på EU-niveau sikre en omkostningseffektiv opnåelse af målene for 2030 og de langsigtede emissionsreduktioner, samtidig med at man sikrer retfærdighed og miljømæssig integritet.</w:t>
      </w:r>
    </w:p>
    <w:p w:rsidR="00DE7E70" w:rsidRDefault="00B85DCD">
      <w:pPr>
        <w:rPr>
          <w:noProof/>
        </w:rPr>
      </w:pPr>
      <w:r>
        <w:rPr>
          <w:noProof/>
        </w:rPr>
        <w:t>I artikel 191-193 i TEUF stadfæstes og beskrives EU's kompetence</w:t>
      </w:r>
      <w:r>
        <w:rPr>
          <w:noProof/>
        </w:rPr>
        <w:t>r inden for klimaindsatsen. Retsgrundlaget for dette forslag er artikel 192 i TEUF. I overensstemmelse med artikel 191, 192, stk. 1 i TFEU skal EU hjælpe med opnåelsen, af bl.a. følgende mål:</w:t>
      </w:r>
      <w:r>
        <w:rPr>
          <w:i/>
          <w:noProof/>
        </w:rPr>
        <w:t xml:space="preserve"> </w:t>
      </w:r>
      <w:r>
        <w:rPr>
          <w:noProof/>
        </w:rPr>
        <w:t xml:space="preserve">bevarelse, beskyttelse og forbedring af miljøet, fremme af </w:t>
      </w:r>
      <w:r>
        <w:rPr>
          <w:noProof/>
        </w:rPr>
        <w:t>foranstaltninger på internationalt plan til løsning af de regionale og globale miljøproblemer og navnlig bekæmpelse af klimaændringer.</w:t>
      </w:r>
    </w:p>
    <w:p w:rsidR="00DE7E70" w:rsidRDefault="00B85DCD">
      <w:pPr>
        <w:pBdr>
          <w:top w:val="nil"/>
          <w:left w:val="nil"/>
          <w:bottom w:val="nil"/>
          <w:right w:val="nil"/>
          <w:between w:val="nil"/>
          <w:bar w:val="nil"/>
        </w:pBdr>
        <w:spacing w:before="0" w:after="240"/>
        <w:rPr>
          <w:rFonts w:eastAsia="Times New Roman"/>
          <w:noProof/>
          <w:szCs w:val="24"/>
        </w:rPr>
      </w:pPr>
      <w:r>
        <w:rPr>
          <w:noProof/>
        </w:rPr>
        <w:t>Da målene for denne forordning ikke i tilstrækkelig grad kan opfyldes af medlemsstaterne, men på grund af deres omfang og</w:t>
      </w:r>
      <w:r>
        <w:rPr>
          <w:noProof/>
        </w:rPr>
        <w:t xml:space="preserve"> virkninger bedre kan nås på EU-plan, kan Unionen derfor træffe foranstaltninger i overensstemmelse med nærhedsprincippet, jf. artikel 5 i traktaten om Den Europæiske Union. </w:t>
      </w:r>
    </w:p>
    <w:p w:rsidR="00DE7E70" w:rsidRDefault="00B85DCD">
      <w:pPr>
        <w:pBdr>
          <w:top w:val="nil"/>
          <w:left w:val="nil"/>
          <w:bottom w:val="nil"/>
          <w:right w:val="nil"/>
          <w:between w:val="nil"/>
          <w:bar w:val="nil"/>
        </w:pBdr>
        <w:spacing w:before="0" w:after="240"/>
        <w:rPr>
          <w:noProof/>
        </w:rPr>
      </w:pPr>
      <w:r>
        <w:rPr>
          <w:noProof/>
        </w:rPr>
        <w:t>Dette forslag til forordning er i overensstemmelse med proportionalitetsprincippe</w:t>
      </w:r>
      <w:r>
        <w:rPr>
          <w:noProof/>
        </w:rPr>
        <w:t>t, fordi det ikke går ud over, hvad der er nødvendigt for at nå målene for gennemførelsen af EU's reduktionsmål for drivhusgasemissioner for perioden 2021-2030 på en omkostningseffektiv måde, mens det på samme tid sikrer retfærdighed og miljømæssig integri</w:t>
      </w:r>
      <w:r>
        <w:rPr>
          <w:noProof/>
        </w:rPr>
        <w:t xml:space="preserve">tet. </w:t>
      </w:r>
    </w:p>
    <w:p w:rsidR="00DE7E70" w:rsidRDefault="00B85DCD">
      <w:pPr>
        <w:pBdr>
          <w:top w:val="nil"/>
          <w:left w:val="nil"/>
          <w:bottom w:val="nil"/>
          <w:right w:val="nil"/>
          <w:between w:val="nil"/>
          <w:bar w:val="nil"/>
        </w:pBdr>
        <w:spacing w:before="0" w:after="240"/>
        <w:rPr>
          <w:rFonts w:eastAsia="Arial Unicode MS"/>
          <w:noProof/>
        </w:rPr>
      </w:pPr>
      <w:r>
        <w:rPr>
          <w:noProof/>
        </w:rPr>
        <w:t>Det Europæiske Råd er blevet enigt om en overordnet reduktion af drivhusgasemissioner over hele økonomien og nationalt på mindst 40 % i forhold til 1990-niveauet. Dette forslag dækker over halvdelen af disse drivhusgasemissioner, og formålet med fors</w:t>
      </w:r>
      <w:r>
        <w:rPr>
          <w:noProof/>
        </w:rPr>
        <w:t>laget forfølges bedst gennem en forordning. Det skaber betydelig synergi med forordningen om overvågningsmekanismen ("MMR")</w:t>
      </w:r>
      <w:r>
        <w:rPr>
          <w:rStyle w:val="FootnoteReference"/>
          <w:noProof/>
        </w:rPr>
        <w:footnoteReference w:id="4"/>
      </w:r>
      <w:r>
        <w:rPr>
          <w:noProof/>
        </w:rPr>
        <w:t>. Der er krav til medlemsstaterne og Det Europæiske Miljøagentur om at bidrage til at nå de nødvendige nationale emissionsreduktione</w:t>
      </w:r>
      <w:r>
        <w:rPr>
          <w:noProof/>
        </w:rPr>
        <w:t>r.</w:t>
      </w:r>
    </w:p>
    <w:p w:rsidR="00DE7E70" w:rsidRDefault="00B85DCD">
      <w:pPr>
        <w:pStyle w:val="ManualHeading1"/>
        <w:rPr>
          <w:noProof/>
        </w:rPr>
      </w:pPr>
      <w:r>
        <w:rPr>
          <w:noProof/>
        </w:rPr>
        <w:t>3.</w:t>
      </w:r>
      <w:r>
        <w:rPr>
          <w:noProof/>
        </w:rPr>
        <w:tab/>
        <w:t>RESULTATER AF EFTERFØLGENDE EVALUERINGER, HØRINGER AF INTERESSEREDE PARTER OG KONSEKVENSANALYSER</w:t>
      </w:r>
    </w:p>
    <w:p w:rsidR="00DE7E70" w:rsidRDefault="00B85DCD">
      <w:pPr>
        <w:pStyle w:val="ManualHeading2"/>
        <w:rPr>
          <w:rFonts w:eastAsia="Arial Unicode MS"/>
          <w:noProof/>
          <w:u w:color="000000"/>
          <w:bdr w:val="nil"/>
        </w:rPr>
      </w:pPr>
      <w:r>
        <w:rPr>
          <w:b w:val="0"/>
          <w:noProof/>
        </w:rPr>
        <w:t>•</w:t>
      </w:r>
      <w:r>
        <w:rPr>
          <w:b w:val="0"/>
          <w:noProof/>
        </w:rPr>
        <w:tab/>
      </w:r>
      <w:r>
        <w:rPr>
          <w:noProof/>
          <w:u w:color="000000"/>
          <w:bdr w:val="nil"/>
        </w:rPr>
        <w:t>Efterfølgende evalueringer/kvalitetskontrol af gældende lovgivning</w:t>
      </w:r>
    </w:p>
    <w:p w:rsidR="00DE7E70" w:rsidRDefault="00B85DCD">
      <w:pPr>
        <w:rPr>
          <w:noProof/>
        </w:rPr>
      </w:pPr>
      <w:r>
        <w:rPr>
          <w:noProof/>
        </w:rPr>
        <w:t>En evaluering af ESD blev gennemført i 2015, forud for dette forslag, i overensstemm</w:t>
      </w:r>
      <w:r>
        <w:rPr>
          <w:noProof/>
        </w:rPr>
        <w:t>else med dens artikel 14, ifølge hvilken Kommissionen skal udarbejde en evalueringsrapport om gennemførelsen af ESD senest den 31. oktober 2016</w:t>
      </w:r>
      <w:r>
        <w:rPr>
          <w:rStyle w:val="FootnoteReference"/>
          <w:noProof/>
        </w:rPr>
        <w:footnoteReference w:id="5"/>
      </w:r>
      <w:r>
        <w:rPr>
          <w:noProof/>
        </w:rPr>
        <w:t xml:space="preserve">. </w:t>
      </w:r>
    </w:p>
    <w:p w:rsidR="00DE7E70" w:rsidRDefault="00B85DCD">
      <w:pPr>
        <w:rPr>
          <w:noProof/>
        </w:rPr>
      </w:pPr>
      <w:r>
        <w:rPr>
          <w:noProof/>
        </w:rPr>
        <w:t>Mens ESD stadig er i de tidlige stadier af gennemførelsen, kan ESD-forpligtelserne anses for at have været ny</w:t>
      </w:r>
      <w:r>
        <w:rPr>
          <w:noProof/>
        </w:rPr>
        <w:t>ttige til, i det mindste delvist, at stimulere nye nationale politikker og foranstaltninger for at fremme effektiv reduktion af drivhusgasemissionerne inden for ESD. Dette er blevet forstærket af, at det blev lanceret sammen med en række andre EU-forslag p</w:t>
      </w:r>
      <w:r>
        <w:rPr>
          <w:noProof/>
        </w:rPr>
        <w:t xml:space="preserve">å klima- og energiområdet som del af 2020-pakken, især vedrørende energieffektivitet og vedvarende energi. I flere ESD-sektorer, herunder bygninger, transport, landbrug og affald, kan en væsentlig del af emissionsreduktionerne til dato tilskrives faktorer </w:t>
      </w:r>
      <w:r>
        <w:rPr>
          <w:noProof/>
        </w:rPr>
        <w:t>som teknologiske forandringer, der skyldes politiske indgreb som følge af 2020-pakken. Bortset fra den EU-dækkende og nationale klima- og energipolitik har den økonomiske krise og væksten i nogle landes økonomiske aktivitet påvirket drivhusgasemissionerne.</w:t>
      </w:r>
    </w:p>
    <w:p w:rsidR="00DE7E70" w:rsidRDefault="00B85DCD">
      <w:pPr>
        <w:pBdr>
          <w:top w:val="nil"/>
          <w:left w:val="nil"/>
          <w:bottom w:val="nil"/>
          <w:right w:val="nil"/>
          <w:between w:val="nil"/>
          <w:bar w:val="nil"/>
        </w:pBdr>
        <w:spacing w:before="0" w:after="240"/>
        <w:rPr>
          <w:rFonts w:eastAsia="Arial Unicode MS"/>
          <w:noProof/>
        </w:rPr>
      </w:pPr>
      <w:r>
        <w:rPr>
          <w:noProof/>
        </w:rPr>
        <w:t xml:space="preserve">Alt i alt har ESD resulteret i, at medlemsstaterne er blevet mere aktive i deres overvejelser om nye tiltag, der kan hjælpe med til at reducere emissionerne i deres sektorer, og hvordan man bedst udformer dem. Det har vist sig, at ESD kun har resulteret i </w:t>
      </w:r>
      <w:r>
        <w:rPr>
          <w:noProof/>
        </w:rPr>
        <w:t xml:space="preserve">begrænsede ekstra administrative omkostninger på medlemsstatsniveau, samtidig med at det har vist sig, at der kan være muligheder for at reducere de administrative omkostninger. Kommissionens administrative omkostninger til </w:t>
      </w:r>
      <w:r>
        <w:rPr>
          <w:noProof/>
          <w:szCs w:val="24"/>
        </w:rPr>
        <w:t>overvågnings- og efterlevelsessy</w:t>
      </w:r>
      <w:r>
        <w:rPr>
          <w:noProof/>
          <w:szCs w:val="24"/>
        </w:rPr>
        <w:t>stemet ligger i størrelsesordenen 650 000 EUR om året, mens de årlige omkostninger for alle de 28 medlemsstater tilsammen skønnes at ligge i størrelsesordenen 500 000 EUR om året.</w:t>
      </w:r>
    </w:p>
    <w:p w:rsidR="00DE7E70" w:rsidRDefault="00B85DCD">
      <w:pPr>
        <w:pStyle w:val="ManualHeading2"/>
        <w:rPr>
          <w:rFonts w:eastAsia="Arial Unicode MS"/>
          <w:noProof/>
          <w:u w:color="000000"/>
          <w:bdr w:val="nil"/>
        </w:rPr>
      </w:pPr>
      <w:r>
        <w:rPr>
          <w:b w:val="0"/>
          <w:noProof/>
        </w:rPr>
        <w:t>•</w:t>
      </w:r>
      <w:r>
        <w:rPr>
          <w:b w:val="0"/>
          <w:noProof/>
        </w:rPr>
        <w:tab/>
      </w:r>
      <w:r>
        <w:rPr>
          <w:noProof/>
          <w:u w:color="000000"/>
          <w:bdr w:val="nil"/>
        </w:rPr>
        <w:t>Høringer af interesserede parter</w:t>
      </w:r>
    </w:p>
    <w:p w:rsidR="00DE7E70" w:rsidRDefault="00B85DCD">
      <w:pPr>
        <w:autoSpaceDE w:val="0"/>
        <w:autoSpaceDN w:val="0"/>
        <w:adjustRightInd w:val="0"/>
        <w:rPr>
          <w:noProof/>
        </w:rPr>
      </w:pPr>
      <w:r>
        <w:rPr>
          <w:noProof/>
        </w:rPr>
        <w:t xml:space="preserve">Europa-Kommissionen afholdt en offentlig </w:t>
      </w:r>
      <w:r>
        <w:rPr>
          <w:noProof/>
        </w:rPr>
        <w:t>høring</w:t>
      </w:r>
      <w:r>
        <w:rPr>
          <w:rStyle w:val="FootnoteReference"/>
          <w:noProof/>
        </w:rPr>
        <w:footnoteReference w:id="6"/>
      </w:r>
      <w:r>
        <w:rPr>
          <w:noProof/>
        </w:rPr>
        <w:t xml:space="preserve">, der undersøgte medlemsstaternes indsats for at reducere deres drivhusgasemissioner </w:t>
      </w:r>
      <w:r>
        <w:rPr>
          <w:noProof/>
          <w:szCs w:val="24"/>
        </w:rPr>
        <w:t>med henblik på at opfylde EU's forpligtelser til at reducere drivhusgasemissionerne frem til 2030</w:t>
      </w:r>
      <w:r>
        <w:rPr>
          <w:noProof/>
        </w:rPr>
        <w:t xml:space="preserve">. </w:t>
      </w:r>
    </w:p>
    <w:p w:rsidR="00DE7E70" w:rsidRDefault="00B85DCD">
      <w:pPr>
        <w:autoSpaceDE w:val="0"/>
        <w:autoSpaceDN w:val="0"/>
        <w:adjustRightInd w:val="0"/>
        <w:rPr>
          <w:noProof/>
        </w:rPr>
      </w:pPr>
      <w:r>
        <w:rPr>
          <w:noProof/>
        </w:rPr>
        <w:t>Høringen supplerede høringen om grønbogen om en 2030-ramme for k</w:t>
      </w:r>
      <w:r>
        <w:rPr>
          <w:noProof/>
        </w:rPr>
        <w:t>lima- og energipolitikken, der blev gennemført i 2013 og var fuldt tilgængelig for offentligheden. Høringen fokuserede på at forbedre de eksisterende fleksibilitetsmuligheder, rapportering og overholdelse, tilgangen til fastsættelse af mål for den national</w:t>
      </w:r>
      <w:r>
        <w:rPr>
          <w:noProof/>
        </w:rPr>
        <w:t>e reduktion af drivhusgasser og en begrænset enkeltstående fleksibilitet mellem ETS og ESD. Den omhandlede også en supplerende EU-indsats for at nå de fastsatte reduktionsmål samt kapacitetsopbygning og andre støtteforanstaltninger til gennemførelsen på na</w:t>
      </w:r>
      <w:r>
        <w:rPr>
          <w:noProof/>
        </w:rPr>
        <w:t>tionalt, regionalt og lokalt plan. Kommissionen modtog 114 formelle henvendelser fra et bredt spektrum af interessenter fra medlemsstaterne</w:t>
      </w:r>
      <w:r>
        <w:rPr>
          <w:rStyle w:val="FootnoteReference"/>
          <w:noProof/>
        </w:rPr>
        <w:footnoteReference w:id="7"/>
      </w:r>
      <w:r>
        <w:rPr>
          <w:noProof/>
        </w:rPr>
        <w:t xml:space="preserve">. </w:t>
      </w:r>
    </w:p>
    <w:p w:rsidR="00DE7E70" w:rsidRDefault="00B85DCD">
      <w:pPr>
        <w:rPr>
          <w:noProof/>
        </w:rPr>
      </w:pPr>
      <w:r>
        <w:rPr>
          <w:noProof/>
        </w:rPr>
        <w:t>Europa-Kommissionen konsulterede også medlemsstaterne på fire møder i arbejdsgrupper under Udvalget for Klimaændr</w:t>
      </w:r>
      <w:r>
        <w:rPr>
          <w:noProof/>
        </w:rPr>
        <w:t>inger, der blev afholdt i 2015. Disse konsultationer behandlede de forskellige muligheder for at forbedre de eksisterende egne fleksibilitetsmuligheder i ESD i perioden efter 2020, og hvordan man skal administrere rapportering og overholdelse.</w:t>
      </w:r>
    </w:p>
    <w:p w:rsidR="00DE7E70" w:rsidRDefault="00B85DCD">
      <w:pPr>
        <w:pBdr>
          <w:top w:val="nil"/>
          <w:left w:val="nil"/>
          <w:bottom w:val="nil"/>
          <w:right w:val="nil"/>
          <w:between w:val="nil"/>
          <w:bar w:val="nil"/>
        </w:pBdr>
        <w:spacing w:before="0" w:after="0"/>
        <w:rPr>
          <w:rFonts w:eastAsia="Arial Unicode MS"/>
          <w:noProof/>
        </w:rPr>
      </w:pPr>
      <w:r>
        <w:rPr>
          <w:noProof/>
        </w:rPr>
        <w:t xml:space="preserve">En synopsis </w:t>
      </w:r>
      <w:r>
        <w:rPr>
          <w:noProof/>
        </w:rPr>
        <w:t>af høringen af interessenter findes i bilag 8.2 i konsekvensanalysen af dette forslag.</w:t>
      </w:r>
    </w:p>
    <w:p w:rsidR="00DE7E70" w:rsidRDefault="00B85DCD">
      <w:pPr>
        <w:pStyle w:val="ManualHeading2"/>
        <w:rPr>
          <w:rFonts w:eastAsia="Arial Unicode MS"/>
          <w:noProof/>
          <w:u w:color="000000"/>
          <w:bdr w:val="nil"/>
        </w:rPr>
      </w:pPr>
      <w:r>
        <w:rPr>
          <w:b w:val="0"/>
          <w:noProof/>
        </w:rPr>
        <w:t>•</w:t>
      </w:r>
      <w:r>
        <w:rPr>
          <w:b w:val="0"/>
          <w:noProof/>
        </w:rPr>
        <w:tab/>
      </w:r>
      <w:r>
        <w:rPr>
          <w:noProof/>
          <w:u w:color="000000"/>
          <w:bdr w:val="nil"/>
        </w:rPr>
        <w:t>Indhentning og brug af ekspertbistand</w:t>
      </w:r>
    </w:p>
    <w:p w:rsidR="00DE7E70" w:rsidRDefault="00B85DCD">
      <w:pPr>
        <w:rPr>
          <w:noProof/>
        </w:rPr>
      </w:pPr>
      <w:r>
        <w:rPr>
          <w:noProof/>
        </w:rPr>
        <w:t>Den kvantitative vurdering af de fremtidige virkninger for EU bygger på og supplerer analysen foretaget for 2030-rammen og opdate</w:t>
      </w:r>
      <w:r>
        <w:rPr>
          <w:noProof/>
        </w:rPr>
        <w:t>rer den på specifikke elementer relaterede til ESD. Kommissionen indgik aftale med Det Nationale Tekniske Universitet i Athen, IIASA og EuroCare om at udarbejde en model for et opdateret referencescenarie</w:t>
      </w:r>
      <w:r>
        <w:rPr>
          <w:rStyle w:val="FootnoteReference"/>
          <w:noProof/>
        </w:rPr>
        <w:footnoteReference w:id="8"/>
      </w:r>
      <w:r>
        <w:rPr>
          <w:noProof/>
        </w:rPr>
        <w:t xml:space="preserve">, og på denne baggrund blev der opstillet en række </w:t>
      </w:r>
      <w:r>
        <w:rPr>
          <w:noProof/>
        </w:rPr>
        <w:t>politiske scenarier. Modellen for energisystemet og CO</w:t>
      </w:r>
      <w:r>
        <w:rPr>
          <w:noProof/>
          <w:vertAlign w:val="subscript"/>
        </w:rPr>
        <w:t>2</w:t>
      </w:r>
      <w:r>
        <w:rPr>
          <w:noProof/>
        </w:rPr>
        <w:t>-emissionerne er baseret på PRIMES-modellen. Modellen for emissionen af ikke-CO</w:t>
      </w:r>
      <w:r>
        <w:rPr>
          <w:noProof/>
          <w:vertAlign w:val="subscript"/>
        </w:rPr>
        <w:t>2</w:t>
      </w:r>
      <w:r>
        <w:rPr>
          <w:noProof/>
        </w:rPr>
        <w:t>-drivhusgasser er baseret på GAINS-modellen. Emissionen af ikke-CO</w:t>
      </w:r>
      <w:r>
        <w:rPr>
          <w:noProof/>
          <w:vertAlign w:val="subscript"/>
        </w:rPr>
        <w:t>2</w:t>
      </w:r>
      <w:r>
        <w:rPr>
          <w:noProof/>
        </w:rPr>
        <w:t>-drivhusgasser fra landbruget er baseret på CAPRI-mode</w:t>
      </w:r>
      <w:r>
        <w:rPr>
          <w:noProof/>
        </w:rPr>
        <w:t xml:space="preserve">llen. </w:t>
      </w:r>
    </w:p>
    <w:p w:rsidR="00DE7E70" w:rsidRDefault="00B85DCD">
      <w:pPr>
        <w:rPr>
          <w:noProof/>
        </w:rPr>
      </w:pPr>
      <w:r>
        <w:rPr>
          <w:noProof/>
        </w:rPr>
        <w:t>Den ekspertviden, som interessenternes bidrag under den offentlige høring bidrog med, såvel som nationale fremskrivninger af drivhusgasemissionerne indsendt af medlemsstaterne i henhold til forordningen om overvågningsmekanismen i 2015, er blevet an</w:t>
      </w:r>
      <w:r>
        <w:rPr>
          <w:noProof/>
        </w:rPr>
        <w:t xml:space="preserve">vendt som yderligere informationskilder for at supplere denne analyse. </w:t>
      </w:r>
    </w:p>
    <w:p w:rsidR="00DE7E70" w:rsidRDefault="00B85DCD">
      <w:pPr>
        <w:rPr>
          <w:noProof/>
        </w:rPr>
      </w:pPr>
      <w:r>
        <w:rPr>
          <w:noProof/>
        </w:rPr>
        <w:t>En understøttende undersøgelse til evalueringen af gennemførelsen af ESD blev gennemført for Kommissionen i 2015 af en gruppe eksterne konsulenter</w:t>
      </w:r>
      <w:r>
        <w:rPr>
          <w:rStyle w:val="FootnoteReference"/>
          <w:noProof/>
        </w:rPr>
        <w:footnoteReference w:id="9"/>
      </w:r>
      <w:r>
        <w:rPr>
          <w:noProof/>
        </w:rPr>
        <w:t>.</w:t>
      </w:r>
    </w:p>
    <w:p w:rsidR="00DE7E70" w:rsidRDefault="00B85DCD">
      <w:pPr>
        <w:pStyle w:val="ManualHeading2"/>
        <w:jc w:val="left"/>
        <w:rPr>
          <w:rFonts w:eastAsia="Arial Unicode MS"/>
          <w:noProof/>
          <w:u w:color="000000"/>
          <w:bdr w:val="nil"/>
        </w:rPr>
      </w:pPr>
      <w:r>
        <w:rPr>
          <w:b w:val="0"/>
          <w:noProof/>
        </w:rPr>
        <w:t>•</w:t>
      </w:r>
      <w:r>
        <w:rPr>
          <w:b w:val="0"/>
          <w:noProof/>
        </w:rPr>
        <w:tab/>
      </w:r>
      <w:r>
        <w:rPr>
          <w:noProof/>
          <w:u w:color="000000"/>
          <w:bdr w:val="nil"/>
        </w:rPr>
        <w:t>Konsekvensanalyse</w:t>
      </w:r>
    </w:p>
    <w:p w:rsidR="00DE7E70" w:rsidRDefault="00B85DCD">
      <w:pPr>
        <w:rPr>
          <w:noProof/>
          <w:szCs w:val="24"/>
        </w:rPr>
      </w:pPr>
      <w:r>
        <w:rPr>
          <w:noProof/>
        </w:rPr>
        <w:t>Konsekvensanalysen, der ledsager dette forslag</w:t>
      </w:r>
      <w:r>
        <w:rPr>
          <w:rStyle w:val="FootnoteReference"/>
          <w:noProof/>
        </w:rPr>
        <w:footnoteReference w:id="10"/>
      </w:r>
      <w:r>
        <w:rPr>
          <w:noProof/>
        </w:rPr>
        <w:t>, supplerer de konsekvensanalyser fra 2014, der ledsagede klima- og energirammen for 2030</w:t>
      </w:r>
      <w:r>
        <w:rPr>
          <w:rStyle w:val="FootnoteReference"/>
          <w:noProof/>
        </w:rPr>
        <w:footnoteReference w:id="11"/>
      </w:r>
      <w:r>
        <w:rPr>
          <w:noProof/>
        </w:rPr>
        <w:t>. De dannede det analytiske grundlag for at fastsætte målet om mindst 40 % reduktion af drivhusgasemissionerne senest i</w:t>
      </w:r>
      <w:r>
        <w:rPr>
          <w:noProof/>
        </w:rPr>
        <w:t xml:space="preserve"> 2030 i forhold til 1990 samt opdelingen i de respektive emissionsreduktionsmål på 30 % og 43 % mellem </w:t>
      </w:r>
      <w:r>
        <w:rPr>
          <w:noProof/>
          <w:szCs w:val="24"/>
        </w:rPr>
        <w:t>sektorerne i og uden for</w:t>
      </w:r>
      <w:r>
        <w:rPr>
          <w:noProof/>
        </w:rPr>
        <w:t xml:space="preserve"> ETS senest i 2030 sammenlignet med 2005. </w:t>
      </w:r>
    </w:p>
    <w:p w:rsidR="00DE7E70" w:rsidRDefault="00B85DCD">
      <w:pPr>
        <w:rPr>
          <w:noProof/>
        </w:rPr>
      </w:pPr>
      <w:r>
        <w:rPr>
          <w:noProof/>
        </w:rPr>
        <w:t>Konsekvensanalysen undersøgte muligheden for gennemførelse af reduktionen i sektorerne</w:t>
      </w:r>
      <w:r>
        <w:rPr>
          <w:noProof/>
        </w:rPr>
        <w:t xml:space="preserve"> uden for ETS, ud over LULUCF-sektorerne, baseret på den nuværende ESD og de retningslinjer, der er udstukket af Det Europæiske Råd. Konsekvensanalysen undersøger, hvad konsekvenserne af forslaget vil være på områderne retfærdighed, omkostningseffektivitet</w:t>
      </w:r>
      <w:r>
        <w:rPr>
          <w:noProof/>
        </w:rPr>
        <w:t xml:space="preserve"> og miljømæssig integritet.</w:t>
      </w:r>
    </w:p>
    <w:p w:rsidR="00DE7E70" w:rsidRDefault="00B85DCD">
      <w:pPr>
        <w:spacing w:before="0" w:after="0"/>
        <w:rPr>
          <w:noProof/>
        </w:rPr>
      </w:pPr>
      <w:r>
        <w:rPr>
          <w:noProof/>
        </w:rPr>
        <w:t xml:space="preserve">Konsekvensanalysen revurderer metoden til fastsættelse af mål baseret på BNP pr. indbygger, hvilket sikrer retfærdighed, og opdaterer den på basis af 2013-data. Den vurderer, i hvilket omfang målene kan justeres inden for </w:t>
      </w:r>
      <w:r>
        <w:rPr>
          <w:noProof/>
        </w:rPr>
        <w:t>gruppen af medlemsstater, som har et BNP pr. indbygger over gennemsnittet, og for hvilke af medlemsstaterne opfyldelse af de fastsatte mål for omkostningseffektivitet kan være særlig problematisk. Med hensyn til udgangspunktet for den lineære opnåelse af d</w:t>
      </w:r>
      <w:r>
        <w:rPr>
          <w:noProof/>
        </w:rPr>
        <w:t>e projekterede mål har man valgt en metode svarende til den eksisterende ESD-metode på basis af de seneste emissioner, da den sikrer miljømæssig integritet og samtidig er administrativt overkommelig.</w:t>
      </w:r>
    </w:p>
    <w:p w:rsidR="00DE7E70" w:rsidRDefault="00B85DCD">
      <w:pPr>
        <w:spacing w:after="0"/>
        <w:rPr>
          <w:noProof/>
        </w:rPr>
      </w:pPr>
      <w:r>
        <w:rPr>
          <w:noProof/>
        </w:rPr>
        <w:t>Konsekvensanalysen viser, at de nye fleksibilitetsmuligh</w:t>
      </w:r>
      <w:r>
        <w:rPr>
          <w:noProof/>
        </w:rPr>
        <w:t>eder under ETS og LULUCF-sektorerne skal begrænses for at sikre, at der stadig træffes yderligere reelle foranstaltninger i sektorerne uden for ETS i overensstemmelse med de langsigtede reduktionsmål. Samtidig tillader begge fleksibilitetsmuligheder, at de</w:t>
      </w:r>
      <w:r>
        <w:rPr>
          <w:noProof/>
        </w:rPr>
        <w:t xml:space="preserve"> enkelte medlemsstaters forhold kan tages i betragtning. For den enkeltstående fleksibilitetsmulighed vedrører det typisk bekymringer i forbindelse med omkostningseffektivitet for de medlemsstater, der er underlagt de højeste krav. For LULUCF-sektoren vedr</w:t>
      </w:r>
      <w:r>
        <w:rPr>
          <w:noProof/>
        </w:rPr>
        <w:t>ører dette bekymringerne vedrørende et begrænset modvirkningspotentiale for ikke-CO</w:t>
      </w:r>
      <w:r>
        <w:rPr>
          <w:noProof/>
          <w:vertAlign w:val="subscript"/>
        </w:rPr>
        <w:t>2</w:t>
      </w:r>
      <w:r>
        <w:rPr>
          <w:noProof/>
        </w:rPr>
        <w:t xml:space="preserve">-emissioner i landbrugssektoren, som er af størst betydning for de medlemsstater, der har en høj andel af landbrugsemissioner.  De eksisterende fleksibilitetsmuligheder er </w:t>
      </w:r>
      <w:r>
        <w:rPr>
          <w:noProof/>
        </w:rPr>
        <w:t>endnu uprøvede og giver stort potentiale for nedsættelse af omkostninger og opnåelse af omkostningseffektivitet. Enhver forbedring må nødvendigvis tage potentielle administrative virkninger i betragtning. De administrative omkostninger for både medlemsstat</w:t>
      </w:r>
      <w:r>
        <w:rPr>
          <w:noProof/>
        </w:rPr>
        <w:t>erne og Europa-Kommissionen er for øjeblikket begrænsede og vil yderligere blive begrænsede ved at gå over til en overensstemmelseskontrol hvert femte år.</w:t>
      </w:r>
    </w:p>
    <w:p w:rsidR="00DE7E70" w:rsidRDefault="00B85DCD">
      <w:pPr>
        <w:rPr>
          <w:rFonts w:eastAsia="Arial Unicode MS"/>
          <w:noProof/>
        </w:rPr>
      </w:pPr>
      <w:r>
        <w:rPr>
          <w:noProof/>
        </w:rPr>
        <w:t>De foreslåede foranstaltninger vil især påvirke de nationale administrationer. Der er ingen direkte r</w:t>
      </w:r>
      <w:r>
        <w:rPr>
          <w:noProof/>
        </w:rPr>
        <w:t>apporteringsforpligtelser eller andre administrative konsekvenser for virksomheder, SMV’er eller mikrovirksomheder Afhængigt af arten og omfanget af eventuelle nationale og EU-foranstaltninger, der har til hensigt at reducere emissionerne, vil interessente</w:t>
      </w:r>
      <w:r>
        <w:rPr>
          <w:noProof/>
        </w:rPr>
        <w:t>r, herunder virksomhederne og forbrugere, blive berørt. Alle sådanne virkninger må nødvendigvis vurderes inden for de pågældende foreslåede foranstaltninger.</w:t>
      </w:r>
    </w:p>
    <w:p w:rsidR="00DE7E70" w:rsidRDefault="00B85DCD">
      <w:pPr>
        <w:pStyle w:val="ManualHeading2"/>
        <w:rPr>
          <w:rFonts w:eastAsia="Arial Unicode MS"/>
          <w:noProof/>
          <w:u w:color="000000"/>
          <w:bdr w:val="nil"/>
        </w:rPr>
      </w:pPr>
      <w:r>
        <w:rPr>
          <w:b w:val="0"/>
          <w:noProof/>
        </w:rPr>
        <w:t>•</w:t>
      </w:r>
      <w:r>
        <w:rPr>
          <w:b w:val="0"/>
          <w:noProof/>
        </w:rPr>
        <w:tab/>
      </w:r>
      <w:r>
        <w:rPr>
          <w:noProof/>
          <w:u w:color="000000"/>
          <w:bdr w:val="nil"/>
        </w:rPr>
        <w:t>Målrettet regulering og forenkling</w:t>
      </w:r>
    </w:p>
    <w:p w:rsidR="00DE7E70" w:rsidRDefault="00B85DCD">
      <w:pPr>
        <w:pBdr>
          <w:top w:val="nil"/>
          <w:left w:val="nil"/>
          <w:bottom w:val="nil"/>
          <w:right w:val="nil"/>
          <w:between w:val="nil"/>
          <w:bar w:val="nil"/>
        </w:pBdr>
        <w:spacing w:before="0" w:after="240"/>
        <w:rPr>
          <w:noProof/>
        </w:rPr>
      </w:pPr>
      <w:r>
        <w:rPr>
          <w:noProof/>
          <w:szCs w:val="24"/>
        </w:rPr>
        <w:t>I overensstemmelse med Kommissionens forpligtelse til bedre r</w:t>
      </w:r>
      <w:r>
        <w:rPr>
          <w:noProof/>
          <w:szCs w:val="24"/>
        </w:rPr>
        <w:t>egulering er forslaget udarbejdet på en integreret måde med udgangspunkt i fuld gennemsigtighed og løbende dialog med interessenter</w:t>
      </w:r>
      <w:r>
        <w:rPr>
          <w:noProof/>
        </w:rPr>
        <w:t>. Som følge af den foreslåede kontrol af overholdelsen hvert femte år vil den dermed forbundne administrative byrde og omkost</w:t>
      </w:r>
      <w:r>
        <w:rPr>
          <w:noProof/>
        </w:rPr>
        <w:t>ningerne til at forvalte overholdelsesforanstaltningerne blive reduceret for medlemsstaterne og Kommissionen. Ved at bibeholde det nuværende årlige rapporteringssystem og samtidig foretage overensstemmelseskontrol hvert femte år skønnes de samlede omkostni</w:t>
      </w:r>
      <w:r>
        <w:rPr>
          <w:noProof/>
        </w:rPr>
        <w:t xml:space="preserve">nger for hele forpligtelsesperioden 2021-2030 for både Kommissionen og medlemsstaterne at udgøre ca. 60-70 % af de administrative omkostninger til et system med en årlig overensstemmelseskontrol, hvilket svarer til ca. 1 150 000 EUR om året. </w:t>
      </w:r>
    </w:p>
    <w:p w:rsidR="00DE7E70" w:rsidRDefault="00B85DCD">
      <w:pPr>
        <w:pBdr>
          <w:top w:val="nil"/>
          <w:left w:val="nil"/>
          <w:bottom w:val="nil"/>
          <w:right w:val="nil"/>
          <w:between w:val="nil"/>
          <w:bar w:val="nil"/>
        </w:pBdr>
        <w:spacing w:before="0" w:after="0"/>
        <w:rPr>
          <w:rFonts w:eastAsia="Arial Unicode MS"/>
          <w:noProof/>
        </w:rPr>
      </w:pPr>
      <w:r>
        <w:rPr>
          <w:noProof/>
        </w:rPr>
        <w:t xml:space="preserve">Der er ingen </w:t>
      </w:r>
      <w:r>
        <w:rPr>
          <w:noProof/>
        </w:rPr>
        <w:t>direkte indberetningspligt for små og mellemstore virksomheder eller andre virksomheder under den nuværende lovgivning. Dette forslag kommer ikke til at ændre denne situation.</w:t>
      </w:r>
    </w:p>
    <w:p w:rsidR="00DE7E70" w:rsidRDefault="00B85DCD">
      <w:pPr>
        <w:pStyle w:val="ManualHeading2"/>
        <w:rPr>
          <w:rFonts w:eastAsia="Arial Unicode MS"/>
          <w:noProof/>
          <w:u w:color="000000"/>
          <w:bdr w:val="nil"/>
        </w:rPr>
      </w:pPr>
      <w:r>
        <w:rPr>
          <w:b w:val="0"/>
          <w:noProof/>
        </w:rPr>
        <w:t>•</w:t>
      </w:r>
      <w:r>
        <w:rPr>
          <w:b w:val="0"/>
          <w:noProof/>
        </w:rPr>
        <w:tab/>
      </w:r>
      <w:r>
        <w:rPr>
          <w:noProof/>
          <w:u w:color="000000"/>
          <w:bdr w:val="nil"/>
        </w:rPr>
        <w:t>Grundlæggende rettigheder</w:t>
      </w:r>
    </w:p>
    <w:p w:rsidR="00DE7E70" w:rsidRDefault="00B85DCD">
      <w:pPr>
        <w:pBdr>
          <w:top w:val="nil"/>
          <w:left w:val="nil"/>
          <w:bottom w:val="nil"/>
          <w:right w:val="nil"/>
          <w:between w:val="nil"/>
          <w:bar w:val="nil"/>
        </w:pBdr>
        <w:spacing w:before="0" w:after="240"/>
        <w:rPr>
          <w:rFonts w:eastAsia="Arial Unicode MS"/>
          <w:noProof/>
        </w:rPr>
      </w:pPr>
      <w:r>
        <w:rPr>
          <w:noProof/>
        </w:rPr>
        <w:t>Da den foreslåede foranstaltning primært henvender s</w:t>
      </w:r>
      <w:r>
        <w:rPr>
          <w:noProof/>
        </w:rPr>
        <w:t>ig til medlemsstaterne som institutionelle aktører, er den i overensstemmelse med chartret for grundlæggende rettigheder.</w:t>
      </w:r>
    </w:p>
    <w:p w:rsidR="00DE7E70" w:rsidRDefault="00B85DCD">
      <w:pPr>
        <w:pStyle w:val="ManualHeading1"/>
        <w:rPr>
          <w:noProof/>
        </w:rPr>
      </w:pPr>
      <w:r>
        <w:rPr>
          <w:noProof/>
        </w:rPr>
        <w:t>4.</w:t>
      </w:r>
      <w:r>
        <w:rPr>
          <w:noProof/>
        </w:rPr>
        <w:tab/>
        <w:t>VIRKNINGER FOR BUDGETTET</w:t>
      </w:r>
    </w:p>
    <w:p w:rsidR="00DE7E70" w:rsidRDefault="00B85DCD">
      <w:pPr>
        <w:pBdr>
          <w:top w:val="nil"/>
          <w:left w:val="nil"/>
          <w:bottom w:val="nil"/>
          <w:right w:val="nil"/>
          <w:between w:val="nil"/>
          <w:bar w:val="nil"/>
        </w:pBdr>
        <w:spacing w:before="0" w:after="240"/>
        <w:rPr>
          <w:rFonts w:eastAsia="Arial Unicode MS"/>
          <w:noProof/>
        </w:rPr>
      </w:pPr>
      <w:r>
        <w:rPr>
          <w:noProof/>
        </w:rPr>
        <w:t>De indirekte konsekvenser for medlemsstaternes budgetter vil afhænge af, hvilke nationale politikker og fo</w:t>
      </w:r>
      <w:r>
        <w:rPr>
          <w:noProof/>
        </w:rPr>
        <w:t>ranstaltninger de vælger til at gennemføre reduktionen af drivhusgasemissioner og andre afbødende foranstaltninger i de sektorer, der er omfattet af dette initiativ. Forslaget om at fastsætte nationale mål vil reducere omkostningerne for lavindkomstmedlems</w:t>
      </w:r>
      <w:r>
        <w:rPr>
          <w:noProof/>
        </w:rPr>
        <w:t xml:space="preserve">staterne i forhold til et forslag, der udelukkende fastsætter mål baseret på omkostningseffektivitet. Forslaget omfatter en forbedret fleksibilitet, der sikrer, at omkostningerne for højindkomstmedlemsstaterne vil forblive begrænset. </w:t>
      </w:r>
    </w:p>
    <w:p w:rsidR="00DE7E70" w:rsidRDefault="00B85DCD">
      <w:pPr>
        <w:pBdr>
          <w:top w:val="nil"/>
          <w:left w:val="nil"/>
          <w:bottom w:val="nil"/>
          <w:right w:val="nil"/>
          <w:between w:val="nil"/>
          <w:bar w:val="nil"/>
        </w:pBdr>
        <w:spacing w:before="0" w:after="240"/>
        <w:rPr>
          <w:rFonts w:eastAsia="Arial Unicode MS"/>
          <w:noProof/>
        </w:rPr>
      </w:pPr>
      <w:r>
        <w:rPr>
          <w:noProof/>
        </w:rPr>
        <w:t>Forslaget forudser fo</w:t>
      </w:r>
      <w:r>
        <w:rPr>
          <w:noProof/>
        </w:rPr>
        <w:t>rtsat årlig rapportering, men med færre kontroller af overholdelsen. Dette vil begrænse de administrative omkostninger for medlemsstaterne.</w:t>
      </w:r>
    </w:p>
    <w:p w:rsidR="00DE7E70" w:rsidRDefault="00B85DCD">
      <w:pPr>
        <w:pBdr>
          <w:top w:val="nil"/>
          <w:left w:val="nil"/>
          <w:bottom w:val="nil"/>
          <w:right w:val="nil"/>
          <w:between w:val="nil"/>
          <w:bar w:val="nil"/>
        </w:pBdr>
        <w:spacing w:before="0" w:after="240"/>
        <w:rPr>
          <w:rFonts w:eastAsia="Arial Unicode MS"/>
          <w:noProof/>
        </w:rPr>
      </w:pPr>
      <w:r>
        <w:rPr>
          <w:noProof/>
        </w:rPr>
        <w:t>Forslaget har kun yderst begrænsede konsekvenser for Den Europæiske Unions budget.</w:t>
      </w:r>
    </w:p>
    <w:p w:rsidR="00DE7E70" w:rsidRDefault="00B85DCD">
      <w:pPr>
        <w:pStyle w:val="ManualHeading1"/>
        <w:tabs>
          <w:tab w:val="left" w:pos="7853"/>
        </w:tabs>
        <w:rPr>
          <w:noProof/>
        </w:rPr>
      </w:pPr>
      <w:r>
        <w:rPr>
          <w:noProof/>
        </w:rPr>
        <w:t>5.</w:t>
      </w:r>
      <w:r>
        <w:rPr>
          <w:noProof/>
        </w:rPr>
        <w:tab/>
        <w:t>ANDRE FORHOLD</w:t>
      </w:r>
      <w:r>
        <w:rPr>
          <w:noProof/>
        </w:rPr>
        <w:tab/>
      </w:r>
    </w:p>
    <w:p w:rsidR="00DE7E70" w:rsidRDefault="00B85DCD">
      <w:pPr>
        <w:rPr>
          <w:b/>
          <w:noProof/>
        </w:rPr>
      </w:pPr>
      <w:r>
        <w:rPr>
          <w:b/>
          <w:noProof/>
        </w:rPr>
        <w:t>•</w:t>
      </w:r>
      <w:r>
        <w:rPr>
          <w:b/>
          <w:noProof/>
        </w:rPr>
        <w:tab/>
      </w:r>
      <w:r>
        <w:rPr>
          <w:b/>
          <w:noProof/>
        </w:rPr>
        <w:t xml:space="preserve">Planer for gennemførelsen og foranstaltninger til overvågning, evaluering og </w:t>
      </w:r>
      <w:r>
        <w:rPr>
          <w:b/>
          <w:noProof/>
        </w:rPr>
        <w:tab/>
        <w:t>rapportering</w:t>
      </w:r>
    </w:p>
    <w:p w:rsidR="00DE7E70" w:rsidRDefault="00B85DCD">
      <w:pPr>
        <w:pBdr>
          <w:top w:val="nil"/>
          <w:left w:val="nil"/>
          <w:bottom w:val="nil"/>
          <w:right w:val="nil"/>
          <w:between w:val="nil"/>
          <w:bar w:val="nil"/>
        </w:pBdr>
        <w:spacing w:before="0" w:after="240"/>
        <w:rPr>
          <w:noProof/>
        </w:rPr>
      </w:pPr>
      <w:r>
        <w:rPr>
          <w:noProof/>
        </w:rPr>
        <w:t>Gennemsigtig, regelmæssig rapportering af medlemsstaternes forpligtelser kombineret med solid overensstemmelseskontrol er grundlæggende elementer i sikringen af frem</w:t>
      </w:r>
      <w:r>
        <w:rPr>
          <w:noProof/>
        </w:rPr>
        <w:t>skridt i retning af opfyldelse af EU's emissionsreduktionsforpligtelser på lang sigt.</w:t>
      </w:r>
    </w:p>
    <w:p w:rsidR="00DE7E70" w:rsidRDefault="00B85DCD">
      <w:pPr>
        <w:pBdr>
          <w:top w:val="nil"/>
          <w:left w:val="nil"/>
          <w:bottom w:val="nil"/>
          <w:right w:val="nil"/>
          <w:between w:val="nil"/>
          <w:bar w:val="nil"/>
        </w:pBdr>
        <w:spacing w:before="0" w:after="240"/>
        <w:rPr>
          <w:noProof/>
        </w:rPr>
      </w:pPr>
      <w:r>
        <w:rPr>
          <w:noProof/>
        </w:rPr>
        <w:t>Overvågningen af fremskridt og overensstemmelsesvurderingen vil fortsat være afhængig af en omfattende overvågning, rapportering og verifikation, der er fastsat i forslag</w:t>
      </w:r>
      <w:r>
        <w:rPr>
          <w:noProof/>
        </w:rPr>
        <w:t>et som en ændring af de relevante artikler i MMR. En solid rapportering og evaluering, som det er fastsat under den nuværende ESD, vil blive bibeholdt i dette forslag med den ene forskel, at det nu fuldstændigt er integreret i de relevante bestemmelser i M</w:t>
      </w:r>
      <w:r>
        <w:rPr>
          <w:noProof/>
        </w:rPr>
        <w:t xml:space="preserve">MR. Det forventes at blive integreret i forvaltningen af energiunionen, som Kommissionen forventes at fremsætte forslag om ved udgangen af 2016 ifølge Kommissionens arbejdsprogram, og vil kunne tilpasses yderligere som led i dette forslag. </w:t>
      </w:r>
    </w:p>
    <w:p w:rsidR="00DE7E70" w:rsidRDefault="00B85DCD">
      <w:pPr>
        <w:pBdr>
          <w:top w:val="nil"/>
          <w:left w:val="nil"/>
          <w:bottom w:val="nil"/>
          <w:right w:val="nil"/>
          <w:between w:val="nil"/>
          <w:bar w:val="nil"/>
        </w:pBdr>
        <w:spacing w:before="0" w:after="240"/>
        <w:rPr>
          <w:noProof/>
        </w:rPr>
      </w:pPr>
      <w:r>
        <w:rPr>
          <w:noProof/>
        </w:rPr>
        <w:t>Ifølge forslage</w:t>
      </w:r>
      <w:r>
        <w:rPr>
          <w:noProof/>
        </w:rPr>
        <w:t>t skal en medlemsstat, hvis Kommissionens årlige evaluering viser, at dens fremskridt afviger fra dens årlige emissionstildelinger, indgive en handlingsplan for at sikre, at den opfylder sine forpligtelser. En sådan handlingsplan forventes at kunne tages i</w:t>
      </w:r>
      <w:r>
        <w:rPr>
          <w:noProof/>
        </w:rPr>
        <w:t xml:space="preserve"> betragtning i forbindelse med den pågældende medlemsstats nationale integrerede energi- og klimaplan og bliver en del af det forvaltningssystem, der skal fastlægges i det kommende lovgivningsforslag om forvaltningen af energiunionen. Medlemsstaterne forpl</w:t>
      </w:r>
      <w:r>
        <w:rPr>
          <w:noProof/>
        </w:rPr>
        <w:t>igtelse til at udarbejde sådanne nationale integrerede energi- og klimaplaner forventes at blive integreret i dette lovgivningsforslag.</w:t>
      </w:r>
    </w:p>
    <w:p w:rsidR="00DE7E70" w:rsidRDefault="00B85DCD">
      <w:pPr>
        <w:pBdr>
          <w:top w:val="nil"/>
          <w:left w:val="nil"/>
          <w:bottom w:val="nil"/>
          <w:right w:val="nil"/>
          <w:between w:val="nil"/>
          <w:bar w:val="nil"/>
        </w:pBdr>
        <w:spacing w:before="0" w:after="240"/>
        <w:rPr>
          <w:noProof/>
        </w:rPr>
      </w:pPr>
      <w:r>
        <w:rPr>
          <w:noProof/>
        </w:rPr>
        <w:t>Desuden skal de integrerede nationale energi- og klimaplaner i det kommende lovgivningsforslag om forvaltningen af energ</w:t>
      </w:r>
      <w:r>
        <w:rPr>
          <w:noProof/>
        </w:rPr>
        <w:t>iunionen henvise til de årlige bindende nationale grænseværdier i henhold til denne forordning.</w:t>
      </w:r>
    </w:p>
    <w:p w:rsidR="00DE7E70" w:rsidRDefault="00B85DCD">
      <w:pPr>
        <w:pBdr>
          <w:top w:val="nil"/>
          <w:left w:val="nil"/>
          <w:bottom w:val="nil"/>
          <w:right w:val="nil"/>
          <w:between w:val="nil"/>
          <w:bar w:val="nil"/>
        </w:pBdr>
        <w:spacing w:before="0" w:after="240"/>
        <w:rPr>
          <w:noProof/>
        </w:rPr>
      </w:pPr>
      <w:r>
        <w:rPr>
          <w:noProof/>
        </w:rPr>
        <w:t>Medlemsstaterne har fortsat en forpligtelse til at overholde de årlige grænseværdier og følge et lineært forløb for 2021-2030, selv om en omfattende revision af</w:t>
      </w:r>
      <w:r>
        <w:rPr>
          <w:noProof/>
        </w:rPr>
        <w:t xml:space="preserve"> medlemsstaternes drivhusgasemissioner og kontrol af den faktiske overholdelse vil blive foretaget hvert femte år i stedet for hvert år. </w:t>
      </w:r>
      <w:r>
        <w:rPr>
          <w:noProof/>
          <w:color w:val="000000" w:themeColor="text1"/>
        </w:rPr>
        <w:t>Kommissionen vil udføre to overensstemmelseskontroller, en i 2027 (for årene 2021-2025) og en i 2032 (for årene 2026-20</w:t>
      </w:r>
      <w:r>
        <w:rPr>
          <w:noProof/>
          <w:color w:val="000000" w:themeColor="text1"/>
        </w:rPr>
        <w:t xml:space="preserve">30). Dermed kan der tages højde for det potentielle bidrag fra aktiviteter vedrørende </w:t>
      </w:r>
      <w:r>
        <w:rPr>
          <w:noProof/>
        </w:rPr>
        <w:t>nyplantede arealer, forvaltede dyrkede arealer og forvaltede græsarealer</w:t>
      </w:r>
      <w:r>
        <w:rPr>
          <w:noProof/>
          <w:color w:val="000000" w:themeColor="text1"/>
        </w:rPr>
        <w:t xml:space="preserve">, der finder sted i henhold til forordning [   ]. </w:t>
      </w:r>
    </w:p>
    <w:p w:rsidR="00DE7E70" w:rsidRDefault="00B85DCD">
      <w:pPr>
        <w:rPr>
          <w:noProof/>
          <w:color w:val="000000" w:themeColor="text1"/>
        </w:rPr>
      </w:pPr>
      <w:r>
        <w:rPr>
          <w:noProof/>
          <w:color w:val="000000" w:themeColor="text1"/>
        </w:rPr>
        <w:t xml:space="preserve">For at sikre at vurderingen af overholdelsen er baseret på nøjagtige oplysninger, vil de årlige opgørelser over drivhusgasemissioner fra medlemsstaterne blive gennemgået af Kommissionen. </w:t>
      </w:r>
    </w:p>
    <w:p w:rsidR="00DE7E70" w:rsidRDefault="00B85DCD">
      <w:pPr>
        <w:pBdr>
          <w:top w:val="nil"/>
          <w:left w:val="nil"/>
          <w:bottom w:val="nil"/>
          <w:right w:val="nil"/>
          <w:between w:val="nil"/>
          <w:bar w:val="nil"/>
        </w:pBdr>
        <w:spacing w:before="0" w:after="240"/>
        <w:rPr>
          <w:noProof/>
          <w:color w:val="000000" w:themeColor="text1"/>
        </w:rPr>
      </w:pPr>
      <w:r>
        <w:rPr>
          <w:noProof/>
          <w:color w:val="000000" w:themeColor="text1"/>
        </w:rPr>
        <w:t>En gennemgang af denne forordnings virkemåde vil blive foretaget den</w:t>
      </w:r>
      <w:r>
        <w:rPr>
          <w:noProof/>
          <w:color w:val="000000" w:themeColor="text1"/>
        </w:rPr>
        <w:t xml:space="preserve"> 28. februar 2024 og derefter hvert femte år. </w:t>
      </w:r>
      <w:r>
        <w:rPr>
          <w:noProof/>
        </w:rPr>
        <w:t>Denne gennemgang vil vurdere, hvordan denne forordning fungerer generelt, bl.a. hvad angår fleksibiliteten til at overføre dele af de årlige emissionstildelinger mellem medlemsstaterne, som er vigtig for at sik</w:t>
      </w:r>
      <w:r>
        <w:rPr>
          <w:noProof/>
        </w:rPr>
        <w:t>re omkostningseffektivitet.</w:t>
      </w:r>
      <w:r>
        <w:rPr>
          <w:noProof/>
          <w:color w:val="000000" w:themeColor="text1"/>
        </w:rPr>
        <w:t xml:space="preserve"> Gennemgangen kan også tage hensyn til resultaterne af den globale statusopgørelse i henhold til Parisaftalen. </w:t>
      </w:r>
    </w:p>
    <w:p w:rsidR="00DE7E70" w:rsidRDefault="00B85DCD">
      <w:pPr>
        <w:pBdr>
          <w:top w:val="nil"/>
          <w:left w:val="nil"/>
          <w:bottom w:val="nil"/>
          <w:right w:val="nil"/>
          <w:between w:val="nil"/>
          <w:bar w:val="nil"/>
        </w:pBdr>
        <w:spacing w:before="0"/>
        <w:rPr>
          <w:noProof/>
          <w:color w:val="000000" w:themeColor="text1"/>
        </w:rPr>
      </w:pPr>
      <w:r>
        <w:rPr>
          <w:noProof/>
          <w:color w:val="000000" w:themeColor="text1"/>
        </w:rPr>
        <w:t xml:space="preserve">Ud over overensstemmelseskontrollerne med juridisk bindende virkninger vil fremskridtene med at nå 2030-målene blive </w:t>
      </w:r>
      <w:r>
        <w:rPr>
          <w:noProof/>
          <w:color w:val="000000" w:themeColor="text1"/>
        </w:rPr>
        <w:t>overvåget hvert år som led i den statusrapport, som offentliggøres af Kommissionen i henhold til artikel 21 i MMR, og resultaterne vil fortsat blive anvendt i forbindelse med det europæiske semester og blive integreret i statusrapporten om energiunionen</w:t>
      </w:r>
      <w:r>
        <w:rPr>
          <w:rStyle w:val="FootnoteReference"/>
          <w:noProof/>
        </w:rPr>
        <w:footnoteReference w:id="12"/>
      </w:r>
      <w:r>
        <w:rPr>
          <w:noProof/>
          <w:color w:val="000000" w:themeColor="text1"/>
        </w:rPr>
        <w:t xml:space="preserve">. </w:t>
      </w:r>
      <w:r>
        <w:rPr>
          <w:noProof/>
        </w:rPr>
        <w:t>Ved at overvåge fremskridtet bliver det muligt tidligt at kunne advare medlemsstater, der er bagud i opfyldelsen af deres forpligtelser, og tilskynde til at tage de nødvendige skridt.</w:t>
      </w:r>
      <w:r>
        <w:rPr>
          <w:noProof/>
          <w:color w:val="000000" w:themeColor="text1"/>
        </w:rPr>
        <w:t xml:space="preserve"> Eksisterende krav til medlemsstaterne om hvert andet år at underrette om</w:t>
      </w:r>
      <w:r>
        <w:rPr>
          <w:noProof/>
          <w:color w:val="000000" w:themeColor="text1"/>
        </w:rPr>
        <w:t xml:space="preserve"> de politikker og foranstaltninger, der er gennemført for at opfylde deres forpligtelser og mål under dette forslag, samt om deres emissionsfremskrivninger vil blive bibeholdt.</w:t>
      </w:r>
    </w:p>
    <w:p w:rsidR="00DE7E70" w:rsidRDefault="00B85DCD">
      <w:pPr>
        <w:pStyle w:val="ManualHeading2"/>
        <w:rPr>
          <w:rFonts w:eastAsia="Arial Unicode MS"/>
          <w:noProof/>
          <w:u w:color="000000"/>
          <w:bdr w:val="nil"/>
        </w:rPr>
      </w:pPr>
      <w:r>
        <w:rPr>
          <w:b w:val="0"/>
          <w:noProof/>
        </w:rPr>
        <w:t>•</w:t>
      </w:r>
      <w:r>
        <w:rPr>
          <w:b w:val="0"/>
          <w:noProof/>
        </w:rPr>
        <w:tab/>
      </w:r>
      <w:r>
        <w:rPr>
          <w:noProof/>
          <w:u w:color="000000"/>
          <w:bdr w:val="nil"/>
        </w:rPr>
        <w:t>Detaljeret redegørelse for forslagets bestemmelser</w:t>
      </w:r>
    </w:p>
    <w:p w:rsidR="00DE7E70" w:rsidRDefault="00B85DCD">
      <w:pPr>
        <w:spacing w:after="0"/>
        <w:rPr>
          <w:b/>
          <w:noProof/>
        </w:rPr>
      </w:pPr>
      <w:r>
        <w:rPr>
          <w:b/>
          <w:noProof/>
        </w:rPr>
        <w:t>Artikel 1 – Genstand</w:t>
      </w:r>
    </w:p>
    <w:p w:rsidR="00DE7E70" w:rsidRDefault="00B85DCD">
      <w:pPr>
        <w:spacing w:after="0"/>
        <w:rPr>
          <w:noProof/>
        </w:rPr>
      </w:pPr>
      <w:r>
        <w:rPr>
          <w:noProof/>
        </w:rPr>
        <w:t>Ifølg</w:t>
      </w:r>
      <w:r>
        <w:rPr>
          <w:noProof/>
        </w:rPr>
        <w:t>e denne artikel fastsætter forordningen medlemsstaternes minimumsbidrag til emissionsreduktioner i perioden 2021-2030 og reglerne for fastsættelse af de årlige emissioner og for evaluering af fremskridt.</w:t>
      </w:r>
    </w:p>
    <w:p w:rsidR="00DE7E70" w:rsidRDefault="00B85DCD">
      <w:pPr>
        <w:spacing w:after="0"/>
        <w:rPr>
          <w:b/>
          <w:noProof/>
        </w:rPr>
      </w:pPr>
      <w:r>
        <w:rPr>
          <w:b/>
          <w:noProof/>
        </w:rPr>
        <w:t>Artikel 2 – Anvendelsesområde</w:t>
      </w:r>
    </w:p>
    <w:p w:rsidR="00DE7E70" w:rsidRDefault="00B85DCD">
      <w:pPr>
        <w:rPr>
          <w:noProof/>
        </w:rPr>
      </w:pPr>
      <w:r>
        <w:rPr>
          <w:noProof/>
        </w:rPr>
        <w:t>Artiklen fastlægger an</w:t>
      </w:r>
      <w:r>
        <w:rPr>
          <w:noProof/>
        </w:rPr>
        <w:t>vendelsesområdet for forordningen. Den fastsætter, at forordningen omfatter emissionerne fra IPCC-kildekategorierne energi, industriprocesser og produktanvendelse, landbrug og affald. Emissionerne fra de sektorer, der er omfattet af EU ETS og af forordning</w:t>
      </w:r>
      <w:r>
        <w:rPr>
          <w:noProof/>
        </w:rPr>
        <w:t xml:space="preserve"> [   ], er ikke omhandlet i denne forordning. </w:t>
      </w:r>
    </w:p>
    <w:p w:rsidR="00DE7E70" w:rsidRDefault="00B85DCD">
      <w:pPr>
        <w:rPr>
          <w:noProof/>
          <w:highlight w:val="yellow"/>
        </w:rPr>
      </w:pPr>
      <w:r>
        <w:rPr>
          <w:b/>
          <w:noProof/>
        </w:rPr>
        <w:t>Artikel 3 –</w:t>
      </w:r>
      <w:r>
        <w:rPr>
          <w:noProof/>
        </w:rPr>
        <w:t xml:space="preserve"> </w:t>
      </w:r>
      <w:r>
        <w:rPr>
          <w:b/>
          <w:noProof/>
        </w:rPr>
        <w:t>Definitioner</w:t>
      </w:r>
    </w:p>
    <w:p w:rsidR="00DE7E70" w:rsidRDefault="00B85DCD">
      <w:pPr>
        <w:rPr>
          <w:noProof/>
        </w:rPr>
      </w:pPr>
      <w:r>
        <w:rPr>
          <w:noProof/>
        </w:rPr>
        <w:t>Artiklen definerer begrebet drivhusgasser ved at beskrive de drivhusgasser, der er omfattet heraf.</w:t>
      </w:r>
    </w:p>
    <w:p w:rsidR="00DE7E70" w:rsidRDefault="00B85DCD">
      <w:pPr>
        <w:spacing w:after="0"/>
        <w:rPr>
          <w:b/>
          <w:noProof/>
        </w:rPr>
      </w:pPr>
      <w:r>
        <w:rPr>
          <w:b/>
          <w:noProof/>
        </w:rPr>
        <w:t>Artikel 4 – Årlige emissionsniveauer for perioden fra 2021 til 2030</w:t>
      </w:r>
    </w:p>
    <w:p w:rsidR="00DE7E70" w:rsidRDefault="00B85DCD">
      <w:pPr>
        <w:rPr>
          <w:noProof/>
          <w:color w:val="000000" w:themeColor="text1"/>
        </w:rPr>
      </w:pPr>
      <w:r>
        <w:rPr>
          <w:noProof/>
          <w:color w:val="000000" w:themeColor="text1"/>
        </w:rPr>
        <w:t xml:space="preserve">Denne artikel </w:t>
      </w:r>
      <w:r>
        <w:rPr>
          <w:noProof/>
          <w:color w:val="000000" w:themeColor="text1"/>
        </w:rPr>
        <w:t>fastsætter medlemsstaternes emissionsgrænser i 2030 som fastsat i bilag I og beregningsmetoden for emissionsniveauerne i 2021-2030. Tilgangen med årligt bindende emissionsgrænser som fastsat i ESD fortsættes. Fastsættelsen af de årlige emissionsniveauer er</w:t>
      </w:r>
      <w:r>
        <w:rPr>
          <w:noProof/>
          <w:color w:val="000000" w:themeColor="text1"/>
        </w:rPr>
        <w:t xml:space="preserve"> baseret på et lineært forløb, begyndende med de gennemsnitlige emissioner for 2016-2018 på basis af de senest modtagne oplysninger om drivhusgasemissionerne. De årlige emissionstildelinger i CO</w:t>
      </w:r>
      <w:r>
        <w:rPr>
          <w:noProof/>
          <w:color w:val="000000" w:themeColor="text1"/>
          <w:vertAlign w:val="subscript"/>
        </w:rPr>
        <w:t>2</w:t>
      </w:r>
      <w:r>
        <w:rPr>
          <w:noProof/>
          <w:color w:val="000000" w:themeColor="text1"/>
        </w:rPr>
        <w:t>-ækvivalenter for hver medlemsstat for hvert år i perioden vi</w:t>
      </w:r>
      <w:r>
        <w:rPr>
          <w:noProof/>
          <w:color w:val="000000" w:themeColor="text1"/>
        </w:rPr>
        <w:t xml:space="preserve">l blive fastlagt i en gennemførelsesretsakt. </w:t>
      </w:r>
    </w:p>
    <w:p w:rsidR="00DE7E70" w:rsidRDefault="00B85DCD">
      <w:pPr>
        <w:rPr>
          <w:b/>
          <w:noProof/>
        </w:rPr>
      </w:pPr>
      <w:r>
        <w:rPr>
          <w:b/>
          <w:noProof/>
        </w:rPr>
        <w:t>Artikel 5 - Fleksibilitetsinstrumenter for at overholde de årlige grænseværdier</w:t>
      </w:r>
    </w:p>
    <w:p w:rsidR="00DE7E70" w:rsidRDefault="00B85DCD">
      <w:pPr>
        <w:rPr>
          <w:noProof/>
        </w:rPr>
      </w:pPr>
      <w:r>
        <w:rPr>
          <w:noProof/>
        </w:rPr>
        <w:t>Denne artikel beskriver, hvilken fleksibilitet der er tilgængelig for de enkle medlemsstater, for at disse kan nå deres årlige mål</w:t>
      </w:r>
      <w:r>
        <w:rPr>
          <w:noProof/>
        </w:rPr>
        <w:t>, herunder muligheden for over tid at opspare og låne emissionstildelinger inden for den definerede periode og fleksibiliteten mellem medlemsstaterne gennem overførsel af emissionstildelinger.</w:t>
      </w:r>
    </w:p>
    <w:p w:rsidR="00DE7E70" w:rsidRDefault="00B85DCD">
      <w:pPr>
        <w:jc w:val="left"/>
        <w:rPr>
          <w:b/>
          <w:strike/>
          <w:noProof/>
        </w:rPr>
      </w:pPr>
      <w:r>
        <w:rPr>
          <w:b/>
          <w:noProof/>
        </w:rPr>
        <w:t xml:space="preserve">Artikel 6 - Fleksibilitet for visse medlemsstater som følge af </w:t>
      </w:r>
      <w:r>
        <w:rPr>
          <w:b/>
          <w:noProof/>
        </w:rPr>
        <w:t>reduktion af EU ETS-kvoter</w:t>
      </w:r>
    </w:p>
    <w:p w:rsidR="00DE7E70" w:rsidRDefault="00B85DCD">
      <w:pPr>
        <w:rPr>
          <w:noProof/>
        </w:rPr>
      </w:pPr>
      <w:r>
        <w:rPr>
          <w:noProof/>
          <w:color w:val="000000" w:themeColor="text1"/>
        </w:rPr>
        <w:t>En ny fleksibilitet er blevet etableret gennem annullering af ETS-kvoter op til en fastsat grænse.</w:t>
      </w:r>
      <w:r>
        <w:rPr>
          <w:noProof/>
          <w:color w:val="000000" w:themeColor="text1"/>
          <w:szCs w:val="24"/>
        </w:rPr>
        <w:t xml:space="preserve"> Kvalificerede medlemsstater skal før 2020 beslutte, om de ønsker at bruge denne fleksibilitet, og en præcis mængde vil blive beste</w:t>
      </w:r>
      <w:r>
        <w:rPr>
          <w:noProof/>
          <w:color w:val="000000" w:themeColor="text1"/>
          <w:szCs w:val="24"/>
        </w:rPr>
        <w:t xml:space="preserve">mt i gennemførelsesretsakten om fastsættelse af de årlige emissionstildelinger. Fleksibiliteten er til rådighed for de medlemsstater, der er anført i bilag II. </w:t>
      </w:r>
      <w:r>
        <w:rPr>
          <w:noProof/>
          <w:color w:val="000000" w:themeColor="text1"/>
        </w:rPr>
        <w:t xml:space="preserve">Gennemførelsesretsakten beskrevet i artikel 4 vil også fastsætte den maksimale kvotemængde, som </w:t>
      </w:r>
      <w:r>
        <w:rPr>
          <w:noProof/>
          <w:color w:val="000000" w:themeColor="text1"/>
        </w:rPr>
        <w:t>en medlemsstat kan vælge at annullere for at få den taget i betragtning i forbindelse med sin overholdelse af grænseværdierne.</w:t>
      </w:r>
    </w:p>
    <w:p w:rsidR="00DE7E70" w:rsidRDefault="00B85DCD">
      <w:pPr>
        <w:pStyle w:val="NormalCentered"/>
        <w:jc w:val="left"/>
        <w:rPr>
          <w:b/>
          <w:noProof/>
        </w:rPr>
      </w:pPr>
      <w:r>
        <w:rPr>
          <w:b/>
          <w:noProof/>
        </w:rPr>
        <w:t xml:space="preserve">Artikel 7 - Yderligere anvendelse af op til 280 millioner nettooptag fra ryddede arealer, nyplantede arealer, forvaltede dyrkede </w:t>
      </w:r>
      <w:r>
        <w:rPr>
          <w:b/>
          <w:noProof/>
        </w:rPr>
        <w:t>arealer og forvaltede græsarealer.</w:t>
      </w:r>
    </w:p>
    <w:p w:rsidR="00DE7E70" w:rsidRDefault="00B85DCD">
      <w:pPr>
        <w:rPr>
          <w:noProof/>
        </w:rPr>
      </w:pPr>
      <w:r>
        <w:rPr>
          <w:noProof/>
          <w:color w:val="000000" w:themeColor="text1"/>
        </w:rPr>
        <w:t>Der indføres en ny fleksibilitet, der tillader medlemsstaterne, i det omfang de har brug for det, at anvende en begrænset mængde nettooptag fra forordning [  ] på visse betingelser. Grænseværdierne for hver medlemsstat, i</w:t>
      </w:r>
      <w:r>
        <w:rPr>
          <w:noProof/>
          <w:color w:val="000000" w:themeColor="text1"/>
        </w:rPr>
        <w:t xml:space="preserve"> CO</w:t>
      </w:r>
      <w:r>
        <w:rPr>
          <w:noProof/>
          <w:color w:val="000000" w:themeColor="text1"/>
          <w:vertAlign w:val="subscript"/>
        </w:rPr>
        <w:t>2</w:t>
      </w:r>
      <w:r>
        <w:rPr>
          <w:noProof/>
          <w:color w:val="000000" w:themeColor="text1"/>
        </w:rPr>
        <w:t>, er opført i bilag III.</w:t>
      </w:r>
    </w:p>
    <w:p w:rsidR="00DE7E70" w:rsidRDefault="00B85DCD">
      <w:pPr>
        <w:rPr>
          <w:b/>
          <w:noProof/>
        </w:rPr>
      </w:pPr>
      <w:r>
        <w:rPr>
          <w:b/>
          <w:noProof/>
        </w:rPr>
        <w:t>Artikel 8 - Korrigerende foranstaltninger</w:t>
      </w:r>
    </w:p>
    <w:p w:rsidR="00DE7E70" w:rsidRDefault="00B85DCD">
      <w:pPr>
        <w:rPr>
          <w:noProof/>
        </w:rPr>
      </w:pPr>
      <w:r>
        <w:rPr>
          <w:noProof/>
        </w:rPr>
        <w:t>Hvis Kommissionens årlige evaluering viser, at en medlemsstats fremskridt afviger fra dens årlige tildeling, skal denne medlemsstat udarbejde en handlingsplan med yderligere foranstaltninger, der skal gennemføres for at sikre, at den kan overholde sine for</w:t>
      </w:r>
      <w:r>
        <w:rPr>
          <w:noProof/>
        </w:rPr>
        <w:t xml:space="preserve">pligtelser. </w:t>
      </w:r>
    </w:p>
    <w:p w:rsidR="00DE7E70" w:rsidRDefault="00B85DCD">
      <w:pPr>
        <w:rPr>
          <w:b/>
          <w:noProof/>
        </w:rPr>
      </w:pPr>
      <w:r>
        <w:rPr>
          <w:b/>
          <w:noProof/>
        </w:rPr>
        <w:t>Artikel 9 - Kontrol af overholdelsen</w:t>
      </w:r>
    </w:p>
    <w:p w:rsidR="00DE7E70" w:rsidRDefault="00B85DCD">
      <w:pPr>
        <w:rPr>
          <w:noProof/>
        </w:rPr>
      </w:pPr>
      <w:r>
        <w:rPr>
          <w:noProof/>
        </w:rPr>
        <w:t>De bestemmelser om overensstemmelseskontrol og korrigerende foranstaltninger, der er fastsat i ESD, videreføres, med den ændring at der kun hvert femte år vil blive foretaget en overensstemmelseskontrol for</w:t>
      </w:r>
      <w:r>
        <w:rPr>
          <w:noProof/>
        </w:rPr>
        <w:t xml:space="preserve"> hvert af de tidligere år af perioden. Hvis det viser sig, at en medlemsstat ikke overholder sin årlige emissionstildeling for et givet år i perioden, vil der blive indført korrigerende foranstaltninger i form af en tilføjelse til næste års emissioner af e</w:t>
      </w:r>
      <w:r>
        <w:rPr>
          <w:noProof/>
        </w:rPr>
        <w:t>n mængde svarende til mængden i ton CO</w:t>
      </w:r>
      <w:r>
        <w:rPr>
          <w:noProof/>
          <w:vertAlign w:val="subscript"/>
        </w:rPr>
        <w:t>2</w:t>
      </w:r>
      <w:r>
        <w:rPr>
          <w:noProof/>
        </w:rPr>
        <w:t>-ækvivalenter af de overskydende emissioner ganget med en faktor på 1,08. Retten til at overføre emissionstildelinger vil være suspenderet, indtil medlemsstaten igen overholder aftalen.</w:t>
      </w:r>
    </w:p>
    <w:p w:rsidR="00DE7E70" w:rsidRDefault="00B85DCD">
      <w:pPr>
        <w:pStyle w:val="NormalCentered"/>
        <w:jc w:val="left"/>
        <w:rPr>
          <w:b/>
          <w:noProof/>
        </w:rPr>
      </w:pPr>
      <w:r>
        <w:rPr>
          <w:b/>
          <w:noProof/>
        </w:rPr>
        <w:t xml:space="preserve">Artikel 10 - Justeringer </w:t>
      </w:r>
    </w:p>
    <w:p w:rsidR="00DE7E70" w:rsidRDefault="00B85DCD">
      <w:pPr>
        <w:rPr>
          <w:noProof/>
        </w:rPr>
      </w:pPr>
      <w:r>
        <w:rPr>
          <w:noProof/>
        </w:rPr>
        <w:t>For a</w:t>
      </w:r>
      <w:r>
        <w:rPr>
          <w:noProof/>
        </w:rPr>
        <w:t xml:space="preserve">t sikre overensstemmelse med EU's samlede emissionsmål for 2030 vil eventuelle ændringer i anvendelsesområdet for EU ETS (for eksempel ved en ændring af antallet af anlæg eller kilder, der er omfattet af EU ETS) blive modsvaret af en tilsvarende justering </w:t>
      </w:r>
      <w:r>
        <w:rPr>
          <w:noProof/>
        </w:rPr>
        <w:t xml:space="preserve">af denne forordning. Artiklen bygger på den bestemmelse, der er fastsat i ESD om, hvordan sådanne justeringer skal foretages. Der forudses også anvendelse af kreditter, der er optjent i henhold til artikel 24a i EU ETS, samtidig med at fleksibiliteten fra </w:t>
      </w:r>
      <w:r>
        <w:rPr>
          <w:noProof/>
        </w:rPr>
        <w:t>ESD bibeholdes. Der tages også højde for den særlige situation for medlemsstater med et positivt loft i ESD og stigende emissionstildelinger mellem 2017 og 2020.</w:t>
      </w:r>
    </w:p>
    <w:p w:rsidR="00DE7E70" w:rsidRDefault="00B85DCD">
      <w:pPr>
        <w:rPr>
          <w:b/>
          <w:noProof/>
        </w:rPr>
      </w:pPr>
      <w:r>
        <w:rPr>
          <w:b/>
          <w:noProof/>
        </w:rPr>
        <w:t>Artikel 11– Register</w:t>
      </w:r>
    </w:p>
    <w:p w:rsidR="00DE7E70" w:rsidRDefault="00B85DCD">
      <w:pPr>
        <w:rPr>
          <w:noProof/>
        </w:rPr>
      </w:pPr>
      <w:r>
        <w:rPr>
          <w:noProof/>
        </w:rPr>
        <w:t>Artiklen viderefører den nuværende gennemførelse af ESD i henhold til reg</w:t>
      </w:r>
      <w:r>
        <w:rPr>
          <w:noProof/>
        </w:rPr>
        <w:t>isterforordningen og tilpasser den til denne forordning. Dette er nødvendigt for at sikre en korrekt bogføring af transaktioner i henhold til denne forordning og undgå dobbelttælling.</w:t>
      </w:r>
    </w:p>
    <w:p w:rsidR="00DE7E70" w:rsidRDefault="00B85DCD">
      <w:pPr>
        <w:rPr>
          <w:b/>
          <w:noProof/>
        </w:rPr>
      </w:pPr>
      <w:r>
        <w:rPr>
          <w:b/>
          <w:noProof/>
        </w:rPr>
        <w:t>Artikel 12 – Udøvelse af de delegerede beføjelser</w:t>
      </w:r>
    </w:p>
    <w:p w:rsidR="00DE7E70" w:rsidRDefault="00B85DCD">
      <w:pPr>
        <w:rPr>
          <w:noProof/>
        </w:rPr>
      </w:pPr>
      <w:r>
        <w:rPr>
          <w:noProof/>
          <w:color w:val="000000" w:themeColor="text1"/>
          <w:szCs w:val="24"/>
        </w:rPr>
        <w:t>Forslaget giver Kommis</w:t>
      </w:r>
      <w:r>
        <w:rPr>
          <w:noProof/>
          <w:color w:val="000000" w:themeColor="text1"/>
          <w:szCs w:val="24"/>
        </w:rPr>
        <w:t>sionen beføjelse til at vedtage delegerede retsakter i henhold til de relevante procedurer.</w:t>
      </w:r>
    </w:p>
    <w:p w:rsidR="00DE7E70" w:rsidRDefault="00B85DCD">
      <w:pPr>
        <w:rPr>
          <w:b/>
          <w:noProof/>
        </w:rPr>
      </w:pPr>
      <w:r>
        <w:rPr>
          <w:b/>
          <w:noProof/>
        </w:rPr>
        <w:t>Artikel 13 – Udvalgsprocedure</w:t>
      </w:r>
    </w:p>
    <w:p w:rsidR="00DE7E70" w:rsidRDefault="00B85DCD">
      <w:pPr>
        <w:rPr>
          <w:noProof/>
        </w:rPr>
      </w:pPr>
      <w:r>
        <w:rPr>
          <w:noProof/>
        </w:rPr>
        <w:t xml:space="preserve">Det er den samme udvalgsprocedure som fastsat for ESD ved hjælp af Udvalget for Klimaændringer. </w:t>
      </w:r>
    </w:p>
    <w:p w:rsidR="00DE7E70" w:rsidRDefault="00B85DCD">
      <w:pPr>
        <w:rPr>
          <w:b/>
          <w:noProof/>
        </w:rPr>
      </w:pPr>
      <w:r>
        <w:rPr>
          <w:b/>
          <w:noProof/>
        </w:rPr>
        <w:t>Artikel 14 – Revision</w:t>
      </w:r>
    </w:p>
    <w:p w:rsidR="00DE7E70" w:rsidRDefault="00B85DCD">
      <w:pPr>
        <w:rPr>
          <w:noProof/>
          <w:color w:val="000000" w:themeColor="text1"/>
        </w:rPr>
      </w:pPr>
      <w:r>
        <w:rPr>
          <w:noProof/>
          <w:color w:val="000000" w:themeColor="text1"/>
        </w:rPr>
        <w:t>En gennemgang a</w:t>
      </w:r>
      <w:r>
        <w:rPr>
          <w:noProof/>
          <w:color w:val="000000" w:themeColor="text1"/>
        </w:rPr>
        <w:t xml:space="preserve">f alle elementer i forordningen for at kunne afgøre, om de fortsat er egnede til formålet, skal udføres i 2024 og derefter hvert femte år. </w:t>
      </w:r>
    </w:p>
    <w:p w:rsidR="00DE7E70" w:rsidRDefault="00B85DCD">
      <w:pPr>
        <w:rPr>
          <w:b/>
          <w:noProof/>
          <w:color w:val="000000" w:themeColor="text1"/>
        </w:rPr>
      </w:pPr>
      <w:r>
        <w:rPr>
          <w:b/>
          <w:noProof/>
          <w:color w:val="000000" w:themeColor="text1"/>
        </w:rPr>
        <w:t>Artikel 15 - Ændring af forordning nr. 525/2013/EU</w:t>
      </w:r>
    </w:p>
    <w:p w:rsidR="00DE7E70" w:rsidRDefault="00B85DCD">
      <w:pPr>
        <w:rPr>
          <w:noProof/>
        </w:rPr>
      </w:pPr>
      <w:r>
        <w:rPr>
          <w:noProof/>
        </w:rPr>
        <w:t>MMR bliver ændret for at sikre, at de rapporteringskrav, der i øj</w:t>
      </w:r>
      <w:r>
        <w:rPr>
          <w:noProof/>
        </w:rPr>
        <w:t>eblikket gælder for EDS, fortsættes inden for rammerne af denne forordning. Medlemsstaterne skal hvert år indberette deres relevante drivhusgasemissioner, og de vil fortsat være forpligtet til at rapportere hvert andet år om deres fremskrivninger og politi</w:t>
      </w:r>
      <w:r>
        <w:rPr>
          <w:noProof/>
        </w:rPr>
        <w:t>kker og foranstaltninger til sikring af overholdelse af deres mål. For at øge gennemsigtigheden og lette overførsler mellem medlemsstaterne er disse også forpligtet til at rapportere om de mængder, som de agter at købe eller sælge i overensstemmelse med ar</w:t>
      </w:r>
      <w:r>
        <w:rPr>
          <w:noProof/>
        </w:rPr>
        <w:t>tikel 5.</w:t>
      </w:r>
    </w:p>
    <w:p w:rsidR="00DE7E70" w:rsidRDefault="00B85DCD">
      <w:pPr>
        <w:rPr>
          <w:noProof/>
        </w:rPr>
      </w:pPr>
      <w:r>
        <w:rPr>
          <w:noProof/>
        </w:rPr>
        <w:t>Kommissionen vil overvåge medlemsstaternes fremskridt med deres emissionsgrænser ved i den årlige statusrapport om klimaindsatsen at foretage en evaluering af, om de fremskridt, som medlemsstaterne har gjort, er tilstrækkelige til at opfylde deres</w:t>
      </w:r>
      <w:r>
        <w:rPr>
          <w:noProof/>
        </w:rPr>
        <w:t xml:space="preserve"> forpligtelser i henhold til denne forordning.</w:t>
      </w:r>
    </w:p>
    <w:p w:rsidR="00DE7E70" w:rsidRDefault="00DE7E70">
      <w:pPr>
        <w:rPr>
          <w:noProof/>
          <w:color w:val="000000" w:themeColor="text1"/>
        </w:rPr>
      </w:pPr>
    </w:p>
    <w:p w:rsidR="00DE7E70" w:rsidRDefault="00DE7E70">
      <w:pPr>
        <w:rPr>
          <w:noProof/>
        </w:rPr>
        <w:sectPr w:rsidR="00DE7E70" w:rsidSect="00B85DCD">
          <w:footerReference w:type="default" r:id="rId16"/>
          <w:footerReference w:type="first" r:id="rId17"/>
          <w:pgSz w:w="11907" w:h="16839"/>
          <w:pgMar w:top="1134" w:right="1417" w:bottom="1134" w:left="1417" w:header="709" w:footer="709" w:gutter="0"/>
          <w:cols w:space="708"/>
          <w:docGrid w:linePitch="360"/>
        </w:sectPr>
      </w:pPr>
    </w:p>
    <w:p w:rsidR="00DE7E70" w:rsidRDefault="00B85DCD" w:rsidP="00B85DCD">
      <w:pPr>
        <w:pStyle w:val="Rfrenceinterinstitutionnelle"/>
        <w:rPr>
          <w:noProof/>
        </w:rPr>
      </w:pPr>
      <w:r w:rsidRPr="00B85DCD">
        <w:t>2016/0231 (COD)</w:t>
      </w:r>
    </w:p>
    <w:p w:rsidR="00DE7E70" w:rsidRDefault="00B85DCD" w:rsidP="00B85DCD">
      <w:pPr>
        <w:pStyle w:val="Statut"/>
        <w:rPr>
          <w:noProof/>
        </w:rPr>
      </w:pPr>
      <w:r w:rsidRPr="00B85DCD">
        <w:t>Forslag til</w:t>
      </w:r>
    </w:p>
    <w:p w:rsidR="00DE7E70" w:rsidRDefault="00B85DCD" w:rsidP="00B85DCD">
      <w:pPr>
        <w:pStyle w:val="Typedudocument"/>
      </w:pPr>
      <w:r w:rsidRPr="00B85DCD">
        <w:t>EUROPA-PARLAMENTETS OG RÅDETS FORORDNING</w:t>
      </w:r>
    </w:p>
    <w:p w:rsidR="00DE7E70" w:rsidRDefault="00B85DCD" w:rsidP="00B85DCD">
      <w:pPr>
        <w:pStyle w:val="Titreobjet"/>
      </w:pPr>
      <w:r w:rsidRPr="00B85DCD">
        <w:t>om bindende årlige reduktioner af drivhusgasemissionerne fra medlemsstaterne fra 2021 til 2030 for en modstandsdygtig energiunion og for at opfylde forpligtelserne i henhold til Parisaftalen og om ændring af Europa-Parlamentets og Rådets forordning nr. 525/2013 om en mekanisme til overvågning og rapportering af drivhusgasemissioner og rapportering af andre oplysninger vedrørende klimaændringer</w:t>
      </w:r>
    </w:p>
    <w:p w:rsidR="00DE7E70" w:rsidRDefault="00B85DCD" w:rsidP="00B85DCD">
      <w:pPr>
        <w:pStyle w:val="IntrtEEE"/>
        <w:rPr>
          <w:noProof/>
        </w:rPr>
      </w:pPr>
      <w:r w:rsidRPr="00B85DCD">
        <w:t>(EØS-relevant tekst)</w:t>
      </w:r>
    </w:p>
    <w:p w:rsidR="00DE7E70" w:rsidRDefault="00B85DCD">
      <w:pPr>
        <w:pStyle w:val="Institutionquiagit"/>
        <w:rPr>
          <w:noProof/>
        </w:rPr>
      </w:pPr>
      <w:r>
        <w:rPr>
          <w:noProof/>
        </w:rPr>
        <w:t>EUROPA-PARLAMENTET OG RÅDET FOR DEN EUROPÆISKE UNION HAR –</w:t>
      </w:r>
    </w:p>
    <w:p w:rsidR="00DE7E70" w:rsidRDefault="00B85DCD">
      <w:pPr>
        <w:rPr>
          <w:noProof/>
        </w:rPr>
      </w:pPr>
      <w:r>
        <w:rPr>
          <w:noProof/>
        </w:rPr>
        <w:t>under henvisning til traktaten om Den Europæiske Unions funktionsmåd</w:t>
      </w:r>
      <w:r>
        <w:rPr>
          <w:noProof/>
        </w:rPr>
        <w:t xml:space="preserve">e, særlig artikel 192, stk. 1, </w:t>
      </w:r>
    </w:p>
    <w:p w:rsidR="00DE7E70" w:rsidRDefault="00B85DCD">
      <w:pPr>
        <w:rPr>
          <w:noProof/>
        </w:rPr>
      </w:pPr>
      <w:r>
        <w:rPr>
          <w:noProof/>
        </w:rPr>
        <w:t>under henvisning til forslag fra Europa-Kommissionen</w:t>
      </w:r>
      <w:r>
        <w:rPr>
          <w:rStyle w:val="FootnoteReference"/>
          <w:noProof/>
        </w:rPr>
        <w:footnoteReference w:id="13"/>
      </w:r>
      <w:r>
        <w:rPr>
          <w:noProof/>
        </w:rPr>
        <w:t>,</w:t>
      </w:r>
    </w:p>
    <w:p w:rsidR="00DE7E70" w:rsidRDefault="00B85DCD">
      <w:pPr>
        <w:rPr>
          <w:noProof/>
        </w:rPr>
      </w:pPr>
      <w:r>
        <w:rPr>
          <w:noProof/>
        </w:rPr>
        <w:t>efter fremsendelse af udkast til lovgivningsmæssig retsakt til de nationale parlamenter,</w:t>
      </w:r>
    </w:p>
    <w:p w:rsidR="00DE7E70" w:rsidRDefault="00B85DCD">
      <w:pPr>
        <w:rPr>
          <w:noProof/>
        </w:rPr>
      </w:pPr>
      <w:r>
        <w:rPr>
          <w:noProof/>
        </w:rPr>
        <w:t>under henvisning til udtalelse fra Det Europæiske Økonomiske og Sociale Udvalg</w:t>
      </w:r>
      <w:r>
        <w:rPr>
          <w:rStyle w:val="FootnoteReference"/>
          <w:noProof/>
        </w:rPr>
        <w:footnoteReference w:id="14"/>
      </w:r>
      <w:r>
        <w:rPr>
          <w:noProof/>
        </w:rPr>
        <w:t>,</w:t>
      </w:r>
    </w:p>
    <w:p w:rsidR="00DE7E70" w:rsidRDefault="00B85DCD">
      <w:pPr>
        <w:rPr>
          <w:noProof/>
        </w:rPr>
      </w:pPr>
      <w:r>
        <w:rPr>
          <w:noProof/>
        </w:rPr>
        <w:t>under henvisning til udtalelse fra Regionsudvalget</w:t>
      </w:r>
      <w:r>
        <w:rPr>
          <w:rStyle w:val="FootnoteReference"/>
          <w:noProof/>
        </w:rPr>
        <w:footnoteReference w:id="15"/>
      </w:r>
      <w:r>
        <w:rPr>
          <w:noProof/>
        </w:rPr>
        <w:t xml:space="preserve">, </w:t>
      </w:r>
    </w:p>
    <w:p w:rsidR="00DE7E70" w:rsidRDefault="00B85DCD">
      <w:pPr>
        <w:rPr>
          <w:noProof/>
        </w:rPr>
      </w:pPr>
      <w:r>
        <w:rPr>
          <w:noProof/>
        </w:rPr>
        <w:t>efter den almindelige lovgivningsprocedure, og</w:t>
      </w:r>
    </w:p>
    <w:p w:rsidR="00DE7E70" w:rsidRDefault="00B85DCD">
      <w:pPr>
        <w:rPr>
          <w:noProof/>
        </w:rPr>
      </w:pPr>
      <w:r>
        <w:rPr>
          <w:noProof/>
        </w:rPr>
        <w:t>ud fra følgende betragtninger:</w:t>
      </w:r>
    </w:p>
    <w:p w:rsidR="00DE7E70" w:rsidRDefault="00B85DCD">
      <w:pPr>
        <w:pStyle w:val="ManualConsidrant"/>
        <w:rPr>
          <w:noProof/>
        </w:rPr>
      </w:pPr>
      <w:r>
        <w:t>(1)</w:t>
      </w:r>
      <w:r>
        <w:tab/>
      </w:r>
      <w:r>
        <w:rPr>
          <w:noProof/>
        </w:rPr>
        <w:t>I konklusionerne fra sit møde den 23.-24. oktober 2014 om 2030-rammen for klima</w:t>
      </w:r>
      <w:r>
        <w:rPr>
          <w:noProof/>
        </w:rPr>
        <w:noBreakHyphen/>
        <w:t xml:space="preserve"> og energipolitikken godkendte Det Euro</w:t>
      </w:r>
      <w:r>
        <w:rPr>
          <w:noProof/>
        </w:rPr>
        <w:t>pæiske Råd et bindende mål for reduktion af EU's egne drivhusgasser for hele økonomien på mindst 40 % senest i 2030 i forhold til 1990, og det blev bekræftet på mødet i marts 2016. Miljørådet godkendte formelt Unionen og dens medlemsstaters bidrag på et mø</w:t>
      </w:r>
      <w:r>
        <w:rPr>
          <w:noProof/>
        </w:rPr>
        <w:t>de den 6. marts 2015 som deres tilsigtede nationalt bestemte bidrag.</w:t>
      </w:r>
    </w:p>
    <w:p w:rsidR="00DE7E70" w:rsidRDefault="00B85DCD">
      <w:pPr>
        <w:pStyle w:val="ManualConsidrant"/>
        <w:rPr>
          <w:noProof/>
        </w:rPr>
      </w:pPr>
      <w:r>
        <w:t>(2)</w:t>
      </w:r>
      <w:r>
        <w:tab/>
      </w:r>
      <w:r>
        <w:rPr>
          <w:noProof/>
        </w:rPr>
        <w:t>I konklusionerne fra mødet i oktober 2014 fastslår Det Europæiske Råd, at EU skal nå målet i fællesskab på den mest omkostningseffektive måde med en reduktion i sektorerne i og uden f</w:t>
      </w:r>
      <w:r>
        <w:rPr>
          <w:noProof/>
        </w:rPr>
        <w:t>or emissionshandelssystemet (ETS) på henholdsvis 43 % og 30 % senest i 2030 i forhold til 2005, med en indsats fordelt på grundlag af det relative BNP pr. indbygger. Alle økonomiske sektorer bør bidrage til at nå disse emissionsreduktioner, og alle medlems</w:t>
      </w:r>
      <w:r>
        <w:rPr>
          <w:noProof/>
        </w:rPr>
        <w:t>stater bør deltage i denne indsats, under fuld hensyntagen til retfærdighed og solidaritet, og de nationale mål for gruppen af medlemsstater med et BNP pr. indbygger over EU-gennemsnittet bør justeres forholdsmæssigt for at afspejle omkostningseffektivitet</w:t>
      </w:r>
      <w:r>
        <w:rPr>
          <w:noProof/>
        </w:rPr>
        <w:t xml:space="preserve"> på en retfærdig og afbalanceret måde. Opnåelse af disse emissionsreduktioner af drivhusgasser bør øge effektiviteten og innovationen i den europæiske økonomi og bør i særdeleshed skabe forbedringer inden for byggesektoren, landbrug, affaldshåndtering og t</w:t>
      </w:r>
      <w:r>
        <w:rPr>
          <w:noProof/>
        </w:rPr>
        <w:t>ransport, for så vidt som de falder ind under anvendelsesområdet for denne forordning.</w:t>
      </w:r>
    </w:p>
    <w:p w:rsidR="00DE7E70" w:rsidRDefault="00B85DCD">
      <w:pPr>
        <w:pStyle w:val="ManualConsidrant"/>
        <w:rPr>
          <w:noProof/>
        </w:rPr>
      </w:pPr>
      <w:bookmarkStart w:id="1" w:name="_Ref456715579"/>
      <w:r>
        <w:t>(3)</w:t>
      </w:r>
      <w:r>
        <w:tab/>
      </w:r>
      <w:r>
        <w:rPr>
          <w:noProof/>
        </w:rPr>
        <w:t>Den 10. juni 2016 fremlagde Kommissionen et forslag for EU om at ratificere Parisaftalen. Dette lovforslag er et led i gennemførelsen af EU's tilsagn under Parisafta</w:t>
      </w:r>
      <w:r>
        <w:rPr>
          <w:noProof/>
        </w:rPr>
        <w:t>len. Unionens forpligtelse til emissionsreduktioner for hele økonomien blev bekræftet i det tilsigtede nationalt bestemte bidrag for Unionen og dens medlemsstater, der blev forelagt sekretariatet for UNFCCC den 6. marts 2015.</w:t>
      </w:r>
      <w:bookmarkEnd w:id="1"/>
      <w:r>
        <w:rPr>
          <w:noProof/>
        </w:rPr>
        <w:t xml:space="preserve"> </w:t>
      </w:r>
    </w:p>
    <w:p w:rsidR="00DE7E70" w:rsidRDefault="00B85DCD">
      <w:pPr>
        <w:pStyle w:val="ManualConsidrant"/>
        <w:rPr>
          <w:noProof/>
        </w:rPr>
      </w:pPr>
      <w:r>
        <w:t>(4)</w:t>
      </w:r>
      <w:r>
        <w:tab/>
      </w:r>
      <w:r>
        <w:rPr>
          <w:noProof/>
        </w:rPr>
        <w:t>Parisaftalen afløser tilg</w:t>
      </w:r>
      <w:r>
        <w:rPr>
          <w:noProof/>
        </w:rPr>
        <w:t>angen under Kyoto-protokollen i 1997, der ikke videreføres efter 2020.</w:t>
      </w:r>
    </w:p>
    <w:p w:rsidR="00DE7E70" w:rsidRDefault="00B85DCD">
      <w:pPr>
        <w:pStyle w:val="ManualConsidrant"/>
        <w:rPr>
          <w:noProof/>
        </w:rPr>
      </w:pPr>
      <w:r>
        <w:t>(5)</w:t>
      </w:r>
      <w:r>
        <w:tab/>
      </w:r>
      <w:r>
        <w:rPr>
          <w:noProof/>
        </w:rPr>
        <w:t>Overgangen til ren energi kræver en ændret investeringsadfærd og incitamenter på tværs af det politiske spektrum. Det er en topprioritet for Unionen at etablere en modstandsdygtig e</w:t>
      </w:r>
      <w:r>
        <w:rPr>
          <w:noProof/>
        </w:rPr>
        <w:t>nergiunion, der kan levere sikker, vedvarende, konkurrencedygtig og billig energi til sine borgere. For at opnå dette skal den ambitiøse klimaindsats fortsættes ved hjælp af denne forordning, og der skal gøres fremskridt inden for andre dele af energiunion</w:t>
      </w:r>
      <w:r>
        <w:rPr>
          <w:noProof/>
        </w:rPr>
        <w:t>en som beskrevet i rammestrategien for en modstandsdygtig energiunion med en fremadskuende klimapolitik.</w:t>
      </w:r>
      <w:r>
        <w:rPr>
          <w:rStyle w:val="FootnoteReference"/>
          <w:noProof/>
        </w:rPr>
        <w:footnoteReference w:id="16"/>
      </w:r>
      <w:r>
        <w:rPr>
          <w:noProof/>
        </w:rPr>
        <w:t xml:space="preserve"> </w:t>
      </w:r>
    </w:p>
    <w:p w:rsidR="00DE7E70" w:rsidRDefault="00B85DCD">
      <w:pPr>
        <w:pStyle w:val="ManualConsidrant"/>
        <w:rPr>
          <w:noProof/>
        </w:rPr>
      </w:pPr>
      <w:r>
        <w:t>(6)</w:t>
      </w:r>
      <w:r>
        <w:tab/>
      </w:r>
      <w:r>
        <w:rPr>
          <w:noProof/>
        </w:rPr>
        <w:t>Denne forordning omfatter emissioner under Det Mellemstatslige Panel om Klimaændringers (IPCC) kategorier for energi, industriprocesser og produk</w:t>
      </w:r>
      <w:r>
        <w:rPr>
          <w:noProof/>
        </w:rPr>
        <w:t>tanvendelse, landbrug og affald som fastsat i henhold til Europa-Parlamentets og Rådets forordning (EU) nr. 525/2013</w:t>
      </w:r>
      <w:r>
        <w:rPr>
          <w:rStyle w:val="FootnoteReference"/>
          <w:noProof/>
        </w:rPr>
        <w:footnoteReference w:id="17"/>
      </w:r>
      <w:r>
        <w:rPr>
          <w:noProof/>
        </w:rPr>
        <w:t>, bortset fra emissioner fra aktiviteterne beskrevet i bilag I til Europa-Parlamentets og Rådets direktiv 2003/87/EF</w:t>
      </w:r>
      <w:r>
        <w:rPr>
          <w:rStyle w:val="FootnoteReference"/>
          <w:noProof/>
        </w:rPr>
        <w:footnoteReference w:id="18"/>
      </w:r>
      <w:r>
        <w:rPr>
          <w:noProof/>
        </w:rPr>
        <w:t>. Aktiviteter omfattet</w:t>
      </w:r>
      <w:r>
        <w:rPr>
          <w:noProof/>
        </w:rPr>
        <w:t xml:space="preserve"> af forordning [              ] [om medtagelse af drivhusgassemissioner og optag fra arealanvendelse, ændringer i arealanvendelse og skovbrug i klima- og energirammen for 2030 og ændring af Europa-Parlamentets og Rådets forordning (EU) nr. 525/2013 om en m</w:t>
      </w:r>
      <w:r>
        <w:rPr>
          <w:noProof/>
        </w:rPr>
        <w:t>ekanisme til overvågning og rapportering af drivhusgasemissioner og andre oplysninger vedrørende klimaændringer] er ikke omfattet af denne forordning.</w:t>
      </w:r>
    </w:p>
    <w:p w:rsidR="00DE7E70" w:rsidRDefault="00B85DCD">
      <w:pPr>
        <w:pStyle w:val="ManualConsidrant"/>
        <w:rPr>
          <w:noProof/>
        </w:rPr>
      </w:pPr>
      <w:r>
        <w:t>(7)</w:t>
      </w:r>
      <w:r>
        <w:tab/>
      </w:r>
      <w:r>
        <w:rPr>
          <w:noProof/>
        </w:rPr>
        <w:t>De data, der rapporteres til de nationale drivhusgasopgørelser og de nationale registre og Unionens r</w:t>
      </w:r>
      <w:r>
        <w:rPr>
          <w:noProof/>
        </w:rPr>
        <w:t>egister, er ikke tilstrækkelige til, at man for de enkelte medlemsstater kan bestemme de CO</w:t>
      </w:r>
      <w:r>
        <w:rPr>
          <w:noProof/>
          <w:vertAlign w:val="subscript"/>
        </w:rPr>
        <w:t>2</w:t>
      </w:r>
      <w:r>
        <w:rPr>
          <w:noProof/>
        </w:rPr>
        <w:t>-emissioner fra civil luftfart på nationalt plan, som ikke er omfattet af direktiv 2003/87/EF. Når Unionen indfører rapporteringsforpligtelser, bør Unionen ikke pål</w:t>
      </w:r>
      <w:r>
        <w:rPr>
          <w:noProof/>
        </w:rPr>
        <w:t>ægge medlemsstaterne og små og mellemstore virksomheder (SMV'er) byrder, der er uforholdsmæssige i forhold til de forfulgte mål. CO</w:t>
      </w:r>
      <w:r>
        <w:rPr>
          <w:noProof/>
          <w:vertAlign w:val="subscript"/>
        </w:rPr>
        <w:t>2</w:t>
      </w:r>
      <w:r>
        <w:rPr>
          <w:noProof/>
        </w:rPr>
        <w:t>-emissioner fra luftfart, der ikke er omfattet af direktiv 2003/87/EF, udgør kun en meget begrænset del af de samlede drivhu</w:t>
      </w:r>
      <w:r>
        <w:rPr>
          <w:noProof/>
        </w:rPr>
        <w:t>sgasemissioner, og det vil være urimeligt byrdefuldt at indføre et rapporteringssystem for disse emissioner i lyset af de eksisterende krav for sektoren som helhed i henhold til direktiv 2003/87/EF. Derfor bør alle CO</w:t>
      </w:r>
      <w:r>
        <w:rPr>
          <w:noProof/>
          <w:vertAlign w:val="subscript"/>
        </w:rPr>
        <w:t>2</w:t>
      </w:r>
      <w:r>
        <w:rPr>
          <w:noProof/>
        </w:rPr>
        <w:t>-emissioner fra IPCC's kildekategori "</w:t>
      </w:r>
      <w:r>
        <w:rPr>
          <w:noProof/>
        </w:rPr>
        <w:t>1.A.3.A civil luftfart" sættes lig nul for så vidt angår denne forordning.</w:t>
      </w:r>
    </w:p>
    <w:p w:rsidR="00DE7E70" w:rsidRDefault="00B85DCD">
      <w:pPr>
        <w:pStyle w:val="ManualConsidrant"/>
        <w:rPr>
          <w:noProof/>
        </w:rPr>
      </w:pPr>
      <w:r>
        <w:t>(8)</w:t>
      </w:r>
      <w:r>
        <w:tab/>
      </w:r>
      <w:r>
        <w:rPr>
          <w:noProof/>
        </w:rPr>
        <w:t>De enkelte medlemsstaters reduktioner i 2030 bør fastættes i forhold til deres evaluerede drivhusgasemissioner for 2005, der er omfattet af denne forordning, med undtagelse af e</w:t>
      </w:r>
      <w:r>
        <w:rPr>
          <w:noProof/>
        </w:rPr>
        <w:t>missioner fra anlæg, der var i drift i 2005, men som først blev inkluderet i EU ETS efter 2005. Årlige emissionstildelinger for 2021 til 2030 bør fastsættes på baggrund af de data, der er indgivet af medlemsstaterne og evalueret af Kommissionen.</w:t>
      </w:r>
    </w:p>
    <w:p w:rsidR="00DE7E70" w:rsidRDefault="00B85DCD">
      <w:pPr>
        <w:pStyle w:val="ManualConsidrant"/>
        <w:rPr>
          <w:noProof/>
          <w:szCs w:val="24"/>
        </w:rPr>
      </w:pPr>
      <w:r>
        <w:t>(9)</w:t>
      </w:r>
      <w:r>
        <w:tab/>
      </w:r>
      <w:r>
        <w:rPr>
          <w:noProof/>
        </w:rPr>
        <w:t>Fremga</w:t>
      </w:r>
      <w:r>
        <w:rPr>
          <w:noProof/>
        </w:rPr>
        <w:t>ngsmåden med årligt bindende nationale grænseværdier, der fastsættes i Europa-Parlamentets og Rådets beslutning nr. 406/2009/EF</w:t>
      </w:r>
      <w:r>
        <w:rPr>
          <w:rStyle w:val="FootnoteReference"/>
          <w:noProof/>
        </w:rPr>
        <w:footnoteReference w:id="19"/>
      </w:r>
      <w:r>
        <w:rPr>
          <w:noProof/>
        </w:rPr>
        <w:t xml:space="preserve">, bør fortsættes fra 2021 til 2030, idet forløbet begynder i 2020 på baggrund af de gennemsnitlige drivhusgasemissioner i årene </w:t>
      </w:r>
      <w:r>
        <w:rPr>
          <w:noProof/>
        </w:rPr>
        <w:t>2016-2018 og slutter ved den grænse, der er vedtaget for 2030 for de enkelte medlemsstater. Medlemsstater, der både har et positivt loft i henhold til beslutning nr. 406/2009/EF og stigende årlige emissionstildelinger mellem 2017 og 2020 i henhold til afgø</w:t>
      </w:r>
      <w:r>
        <w:rPr>
          <w:noProof/>
        </w:rPr>
        <w:t>relse 2013/162/EU og 2013/634/EU, kan få tildelingen justeret for at afspejle kapaciteten til øgede emissioner i de pågældende år. Det Europæiske Råd konkluder</w:t>
      </w:r>
      <w:r>
        <w:rPr>
          <w:noProof/>
          <w:szCs w:val="24"/>
        </w:rPr>
        <w:t>ede, at tilgængeligheden og anvendelsen af de eksisterende fleksibilitetsinstrumenter i sektorern</w:t>
      </w:r>
      <w:r>
        <w:rPr>
          <w:noProof/>
          <w:szCs w:val="24"/>
        </w:rPr>
        <w:t>e uden for ETS bør øges væsentligt for at sikre en omkostningseffektiv samlet EU-indsats og en indbyrdes tilnærmelse af emissionerne pr. indbygger senest i 2030.</w:t>
      </w:r>
    </w:p>
    <w:p w:rsidR="00DE7E70" w:rsidRDefault="00B85DCD">
      <w:pPr>
        <w:pStyle w:val="ManualConsidrant"/>
        <w:rPr>
          <w:noProof/>
          <w:szCs w:val="24"/>
        </w:rPr>
      </w:pPr>
      <w:r>
        <w:t>(10)</w:t>
      </w:r>
      <w:r>
        <w:tab/>
      </w:r>
      <w:r>
        <w:rPr>
          <w:noProof/>
        </w:rPr>
        <w:t>Der indføres en ny enkeltstående fleksibilitetsmulighed, for at medlemsstater med nationa</w:t>
      </w:r>
      <w:r>
        <w:rPr>
          <w:noProof/>
        </w:rPr>
        <w:t>le reduktionsmål væsentligt over både EU-gennemsnittet og deres omkostningseffektive reduktionspotentiale lettere kan nå deres mål, samt for medlemsstater, der ikke er blevet tildelt gratis kvoter for industrianlæg i 2013, som anført i konsekvensanalysen</w:t>
      </w:r>
      <w:r>
        <w:rPr>
          <w:rStyle w:val="FootnoteReference"/>
          <w:noProof/>
        </w:rPr>
        <w:footnoteReference w:id="20"/>
      </w:r>
      <w:r>
        <w:rPr>
          <w:noProof/>
        </w:rPr>
        <w:t>.</w:t>
      </w:r>
    </w:p>
    <w:p w:rsidR="00DE7E70" w:rsidRDefault="00B85DCD">
      <w:pPr>
        <w:pStyle w:val="ManualConsidrant"/>
        <w:rPr>
          <w:noProof/>
        </w:rPr>
      </w:pPr>
      <w:r>
        <w:t>(11)</w:t>
      </w:r>
      <w:r>
        <w:tab/>
      </w:r>
      <w:r>
        <w:rPr>
          <w:noProof/>
        </w:rPr>
        <w:t>En række EU-foranstaltninger skal styrke medlemsstaternes evne til at opfylde deres klimaforpligtelser og er afgørende for at opnå de nødvendige emissionsreduktioner i de sektorer, der er omfattet af denne forordning. Disse omfatter lovgivning om flu</w:t>
      </w:r>
      <w:r>
        <w:rPr>
          <w:noProof/>
        </w:rPr>
        <w:t>orholdige drivhusgasser, CO</w:t>
      </w:r>
      <w:r>
        <w:rPr>
          <w:noProof/>
          <w:vertAlign w:val="subscript"/>
        </w:rPr>
        <w:t>2</w:t>
      </w:r>
      <w:r>
        <w:rPr>
          <w:noProof/>
        </w:rPr>
        <w:t>-reduktioner fra køretøjer, bygningers energimæssige ydeevne, vedvarende energi, energieffektivitet og den cirkulære økonomi samt Unionens finansieringsinstrumenter for klimarelaterede investeringer.</w:t>
      </w:r>
    </w:p>
    <w:p w:rsidR="00DE7E70" w:rsidRDefault="00B85DCD">
      <w:pPr>
        <w:pStyle w:val="ManualConsidrant"/>
        <w:rPr>
          <w:noProof/>
        </w:rPr>
      </w:pPr>
      <w:r>
        <w:t>(12)</w:t>
      </w:r>
      <w:r>
        <w:tab/>
      </w:r>
      <w:r>
        <w:rPr>
          <w:noProof/>
        </w:rPr>
        <w:t xml:space="preserve">Forordning [     ] [om </w:t>
      </w:r>
      <w:r>
        <w:rPr>
          <w:noProof/>
        </w:rPr>
        <w:t>medtagelse af drivhusgassemissioner og optag fra arealanvendelse, ændringer i arealanvendelse og skovbrug i klima- og energirammen for 2030] fastsætter regnskabsregler for drivhusgasemissioner og optag i forbindelse med arealanvendelse, ændringer i arealan</w:t>
      </w:r>
      <w:r>
        <w:rPr>
          <w:noProof/>
        </w:rPr>
        <w:t>vendelse og skovbrug (LULUCF). Mens det miljømæssige resultat under denne forordning, beregnet ud fra de opnåede niveauer for reduktioner af drivhusgasemissionerne, påvirkes, når man tager højde for den samlede mængde af nettooptag og de samlede nettoemiss</w:t>
      </w:r>
      <w:r>
        <w:rPr>
          <w:noProof/>
        </w:rPr>
        <w:t>ioner fra ryddede arealer, nyplantede arealer, forvaltede dyrkede arealer og forvaltede græsarealer, jf. forordning [            ], bør en vis fleksibilitet for en maksimal mængde på 280 millioner ton CO</w:t>
      </w:r>
      <w:r>
        <w:rPr>
          <w:noProof/>
          <w:vertAlign w:val="subscript"/>
        </w:rPr>
        <w:t>2</w:t>
      </w:r>
      <w:r>
        <w:rPr>
          <w:noProof/>
        </w:rPr>
        <w:t>, svarende til dette optag fordelt på medlemsstatern</w:t>
      </w:r>
      <w:r>
        <w:rPr>
          <w:noProof/>
        </w:rPr>
        <w:t>e i henhold til  tallene i bilag III  inkluderes som en ekstra mulighed for medlemsstaterne til at opfylde deres forpligtelser, når det er nødvendigt. Når den delegerede retsakt, der skal ajourføre referenceværdierne for skove på grundlag af de nationale r</w:t>
      </w:r>
      <w:r>
        <w:rPr>
          <w:noProof/>
        </w:rPr>
        <w:t>egnskabsplaner for skovbrug i henhold til artikel 8, stk. 6, i forordning [LULUCF], bliver vedtaget, bør Kommissionen delegeres beføjelser til at vedtage retsakter i henhold til artikel 290 i traktaten om Den Europæiske Unions funktionsmåde hvad angår arti</w:t>
      </w:r>
      <w:r>
        <w:rPr>
          <w:noProof/>
        </w:rPr>
        <w:t xml:space="preserve">kel 7 for at tage hensyn til bidraget fra regnskabskategorien forvaltet skovbrugsland i forbindelse med den fleksibilitet, der indføres med denne artikel. Inden vedtagelsen af en sådan delegeret retsakt bør Kommissionen vurdere holdbarheden af at inddrage </w:t>
      </w:r>
      <w:r>
        <w:rPr>
          <w:noProof/>
        </w:rPr>
        <w:t>forvaltet skovbrugsland på grundlag af tilgængelige data og navnlig overensstemmelsen mellem de formodede og faktiske høstningsprocensatser. Hertil kommer, at muligheden for frivilligt at slette årlige emissionstildelingsenheder bør tillades under denne fo</w:t>
      </w:r>
      <w:r>
        <w:rPr>
          <w:noProof/>
        </w:rPr>
        <w:t>rordning for at give mulighed for, at sådanne mængder kan tages i betragtning ved vurderingen af medlemsstaternes overholdelse af kravene i forordning [        ].</w:t>
      </w:r>
    </w:p>
    <w:p w:rsidR="00DE7E70" w:rsidRDefault="00B85DCD">
      <w:pPr>
        <w:pStyle w:val="ManualConsidrant"/>
        <w:rPr>
          <w:noProof/>
        </w:rPr>
      </w:pPr>
      <w:r>
        <w:t>(13)</w:t>
      </w:r>
      <w:r>
        <w:tab/>
      </w:r>
      <w:r>
        <w:rPr>
          <w:noProof/>
        </w:rPr>
        <w:t xml:space="preserve">For at sikre effektiv, gennemsigtig og omkostningseffektiv rapportering og verifikation </w:t>
      </w:r>
      <w:r>
        <w:rPr>
          <w:noProof/>
        </w:rPr>
        <w:t>af drivhusgasemissioner og af andre informationer, der er nødvendige for at vurdere fremskridtene inden for medlemsstaternes årligt tildelte emissionsenheder, er kravene til den årlige rapportering og evaluering i henhold til denne forordning integreret me</w:t>
      </w:r>
      <w:r>
        <w:rPr>
          <w:noProof/>
        </w:rPr>
        <w:t xml:space="preserve">d de relevante artikler i forordning (EU) nr. 525/2013, som derfor bør ændres i overensstemmelse hermed. Ændringen af denne forordning skal også sikre, at medlemsstaternes fremskridt med at reducere emissionerne evalueres årligt, idet der tages hensyn til </w:t>
      </w:r>
      <w:r>
        <w:rPr>
          <w:noProof/>
        </w:rPr>
        <w:t>udviklingen i Unionens politikker og foranstaltninger og oplysninger indhentet fra medlemsstaterne. Hver andet år bør evalueringen indeholde Unionens forventede fremskridt med at opfylde sine reduktionsforpligtelser samt medlemsstaternes med at opfylde der</w:t>
      </w:r>
      <w:r>
        <w:rPr>
          <w:noProof/>
        </w:rPr>
        <w:t>es. Anvendelsen af nedsættelser bør dog kun overvejes hvert femte år, så der kan tages hensyn til det potentielle bidrag fra ryddede arealer, nyplantede arealer, forvaltede dyrkede arealer og forvaltede græsarealer, jf. forordning [   ]. Dette berører ikke</w:t>
      </w:r>
      <w:r>
        <w:rPr>
          <w:noProof/>
        </w:rPr>
        <w:t xml:space="preserve"> Kommissionens pligt til at sikre, at medlemsstaternes forpligtelser i henhold til denne forordning overholdes, og heller ikke Kommissionens beføjelse til at indlede traktatbrudsprocedurer i den forbindelse.</w:t>
      </w:r>
    </w:p>
    <w:p w:rsidR="00DE7E70" w:rsidRDefault="00B85DCD">
      <w:pPr>
        <w:pStyle w:val="ManualConsidrant"/>
        <w:rPr>
          <w:noProof/>
        </w:rPr>
      </w:pPr>
      <w:r>
        <w:t>(14)</w:t>
      </w:r>
      <w:r>
        <w:tab/>
      </w:r>
      <w:r>
        <w:rPr>
          <w:noProof/>
        </w:rPr>
        <w:t>For at fremme den overordnede omkostningsef</w:t>
      </w:r>
      <w:r>
        <w:rPr>
          <w:noProof/>
        </w:rPr>
        <w:t>fektivitet af alle reduktioner skal det være tilladt for medlemsstaterne at overføre en del af deres årlige emissionstildelinger til andre medlemsstater. Sådanne overførsler skal til enhver tid være transparente og udføres på en måde, der passer alle parte</w:t>
      </w:r>
      <w:r>
        <w:rPr>
          <w:noProof/>
        </w:rPr>
        <w:t>r, bl.a. ved hjælp af auktionering, gennem agenter, der opererer på agenturbasis, eller gennem bilaterale aftaler.</w:t>
      </w:r>
    </w:p>
    <w:p w:rsidR="00DE7E70" w:rsidRDefault="00B85DCD">
      <w:pPr>
        <w:pStyle w:val="ManualConsidrant"/>
        <w:rPr>
          <w:noProof/>
        </w:rPr>
      </w:pPr>
      <w:r>
        <w:t>(15)</w:t>
      </w:r>
      <w:r>
        <w:tab/>
      </w:r>
      <w:r>
        <w:rPr>
          <w:noProof/>
        </w:rPr>
        <w:t>Det Europæiske Miljøagentur sigter mod at bidrage til den bæredygtige udvikling og hjælpe med at opnå betydelige og målbare forbedringer</w:t>
      </w:r>
      <w:r>
        <w:rPr>
          <w:noProof/>
        </w:rPr>
        <w:t xml:space="preserve"> af Europas miljø ved at levere rettidige, målrettede, relevante og pålidelige oplysninger til politiske beslutningstagere, offentlige institutioner og offentligheden. Det Europæiske Miljøagentur skal bistå Kommissionen i overensstemmelse med sit årlige ar</w:t>
      </w:r>
      <w:r>
        <w:rPr>
          <w:noProof/>
        </w:rPr>
        <w:t>bejdsprogram.</w:t>
      </w:r>
    </w:p>
    <w:p w:rsidR="00DE7E70" w:rsidRDefault="00B85DCD">
      <w:pPr>
        <w:pStyle w:val="ManualConsidrant"/>
        <w:rPr>
          <w:noProof/>
        </w:rPr>
      </w:pPr>
      <w:r>
        <w:t>(16)</w:t>
      </w:r>
      <w:r>
        <w:tab/>
      </w:r>
      <w:r>
        <w:rPr>
          <w:noProof/>
        </w:rPr>
        <w:t>For at give mulighed for en tilstrækkelig bogføring af transaktionerne i henhold til denne forordning, herunder anvendelsen af fleksibilitetsinstrumenter og overensstemmelseskontrol, bør Kommissionen delegeres beføjelser til at vedtage r</w:t>
      </w:r>
      <w:r>
        <w:rPr>
          <w:noProof/>
        </w:rPr>
        <w:t>etsakter i overensstemmelse med artikel 290 i traktaten om Den Europæiske Unions funktionsmåde i forbindelse med artikel 11. De nødvendige bestemmelser bør være indeholdt i et enkelt instrument, der kombinerer regnskabsbestemmelserne i henhold til direktiv</w:t>
      </w:r>
      <w:r>
        <w:rPr>
          <w:noProof/>
        </w:rPr>
        <w:t xml:space="preserve"> 2003/87/EF, forordning (EU) nr. 525/2013, forordning [      ] og denne forordning. Det er særligt vigtigt, at Kommissionen under sit forberedende arbejde gennemfører hensigtsmæssige høringer, herunder eksperthøringer, og at disse høringer gennemføres i ov</w:t>
      </w:r>
      <w:r>
        <w:rPr>
          <w:noProof/>
        </w:rPr>
        <w:t>erensstemmelse med principperne i den interinstitutionelle aftale om bedre lovgivning af 13. april 2016. For at sikre lige deltagelse i forberedelsen af delegerede retsakter modtager Europa-Parlamentet og Rådet alle dokumenter på samme tid som medlemsstate</w:t>
      </w:r>
      <w:r>
        <w:rPr>
          <w:noProof/>
        </w:rPr>
        <w:t xml:space="preserve">rnes eksperter, og deres eksperter har systematisk adgang til møder i Kommissionens ekspertgrupper, der beskæftiger sig med forberedelse af delegerede retsakter. </w:t>
      </w:r>
    </w:p>
    <w:p w:rsidR="00DE7E70" w:rsidRDefault="00B85DCD">
      <w:pPr>
        <w:pStyle w:val="ManualConsidrant"/>
        <w:rPr>
          <w:noProof/>
        </w:rPr>
      </w:pPr>
      <w:r>
        <w:t>(17)</w:t>
      </w:r>
      <w:r>
        <w:tab/>
      </w:r>
      <w:r>
        <w:rPr>
          <w:noProof/>
        </w:rPr>
        <w:t>For at sikre ensartede betingelser for gennemførelsen af artikel 4, ifølge hvilken de år</w:t>
      </w:r>
      <w:r>
        <w:rPr>
          <w:noProof/>
        </w:rPr>
        <w:t>lige emissionsgrænser for medlemsstaterne fastsættes, bør Kommissionen tillægges gennemførelsesbeføjelser. Disse beføjelser bør udøves i overensstemmelse med Europa-Parlamentets og Rådets forordning (EU) nr. 182/2011</w:t>
      </w:r>
      <w:r>
        <w:rPr>
          <w:rStyle w:val="FootnoteReference"/>
          <w:noProof/>
        </w:rPr>
        <w:footnoteReference w:id="21"/>
      </w:r>
      <w:r>
        <w:rPr>
          <w:noProof/>
        </w:rPr>
        <w:t>.</w:t>
      </w:r>
    </w:p>
    <w:p w:rsidR="00DE7E70" w:rsidRDefault="00B85DCD">
      <w:pPr>
        <w:pStyle w:val="ManualConsidrant"/>
        <w:rPr>
          <w:noProof/>
        </w:rPr>
      </w:pPr>
      <w:r>
        <w:t>(18)</w:t>
      </w:r>
      <w:r>
        <w:tab/>
      </w:r>
      <w:r>
        <w:rPr>
          <w:noProof/>
        </w:rPr>
        <w:t>Denne forordning berører ikke st</w:t>
      </w:r>
      <w:r>
        <w:rPr>
          <w:noProof/>
        </w:rPr>
        <w:t>rengere nationale målsætninger.</w:t>
      </w:r>
    </w:p>
    <w:p w:rsidR="00DE7E70" w:rsidRDefault="00B85DCD">
      <w:pPr>
        <w:pStyle w:val="ManualConsidrant"/>
        <w:rPr>
          <w:noProof/>
        </w:rPr>
      </w:pPr>
      <w:r>
        <w:t>(19)</w:t>
      </w:r>
      <w:r>
        <w:tab/>
      </w:r>
      <w:r>
        <w:rPr>
          <w:noProof/>
          <w:szCs w:val="24"/>
        </w:rPr>
        <w:t>Justeringer af anvendelsesområdet</w:t>
      </w:r>
      <w:r>
        <w:rPr>
          <w:noProof/>
          <w:sz w:val="19"/>
          <w:szCs w:val="19"/>
        </w:rPr>
        <w:t xml:space="preserve"> </w:t>
      </w:r>
      <w:r>
        <w:rPr>
          <w:noProof/>
        </w:rPr>
        <w:t>ifølge artikel 11, 24, 24a og 27 i Europa-Parlamentets og Rådets direktiv 2003/87/EF</w:t>
      </w:r>
      <w:r>
        <w:rPr>
          <w:rStyle w:val="FootnoteReference"/>
          <w:noProof/>
        </w:rPr>
        <w:footnoteReference w:id="22"/>
      </w:r>
      <w:r>
        <w:rPr>
          <w:noProof/>
        </w:rPr>
        <w:t xml:space="preserve"> bør modsvares af en tilsvarende justering af den maksimale mængde drivhusgasemissioner, der er omfa</w:t>
      </w:r>
      <w:r>
        <w:rPr>
          <w:noProof/>
        </w:rPr>
        <w:t>ttet af denne forordning. Når medlemsstaterne inkluderer yderligere emissioner i deres forpligtelser i henhold til denne forordning fra anlæg, der tidligere var omfattet af direktiv 2003/87/EF, bør disse medlemsstater derfor gennemføre supplerende lovgivni</w:t>
      </w:r>
      <w:r>
        <w:rPr>
          <w:noProof/>
        </w:rPr>
        <w:t xml:space="preserve">ng og foranstaltninger i de sektorer, der er omfattet af denne forordning, for at reducere disse emissioner. </w:t>
      </w:r>
    </w:p>
    <w:p w:rsidR="00DE7E70" w:rsidRDefault="00B85DCD">
      <w:pPr>
        <w:pStyle w:val="ManualConsidrant"/>
        <w:rPr>
          <w:noProof/>
        </w:rPr>
      </w:pPr>
      <w:r>
        <w:t>(20)</w:t>
      </w:r>
      <w:r>
        <w:tab/>
      </w:r>
      <w:r>
        <w:rPr>
          <w:noProof/>
        </w:rPr>
        <w:t>Denne forordning bør revideres i 2024 og hvert femte år derefter for at vurdere, hvordan den fungerer generelt. Denne revision bør tage højde</w:t>
      </w:r>
      <w:r>
        <w:rPr>
          <w:noProof/>
        </w:rPr>
        <w:t xml:space="preserve"> for udviklingen i de nationale forhold og basere sig på resultaterne af den samlede status over Parisaftalen. </w:t>
      </w:r>
    </w:p>
    <w:p w:rsidR="00DE7E70" w:rsidRDefault="00B85DCD">
      <w:pPr>
        <w:pStyle w:val="ManualConsidrant"/>
        <w:rPr>
          <w:noProof/>
        </w:rPr>
      </w:pPr>
      <w:r>
        <w:t>(21)</w:t>
      </w:r>
      <w:r>
        <w:tab/>
      </w:r>
      <w:r>
        <w:rPr>
          <w:noProof/>
        </w:rPr>
        <w:t xml:space="preserve">Da målene for denne forordning ikke i tilstrækkelig grad kan opfyldes af medlemsstaterne, men på grund af deres omfang og virkninger bedre </w:t>
      </w:r>
      <w:r>
        <w:rPr>
          <w:noProof/>
        </w:rPr>
        <w:t>kan nås på EU-plan, kan Unionen derfor træffe foranstaltninger i overensstemmelse med nærhedsprincippet, jf. artikel 5 i traktaten om Den Europæiske Union. I overensstemmelse med proportionalitetsprincippet, jf. nævnte artikel, går denne forordning ikke vi</w:t>
      </w:r>
      <w:r>
        <w:rPr>
          <w:noProof/>
        </w:rPr>
        <w:t>dere end, hvad der er nødvendigt for at opfylde disse mål —</w:t>
      </w:r>
    </w:p>
    <w:p w:rsidR="00DE7E70" w:rsidRDefault="00DE7E70">
      <w:pPr>
        <w:rPr>
          <w:noProof/>
        </w:rPr>
      </w:pPr>
    </w:p>
    <w:p w:rsidR="00DE7E70" w:rsidRDefault="00B85DCD">
      <w:pPr>
        <w:pStyle w:val="Formuledadoption"/>
        <w:rPr>
          <w:noProof/>
        </w:rPr>
      </w:pPr>
      <w:r>
        <w:rPr>
          <w:noProof/>
        </w:rPr>
        <w:t>VEDTAGET DENNE FORORDNING:</w:t>
      </w:r>
    </w:p>
    <w:p w:rsidR="00DE7E70" w:rsidRDefault="00B85DCD">
      <w:pPr>
        <w:pStyle w:val="Titrearticle"/>
        <w:rPr>
          <w:noProof/>
        </w:rPr>
      </w:pPr>
      <w:r>
        <w:rPr>
          <w:noProof/>
        </w:rPr>
        <w:t>Artikel 1</w:t>
      </w:r>
    </w:p>
    <w:p w:rsidR="00DE7E70" w:rsidRDefault="00B85DCD">
      <w:pPr>
        <w:pStyle w:val="Titrearticle"/>
        <w:rPr>
          <w:noProof/>
        </w:rPr>
      </w:pPr>
      <w:r>
        <w:rPr>
          <w:b/>
          <w:i w:val="0"/>
          <w:noProof/>
        </w:rPr>
        <w:t>Genstand</w:t>
      </w:r>
    </w:p>
    <w:p w:rsidR="00DE7E70" w:rsidRDefault="00B85DCD">
      <w:pPr>
        <w:rPr>
          <w:i/>
          <w:noProof/>
        </w:rPr>
      </w:pPr>
      <w:r>
        <w:rPr>
          <w:noProof/>
        </w:rPr>
        <w:t>Denne forordning fastsætter forpligtelser om medlemsstaternes minimumsbidrag til at opfylde Unionens forpligtelse til reduktion af drivhusgasemission</w:t>
      </w:r>
      <w:r>
        <w:rPr>
          <w:noProof/>
        </w:rPr>
        <w:t>er i perioden 2021-2030 og fastlægger regler for årlige emissionstildelinger og evaluering af medlemsstaternes fremskridt med hensyn til at opfylde deres minimumsbidrag.</w:t>
      </w:r>
    </w:p>
    <w:p w:rsidR="00DE7E70" w:rsidRDefault="00B85DCD">
      <w:pPr>
        <w:pStyle w:val="Titrearticle"/>
        <w:rPr>
          <w:noProof/>
        </w:rPr>
      </w:pPr>
      <w:r>
        <w:rPr>
          <w:noProof/>
        </w:rPr>
        <w:t>Artikel 2</w:t>
      </w:r>
    </w:p>
    <w:p w:rsidR="00DE7E70" w:rsidRDefault="00B85DCD">
      <w:pPr>
        <w:pStyle w:val="NormalCentered"/>
        <w:rPr>
          <w:b/>
          <w:noProof/>
        </w:rPr>
      </w:pPr>
      <w:r>
        <w:rPr>
          <w:b/>
          <w:noProof/>
        </w:rPr>
        <w:t>Anvendelsesområde</w:t>
      </w:r>
    </w:p>
    <w:p w:rsidR="00DE7E70" w:rsidRDefault="00B85DCD">
      <w:pPr>
        <w:pStyle w:val="ManualNumPar1"/>
        <w:rPr>
          <w:noProof/>
        </w:rPr>
      </w:pPr>
      <w:r>
        <w:rPr>
          <w:noProof/>
        </w:rPr>
        <w:t>1.</w:t>
      </w:r>
      <w:r>
        <w:rPr>
          <w:noProof/>
        </w:rPr>
        <w:tab/>
        <w:t>Denne forordning finder anvendelse for drivhusgasemissi</w:t>
      </w:r>
      <w:r>
        <w:rPr>
          <w:noProof/>
        </w:rPr>
        <w:t xml:space="preserve">oner fra IPCC-energikildekategorierne industriprocesser og produktanvendelse, landbrug og affald som fastsat i henhold til forordning (EU) nr. 525/2013, bortset fra emissioner fra aktiviteterne i bilag I til direktiv 2003/87/EF. </w:t>
      </w:r>
    </w:p>
    <w:p w:rsidR="00DE7E70" w:rsidRDefault="00B85DCD">
      <w:pPr>
        <w:pStyle w:val="ManualNumPar1"/>
        <w:rPr>
          <w:noProof/>
        </w:rPr>
      </w:pPr>
      <w:r>
        <w:rPr>
          <w:noProof/>
        </w:rPr>
        <w:t>2.</w:t>
      </w:r>
      <w:r>
        <w:rPr>
          <w:noProof/>
        </w:rPr>
        <w:tab/>
        <w:t>Denne forordning gælder</w:t>
      </w:r>
      <w:r>
        <w:rPr>
          <w:noProof/>
        </w:rPr>
        <w:t xml:space="preserve"> ikke for drivhusgasemissioner og </w:t>
      </w:r>
      <w:r>
        <w:rPr>
          <w:noProof/>
        </w:rPr>
        <w:noBreakHyphen/>
        <w:t xml:space="preserve">optag, der er omfattet af forordning [       ] [LULUCF]. </w:t>
      </w:r>
    </w:p>
    <w:p w:rsidR="00DE7E70" w:rsidRDefault="00B85DCD">
      <w:pPr>
        <w:pStyle w:val="ManualNumPar1"/>
        <w:rPr>
          <w:noProof/>
        </w:rPr>
      </w:pPr>
      <w:r>
        <w:rPr>
          <w:noProof/>
        </w:rPr>
        <w:t>3.</w:t>
      </w:r>
      <w:r>
        <w:rPr>
          <w:noProof/>
        </w:rPr>
        <w:tab/>
        <w:t>For så vidt angår denne forordning, skal CO</w:t>
      </w:r>
      <w:r>
        <w:rPr>
          <w:noProof/>
          <w:vertAlign w:val="subscript"/>
        </w:rPr>
        <w:t>2</w:t>
      </w:r>
      <w:r>
        <w:rPr>
          <w:noProof/>
        </w:rPr>
        <w:t>-emissioner fra IPCC-kildekategori "1.A.3.A civil luftfart"  sættes lig nul.</w:t>
      </w:r>
    </w:p>
    <w:p w:rsidR="00DE7E70" w:rsidRDefault="00DE7E70">
      <w:pPr>
        <w:pStyle w:val="Text1"/>
        <w:ind w:left="0"/>
        <w:rPr>
          <w:noProof/>
        </w:rPr>
      </w:pPr>
    </w:p>
    <w:p w:rsidR="00DE7E70" w:rsidRDefault="00B85DCD">
      <w:pPr>
        <w:pStyle w:val="Text1"/>
        <w:ind w:left="0"/>
        <w:jc w:val="center"/>
        <w:rPr>
          <w:i/>
          <w:noProof/>
        </w:rPr>
      </w:pPr>
      <w:r>
        <w:rPr>
          <w:i/>
          <w:noProof/>
        </w:rPr>
        <w:t>Artikel 3</w:t>
      </w:r>
    </w:p>
    <w:p w:rsidR="00DE7E70" w:rsidRDefault="00B85DCD">
      <w:pPr>
        <w:pStyle w:val="Text1"/>
        <w:ind w:left="0"/>
        <w:jc w:val="center"/>
        <w:rPr>
          <w:b/>
          <w:noProof/>
        </w:rPr>
      </w:pPr>
      <w:r>
        <w:rPr>
          <w:b/>
          <w:noProof/>
        </w:rPr>
        <w:t>Definitioner</w:t>
      </w:r>
    </w:p>
    <w:p w:rsidR="00DE7E70" w:rsidRDefault="00B85DCD">
      <w:pPr>
        <w:pStyle w:val="ManualNumPar1"/>
        <w:ind w:left="0" w:firstLine="0"/>
        <w:rPr>
          <w:noProof/>
        </w:rPr>
      </w:pPr>
      <w:r>
        <w:rPr>
          <w:noProof/>
        </w:rPr>
        <w:t>I denne forordn</w:t>
      </w:r>
      <w:r>
        <w:rPr>
          <w:noProof/>
        </w:rPr>
        <w:t>ing forstås ved:</w:t>
      </w:r>
    </w:p>
    <w:p w:rsidR="00DE7E70" w:rsidRDefault="00B85DCD">
      <w:pPr>
        <w:pStyle w:val="ManualNumPar1"/>
        <w:rPr>
          <w:noProof/>
        </w:rPr>
      </w:pPr>
      <w:r>
        <w:rPr>
          <w:noProof/>
        </w:rPr>
        <w:t>1.</w:t>
      </w:r>
      <w:r>
        <w:rPr>
          <w:noProof/>
        </w:rPr>
        <w:tab/>
        <w:t>"Drivhusgasemissioner": emissioner i ton CO</w:t>
      </w:r>
      <w:r>
        <w:rPr>
          <w:noProof/>
          <w:vertAlign w:val="subscript"/>
        </w:rPr>
        <w:t>2</w:t>
      </w:r>
      <w:r>
        <w:rPr>
          <w:noProof/>
        </w:rPr>
        <w:t>-ækvivalenter af kuldioxid (CO</w:t>
      </w:r>
      <w:r>
        <w:rPr>
          <w:noProof/>
          <w:vertAlign w:val="subscript"/>
        </w:rPr>
        <w:t>2</w:t>
      </w:r>
      <w:r>
        <w:rPr>
          <w:noProof/>
        </w:rPr>
        <w:t>), metan (CH</w:t>
      </w:r>
      <w:r>
        <w:rPr>
          <w:noProof/>
          <w:vertAlign w:val="subscript"/>
        </w:rPr>
        <w:t>4</w:t>
      </w:r>
      <w:r>
        <w:rPr>
          <w:noProof/>
        </w:rPr>
        <w:t xml:space="preserve">), </w:t>
      </w:r>
      <w:r>
        <w:rPr>
          <w:noProof/>
          <w:szCs w:val="24"/>
        </w:rPr>
        <w:t>dinitrogenoxid</w:t>
      </w:r>
      <w:r>
        <w:rPr>
          <w:noProof/>
        </w:rPr>
        <w:t xml:space="preserve"> (N</w:t>
      </w:r>
      <w:r>
        <w:rPr>
          <w:noProof/>
          <w:vertAlign w:val="subscript"/>
        </w:rPr>
        <w:t>2</w:t>
      </w:r>
      <w:r>
        <w:rPr>
          <w:noProof/>
        </w:rPr>
        <w:t xml:space="preserve">O), hydrofluorcarboner (HFC), perfluorcarboner (PFC), </w:t>
      </w:r>
      <w:r>
        <w:rPr>
          <w:noProof/>
          <w:szCs w:val="24"/>
        </w:rPr>
        <w:t>nitrogentrifluorid</w:t>
      </w:r>
      <w:r>
        <w:rPr>
          <w:noProof/>
        </w:rPr>
        <w:t xml:space="preserve"> (NF</w:t>
      </w:r>
      <w:r>
        <w:rPr>
          <w:noProof/>
          <w:vertAlign w:val="subscript"/>
        </w:rPr>
        <w:t>3</w:t>
      </w:r>
      <w:r>
        <w:rPr>
          <w:noProof/>
        </w:rPr>
        <w:t>) og svovlhexafluorid (SF</w:t>
      </w:r>
      <w:r>
        <w:rPr>
          <w:noProof/>
          <w:vertAlign w:val="subscript"/>
        </w:rPr>
        <w:t>6</w:t>
      </w:r>
      <w:r>
        <w:rPr>
          <w:noProof/>
        </w:rPr>
        <w:t xml:space="preserve">) som fastsat i henhold </w:t>
      </w:r>
      <w:r>
        <w:rPr>
          <w:noProof/>
        </w:rPr>
        <w:t>til forordning (EU) nr. 525/2013, og som er omfattet af denne forordning.</w:t>
      </w:r>
    </w:p>
    <w:p w:rsidR="00DE7E70" w:rsidRDefault="00B85DCD">
      <w:pPr>
        <w:pStyle w:val="ManualNumPar1"/>
        <w:rPr>
          <w:noProof/>
        </w:rPr>
      </w:pPr>
      <w:r>
        <w:rPr>
          <w:noProof/>
        </w:rPr>
        <w:t>2.</w:t>
      </w:r>
      <w:r>
        <w:rPr>
          <w:noProof/>
        </w:rPr>
        <w:tab/>
        <w:t>"Årlige emissionstildelinger": betyder de maksimalt tilladte drivhusgasemissioner for hvert år mellem 2021 og 2030, jf. artikel 4, stk. 3, og artikel 10.</w:t>
      </w:r>
    </w:p>
    <w:p w:rsidR="00DE7E70" w:rsidRDefault="00B85DCD">
      <w:pPr>
        <w:pStyle w:val="Titrearticle"/>
        <w:rPr>
          <w:noProof/>
        </w:rPr>
      </w:pPr>
      <w:r>
        <w:rPr>
          <w:noProof/>
        </w:rPr>
        <w:t>Artikel 4</w:t>
      </w:r>
    </w:p>
    <w:p w:rsidR="00DE7E70" w:rsidRDefault="00B85DCD">
      <w:pPr>
        <w:pStyle w:val="NormalCentered"/>
        <w:rPr>
          <w:b/>
          <w:noProof/>
        </w:rPr>
      </w:pPr>
      <w:r>
        <w:rPr>
          <w:b/>
          <w:noProof/>
        </w:rPr>
        <w:t xml:space="preserve">Årlige </w:t>
      </w:r>
      <w:r>
        <w:rPr>
          <w:b/>
          <w:noProof/>
        </w:rPr>
        <w:t>emissionsniveauer for perioden fra 2021 til 2030</w:t>
      </w:r>
    </w:p>
    <w:p w:rsidR="00DE7E70" w:rsidRDefault="00B85DCD">
      <w:pPr>
        <w:pStyle w:val="ManualNumPar1"/>
        <w:rPr>
          <w:noProof/>
        </w:rPr>
      </w:pPr>
      <w:r>
        <w:rPr>
          <w:noProof/>
        </w:rPr>
        <w:t>1.</w:t>
      </w:r>
      <w:r>
        <w:rPr>
          <w:noProof/>
        </w:rPr>
        <w:tab/>
        <w:t>Hver enkelt medlemsstat skal i 2030 begrænse sine drivhusgasemissioner med mindst den procentsats, der er angivet for medlemsstaten i bilag I til denne forordning, i forhold til sine emissioner i 2005 som</w:t>
      </w:r>
      <w:r>
        <w:rPr>
          <w:noProof/>
        </w:rPr>
        <w:t xml:space="preserve"> fastsat i stk. 3.</w:t>
      </w:r>
    </w:p>
    <w:p w:rsidR="00DE7E70" w:rsidRDefault="00B85DCD">
      <w:pPr>
        <w:pStyle w:val="ManualNumPar1"/>
        <w:rPr>
          <w:noProof/>
        </w:rPr>
      </w:pPr>
      <w:r>
        <w:rPr>
          <w:noProof/>
        </w:rPr>
        <w:t xml:space="preserve">2. </w:t>
      </w:r>
      <w:r>
        <w:rPr>
          <w:noProof/>
        </w:rPr>
        <w:tab/>
        <w:t>Med forbehold for den fleksibilitet, der er beskrevet i artikel 5, 6 og 7, og justeringen i henhold til artikel 10, stk. 2, og under hensyntagen til eventuelle nedsættelser som følge af anvendelsen af artikel 7 i beslutning nr. 406/2</w:t>
      </w:r>
      <w:r>
        <w:rPr>
          <w:noProof/>
        </w:rPr>
        <w:t>009/EF skal hver medlemsstat sikre, at dens drivhusgasemissioner hvert år mellem 2021 og 2029 ikke overstiger det niveau, der er defineret ved et lineært forløb, som begynder i 2020, beregnet på gennemsnittet af drivhusgasemissioner i 2016, 2017 og 2018 og</w:t>
      </w:r>
      <w:r>
        <w:rPr>
          <w:noProof/>
        </w:rPr>
        <w:t xml:space="preserve"> fastsat i henhold til stk. 3, og slutter i 2030 på det fastsatte niveau for denne medlemsstat i bilag I til denne forordning.</w:t>
      </w:r>
    </w:p>
    <w:p w:rsidR="00DE7E70" w:rsidRDefault="00B85DCD">
      <w:pPr>
        <w:pStyle w:val="ManualNumPar1"/>
        <w:rPr>
          <w:noProof/>
        </w:rPr>
      </w:pPr>
      <w:r>
        <w:rPr>
          <w:noProof/>
        </w:rPr>
        <w:t xml:space="preserve">3. </w:t>
      </w:r>
      <w:r>
        <w:rPr>
          <w:noProof/>
        </w:rPr>
        <w:tab/>
        <w:t>Kommissionen vedtager en gennemførelsesretsakt om fastsættelse af de årlige emissionstildelinger for årene 2021-2030 i ton CO</w:t>
      </w:r>
      <w:r>
        <w:rPr>
          <w:noProof/>
          <w:vertAlign w:val="subscript"/>
        </w:rPr>
        <w:t>2</w:t>
      </w:r>
      <w:r>
        <w:rPr>
          <w:noProof/>
        </w:rPr>
        <w:t>-ækvivalenter som anført i stk. 1 og 2. For så vidt gælder denne gennemførelsesretsakt skal Kommissionen foretage en omfattende gennemgang af de seneste nationale opgørelser for årene 2005 og 2016 til 2018, som medlemsstaterne har indgivet i henhold til a</w:t>
      </w:r>
      <w:r>
        <w:rPr>
          <w:noProof/>
        </w:rPr>
        <w:t xml:space="preserve">rtikel 7 i forordning </w:t>
      </w:r>
      <w:r>
        <w:rPr>
          <w:noProof/>
        </w:rPr>
        <w:br/>
        <w:t>(EU) 525/2013.</w:t>
      </w:r>
    </w:p>
    <w:p w:rsidR="00DE7E70" w:rsidRDefault="00B85DCD">
      <w:pPr>
        <w:pStyle w:val="ManualNumPar1"/>
        <w:rPr>
          <w:noProof/>
        </w:rPr>
      </w:pPr>
      <w:r>
        <w:rPr>
          <w:noProof/>
        </w:rPr>
        <w:t>4.</w:t>
      </w:r>
      <w:r>
        <w:rPr>
          <w:noProof/>
        </w:rPr>
        <w:tab/>
        <w:t>Denne gennemførelsesretsakt skal også angive, på grundlag af de procentsatser, som medlemsstaterne fremsender i henhold til artikel 6, stk. 2, de mængder, der kan tages i betragtning med henblik på deres overholdels</w:t>
      </w:r>
      <w:r>
        <w:rPr>
          <w:noProof/>
        </w:rPr>
        <w:t xml:space="preserve">e af kravene i artikel 9 mellem 2021 og 2030. Hvis den samlede mængde for alle medlemsstaterne overstiger den samlede mængde på 100 millioner, skal hver enkelt medlemsstat reducere sin mængde </w:t>
      </w:r>
      <w:r>
        <w:rPr>
          <w:i/>
          <w:noProof/>
        </w:rPr>
        <w:t>pro rata</w:t>
      </w:r>
      <w:r>
        <w:rPr>
          <w:noProof/>
        </w:rPr>
        <w:t>, således at den samlede mængde ikke overstiges.</w:t>
      </w:r>
    </w:p>
    <w:p w:rsidR="00DE7E70" w:rsidRDefault="00B85DCD">
      <w:pPr>
        <w:pStyle w:val="ManualNumPar1"/>
        <w:rPr>
          <w:noProof/>
        </w:rPr>
      </w:pPr>
      <w:r>
        <w:rPr>
          <w:noProof/>
        </w:rPr>
        <w:t>5.</w:t>
      </w:r>
      <w:r>
        <w:rPr>
          <w:noProof/>
        </w:rPr>
        <w:tab/>
        <w:t>Denn</w:t>
      </w:r>
      <w:r>
        <w:rPr>
          <w:noProof/>
        </w:rPr>
        <w:t>e gennemførelsesretsakt vedtages efter undersøgelsesproceduren i artikel 13.</w:t>
      </w:r>
    </w:p>
    <w:p w:rsidR="00DE7E70" w:rsidRDefault="00B85DCD">
      <w:pPr>
        <w:pStyle w:val="Titrearticle"/>
        <w:rPr>
          <w:noProof/>
        </w:rPr>
      </w:pPr>
      <w:r>
        <w:rPr>
          <w:noProof/>
        </w:rPr>
        <w:t>Artikel 5</w:t>
      </w:r>
    </w:p>
    <w:p w:rsidR="00DE7E70" w:rsidRDefault="00B85DCD">
      <w:pPr>
        <w:pStyle w:val="NormalCentered"/>
        <w:rPr>
          <w:b/>
          <w:strike/>
          <w:noProof/>
        </w:rPr>
      </w:pPr>
      <w:r>
        <w:rPr>
          <w:b/>
          <w:noProof/>
        </w:rPr>
        <w:t>Fleksibilitetsinstrumenter for at overholde de årlige grænseværdier</w:t>
      </w:r>
    </w:p>
    <w:p w:rsidR="00DE7E70" w:rsidRDefault="00B85DCD">
      <w:pPr>
        <w:pStyle w:val="ManualNumPar1"/>
        <w:ind w:left="709" w:hanging="709"/>
        <w:rPr>
          <w:noProof/>
        </w:rPr>
      </w:pPr>
      <w:r>
        <w:rPr>
          <w:noProof/>
        </w:rPr>
        <w:t>1.</w:t>
      </w:r>
      <w:r>
        <w:rPr>
          <w:noProof/>
        </w:rPr>
        <w:tab/>
        <w:t>Medlemsstaterne kan anvende de fleksibilitetsinstrumenter, der er anført i stk. 2 til 6 i denne ar</w:t>
      </w:r>
      <w:r>
        <w:rPr>
          <w:noProof/>
        </w:rPr>
        <w:t>tikel, og i artikel 6 og 7.</w:t>
      </w:r>
    </w:p>
    <w:p w:rsidR="00DE7E70" w:rsidRDefault="00B85DCD">
      <w:pPr>
        <w:pStyle w:val="ManualNumPar1"/>
        <w:ind w:left="709" w:hanging="709"/>
        <w:rPr>
          <w:noProof/>
        </w:rPr>
      </w:pPr>
      <w:r>
        <w:rPr>
          <w:noProof/>
        </w:rPr>
        <w:t>2.</w:t>
      </w:r>
      <w:r>
        <w:rPr>
          <w:noProof/>
        </w:rPr>
        <w:tab/>
        <w:t xml:space="preserve">For årene 2021 til 2029 kan en medlemsstat låne en mængde på op til 5 % af sin årlige emissionstildeling til det følgende år. </w:t>
      </w:r>
    </w:p>
    <w:p w:rsidR="00DE7E70" w:rsidRDefault="00B85DCD">
      <w:pPr>
        <w:pStyle w:val="ManualNumPar1"/>
        <w:ind w:left="709" w:hanging="709"/>
        <w:rPr>
          <w:noProof/>
        </w:rPr>
      </w:pPr>
      <w:r>
        <w:rPr>
          <w:noProof/>
        </w:rPr>
        <w:t>3</w:t>
      </w:r>
      <w:r>
        <w:rPr>
          <w:noProof/>
        </w:rPr>
        <w:tab/>
        <w:t>En medlemsstat, hvis drivhusgasemissioner for et givet år er under den årligt tildelte emissions</w:t>
      </w:r>
      <w:r>
        <w:rPr>
          <w:noProof/>
        </w:rPr>
        <w:t>tildeling for det pågældende år, under hensyntagen til brugen af fleksibilitetsinstrumenter i henhold til denne artikel og artikel 6, kan gemme den overskydende del af sin årlige emissionstildeling for de efterfølgende år frem til 2030.</w:t>
      </w:r>
    </w:p>
    <w:p w:rsidR="00DE7E70" w:rsidRDefault="00B85DCD">
      <w:pPr>
        <w:pStyle w:val="ManualNumPar1"/>
        <w:ind w:left="709" w:hanging="709"/>
        <w:rPr>
          <w:noProof/>
        </w:rPr>
      </w:pPr>
      <w:r>
        <w:rPr>
          <w:noProof/>
        </w:rPr>
        <w:t>4.</w:t>
      </w:r>
      <w:r>
        <w:rPr>
          <w:noProof/>
        </w:rPr>
        <w:tab/>
        <w:t>En medlemsstat k</w:t>
      </w:r>
      <w:r>
        <w:rPr>
          <w:noProof/>
        </w:rPr>
        <w:t>an overføre op til 5 % af sin årlige emissionstildeling i et givet år til andre medlemsstater. Den modtagende medlemsstat kan anvende den pågældende mængde til at opfylde sine forpligtelser i henhold til artikel 9 for det pågældende år eller de efterfølgen</w:t>
      </w:r>
      <w:r>
        <w:rPr>
          <w:noProof/>
        </w:rPr>
        <w:t>de år indtil 2030.</w:t>
      </w:r>
    </w:p>
    <w:p w:rsidR="00DE7E70" w:rsidRDefault="00B85DCD">
      <w:pPr>
        <w:pStyle w:val="ManualNumPar1"/>
        <w:ind w:left="709" w:hanging="709"/>
        <w:rPr>
          <w:bCs/>
          <w:noProof/>
        </w:rPr>
      </w:pPr>
      <w:r>
        <w:rPr>
          <w:noProof/>
        </w:rPr>
        <w:t>5.</w:t>
      </w:r>
      <w:r>
        <w:rPr>
          <w:noProof/>
        </w:rPr>
        <w:tab/>
        <w:t xml:space="preserve">En medlemsstat kan overføre den del af sin årlige emissionstildeling for et givet år, der overstiger dens drivhusgasemissioner i dette år, under hensyntagen til brugen af fleksibilitetsinstrumenter i medfør af stk. 2 til 4 og artikel </w:t>
      </w:r>
      <w:r>
        <w:rPr>
          <w:noProof/>
        </w:rPr>
        <w:t>6 til andre medlemsstater. En modtagende medlemsstat kan anvende den pågældende mængde til at opfylde sine forpligtelser i henhold til artikel 9 for det pågældende år eller de efterfølgende år indtil 2030.</w:t>
      </w:r>
    </w:p>
    <w:p w:rsidR="00DE7E70" w:rsidRDefault="00B85DCD">
      <w:pPr>
        <w:pStyle w:val="ManualNumPar1"/>
        <w:ind w:left="709" w:hanging="709"/>
        <w:rPr>
          <w:noProof/>
        </w:rPr>
      </w:pPr>
      <w:r>
        <w:rPr>
          <w:noProof/>
        </w:rPr>
        <w:t>6.</w:t>
      </w:r>
      <w:r>
        <w:rPr>
          <w:noProof/>
        </w:rPr>
        <w:tab/>
        <w:t>Medlemsstaterne skal kunne anvende kreditter fr</w:t>
      </w:r>
      <w:r>
        <w:rPr>
          <w:noProof/>
        </w:rPr>
        <w:t>a projekter, der er udstedt i henhold til artikel 24a, stk.1, i direktiv 2003/87/EF, til overholdelse i henhold til artikel 9, uden nogen kvantitativ begrænsning, og samtidigt med at dobbelttælling undgås.</w:t>
      </w:r>
    </w:p>
    <w:p w:rsidR="00DE7E70" w:rsidRDefault="00B85DCD">
      <w:pPr>
        <w:keepNext/>
        <w:spacing w:before="360"/>
        <w:jc w:val="center"/>
        <w:rPr>
          <w:i/>
          <w:noProof/>
        </w:rPr>
      </w:pPr>
      <w:r>
        <w:rPr>
          <w:i/>
          <w:noProof/>
        </w:rPr>
        <w:t>Artikel 6</w:t>
      </w:r>
    </w:p>
    <w:p w:rsidR="00DE7E70" w:rsidRDefault="00B85DCD">
      <w:pPr>
        <w:jc w:val="center"/>
        <w:rPr>
          <w:b/>
          <w:strike/>
          <w:noProof/>
        </w:rPr>
      </w:pPr>
      <w:r>
        <w:rPr>
          <w:b/>
          <w:noProof/>
        </w:rPr>
        <w:t>Fleksibilitet for visse medlemsstater so</w:t>
      </w:r>
      <w:r>
        <w:rPr>
          <w:b/>
          <w:noProof/>
        </w:rPr>
        <w:t>m følge af reduktion af EU ETS-kvoter</w:t>
      </w:r>
    </w:p>
    <w:p w:rsidR="00DE7E70" w:rsidRDefault="00B85DCD">
      <w:pPr>
        <w:pStyle w:val="ManualNumPar1"/>
        <w:rPr>
          <w:noProof/>
        </w:rPr>
      </w:pPr>
      <w:r>
        <w:rPr>
          <w:noProof/>
        </w:rPr>
        <w:t>1.</w:t>
      </w:r>
      <w:r>
        <w:rPr>
          <w:noProof/>
        </w:rPr>
        <w:tab/>
        <w:t>De medlemsstater, der kan få en begrænset annullering af op til maksimum 100 millioner EU ETS-kvoter, som defineret i artikel 3, litra a), i direktiv 2003/87/EF, taget samlet i betragtning med henblik på deres overh</w:t>
      </w:r>
      <w:r>
        <w:rPr>
          <w:noProof/>
        </w:rPr>
        <w:t>oldelse i henhold til denne forordning, er opført i bilag II til denne forordning.</w:t>
      </w:r>
    </w:p>
    <w:p w:rsidR="00DE7E70" w:rsidRDefault="00B85DCD">
      <w:pPr>
        <w:pStyle w:val="ManualNumPar1"/>
        <w:rPr>
          <w:noProof/>
        </w:rPr>
      </w:pPr>
      <w:r>
        <w:rPr>
          <w:noProof/>
          <w:color w:val="000000" w:themeColor="text1"/>
        </w:rPr>
        <w:t>2.</w:t>
      </w:r>
      <w:r>
        <w:rPr>
          <w:noProof/>
          <w:color w:val="000000" w:themeColor="text1"/>
        </w:rPr>
        <w:tab/>
      </w:r>
      <w:r>
        <w:rPr>
          <w:noProof/>
        </w:rPr>
        <w:t>Medlemsstater opført i bilag II skal underrette Kommissionen senest den 31. december 2019 om enhver hensigt om at gøre brug af en begrænset annullering af kvoter op til d</w:t>
      </w:r>
      <w:r>
        <w:rPr>
          <w:noProof/>
        </w:rPr>
        <w:t>en procentdel, der er anført i bilag II for den pågældende medlemsstat, med henblik på overholdelsen af artikel 9.</w:t>
      </w:r>
    </w:p>
    <w:p w:rsidR="00DE7E70" w:rsidRDefault="00B85DCD">
      <w:pPr>
        <w:pStyle w:val="ManualNumPar1"/>
        <w:rPr>
          <w:noProof/>
        </w:rPr>
      </w:pPr>
      <w:r>
        <w:rPr>
          <w:noProof/>
        </w:rPr>
        <w:t>3.</w:t>
      </w:r>
      <w:r>
        <w:rPr>
          <w:noProof/>
        </w:rPr>
        <w:tab/>
        <w:t>På en medlemsstats anmodning skal den centrale administrator, der er udpeget efter artikel 20 i direktiv 2003/87/ EF (herefter "den centra</w:t>
      </w:r>
      <w:r>
        <w:rPr>
          <w:noProof/>
        </w:rPr>
        <w:t>le administrator"), tage hensyn til den i artikel 4, stk. 4, nævnte mængde for den givne medlemsstats overholdelse i henhold til artikel 9. En tiendedel af den kvotemængde, der er fastlagt i henhold til artikel 4, stk. 4, annulleres i henhold til artikel 1</w:t>
      </w:r>
      <w:r>
        <w:rPr>
          <w:noProof/>
        </w:rPr>
        <w:t>2, stk. 4, i direktiv 2003/87/EF for hvert år fra 2021 til 2030.</w:t>
      </w:r>
    </w:p>
    <w:p w:rsidR="00DE7E70" w:rsidRDefault="00B85DCD">
      <w:pPr>
        <w:spacing w:before="0" w:after="200" w:line="276" w:lineRule="auto"/>
        <w:jc w:val="left"/>
        <w:rPr>
          <w:i/>
          <w:noProof/>
        </w:rPr>
      </w:pPr>
      <w:r>
        <w:rPr>
          <w:noProof/>
        </w:rPr>
        <w:br w:type="page"/>
      </w:r>
    </w:p>
    <w:p w:rsidR="00DE7E70" w:rsidRDefault="00B85DCD">
      <w:pPr>
        <w:pStyle w:val="Titrearticle"/>
        <w:rPr>
          <w:noProof/>
        </w:rPr>
      </w:pPr>
      <w:r>
        <w:rPr>
          <w:noProof/>
        </w:rPr>
        <w:t>Artikel 7</w:t>
      </w:r>
    </w:p>
    <w:p w:rsidR="00DE7E70" w:rsidRDefault="00B85DCD">
      <w:pPr>
        <w:pStyle w:val="NormalCentered"/>
        <w:rPr>
          <w:b/>
          <w:noProof/>
        </w:rPr>
      </w:pPr>
      <w:r>
        <w:rPr>
          <w:b/>
          <w:noProof/>
        </w:rPr>
        <w:t xml:space="preserve">Yderligere anvendelse af op til 280 millioner nettooptag fra ryddede arealer, nyplantede arealer, forvaltede dyrkede arealer og forvaltede græsarealer </w:t>
      </w:r>
    </w:p>
    <w:p w:rsidR="00DE7E70" w:rsidRDefault="00DE7E70">
      <w:pPr>
        <w:pStyle w:val="ManualNumPar1"/>
        <w:rPr>
          <w:noProof/>
        </w:rPr>
      </w:pPr>
    </w:p>
    <w:p w:rsidR="00DE7E70" w:rsidRDefault="00B85DCD">
      <w:pPr>
        <w:pStyle w:val="ManualNumPar1"/>
        <w:ind w:left="720" w:hanging="720"/>
        <w:rPr>
          <w:noProof/>
        </w:rPr>
      </w:pPr>
      <w:r>
        <w:rPr>
          <w:noProof/>
          <w:color w:val="000000" w:themeColor="text1"/>
        </w:rPr>
        <w:t>1.</w:t>
      </w:r>
      <w:r>
        <w:rPr>
          <w:noProof/>
          <w:color w:val="000000" w:themeColor="text1"/>
        </w:rPr>
        <w:tab/>
      </w:r>
      <w:r>
        <w:rPr>
          <w:noProof/>
        </w:rPr>
        <w:t>I det omfang, at en medlemsstats emissioner overskrider dens årlige emissionstildelinger for et givet år, kan en mængde op til summen af det samlede nettooptag og de samlede nettoemissioner fra de kombinerede regnskabskategorier ryddede arealer, nyplantede</w:t>
      </w:r>
      <w:r>
        <w:rPr>
          <w:noProof/>
        </w:rPr>
        <w:t xml:space="preserve"> arealer, forvaltede dyrkede arealer og forvaltede græsarealer, jf. artikel 2 i forordning [  ] [LULUCF], tages i betragtning med henblik på overholdelsen af denne forordnings artikel 9 for det pågældende år, forudsat at: </w:t>
      </w:r>
    </w:p>
    <w:p w:rsidR="00DE7E70" w:rsidRDefault="00B85DCD">
      <w:pPr>
        <w:pStyle w:val="ManualNumPar1"/>
        <w:ind w:left="720" w:firstLine="0"/>
        <w:rPr>
          <w:noProof/>
          <w:color w:val="000000" w:themeColor="text1"/>
        </w:rPr>
      </w:pPr>
      <w:r>
        <w:rPr>
          <w:noProof/>
          <w:color w:val="000000" w:themeColor="text1"/>
        </w:rPr>
        <w:t xml:space="preserve">a) den kumulative mængde for den </w:t>
      </w:r>
      <w:r>
        <w:rPr>
          <w:noProof/>
          <w:color w:val="000000" w:themeColor="text1"/>
        </w:rPr>
        <w:t>pågældende medlemsstat for alle årene i perioden 2021-2030 ikke overstiger det niveau, der er fastsat i bilag III for denne medlemsstat</w:t>
      </w:r>
    </w:p>
    <w:p w:rsidR="00DE7E70" w:rsidRDefault="00B85DCD">
      <w:pPr>
        <w:pStyle w:val="ManualNumPar1"/>
        <w:ind w:left="720" w:firstLine="0"/>
        <w:rPr>
          <w:noProof/>
          <w:color w:val="000000" w:themeColor="text1"/>
        </w:rPr>
      </w:pPr>
      <w:r>
        <w:rPr>
          <w:noProof/>
          <w:color w:val="000000" w:themeColor="text1"/>
        </w:rPr>
        <w:t>b) denne mængde overstiger kravene for den givne medlemsstat i henhold til artikel 4 i forordning [     ] [LULUCF]</w:t>
      </w:r>
    </w:p>
    <w:p w:rsidR="00DE7E70" w:rsidRDefault="00B85DCD">
      <w:pPr>
        <w:pStyle w:val="ManualNumPar1"/>
        <w:ind w:left="720" w:firstLine="0"/>
        <w:rPr>
          <w:noProof/>
          <w:color w:val="000000" w:themeColor="text1"/>
        </w:rPr>
      </w:pPr>
      <w:r>
        <w:rPr>
          <w:noProof/>
        </w:rPr>
        <w:t xml:space="preserve">c) </w:t>
      </w:r>
      <w:r>
        <w:rPr>
          <w:noProof/>
        </w:rPr>
        <w:t>medlemsstaten ikke har fået flere nettooptag i henhold til forordning [     ] [LULUCF] fra andre medlemsstater, end den har overført, og</w:t>
      </w:r>
    </w:p>
    <w:p w:rsidR="00DE7E70" w:rsidRDefault="00B85DCD">
      <w:pPr>
        <w:pStyle w:val="ManualNumPar1"/>
        <w:ind w:left="720" w:firstLine="0"/>
        <w:rPr>
          <w:noProof/>
        </w:rPr>
      </w:pPr>
      <w:r>
        <w:rPr>
          <w:noProof/>
        </w:rPr>
        <w:t>d) medlemsstaten har overholdt kravene i forordning [  ] [LULUCF].</w:t>
      </w:r>
    </w:p>
    <w:p w:rsidR="00DE7E70" w:rsidRDefault="00B85DCD">
      <w:pPr>
        <w:pStyle w:val="ManualNumPar1"/>
        <w:ind w:left="720" w:hanging="720"/>
        <w:rPr>
          <w:noProof/>
        </w:rPr>
      </w:pPr>
      <w:r>
        <w:rPr>
          <w:noProof/>
          <w:color w:val="000000" w:themeColor="text1"/>
        </w:rPr>
        <w:t>2.</w:t>
      </w:r>
      <w:r>
        <w:rPr>
          <w:noProof/>
          <w:color w:val="000000" w:themeColor="text1"/>
        </w:rPr>
        <w:tab/>
      </w:r>
      <w:r>
        <w:rPr>
          <w:noProof/>
        </w:rPr>
        <w:t>Når den delegerede retsakt, der skal ajourføre re</w:t>
      </w:r>
      <w:r>
        <w:rPr>
          <w:noProof/>
        </w:rPr>
        <w:t>ferenceværdierne for skove på grundlag af de nationale regnskabsplaner for skovbrug i henhold til artikel 8, stk. 6, i forordning [LULUCF], bliver vedtaget, tildeles Kommissionen beføjelser til at vedtage en delegeret retsakt for at ændre stk. 1 i denne ar</w:t>
      </w:r>
      <w:r>
        <w:rPr>
          <w:noProof/>
        </w:rPr>
        <w:t xml:space="preserve">tikel for at tage hensyn til bidraget fra regnskabskategorien forvaltet skovbrugsland i overensstemmelse med artikel 12 i denne forordning. </w:t>
      </w:r>
    </w:p>
    <w:p w:rsidR="00DE7E70" w:rsidRDefault="00B85DCD">
      <w:pPr>
        <w:pStyle w:val="Titrearticle"/>
        <w:rPr>
          <w:noProof/>
        </w:rPr>
      </w:pPr>
      <w:r>
        <w:rPr>
          <w:noProof/>
        </w:rPr>
        <w:t>Artikel 8</w:t>
      </w:r>
    </w:p>
    <w:p w:rsidR="00DE7E70" w:rsidRDefault="00B85DCD">
      <w:pPr>
        <w:pStyle w:val="NormalCentered"/>
        <w:rPr>
          <w:b/>
          <w:noProof/>
        </w:rPr>
      </w:pPr>
      <w:r>
        <w:rPr>
          <w:b/>
          <w:noProof/>
        </w:rPr>
        <w:t>Korrigerende foranstaltninger</w:t>
      </w:r>
    </w:p>
    <w:p w:rsidR="00DE7E70" w:rsidRDefault="00B85DCD">
      <w:pPr>
        <w:pStyle w:val="ManualNumPar1"/>
        <w:rPr>
          <w:noProof/>
        </w:rPr>
      </w:pPr>
      <w:r>
        <w:rPr>
          <w:noProof/>
        </w:rPr>
        <w:t>1.</w:t>
      </w:r>
      <w:r>
        <w:rPr>
          <w:noProof/>
        </w:rPr>
        <w:tab/>
        <w:t>En medlemsstat, der i henhold til artikel 21 i forordning (EU) nr. 525/2</w:t>
      </w:r>
      <w:r>
        <w:rPr>
          <w:noProof/>
        </w:rPr>
        <w:t>013 vurderes ikke at gøre tilstrækkelige fremskridt, skal inden for tre måneder forelægge Kommissionen en handlingsplan, der omfatter:</w:t>
      </w:r>
    </w:p>
    <w:p w:rsidR="00DE7E70" w:rsidRDefault="00B85DCD">
      <w:pPr>
        <w:pStyle w:val="ManualNumPar2"/>
        <w:ind w:hanging="130"/>
        <w:rPr>
          <w:noProof/>
        </w:rPr>
      </w:pPr>
      <w:r>
        <w:rPr>
          <w:noProof/>
        </w:rPr>
        <w:t xml:space="preserve">a) foranstaltninger, som medlemsstaten vil gennemføre for at opfylde sine specifikke forpligtelser i henhold til artikel </w:t>
      </w:r>
      <w:r>
        <w:rPr>
          <w:noProof/>
        </w:rPr>
        <w:t>4 gennem national lovgivning og nationale foranstaltninger og ved at gennemføre Unionens foranstaltninger</w:t>
      </w:r>
    </w:p>
    <w:p w:rsidR="00DE7E70" w:rsidRDefault="00B85DCD">
      <w:pPr>
        <w:pStyle w:val="ManualNumPar2"/>
        <w:ind w:hanging="130"/>
        <w:rPr>
          <w:noProof/>
        </w:rPr>
      </w:pPr>
      <w:r>
        <w:rPr>
          <w:noProof/>
        </w:rPr>
        <w:t>b) en tidsplan for gennemførelsen af disse foranstaltninger, som muliggør en vurdering af de årlige fremskridt med gennemførelsen.</w:t>
      </w:r>
    </w:p>
    <w:p w:rsidR="00DE7E70" w:rsidRDefault="00B85DCD">
      <w:pPr>
        <w:pStyle w:val="ManualNumPar1"/>
        <w:rPr>
          <w:noProof/>
        </w:rPr>
      </w:pPr>
      <w:r>
        <w:rPr>
          <w:noProof/>
        </w:rPr>
        <w:t xml:space="preserve">2. </w:t>
      </w:r>
      <w:r>
        <w:rPr>
          <w:noProof/>
        </w:rPr>
        <w:tab/>
        <w:t xml:space="preserve">Det Europæiske </w:t>
      </w:r>
      <w:r>
        <w:rPr>
          <w:noProof/>
        </w:rPr>
        <w:t>Miljøagentur skal bistå Kommissionen i dens evalueringsarbejde i overensstemmelse med dens årlige arbejdsprogram.</w:t>
      </w:r>
    </w:p>
    <w:p w:rsidR="00DE7E70" w:rsidRDefault="00DE7E70">
      <w:pPr>
        <w:pStyle w:val="Text1"/>
        <w:rPr>
          <w:noProof/>
        </w:rPr>
      </w:pPr>
    </w:p>
    <w:p w:rsidR="00DE7E70" w:rsidRDefault="00B85DCD">
      <w:pPr>
        <w:pStyle w:val="Titrearticle"/>
        <w:rPr>
          <w:noProof/>
        </w:rPr>
      </w:pPr>
      <w:r>
        <w:rPr>
          <w:noProof/>
        </w:rPr>
        <w:t>Artikel 9</w:t>
      </w:r>
    </w:p>
    <w:p w:rsidR="00DE7E70" w:rsidRDefault="00B85DCD">
      <w:pPr>
        <w:pStyle w:val="NormalCentered"/>
        <w:rPr>
          <w:b/>
          <w:noProof/>
        </w:rPr>
      </w:pPr>
      <w:r>
        <w:rPr>
          <w:b/>
          <w:noProof/>
        </w:rPr>
        <w:t xml:space="preserve">Kontrol af overholdelsen </w:t>
      </w:r>
    </w:p>
    <w:p w:rsidR="00DE7E70" w:rsidRDefault="00B85DCD">
      <w:pPr>
        <w:pStyle w:val="ManualNumPar1"/>
        <w:rPr>
          <w:noProof/>
        </w:rPr>
      </w:pPr>
      <w:r>
        <w:rPr>
          <w:noProof/>
        </w:rPr>
        <w:t>1.</w:t>
      </w:r>
      <w:r>
        <w:rPr>
          <w:noProof/>
        </w:rPr>
        <w:tab/>
        <w:t>Hvis de evaluerede drivhusgasemissioner i 2027 og 2032 i en medlemsstat overskrider dennes årlige emis</w:t>
      </w:r>
      <w:r>
        <w:rPr>
          <w:noProof/>
        </w:rPr>
        <w:t>sionstildeling for ethvert givet år i perioden i henhold til denne artikels stk. 2 og den fleksibilitet, der anvendes i henhold til artikel 5 til 7, finder følgende foranstaltninger anvendelse:</w:t>
      </w:r>
    </w:p>
    <w:p w:rsidR="00DE7E70" w:rsidRDefault="00B85DCD">
      <w:pPr>
        <w:pStyle w:val="ManualNumPar1"/>
        <w:ind w:hanging="130"/>
        <w:rPr>
          <w:noProof/>
        </w:rPr>
      </w:pPr>
      <w:r>
        <w:rPr>
          <w:noProof/>
        </w:rPr>
        <w:t>a)</w:t>
      </w:r>
      <w:r>
        <w:rPr>
          <w:noProof/>
        </w:rPr>
        <w:tab/>
        <w:t>en tilføjelse til medlemsstatens emissionsmængde for det fø</w:t>
      </w:r>
      <w:r>
        <w:rPr>
          <w:noProof/>
        </w:rPr>
        <w:t>lgende år svarende til mængden i ton CO</w:t>
      </w:r>
      <w:r>
        <w:rPr>
          <w:noProof/>
          <w:vertAlign w:val="subscript"/>
        </w:rPr>
        <w:t>2</w:t>
      </w:r>
      <w:r>
        <w:rPr>
          <w:noProof/>
        </w:rPr>
        <w:t>-ækvivalenter af de overskydende drivhusgasser ganget med en faktor på 1,08 i overensstemmelse med de foranstaltninger, der vedtages i henhold til artikel 11, og</w:t>
      </w:r>
    </w:p>
    <w:p w:rsidR="00DE7E70" w:rsidRDefault="00B85DCD">
      <w:pPr>
        <w:pStyle w:val="ManualNumPar1"/>
        <w:ind w:hanging="130"/>
        <w:rPr>
          <w:noProof/>
        </w:rPr>
      </w:pPr>
      <w:r>
        <w:rPr>
          <w:noProof/>
        </w:rPr>
        <w:t>b)</w:t>
      </w:r>
      <w:r>
        <w:rPr>
          <w:noProof/>
        </w:rPr>
        <w:tab/>
        <w:t>denne medlemsstat vil midlertidigt blive forment at</w:t>
      </w:r>
      <w:r>
        <w:rPr>
          <w:noProof/>
        </w:rPr>
        <w:t xml:space="preserve"> overføre nogen del af sin årlige emissionstildeling til en anden medlemsstat, indtil den pågældende medlemsstat er i overensstemmelse med denne forordning. Den centrale administrator skal indføre dette forbud i det register, der er nævnt i artikel 11.</w:t>
      </w:r>
    </w:p>
    <w:p w:rsidR="00DE7E70" w:rsidRDefault="00B85DCD">
      <w:pPr>
        <w:pStyle w:val="ManualNumPar1"/>
        <w:rPr>
          <w:noProof/>
        </w:rPr>
      </w:pPr>
      <w:r>
        <w:rPr>
          <w:noProof/>
        </w:rPr>
        <w:t xml:space="preserve">2. </w:t>
      </w:r>
      <w:r>
        <w:rPr>
          <w:noProof/>
        </w:rPr>
        <w:tab/>
        <w:t>Hvis en medlemsstats drivhusgasemissioner enten i perioden 2021-2025 eller i perioden 2026-2030 i henhold til forordning [      ] overskrider optaget af drivhusgasser, som fastlagt i overensstemmelse med artikel 12 i samme forordning, skal der være et fra</w:t>
      </w:r>
      <w:r>
        <w:rPr>
          <w:noProof/>
        </w:rPr>
        <w:t>drag fra denne medlemsstats årlige emissionstildelinger svarende til mængden i ton CO</w:t>
      </w:r>
      <w:r>
        <w:rPr>
          <w:noProof/>
          <w:vertAlign w:val="subscript"/>
        </w:rPr>
        <w:t>2</w:t>
      </w:r>
      <w:r>
        <w:rPr>
          <w:noProof/>
        </w:rPr>
        <w:t>-ækvivalenter for de overskydende drivhusgasemissioner i de pågældende år.</w:t>
      </w:r>
    </w:p>
    <w:p w:rsidR="00DE7E70" w:rsidRDefault="00B85DCD">
      <w:pPr>
        <w:pStyle w:val="Titrearticle"/>
        <w:rPr>
          <w:noProof/>
        </w:rPr>
      </w:pPr>
      <w:r>
        <w:rPr>
          <w:noProof/>
        </w:rPr>
        <w:t>Artikel 10</w:t>
      </w:r>
    </w:p>
    <w:p w:rsidR="00DE7E70" w:rsidRDefault="00B85DCD">
      <w:pPr>
        <w:pStyle w:val="NormalCentered"/>
        <w:rPr>
          <w:b/>
          <w:noProof/>
        </w:rPr>
      </w:pPr>
      <w:r>
        <w:rPr>
          <w:b/>
          <w:noProof/>
        </w:rPr>
        <w:t xml:space="preserve">Justeringer </w:t>
      </w:r>
    </w:p>
    <w:p w:rsidR="00DE7E70" w:rsidRDefault="00B85DCD">
      <w:pPr>
        <w:pStyle w:val="ManualNumPar1"/>
        <w:ind w:left="720" w:hanging="578"/>
        <w:rPr>
          <w:noProof/>
        </w:rPr>
      </w:pPr>
      <w:r>
        <w:rPr>
          <w:noProof/>
        </w:rPr>
        <w:t>1.</w:t>
      </w:r>
      <w:r>
        <w:rPr>
          <w:noProof/>
        </w:rPr>
        <w:tab/>
        <w:t>De årlige tildelinger for hver medlemsstat i henhold til artikel 4 i</w:t>
      </w:r>
      <w:r>
        <w:rPr>
          <w:noProof/>
        </w:rPr>
        <w:t xml:space="preserve"> denne forordning tilpasses, så de afspejler: </w:t>
      </w:r>
    </w:p>
    <w:p w:rsidR="00DE7E70" w:rsidRDefault="00B85DCD">
      <w:pPr>
        <w:pStyle w:val="ManualNumPar1"/>
        <w:ind w:hanging="130"/>
        <w:rPr>
          <w:noProof/>
        </w:rPr>
      </w:pPr>
      <w:r>
        <w:rPr>
          <w:noProof/>
        </w:rPr>
        <w:t xml:space="preserve">a) justeringer af antallet af kvoter for drivhusgasemissioner, der er udstedt i henhold til artikel 11 i direktiv 2003/87/EF, som følge af en ændring af, hvilke kilder der er omfattet i henhold til dette </w:t>
      </w:r>
      <w:r>
        <w:rPr>
          <w:noProof/>
        </w:rPr>
        <w:t>direktiv</w:t>
      </w:r>
    </w:p>
    <w:p w:rsidR="00DE7E70" w:rsidRDefault="00B85DCD">
      <w:pPr>
        <w:pStyle w:val="ManualNumPar1"/>
        <w:ind w:hanging="130"/>
        <w:rPr>
          <w:noProof/>
        </w:rPr>
      </w:pPr>
      <w:r>
        <w:rPr>
          <w:noProof/>
        </w:rPr>
        <w:t>b) justeringer af antallet af kvoter eller kreditter, der er udstedt i henhold til henholdsvis artikel 24 og 24a i direktiv 2003/87/EF for emissionsreduktioner i en medlemsstat, og</w:t>
      </w:r>
    </w:p>
    <w:p w:rsidR="00DE7E70" w:rsidRDefault="00B85DCD">
      <w:pPr>
        <w:pStyle w:val="ManualNumPar1"/>
        <w:ind w:hanging="130"/>
        <w:rPr>
          <w:noProof/>
        </w:rPr>
      </w:pPr>
      <w:r>
        <w:rPr>
          <w:noProof/>
        </w:rPr>
        <w:t xml:space="preserve">c) justeringer af antallet af kvoter for drivhusgasemissioner fra </w:t>
      </w:r>
      <w:r>
        <w:rPr>
          <w:noProof/>
        </w:rPr>
        <w:t>anlæg, der er udelukket fra EU ETS i overensstemmelse med artikel 27 i direktiv 2003/87/EF, for det tidsrum, hvori de er udelukket.</w:t>
      </w:r>
    </w:p>
    <w:p w:rsidR="00DE7E70" w:rsidRDefault="00B85DCD">
      <w:pPr>
        <w:pStyle w:val="ManualNumPar1"/>
        <w:rPr>
          <w:noProof/>
        </w:rPr>
      </w:pPr>
      <w:r>
        <w:rPr>
          <w:noProof/>
        </w:rPr>
        <w:t>2.</w:t>
      </w:r>
      <w:r>
        <w:rPr>
          <w:noProof/>
        </w:rPr>
        <w:tab/>
        <w:t xml:space="preserve">Den mængde, der fremgår af bilag IV til denne forordning, skal lægges til tildelingen for 2021 for de medlemsstater, der </w:t>
      </w:r>
      <w:r>
        <w:rPr>
          <w:noProof/>
        </w:rPr>
        <w:t>er nævnt i bilaget.</w:t>
      </w:r>
    </w:p>
    <w:p w:rsidR="00DE7E70" w:rsidRDefault="00B85DCD">
      <w:pPr>
        <w:pStyle w:val="ManualNumPar1"/>
        <w:rPr>
          <w:noProof/>
        </w:rPr>
      </w:pPr>
      <w:r>
        <w:rPr>
          <w:noProof/>
        </w:rPr>
        <w:t>3.</w:t>
      </w:r>
      <w:r>
        <w:rPr>
          <w:noProof/>
        </w:rPr>
        <w:tab/>
        <w:t>Kommissionen skal offentliggøre de tal, der følger af sådanne justeringer.</w:t>
      </w:r>
    </w:p>
    <w:p w:rsidR="00DE7E70" w:rsidRDefault="00B85DCD">
      <w:pPr>
        <w:pStyle w:val="Titrearticle"/>
        <w:rPr>
          <w:noProof/>
        </w:rPr>
      </w:pPr>
      <w:r>
        <w:rPr>
          <w:noProof/>
        </w:rPr>
        <w:t>Artikel 11</w:t>
      </w:r>
    </w:p>
    <w:p w:rsidR="00DE7E70" w:rsidRDefault="00B85DCD">
      <w:pPr>
        <w:pStyle w:val="NormalCentered"/>
        <w:rPr>
          <w:b/>
          <w:noProof/>
        </w:rPr>
      </w:pPr>
      <w:r>
        <w:rPr>
          <w:b/>
          <w:noProof/>
        </w:rPr>
        <w:t>Register</w:t>
      </w:r>
    </w:p>
    <w:p w:rsidR="00DE7E70" w:rsidRDefault="00B85DCD">
      <w:pPr>
        <w:pStyle w:val="ManualNumPar1"/>
        <w:rPr>
          <w:noProof/>
        </w:rPr>
      </w:pPr>
      <w:r>
        <w:rPr>
          <w:noProof/>
        </w:rPr>
        <w:t>1.</w:t>
      </w:r>
      <w:r>
        <w:rPr>
          <w:noProof/>
        </w:rPr>
        <w:tab/>
        <w:t>Kommissionen skal sikre en korrekt bogføring i henhold til denne forordning gennem det EU-register, der er oprettet  i henhold til arti</w:t>
      </w:r>
      <w:r>
        <w:rPr>
          <w:noProof/>
        </w:rPr>
        <w:t xml:space="preserve">kel 10 i forordning </w:t>
      </w:r>
      <w:r>
        <w:rPr>
          <w:noProof/>
        </w:rPr>
        <w:br/>
        <w:t xml:space="preserve">(EU) nr. 525/2013, herunder af årlige tildelinger af emissionstildelinger, fleksibilitet udøvet i henhold til artikel 4 til 7, overholdelsen i henhold til artikel 9 og ændringer i dækningen i henhold til artikel 10 i denne forordning. </w:t>
      </w:r>
      <w:r>
        <w:rPr>
          <w:noProof/>
        </w:rPr>
        <w:t>Den centrale administrator skal foretage automatiseret kontrol med enhver transaktion under denne forordning og, hvor nødvendigt, blokere transaktioner for at sikre, at der ikke forekommer uregelmæssigheder. Disse oplysninger skal være offentligt tilgængel</w:t>
      </w:r>
      <w:r>
        <w:rPr>
          <w:noProof/>
        </w:rPr>
        <w:t>ige.</w:t>
      </w:r>
    </w:p>
    <w:p w:rsidR="00DE7E70" w:rsidRDefault="00B85DCD">
      <w:pPr>
        <w:pStyle w:val="ManualNumPar1"/>
        <w:rPr>
          <w:noProof/>
        </w:rPr>
      </w:pPr>
      <w:r>
        <w:rPr>
          <w:noProof/>
        </w:rPr>
        <w:t>2.</w:t>
      </w:r>
      <w:r>
        <w:rPr>
          <w:noProof/>
        </w:rPr>
        <w:tab/>
        <w:t xml:space="preserve">Kommissionen tillægges beføjelser til at vedtage en delegeret retsakt for at gennemføre stk. 1 i overensstemmelse med artikel 12 i denne forordning. </w:t>
      </w:r>
    </w:p>
    <w:p w:rsidR="00DE7E70" w:rsidRDefault="00B85DCD">
      <w:pPr>
        <w:pStyle w:val="Titrearticle"/>
        <w:rPr>
          <w:noProof/>
        </w:rPr>
      </w:pPr>
      <w:r>
        <w:rPr>
          <w:noProof/>
        </w:rPr>
        <w:t>Artikel 12</w:t>
      </w:r>
    </w:p>
    <w:p w:rsidR="00DE7E70" w:rsidRDefault="00B85DCD">
      <w:pPr>
        <w:pStyle w:val="NormalCentered"/>
        <w:rPr>
          <w:i/>
          <w:noProof/>
        </w:rPr>
      </w:pPr>
      <w:r>
        <w:rPr>
          <w:b/>
          <w:noProof/>
        </w:rPr>
        <w:t>Udøvelse af de delegerede beføjelser</w:t>
      </w:r>
    </w:p>
    <w:p w:rsidR="00DE7E70" w:rsidRDefault="00B85DCD">
      <w:pPr>
        <w:pStyle w:val="ManualNumPar1"/>
        <w:rPr>
          <w:noProof/>
        </w:rPr>
      </w:pPr>
      <w:r>
        <w:rPr>
          <w:noProof/>
        </w:rPr>
        <w:t xml:space="preserve">1. </w:t>
      </w:r>
      <w:r>
        <w:rPr>
          <w:noProof/>
        </w:rPr>
        <w:tab/>
        <w:t>Beføjelsen til at vedtage delegerede retsakter</w:t>
      </w:r>
      <w:r>
        <w:rPr>
          <w:noProof/>
        </w:rPr>
        <w:t xml:space="preserve"> tillægges Kommissionen på de i denne artikel fastlagte betingelser.</w:t>
      </w:r>
    </w:p>
    <w:p w:rsidR="00DE7E70" w:rsidRDefault="00B85DCD">
      <w:pPr>
        <w:pStyle w:val="ManualNumPar1"/>
        <w:rPr>
          <w:noProof/>
          <w:szCs w:val="24"/>
        </w:rPr>
      </w:pPr>
      <w:r>
        <w:rPr>
          <w:noProof/>
        </w:rPr>
        <w:t xml:space="preserve">2. </w:t>
      </w:r>
      <w:r>
        <w:rPr>
          <w:noProof/>
        </w:rPr>
        <w:tab/>
        <w:t>Beføjelsen til at vedtage delegerede retsakter, jf. denne forordnings artikel 7, stk. 2, og artikel 11, tillægges Kommissionen for en ubegrænset periode fra datoen for ikrafttrædelsen</w:t>
      </w:r>
      <w:r>
        <w:rPr>
          <w:noProof/>
        </w:rPr>
        <w:t xml:space="preserve"> af denne forordning</w:t>
      </w:r>
      <w:r>
        <w:rPr>
          <w:i/>
          <w:noProof/>
        </w:rPr>
        <w:t>.</w:t>
      </w:r>
    </w:p>
    <w:p w:rsidR="00DE7E70" w:rsidRDefault="00B85DCD">
      <w:pPr>
        <w:pStyle w:val="ManualNumPar1"/>
        <w:rPr>
          <w:noProof/>
        </w:rPr>
      </w:pPr>
      <w:r>
        <w:rPr>
          <w:noProof/>
        </w:rPr>
        <w:t xml:space="preserve">3. </w:t>
      </w:r>
      <w:r>
        <w:rPr>
          <w:noProof/>
        </w:rPr>
        <w:tab/>
        <w:t>Den i artikel 7, stk. 2, og artikel 11 omhandlede delegation af beføjelser kan til enhver tid tilbagekaldes af Europa-Parlamentet eller Rådet. En afgørelse om tilbagekaldelse bringer delegationen af de beføjelser, der er angivet i</w:t>
      </w:r>
      <w:r>
        <w:rPr>
          <w:noProof/>
        </w:rPr>
        <w:t xml:space="preserve"> den pågældende afgørelse, til ophør. Denne tilbagekaldelse får virkning dagen efter afgørelsens offentliggørelse i </w:t>
      </w:r>
      <w:r>
        <w:rPr>
          <w:i/>
          <w:noProof/>
        </w:rPr>
        <w:t>Den Europæiske Unions Tidende</w:t>
      </w:r>
      <w:r>
        <w:rPr>
          <w:noProof/>
        </w:rPr>
        <w:t xml:space="preserve"> eller på et i afgørelsen fastsat senere tidspunkt. Den berører ikke gyldigheden af delegerede retsakter, der allerede er i kraft.</w:t>
      </w:r>
    </w:p>
    <w:p w:rsidR="00DE7E70" w:rsidRDefault="00B85DCD">
      <w:pPr>
        <w:pStyle w:val="ManualNumPar1"/>
        <w:rPr>
          <w:noProof/>
        </w:rPr>
      </w:pPr>
      <w:r>
        <w:rPr>
          <w:noProof/>
        </w:rPr>
        <w:t>4.</w:t>
      </w:r>
      <w:r>
        <w:rPr>
          <w:noProof/>
        </w:rPr>
        <w:tab/>
        <w:t>Inden vedtagelsen af en delegeret retsakt hører Kommissionen eksperter, som er udpeget af hver enkelt medlemsstat, i overe</w:t>
      </w:r>
      <w:r>
        <w:rPr>
          <w:noProof/>
        </w:rPr>
        <w:t>nsstemmelse med principperne i den interinstitutionelle aftale om bedre lovgivning af 13. april 2016.</w:t>
      </w:r>
    </w:p>
    <w:p w:rsidR="00DE7E70" w:rsidRDefault="00B85DCD">
      <w:pPr>
        <w:pStyle w:val="ManualNumPar1"/>
        <w:rPr>
          <w:noProof/>
        </w:rPr>
      </w:pPr>
      <w:r>
        <w:rPr>
          <w:noProof/>
        </w:rPr>
        <w:t xml:space="preserve">5. </w:t>
      </w:r>
      <w:r>
        <w:rPr>
          <w:noProof/>
        </w:rPr>
        <w:tab/>
        <w:t>Så snart Kommissionen vedtager en delegeret retsakt, giver den samtidigt Europa-Parlamentet og Rådet meddelelse herom.</w:t>
      </w:r>
    </w:p>
    <w:p w:rsidR="00DE7E70" w:rsidRDefault="00B85DCD">
      <w:pPr>
        <w:pStyle w:val="ManualNumPar1"/>
        <w:rPr>
          <w:noProof/>
        </w:rPr>
      </w:pPr>
      <w:r>
        <w:rPr>
          <w:noProof/>
        </w:rPr>
        <w:t xml:space="preserve">6. </w:t>
      </w:r>
      <w:r>
        <w:rPr>
          <w:noProof/>
        </w:rPr>
        <w:tab/>
        <w:t>En delegeret retsakt vedtag</w:t>
      </w:r>
      <w:r>
        <w:rPr>
          <w:noProof/>
        </w:rPr>
        <w:t>et i henhold til artikel 7, stk. 2, og artikel 11 træder kun i kraft, hvis hverken Europa-Parlamentet eller Rådet har gjort indsigelse inden for en frist på to måneder fra meddelelsen af den pågældende retsakt til Europa-Parlamentet og Rådet, eller hvis Eu</w:t>
      </w:r>
      <w:r>
        <w:rPr>
          <w:noProof/>
        </w:rPr>
        <w:t>ropa-Parlamentet og Rådet inden udløbet af denne frist begge har informeret Kommissionen om, at de ikke agter at gøre indsigelse. Fristen forlænges med to måneder på Europa-Parlamentets eller Rådets initiativ.</w:t>
      </w:r>
    </w:p>
    <w:p w:rsidR="00DE7E70" w:rsidRDefault="00B85DCD">
      <w:pPr>
        <w:pStyle w:val="Titrearticle"/>
        <w:rPr>
          <w:i w:val="0"/>
          <w:noProof/>
        </w:rPr>
      </w:pPr>
      <w:r>
        <w:rPr>
          <w:noProof/>
        </w:rPr>
        <w:t>Artikel 13</w:t>
      </w:r>
    </w:p>
    <w:p w:rsidR="00DE7E70" w:rsidRDefault="00B85DCD">
      <w:pPr>
        <w:pStyle w:val="NormalCentered"/>
        <w:rPr>
          <w:i/>
          <w:noProof/>
        </w:rPr>
      </w:pPr>
      <w:r>
        <w:rPr>
          <w:b/>
          <w:noProof/>
        </w:rPr>
        <w:t>Udvalgsprocedure</w:t>
      </w:r>
    </w:p>
    <w:p w:rsidR="00DE7E70" w:rsidRDefault="00B85DCD">
      <w:pPr>
        <w:pStyle w:val="ManualNumPar1"/>
        <w:rPr>
          <w:noProof/>
        </w:rPr>
      </w:pPr>
      <w:r>
        <w:rPr>
          <w:noProof/>
        </w:rPr>
        <w:t xml:space="preserve">1. </w:t>
      </w:r>
      <w:r>
        <w:rPr>
          <w:noProof/>
        </w:rPr>
        <w:tab/>
        <w:t>Kommissionen b</w:t>
      </w:r>
      <w:r>
        <w:rPr>
          <w:noProof/>
        </w:rPr>
        <w:t xml:space="preserve">istås af Udvalget for Klimaændringer, der er nedsat ved forordning (EU) nr. 525/2013. Dette udvalg er et udvalg som omhandlet i forordning </w:t>
      </w:r>
      <w:r>
        <w:rPr>
          <w:noProof/>
        </w:rPr>
        <w:br/>
        <w:t>(EU) nr. 182/2011.</w:t>
      </w:r>
    </w:p>
    <w:p w:rsidR="00DE7E70" w:rsidRDefault="00B85DCD">
      <w:pPr>
        <w:pStyle w:val="ManualNumPar1"/>
        <w:rPr>
          <w:noProof/>
        </w:rPr>
      </w:pPr>
      <w:r>
        <w:rPr>
          <w:noProof/>
        </w:rPr>
        <w:t xml:space="preserve">2. </w:t>
      </w:r>
      <w:r>
        <w:rPr>
          <w:noProof/>
        </w:rPr>
        <w:tab/>
        <w:t xml:space="preserve">Når der henvises til dette stykke, anvendes artikel 5 i forordning (EU) nr. 182/2011. </w:t>
      </w:r>
    </w:p>
    <w:p w:rsidR="00DE7E70" w:rsidRDefault="00DE7E70">
      <w:pPr>
        <w:pStyle w:val="Text1"/>
        <w:rPr>
          <w:noProof/>
          <w:lang w:eastAsia="en-GB"/>
        </w:rPr>
      </w:pPr>
    </w:p>
    <w:p w:rsidR="00DE7E70" w:rsidRDefault="00B85DCD">
      <w:pPr>
        <w:pStyle w:val="Titrearticle"/>
        <w:rPr>
          <w:i w:val="0"/>
          <w:noProof/>
        </w:rPr>
      </w:pPr>
      <w:r>
        <w:rPr>
          <w:noProof/>
        </w:rPr>
        <w:t>Artik</w:t>
      </w:r>
      <w:r>
        <w:rPr>
          <w:noProof/>
        </w:rPr>
        <w:t>el 14</w:t>
      </w:r>
    </w:p>
    <w:p w:rsidR="00DE7E70" w:rsidRDefault="00B85DCD">
      <w:pPr>
        <w:pStyle w:val="NormalCentered"/>
        <w:rPr>
          <w:i/>
          <w:noProof/>
        </w:rPr>
      </w:pPr>
      <w:r>
        <w:rPr>
          <w:b/>
          <w:noProof/>
        </w:rPr>
        <w:t>Revision</w:t>
      </w:r>
    </w:p>
    <w:p w:rsidR="00DE7E70" w:rsidRDefault="00B85DCD">
      <w:pPr>
        <w:rPr>
          <w:noProof/>
        </w:rPr>
      </w:pPr>
      <w:r>
        <w:rPr>
          <w:noProof/>
        </w:rPr>
        <w:t>Kommissionen skal aflægge rapport til Europa-Parlamentet og Rådet den 28. februar 2024 og derefter hvert femte år om anvendelsen af denne forordning, dens bidrag til EU's samlede reduktionsmål for drivhusgasser i 2030 og dens bidrag til måle</w:t>
      </w:r>
      <w:r>
        <w:rPr>
          <w:noProof/>
        </w:rPr>
        <w:t>ne i Parisaftalen, og den kan komme med forslag om nødvendigt.</w:t>
      </w:r>
    </w:p>
    <w:p w:rsidR="00DE7E70" w:rsidRDefault="00DE7E70">
      <w:pPr>
        <w:pStyle w:val="Titrearticle"/>
        <w:rPr>
          <w:noProof/>
        </w:rPr>
      </w:pPr>
    </w:p>
    <w:p w:rsidR="00DE7E70" w:rsidRDefault="00B85DCD">
      <w:pPr>
        <w:pStyle w:val="Titrearticle"/>
        <w:rPr>
          <w:noProof/>
        </w:rPr>
      </w:pPr>
      <w:r>
        <w:rPr>
          <w:noProof/>
        </w:rPr>
        <w:t>Artikel 15</w:t>
      </w:r>
    </w:p>
    <w:p w:rsidR="00DE7E70" w:rsidRDefault="00B85DCD">
      <w:pPr>
        <w:pStyle w:val="NormalCentered"/>
        <w:rPr>
          <w:b/>
          <w:noProof/>
        </w:rPr>
      </w:pPr>
      <w:r>
        <w:rPr>
          <w:b/>
          <w:noProof/>
        </w:rPr>
        <w:t xml:space="preserve">Ændring af forordning nr. 525/2013/EU </w:t>
      </w:r>
    </w:p>
    <w:p w:rsidR="00DE7E70" w:rsidRDefault="00B85DCD">
      <w:pPr>
        <w:pStyle w:val="NormalCentered"/>
        <w:jc w:val="left"/>
        <w:rPr>
          <w:noProof/>
        </w:rPr>
      </w:pPr>
      <w:r>
        <w:rPr>
          <w:noProof/>
        </w:rPr>
        <w:t>I forordning nr. 525/2013/EU foretages følgende ændringer:</w:t>
      </w:r>
    </w:p>
    <w:p w:rsidR="00DE7E70" w:rsidRDefault="00B85DCD">
      <w:pPr>
        <w:pStyle w:val="ManualNumPar1"/>
        <w:rPr>
          <w:noProof/>
        </w:rPr>
      </w:pPr>
      <w:r>
        <w:rPr>
          <w:noProof/>
        </w:rPr>
        <w:t>1. Artikel 7, stk. 1, ændres således:</w:t>
      </w:r>
    </w:p>
    <w:p w:rsidR="00DE7E70" w:rsidRDefault="00B85DCD">
      <w:pPr>
        <w:pStyle w:val="ManualNumPar1"/>
        <w:rPr>
          <w:bCs/>
          <w:noProof/>
        </w:rPr>
      </w:pPr>
      <w:r>
        <w:rPr>
          <w:noProof/>
        </w:rPr>
        <w:t>Følgende litra aa) indsættes:</w:t>
      </w:r>
    </w:p>
    <w:p w:rsidR="00DE7E70" w:rsidRDefault="00B85DCD">
      <w:pPr>
        <w:pStyle w:val="ManualNumPar1"/>
        <w:rPr>
          <w:bCs/>
          <w:noProof/>
        </w:rPr>
      </w:pPr>
      <w:r>
        <w:rPr>
          <w:noProof/>
        </w:rPr>
        <w:t>"aa)</w:t>
      </w:r>
      <w:r>
        <w:rPr>
          <w:noProof/>
        </w:rPr>
        <w:tab/>
        <w:t>fra og med</w:t>
      </w:r>
      <w:r>
        <w:rPr>
          <w:noProof/>
        </w:rPr>
        <w:t xml:space="preserve"> 2023, deres menneskeskabte emissioner af drivhusgasser, som omhandlet i artikel 2 i forordning [forordningen om indsatsfordeling] om bindende årlige reduktioner af drivhusgasemissionerne fra medlemsstaterne fra 2021 til 2030 for året X-2, i overensstemmel</w:t>
      </w:r>
      <w:r>
        <w:rPr>
          <w:noProof/>
        </w:rPr>
        <w:t>se med UNFCCC's rapporteringskrav"</w:t>
      </w:r>
    </w:p>
    <w:p w:rsidR="00DE7E70" w:rsidRDefault="00B85DCD">
      <w:pPr>
        <w:pStyle w:val="ManualNumPar1"/>
        <w:rPr>
          <w:noProof/>
        </w:rPr>
      </w:pPr>
      <w:r>
        <w:rPr>
          <w:noProof/>
        </w:rPr>
        <w:t>2.</w:t>
      </w:r>
      <w:r>
        <w:rPr>
          <w:noProof/>
        </w:rPr>
        <w:tab/>
        <w:t>Andet underafsnit i artikel 7, stk.1), affattes som følger:</w:t>
      </w:r>
    </w:p>
    <w:p w:rsidR="00DE7E70" w:rsidRDefault="00B85DCD">
      <w:pPr>
        <w:pStyle w:val="ManualNumPar1"/>
        <w:rPr>
          <w:noProof/>
        </w:rPr>
      </w:pPr>
      <w:r>
        <w:rPr>
          <w:noProof/>
        </w:rPr>
        <w:t>"Medlemsstaterne skal i deres årlige rapporter underrette Kommissionen om deres intentioner om at gøre brug af de fleksible bestemmelser i artikel 5, stk. 4 o</w:t>
      </w:r>
      <w:r>
        <w:rPr>
          <w:noProof/>
        </w:rPr>
        <w:t>g 5, i forordning [ESR] om bindende årlige reduktioner af drivhusgasemissionerne fra medlemsstaterne fra 2021 til 2030."</w:t>
      </w:r>
    </w:p>
    <w:p w:rsidR="00DE7E70" w:rsidRDefault="00B85DCD">
      <w:pPr>
        <w:pStyle w:val="ManualNumPar1"/>
        <w:rPr>
          <w:noProof/>
        </w:rPr>
      </w:pPr>
      <w:r>
        <w:rPr>
          <w:noProof/>
        </w:rPr>
        <w:t>3.</w:t>
      </w:r>
      <w:r>
        <w:rPr>
          <w:noProof/>
        </w:rPr>
        <w:tab/>
        <w:t>I artikel 13, stk. 1, litra c), indsættes følgende som punkt viii):</w:t>
      </w:r>
    </w:p>
    <w:p w:rsidR="00DE7E70" w:rsidRDefault="00B85DCD">
      <w:pPr>
        <w:pStyle w:val="ManualNumPar1"/>
        <w:rPr>
          <w:noProof/>
        </w:rPr>
      </w:pPr>
      <w:r>
        <w:rPr>
          <w:noProof/>
        </w:rPr>
        <w:t>"viii)</w:t>
      </w:r>
      <w:r>
        <w:rPr>
          <w:noProof/>
        </w:rPr>
        <w:tab/>
        <w:t>fra og med 2023 oplysninger om nationale politikker og fo</w:t>
      </w:r>
      <w:r>
        <w:rPr>
          <w:noProof/>
        </w:rPr>
        <w:t>ranstaltninger, der er gennemført for at overholde deres forpligtelser i henhold til forordning [ESR] om bindende årlige reduktioner af drivhusgasemissionerne fra medlemsstaterne fra 2021 til 2030, og oplysninger om planlagte supplerende nationale politikk</w:t>
      </w:r>
      <w:r>
        <w:rPr>
          <w:noProof/>
        </w:rPr>
        <w:t xml:space="preserve">er og foranstaltninger, der påtænkes med henblik på at begrænse drivhusgasemissionerne ud over deres forpligtelser i henhold til denne forordning." </w:t>
      </w:r>
    </w:p>
    <w:p w:rsidR="00DE7E70" w:rsidRDefault="00B85DCD">
      <w:pPr>
        <w:pStyle w:val="ManualNumPar1"/>
        <w:rPr>
          <w:noProof/>
        </w:rPr>
      </w:pPr>
      <w:r>
        <w:rPr>
          <w:noProof/>
        </w:rPr>
        <w:t>4.</w:t>
      </w:r>
      <w:r>
        <w:rPr>
          <w:noProof/>
        </w:rPr>
        <w:tab/>
        <w:t>I artikel 14, stk. 1, indsættes som litra f):</w:t>
      </w:r>
    </w:p>
    <w:p w:rsidR="00DE7E70" w:rsidRDefault="00B85DCD">
      <w:pPr>
        <w:pStyle w:val="ManualNumPar1"/>
        <w:rPr>
          <w:noProof/>
        </w:rPr>
      </w:pPr>
      <w:r>
        <w:rPr>
          <w:noProof/>
        </w:rPr>
        <w:t>"f) de fra 2023 gældende fremskrivninger over samlede driv</w:t>
      </w:r>
      <w:r>
        <w:rPr>
          <w:noProof/>
        </w:rPr>
        <w:t>husgasser og separate estimater over de formodede drivhusgasemissioner for de emissionskilder, der er omfattet af direktiv 2003/87/EF og af forordning [ESR] om bindende årlige reduktioner af drivhusgasemissionerne fra medlemsstaterne fra 2021 til 2030."</w:t>
      </w:r>
    </w:p>
    <w:p w:rsidR="00DE7E70" w:rsidRDefault="00B85DCD">
      <w:pPr>
        <w:pStyle w:val="ManualNumPar1"/>
        <w:rPr>
          <w:noProof/>
        </w:rPr>
      </w:pPr>
      <w:r>
        <w:rPr>
          <w:noProof/>
        </w:rPr>
        <w:t>5.</w:t>
      </w:r>
      <w:r>
        <w:rPr>
          <w:noProof/>
        </w:rPr>
        <w:t xml:space="preserve"> I artikel 21, stk. 1, indsættes som litra c):</w:t>
      </w:r>
    </w:p>
    <w:p w:rsidR="00DE7E70" w:rsidRDefault="00B85DCD">
      <w:pPr>
        <w:pStyle w:val="Text1"/>
        <w:rPr>
          <w:noProof/>
        </w:rPr>
      </w:pPr>
      <w:r>
        <w:rPr>
          <w:noProof/>
        </w:rPr>
        <w:t>"c) forpligtelserne i henhold til artikel 4 i forordning [ESR] om bindende årlige reduktioner af drivhusgasemissionerne fra medlemsstaterne fra 2021 til 2030. Vurderingen skal tage hensyn til udviklingen i Uni</w:t>
      </w:r>
      <w:r>
        <w:rPr>
          <w:noProof/>
        </w:rPr>
        <w:t>onens politikker og foranstaltninger og oplysninger fra medlemsstaterne. Hvert andet år bør vurderingen også indeholde Unionens formodede fremskridt i retning af at opfylde sine reduktionsforpligtelser samt medlemsstaternes fremskridt i retning af at opfyl</w:t>
      </w:r>
      <w:r>
        <w:rPr>
          <w:noProof/>
        </w:rPr>
        <w:t>de deres i henhold til denne forordning.</w:t>
      </w:r>
    </w:p>
    <w:p w:rsidR="00DE7E70" w:rsidRDefault="00B85DCD">
      <w:pPr>
        <w:pStyle w:val="ManualNumPar1"/>
        <w:rPr>
          <w:noProof/>
        </w:rPr>
      </w:pPr>
      <w:r>
        <w:rPr>
          <w:noProof/>
        </w:rPr>
        <w:t>6. I artikel 21 indsættes som stk. 4:</w:t>
      </w:r>
    </w:p>
    <w:p w:rsidR="00DE7E70" w:rsidRDefault="00B85DCD">
      <w:pPr>
        <w:pStyle w:val="ManualNumPar1"/>
        <w:rPr>
          <w:noProof/>
        </w:rPr>
      </w:pPr>
      <w:r>
        <w:rPr>
          <w:noProof/>
        </w:rPr>
        <w:t>"Kommissionen kan afgive udtalelser om de handlingsplaner, der forelægges af medlemsstaterne i henhold til artikel 8, stk. 1, i forordning [ESR] om bindende årlige reduktioner a</w:t>
      </w:r>
      <w:r>
        <w:rPr>
          <w:noProof/>
        </w:rPr>
        <w:t>f drivhusgasemissionerne fra medlemsstaterne fra 2021 til 2030."</w:t>
      </w:r>
    </w:p>
    <w:p w:rsidR="00DE7E70" w:rsidRDefault="00B85DCD">
      <w:pPr>
        <w:pStyle w:val="Titrearticle"/>
        <w:rPr>
          <w:noProof/>
        </w:rPr>
      </w:pPr>
      <w:r>
        <w:rPr>
          <w:noProof/>
        </w:rPr>
        <w:t>Artikel 16</w:t>
      </w:r>
      <w:r>
        <w:rPr>
          <w:noProof/>
        </w:rPr>
        <w:br/>
      </w:r>
      <w:r>
        <w:rPr>
          <w:b/>
          <w:i w:val="0"/>
          <w:noProof/>
        </w:rPr>
        <w:t>Ikrafttræden</w:t>
      </w:r>
    </w:p>
    <w:p w:rsidR="00DE7E70" w:rsidRDefault="00B85DCD">
      <w:pPr>
        <w:rPr>
          <w:noProof/>
        </w:rPr>
      </w:pPr>
      <w:r>
        <w:rPr>
          <w:noProof/>
        </w:rPr>
        <w:t xml:space="preserve">Denne forordning træder i kraft på tyvendedagen efter offentliggørelsen i </w:t>
      </w:r>
      <w:r>
        <w:rPr>
          <w:i/>
          <w:noProof/>
        </w:rPr>
        <w:t>Den Europæiske Unions Tidende</w:t>
      </w:r>
      <w:r>
        <w:rPr>
          <w:noProof/>
        </w:rPr>
        <w:t>.</w:t>
      </w:r>
    </w:p>
    <w:p w:rsidR="00DE7E70" w:rsidRDefault="00DE7E70">
      <w:pPr>
        <w:rPr>
          <w:noProof/>
        </w:rPr>
      </w:pPr>
    </w:p>
    <w:p w:rsidR="00DE7E70" w:rsidRDefault="00B85DCD">
      <w:pPr>
        <w:keepNext/>
        <w:keepLines/>
        <w:rPr>
          <w:noProof/>
        </w:rPr>
      </w:pPr>
      <w:r>
        <w:rPr>
          <w:noProof/>
        </w:rPr>
        <w:t>Den er bindende i alle enkeltheder og gælder umiddelbart i al</w:t>
      </w:r>
      <w:r>
        <w:rPr>
          <w:noProof/>
        </w:rPr>
        <w:t>le medlemsstater.</w:t>
      </w:r>
    </w:p>
    <w:p w:rsidR="00DE7E70" w:rsidRDefault="00B85DCD" w:rsidP="00B85DCD">
      <w:pPr>
        <w:pStyle w:val="Fait"/>
        <w:rPr>
          <w:noProof/>
        </w:rPr>
      </w:pPr>
      <w:r w:rsidRPr="00B85DCD">
        <w:t xml:space="preserve">Udfærdiget i Bruxelles, den </w:t>
      </w:r>
      <w:r w:rsidRPr="00B85DCD">
        <w:rPr>
          <w:rStyle w:val="Marker2"/>
        </w:rPr>
        <w:t>[…]</w:t>
      </w:r>
      <w:r w:rsidRPr="00B85DCD">
        <w:t>.</w:t>
      </w:r>
    </w:p>
    <w:p w:rsidR="00DE7E70" w:rsidRDefault="00B85DCD">
      <w:pPr>
        <w:pStyle w:val="Institutionquisigne"/>
        <w:rPr>
          <w:noProof/>
        </w:rPr>
      </w:pPr>
      <w:r>
        <w:rPr>
          <w:noProof/>
        </w:rPr>
        <w:t>På Europa-Parlamentets vegne</w:t>
      </w:r>
      <w:r>
        <w:rPr>
          <w:noProof/>
        </w:rPr>
        <w:tab/>
        <w:t>På Rådets vegne</w:t>
      </w:r>
    </w:p>
    <w:p w:rsidR="00DE7E70" w:rsidRDefault="00DE7E70">
      <w:pPr>
        <w:pStyle w:val="Personnequisigne"/>
        <w:keepNext/>
        <w:rPr>
          <w:noProof/>
        </w:rPr>
      </w:pPr>
    </w:p>
    <w:p w:rsidR="00DE7E70" w:rsidRDefault="00B85DCD">
      <w:pPr>
        <w:pStyle w:val="Personnequisigne"/>
        <w:rPr>
          <w:noProof/>
        </w:rPr>
      </w:pPr>
      <w:r>
        <w:rPr>
          <w:noProof/>
        </w:rPr>
        <w:t>Formand</w:t>
      </w:r>
      <w:r>
        <w:rPr>
          <w:noProof/>
        </w:rPr>
        <w:tab/>
        <w:t>Formand</w:t>
      </w:r>
    </w:p>
    <w:p w:rsidR="00DE7E70" w:rsidRDefault="00DE7E70">
      <w:pPr>
        <w:rPr>
          <w:noProof/>
        </w:rPr>
        <w:sectPr w:rsidR="00DE7E70" w:rsidSect="00B85DCD">
          <w:pgSz w:w="11907" w:h="16839"/>
          <w:pgMar w:top="1134" w:right="1417" w:bottom="1134" w:left="1417" w:header="709" w:footer="709" w:gutter="0"/>
          <w:cols w:space="708"/>
          <w:docGrid w:linePitch="360"/>
        </w:sectPr>
      </w:pPr>
    </w:p>
    <w:p w:rsidR="00DE7E70" w:rsidRDefault="00B85DCD">
      <w:pPr>
        <w:pStyle w:val="Fichefinanciretitre"/>
        <w:rPr>
          <w:noProof/>
        </w:rPr>
      </w:pPr>
      <w:r>
        <w:rPr>
          <w:noProof/>
        </w:rPr>
        <w:t>FINANSIERINGSOVERSIGT</w:t>
      </w:r>
    </w:p>
    <w:p w:rsidR="00DE7E70" w:rsidRDefault="00B85DCD">
      <w:pPr>
        <w:pStyle w:val="ManualHeading1"/>
        <w:rPr>
          <w:noProof/>
        </w:rPr>
      </w:pPr>
      <w:r>
        <w:rPr>
          <w:noProof/>
        </w:rPr>
        <w:t>1.</w:t>
      </w:r>
      <w:r>
        <w:rPr>
          <w:noProof/>
        </w:rPr>
        <w:tab/>
        <w:t xml:space="preserve">FORSLAGETS/INITIATIVETS RAMME </w:t>
      </w:r>
    </w:p>
    <w:p w:rsidR="00DE7E70" w:rsidRDefault="00B85DCD">
      <w:pPr>
        <w:pStyle w:val="ManualHeading2"/>
        <w:rPr>
          <w:b w:val="0"/>
          <w:noProof/>
        </w:rPr>
      </w:pPr>
      <w:r>
        <w:rPr>
          <w:noProof/>
        </w:rPr>
        <w:tab/>
      </w:r>
      <w:r>
        <w:rPr>
          <w:b w:val="0"/>
          <w:noProof/>
        </w:rPr>
        <w:t>1.1.</w:t>
      </w:r>
      <w:r>
        <w:rPr>
          <w:b w:val="0"/>
          <w:noProof/>
        </w:rPr>
        <w:tab/>
        <w:t xml:space="preserve">Forslagets/initiativets betegnelse </w:t>
      </w:r>
    </w:p>
    <w:p w:rsidR="00DE7E70" w:rsidRDefault="00B85DCD">
      <w:pPr>
        <w:pStyle w:val="ManualHeading2"/>
        <w:rPr>
          <w:b w:val="0"/>
          <w:noProof/>
        </w:rPr>
      </w:pPr>
      <w:r>
        <w:rPr>
          <w:b w:val="0"/>
          <w:noProof/>
        </w:rPr>
        <w:tab/>
        <w:t>1.2.</w:t>
      </w:r>
      <w:r>
        <w:rPr>
          <w:b w:val="0"/>
          <w:noProof/>
        </w:rPr>
        <w:tab/>
        <w:t xml:space="preserve">Berørt(e) </w:t>
      </w:r>
      <w:r>
        <w:rPr>
          <w:b w:val="0"/>
          <w:noProof/>
        </w:rPr>
        <w:t>politikområde(r) inden for ABM/ABB-strukturen</w:t>
      </w:r>
    </w:p>
    <w:p w:rsidR="00DE7E70" w:rsidRDefault="00B85DCD">
      <w:pPr>
        <w:pStyle w:val="ManualHeading2"/>
        <w:rPr>
          <w:b w:val="0"/>
          <w:noProof/>
        </w:rPr>
      </w:pPr>
      <w:r>
        <w:rPr>
          <w:b w:val="0"/>
          <w:noProof/>
        </w:rPr>
        <w:tab/>
        <w:t>1.3.</w:t>
      </w:r>
      <w:r>
        <w:rPr>
          <w:b w:val="0"/>
          <w:noProof/>
        </w:rPr>
        <w:tab/>
        <w:t xml:space="preserve">Forslagets/initiativets art </w:t>
      </w:r>
    </w:p>
    <w:p w:rsidR="00DE7E70" w:rsidRDefault="00B85DCD">
      <w:pPr>
        <w:pStyle w:val="ManualHeading2"/>
        <w:rPr>
          <w:b w:val="0"/>
          <w:noProof/>
        </w:rPr>
      </w:pPr>
      <w:r>
        <w:rPr>
          <w:b w:val="0"/>
          <w:noProof/>
        </w:rPr>
        <w:tab/>
        <w:t>1.4.</w:t>
      </w:r>
      <w:r>
        <w:rPr>
          <w:b w:val="0"/>
          <w:noProof/>
        </w:rPr>
        <w:tab/>
        <w:t xml:space="preserve">Mål </w:t>
      </w:r>
    </w:p>
    <w:p w:rsidR="00DE7E70" w:rsidRDefault="00B85DCD">
      <w:pPr>
        <w:pStyle w:val="ManualHeading2"/>
        <w:rPr>
          <w:b w:val="0"/>
          <w:noProof/>
        </w:rPr>
      </w:pPr>
      <w:r>
        <w:rPr>
          <w:b w:val="0"/>
          <w:noProof/>
        </w:rPr>
        <w:tab/>
        <w:t>1.5.</w:t>
      </w:r>
      <w:r>
        <w:rPr>
          <w:b w:val="0"/>
          <w:noProof/>
        </w:rPr>
        <w:tab/>
        <w:t xml:space="preserve">Forslagets/initiativets begrundelse </w:t>
      </w:r>
    </w:p>
    <w:p w:rsidR="00DE7E70" w:rsidRDefault="00B85DCD">
      <w:pPr>
        <w:pStyle w:val="ManualHeading2"/>
        <w:rPr>
          <w:b w:val="0"/>
          <w:noProof/>
        </w:rPr>
      </w:pPr>
      <w:r>
        <w:rPr>
          <w:b w:val="0"/>
          <w:noProof/>
        </w:rPr>
        <w:tab/>
        <w:t>1.6.</w:t>
      </w:r>
      <w:r>
        <w:rPr>
          <w:b w:val="0"/>
          <w:noProof/>
        </w:rPr>
        <w:tab/>
        <w:t xml:space="preserve">Varighed og finansielle virkninger </w:t>
      </w:r>
    </w:p>
    <w:p w:rsidR="00DE7E70" w:rsidRDefault="00B85DCD">
      <w:pPr>
        <w:pStyle w:val="ManualHeading2"/>
        <w:rPr>
          <w:b w:val="0"/>
          <w:noProof/>
        </w:rPr>
      </w:pPr>
      <w:r>
        <w:rPr>
          <w:b w:val="0"/>
          <w:noProof/>
        </w:rPr>
        <w:tab/>
        <w:t>1.7.</w:t>
      </w:r>
      <w:r>
        <w:rPr>
          <w:b w:val="0"/>
          <w:noProof/>
        </w:rPr>
        <w:tab/>
        <w:t xml:space="preserve">Påtænkt(e) forvaltningsmetode(r) </w:t>
      </w:r>
    </w:p>
    <w:p w:rsidR="00DE7E70" w:rsidRDefault="00B85DCD">
      <w:pPr>
        <w:pStyle w:val="ManualHeading1"/>
        <w:rPr>
          <w:noProof/>
        </w:rPr>
      </w:pPr>
      <w:r>
        <w:rPr>
          <w:noProof/>
        </w:rPr>
        <w:t>2.</w:t>
      </w:r>
      <w:r>
        <w:rPr>
          <w:noProof/>
        </w:rPr>
        <w:tab/>
        <w:t xml:space="preserve">FORVALTNINGSFORANSTALTNINGER </w:t>
      </w:r>
    </w:p>
    <w:p w:rsidR="00DE7E70" w:rsidRDefault="00B85DCD">
      <w:pPr>
        <w:pStyle w:val="ManualHeading2"/>
        <w:rPr>
          <w:b w:val="0"/>
          <w:noProof/>
        </w:rPr>
      </w:pPr>
      <w:r>
        <w:rPr>
          <w:b w:val="0"/>
          <w:noProof/>
        </w:rPr>
        <w:tab/>
        <w:t>2.1.</w:t>
      </w:r>
      <w:r>
        <w:rPr>
          <w:b w:val="0"/>
          <w:noProof/>
        </w:rPr>
        <w:tab/>
      </w:r>
      <w:r>
        <w:rPr>
          <w:b w:val="0"/>
          <w:noProof/>
        </w:rPr>
        <w:t xml:space="preserve">Bestemmelser om kontrol og rapportering </w:t>
      </w:r>
    </w:p>
    <w:p w:rsidR="00DE7E70" w:rsidRDefault="00B85DCD">
      <w:pPr>
        <w:pStyle w:val="ManualHeading2"/>
        <w:rPr>
          <w:b w:val="0"/>
          <w:noProof/>
        </w:rPr>
      </w:pPr>
      <w:r>
        <w:rPr>
          <w:b w:val="0"/>
          <w:noProof/>
        </w:rPr>
        <w:tab/>
        <w:t>2.2.</w:t>
      </w:r>
      <w:r>
        <w:rPr>
          <w:b w:val="0"/>
          <w:noProof/>
        </w:rPr>
        <w:tab/>
        <w:t xml:space="preserve">Forvaltnings- og kontrolsystem </w:t>
      </w:r>
    </w:p>
    <w:p w:rsidR="00DE7E70" w:rsidRDefault="00B85DCD">
      <w:pPr>
        <w:pStyle w:val="ManualHeading2"/>
        <w:rPr>
          <w:b w:val="0"/>
          <w:noProof/>
        </w:rPr>
      </w:pPr>
      <w:r>
        <w:rPr>
          <w:b w:val="0"/>
          <w:noProof/>
        </w:rPr>
        <w:tab/>
        <w:t>2.3.</w:t>
      </w:r>
      <w:r>
        <w:rPr>
          <w:b w:val="0"/>
          <w:noProof/>
        </w:rPr>
        <w:tab/>
        <w:t xml:space="preserve">Foranstaltninger til forebyggelse af svig og uregelmæssigheder </w:t>
      </w:r>
    </w:p>
    <w:p w:rsidR="00DE7E70" w:rsidRDefault="00B85DCD">
      <w:pPr>
        <w:pStyle w:val="ManualHeading1"/>
        <w:rPr>
          <w:noProof/>
        </w:rPr>
      </w:pPr>
      <w:r>
        <w:rPr>
          <w:noProof/>
        </w:rPr>
        <w:t>3.</w:t>
      </w:r>
      <w:r>
        <w:rPr>
          <w:noProof/>
        </w:rPr>
        <w:tab/>
        <w:t xml:space="preserve">FORSLAGETS/INITIATIVETS ANSLÅEDE FINANSIELLE VIRKNINGER </w:t>
      </w:r>
    </w:p>
    <w:p w:rsidR="00DE7E70" w:rsidRDefault="00B85DCD">
      <w:pPr>
        <w:pStyle w:val="ManualHeading2"/>
        <w:rPr>
          <w:b w:val="0"/>
          <w:noProof/>
        </w:rPr>
      </w:pPr>
      <w:r>
        <w:rPr>
          <w:b w:val="0"/>
          <w:noProof/>
        </w:rPr>
        <w:tab/>
        <w:t>3.1.</w:t>
      </w:r>
      <w:r>
        <w:rPr>
          <w:b w:val="0"/>
          <w:noProof/>
        </w:rPr>
        <w:tab/>
        <w:t>Berørt(e) udgiftspost(er) på budgettet og</w:t>
      </w:r>
      <w:r>
        <w:rPr>
          <w:b w:val="0"/>
          <w:noProof/>
        </w:rPr>
        <w:t xml:space="preserve"> udgiftsområde(r) i den flerårige finansielle ramme </w:t>
      </w:r>
    </w:p>
    <w:p w:rsidR="00DE7E70" w:rsidRDefault="00B85DCD">
      <w:pPr>
        <w:pStyle w:val="ManualHeading2"/>
        <w:rPr>
          <w:noProof/>
        </w:rPr>
      </w:pPr>
      <w:r>
        <w:rPr>
          <w:b w:val="0"/>
          <w:noProof/>
        </w:rPr>
        <w:tab/>
        <w:t>3.2.</w:t>
      </w:r>
      <w:r>
        <w:rPr>
          <w:b w:val="0"/>
          <w:noProof/>
        </w:rPr>
        <w:tab/>
        <w:t>Anslåede virkninger for udgifterne</w:t>
      </w:r>
      <w:r>
        <w:rPr>
          <w:noProof/>
        </w:rPr>
        <w:t xml:space="preserve"> </w:t>
      </w:r>
    </w:p>
    <w:p w:rsidR="00DE7E70" w:rsidRDefault="00B85DCD">
      <w:pPr>
        <w:pStyle w:val="ManualHeading3"/>
        <w:rPr>
          <w:noProof/>
        </w:rPr>
      </w:pPr>
      <w:r>
        <w:rPr>
          <w:noProof/>
        </w:rPr>
        <w:tab/>
        <w:t>3.2.1.</w:t>
      </w:r>
      <w:r>
        <w:rPr>
          <w:noProof/>
        </w:rPr>
        <w:tab/>
        <w:t xml:space="preserve">Sammenfatning af de anslåede virkninger for udgifterne </w:t>
      </w:r>
    </w:p>
    <w:p w:rsidR="00DE7E70" w:rsidRDefault="00B85DCD">
      <w:pPr>
        <w:pStyle w:val="ManualHeading3"/>
        <w:rPr>
          <w:noProof/>
        </w:rPr>
      </w:pPr>
      <w:r>
        <w:rPr>
          <w:noProof/>
        </w:rPr>
        <w:tab/>
        <w:t>3.2.2.</w:t>
      </w:r>
      <w:r>
        <w:rPr>
          <w:noProof/>
        </w:rPr>
        <w:tab/>
        <w:t xml:space="preserve">Anslåede virkninger for aktionsbevillingerne </w:t>
      </w:r>
    </w:p>
    <w:p w:rsidR="00DE7E70" w:rsidRDefault="00B85DCD">
      <w:pPr>
        <w:pStyle w:val="ManualHeading3"/>
        <w:rPr>
          <w:noProof/>
        </w:rPr>
      </w:pPr>
      <w:r>
        <w:rPr>
          <w:noProof/>
        </w:rPr>
        <w:tab/>
        <w:t>3.2.3.</w:t>
      </w:r>
      <w:r>
        <w:rPr>
          <w:noProof/>
        </w:rPr>
        <w:tab/>
        <w:t>Anslåede virkninger for administrat</w:t>
      </w:r>
      <w:r>
        <w:rPr>
          <w:noProof/>
        </w:rPr>
        <w:t>ionsbevillingerne</w:t>
      </w:r>
    </w:p>
    <w:p w:rsidR="00DE7E70" w:rsidRDefault="00B85DCD">
      <w:pPr>
        <w:pStyle w:val="ManualHeading3"/>
        <w:rPr>
          <w:noProof/>
        </w:rPr>
      </w:pPr>
      <w:r>
        <w:rPr>
          <w:noProof/>
        </w:rPr>
        <w:tab/>
        <w:t>3.2.4.</w:t>
      </w:r>
      <w:r>
        <w:rPr>
          <w:noProof/>
        </w:rPr>
        <w:tab/>
        <w:t>Forenelighed med indeværende, flerårige, finansielle ramme</w:t>
      </w:r>
    </w:p>
    <w:p w:rsidR="00DE7E70" w:rsidRDefault="00B85DCD">
      <w:pPr>
        <w:pStyle w:val="ManualHeading3"/>
        <w:rPr>
          <w:noProof/>
        </w:rPr>
      </w:pPr>
      <w:r>
        <w:rPr>
          <w:noProof/>
        </w:rPr>
        <w:tab/>
        <w:t>3.2.5.</w:t>
      </w:r>
      <w:r>
        <w:rPr>
          <w:noProof/>
        </w:rPr>
        <w:tab/>
        <w:t xml:space="preserve">Bidrag fra tredjepart </w:t>
      </w:r>
    </w:p>
    <w:p w:rsidR="00DE7E70" w:rsidRDefault="00B85DCD">
      <w:pPr>
        <w:pStyle w:val="ManualHeading2"/>
        <w:jc w:val="left"/>
        <w:rPr>
          <w:b w:val="0"/>
          <w:noProof/>
        </w:rPr>
        <w:sectPr w:rsidR="00DE7E70" w:rsidSect="00B85DCD">
          <w:pgSz w:w="11907" w:h="16840" w:code="9"/>
          <w:pgMar w:top="1134" w:right="1418" w:bottom="1134" w:left="1418" w:header="709" w:footer="709" w:gutter="0"/>
          <w:cols w:space="708"/>
          <w:docGrid w:linePitch="360"/>
        </w:sectPr>
      </w:pPr>
      <w:r>
        <w:rPr>
          <w:b w:val="0"/>
          <w:noProof/>
        </w:rPr>
        <w:tab/>
        <w:t>3.3.</w:t>
      </w:r>
      <w:r>
        <w:rPr>
          <w:b w:val="0"/>
          <w:noProof/>
        </w:rPr>
        <w:tab/>
        <w:t>Anslåede virkninger for indtægterne</w:t>
      </w:r>
    </w:p>
    <w:p w:rsidR="00DE7E70" w:rsidRDefault="00B85DCD">
      <w:pPr>
        <w:jc w:val="center"/>
        <w:rPr>
          <w:noProof/>
        </w:rPr>
      </w:pPr>
      <w:r>
        <w:rPr>
          <w:b/>
          <w:noProof/>
          <w:u w:val="single"/>
        </w:rPr>
        <w:t>FINANSIERINGSOVERSIGT</w:t>
      </w:r>
    </w:p>
    <w:p w:rsidR="00DE7E70" w:rsidRDefault="00B85DCD">
      <w:pPr>
        <w:pStyle w:val="ManualHeading1"/>
        <w:rPr>
          <w:noProof/>
        </w:rPr>
      </w:pPr>
      <w:r>
        <w:t>1.</w:t>
      </w:r>
      <w:r>
        <w:tab/>
      </w:r>
      <w:r>
        <w:rPr>
          <w:noProof/>
        </w:rPr>
        <w:t xml:space="preserve">FORSLAGETS/INITIATIVETS RAMME </w:t>
      </w:r>
    </w:p>
    <w:p w:rsidR="00DE7E70" w:rsidRDefault="00B85DCD">
      <w:pPr>
        <w:pStyle w:val="ManualHeading2"/>
        <w:rPr>
          <w:noProof/>
        </w:rPr>
      </w:pPr>
      <w:r>
        <w:t>1.1.</w:t>
      </w:r>
      <w:r>
        <w:tab/>
      </w:r>
      <w:r>
        <w:rPr>
          <w:noProof/>
        </w:rPr>
        <w:t>Forslagets/ini</w:t>
      </w:r>
      <w:r>
        <w:rPr>
          <w:noProof/>
        </w:rPr>
        <w:t xml:space="preserve">tiativets betegnelse </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Europa-Parlamentets og Rådets forordning om bindende årlige reduktioner af drivhusgasemissionerne fra medlemsstaterne fra 2021 til 2030 for en modstandsdygtig energiunion og for at opfylde forpligtelserne i henhold til Parisaftalen</w:t>
      </w:r>
    </w:p>
    <w:p w:rsidR="00DE7E70" w:rsidRDefault="00B85DCD">
      <w:pPr>
        <w:pStyle w:val="ManualHeading2"/>
        <w:rPr>
          <w:noProof/>
          <w:szCs w:val="24"/>
        </w:rPr>
      </w:pPr>
      <w:r>
        <w:t>1.2.</w:t>
      </w:r>
      <w:r>
        <w:tab/>
      </w:r>
      <w:r>
        <w:rPr>
          <w:noProof/>
        </w:rPr>
        <w:t>Berørt(e) politikområde(r) inden for ABM/ABB-strukturen</w:t>
      </w:r>
      <w:r>
        <w:rPr>
          <w:rStyle w:val="FootnoteReference"/>
          <w:noProof/>
        </w:rPr>
        <w:footnoteReference w:id="23"/>
      </w:r>
      <w:r>
        <w:rPr>
          <w:noProof/>
        </w:rPr>
        <w:t>.</w:t>
      </w:r>
      <w:r>
        <w:rPr>
          <w:i/>
          <w:noProof/>
        </w:rPr>
        <w:t xml:space="preserve"> </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Lovgivningsområde: Klimaindsats</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ABB-aktivitet: Klimaindsats på EU-plan og internationalt plan (ABB kode 34 02 01</w:t>
      </w:r>
      <w:r>
        <w:t>)</w:t>
      </w:r>
    </w:p>
    <w:p w:rsidR="00DE7E70" w:rsidRDefault="00B85DCD">
      <w:pPr>
        <w:pStyle w:val="ManualHeading2"/>
        <w:rPr>
          <w:bCs/>
          <w:noProof/>
          <w:szCs w:val="24"/>
        </w:rPr>
      </w:pPr>
      <w:r>
        <w:t>1.3.</w:t>
      </w:r>
      <w:r>
        <w:tab/>
      </w:r>
      <w:r>
        <w:rPr>
          <w:noProof/>
        </w:rPr>
        <w:t xml:space="preserve">Forslagets/initiativets art </w:t>
      </w:r>
    </w:p>
    <w:p w:rsidR="00DE7E70" w:rsidRDefault="00B85DCD">
      <w:pPr>
        <w:pStyle w:val="Text1"/>
        <w:rPr>
          <w:b/>
          <w:noProof/>
          <w:sz w:val="22"/>
        </w:rPr>
      </w:pPr>
      <w:r>
        <w:rPr>
          <w:noProof/>
          <w:sz w:val="22"/>
        </w:rPr>
        <w:sym w:font="Wingdings" w:char="F0A8"/>
      </w:r>
      <w:r>
        <w:rPr>
          <w:noProof/>
          <w:sz w:val="22"/>
        </w:rPr>
        <w:t xml:space="preserve"> </w:t>
      </w:r>
      <w:r>
        <w:rPr>
          <w:noProof/>
        </w:rPr>
        <w:t xml:space="preserve">Forslaget/initiativet vedrører </w:t>
      </w:r>
      <w:r>
        <w:rPr>
          <w:b/>
          <w:noProof/>
        </w:rPr>
        <w:t xml:space="preserve">en ny </w:t>
      </w:r>
      <w:r>
        <w:rPr>
          <w:b/>
          <w:noProof/>
        </w:rPr>
        <w:t>foranstaltning</w:t>
      </w:r>
      <w:r>
        <w:rPr>
          <w:b/>
          <w:noProof/>
          <w:sz w:val="22"/>
        </w:rPr>
        <w:t xml:space="preserve"> </w:t>
      </w:r>
    </w:p>
    <w:p w:rsidR="00DE7E70" w:rsidRDefault="00B85DCD">
      <w:pPr>
        <w:pStyle w:val="Text1"/>
        <w:rPr>
          <w:noProof/>
          <w:sz w:val="22"/>
        </w:rPr>
      </w:pPr>
      <w:r>
        <w:rPr>
          <w:noProof/>
          <w:sz w:val="22"/>
        </w:rPr>
        <w:sym w:font="Wingdings" w:char="F0A8"/>
      </w:r>
      <w:r>
        <w:rPr>
          <w:noProof/>
          <w:sz w:val="22"/>
        </w:rPr>
        <w:t xml:space="preserve"> </w:t>
      </w:r>
      <w:r>
        <w:rPr>
          <w:noProof/>
        </w:rPr>
        <w:t xml:space="preserve">Forslaget/initiativet vedrører en </w:t>
      </w:r>
      <w:r>
        <w:rPr>
          <w:b/>
          <w:noProof/>
        </w:rPr>
        <w:t>ny foranstaltning som opfølgning på et pilotprojekt/en forberedende foranstaltning</w:t>
      </w:r>
      <w:r>
        <w:rPr>
          <w:rStyle w:val="FootnoteReference"/>
          <w:noProof/>
        </w:rPr>
        <w:footnoteReference w:id="24"/>
      </w:r>
      <w:r>
        <w:rPr>
          <w:noProof/>
          <w:sz w:val="22"/>
        </w:rPr>
        <w:t xml:space="preserve"> </w:t>
      </w:r>
    </w:p>
    <w:p w:rsidR="00DE7E70" w:rsidRDefault="00B85DCD">
      <w:pPr>
        <w:pStyle w:val="Text1"/>
        <w:rPr>
          <w:noProof/>
          <w:sz w:val="22"/>
        </w:rPr>
      </w:pPr>
      <w:r>
        <w:rPr>
          <w:noProof/>
          <w:sz w:val="22"/>
        </w:rPr>
        <w:sym w:font="Wingdings" w:char="F0A8"/>
      </w:r>
      <w:r>
        <w:rPr>
          <w:noProof/>
          <w:sz w:val="22"/>
        </w:rPr>
        <w:t xml:space="preserve"> </w:t>
      </w:r>
      <w:r>
        <w:rPr>
          <w:noProof/>
        </w:rPr>
        <w:t xml:space="preserve">Forslaget/initiativet vedrører </w:t>
      </w:r>
      <w:r>
        <w:rPr>
          <w:b/>
          <w:noProof/>
        </w:rPr>
        <w:t>en forlængelse af en eksisterende foranstaltning</w:t>
      </w:r>
      <w:r>
        <w:rPr>
          <w:noProof/>
          <w:sz w:val="22"/>
        </w:rPr>
        <w:t xml:space="preserve"> </w:t>
      </w:r>
    </w:p>
    <w:p w:rsidR="00DE7E70" w:rsidRDefault="00B85DCD">
      <w:pPr>
        <w:pStyle w:val="Text1"/>
        <w:rPr>
          <w:noProof/>
        </w:rPr>
      </w:pPr>
      <w:r>
        <w:rPr>
          <w:noProof/>
          <w:sz w:val="22"/>
        </w:rPr>
        <w:sym w:font="Wingdings" w:char="F0A8"/>
      </w:r>
      <w:r>
        <w:rPr>
          <w:i/>
          <w:noProof/>
          <w:sz w:val="22"/>
        </w:rPr>
        <w:t xml:space="preserve"> </w:t>
      </w:r>
      <w:r>
        <w:rPr>
          <w:noProof/>
        </w:rPr>
        <w:t xml:space="preserve">Forslaget/initiativet vedrører en </w:t>
      </w:r>
      <w:r>
        <w:rPr>
          <w:b/>
          <w:noProof/>
        </w:rPr>
        <w:t>omlægning af en foranstaltning til en ny foranstaltning</w:t>
      </w:r>
      <w:r>
        <w:rPr>
          <w:noProof/>
        </w:rPr>
        <w:t xml:space="preserve"> </w:t>
      </w:r>
    </w:p>
    <w:p w:rsidR="00DE7E70" w:rsidRDefault="00B85DCD">
      <w:pPr>
        <w:pStyle w:val="ManualHeading2"/>
        <w:rPr>
          <w:bCs/>
          <w:noProof/>
          <w:szCs w:val="24"/>
        </w:rPr>
      </w:pPr>
      <w:r>
        <w:t>1.4.</w:t>
      </w:r>
      <w:r>
        <w:tab/>
      </w:r>
      <w:r>
        <w:rPr>
          <w:noProof/>
        </w:rPr>
        <w:t>Mål</w:t>
      </w:r>
    </w:p>
    <w:p w:rsidR="00DE7E70" w:rsidRDefault="00B85DCD">
      <w:pPr>
        <w:pStyle w:val="ManualHeading3"/>
        <w:rPr>
          <w:noProof/>
        </w:rPr>
      </w:pPr>
      <w:r>
        <w:t>1.4.1.</w:t>
      </w:r>
      <w:r>
        <w:tab/>
      </w:r>
      <w:r>
        <w:rPr>
          <w:noProof/>
        </w:rPr>
        <w:t xml:space="preserve">Det eller de af Kommissionens flerårige strategiske mål, som forslaget/initiativet vedrører </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Dette forslag indgår i de retsakter, som gennemfører den klima- og energipakke for 2030, s</w:t>
      </w:r>
      <w:r>
        <w:rPr>
          <w:noProof/>
        </w:rPr>
        <w:t>om  Det Europæiske Råd vedtog i oktober 2014, og skal medvirke til at nå EU's mål for 2030 om reduktion af EU's egne drivhusgasser med mindst -40 % i forhold til 1990 på en omkostningseffektiv måde og dermed bidrage til at begrænse den globale opvarmning.</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Forslaget er en del af Kommissionens ti politiske prioriteter, og et vigtigt element i den strategiske ramme for energiunionen.</w:t>
      </w:r>
    </w:p>
    <w:p w:rsidR="00DE7E70" w:rsidRDefault="00B85DCD">
      <w:pPr>
        <w:pStyle w:val="ManualHeading3"/>
        <w:rPr>
          <w:bCs/>
          <w:noProof/>
          <w:szCs w:val="24"/>
        </w:rPr>
      </w:pPr>
      <w:r>
        <w:t>1.4.2.</w:t>
      </w:r>
      <w:r>
        <w:tab/>
      </w:r>
      <w:r>
        <w:rPr>
          <w:noProof/>
        </w:rPr>
        <w:t xml:space="preserve">Specifikke mål og berørte ABM/ABB-aktiviteter </w:t>
      </w:r>
    </w:p>
    <w:p w:rsidR="00DE7E70" w:rsidRDefault="00B85DCD">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 1</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At overvåge medlemsstaternes fremskridt og overholdels</w:t>
      </w:r>
      <w:r>
        <w:rPr>
          <w:noProof/>
        </w:rPr>
        <w:t>en af deres emissionsreduktionsforpligtelser i henhold til forslaget med henblik på at reducere drivhusgasemissionerne i EU med 30 % i de ikke-kvotebelagte sektorer i forhold til 2005 på en måde, der er fair, omkostningseffektiv og sikrer miljømæssig integ</w:t>
      </w:r>
      <w:r>
        <w:rPr>
          <w:noProof/>
        </w:rPr>
        <w:t>ritet.</w:t>
      </w:r>
    </w:p>
    <w:p w:rsidR="00DE7E70" w:rsidRDefault="00B85DCD">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Berørte ABM/ABB-aktiviteter</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Klimaindsats.</w:t>
      </w:r>
      <w:r>
        <w:t xml:space="preserve"> </w:t>
      </w:r>
    </w:p>
    <w:p w:rsidR="00DE7E70" w:rsidRDefault="00B85DCD">
      <w:pPr>
        <w:pStyle w:val="ManualHeading3"/>
        <w:rPr>
          <w:bCs/>
          <w:noProof/>
          <w:szCs w:val="24"/>
        </w:rPr>
      </w:pPr>
      <w:r>
        <w:rPr>
          <w:noProof/>
        </w:rPr>
        <w:br w:type="page"/>
      </w:r>
      <w:r>
        <w:t>1.4.3.</w:t>
      </w:r>
      <w:r>
        <w:tab/>
      </w:r>
      <w:r>
        <w:rPr>
          <w:noProof/>
        </w:rPr>
        <w:t>Forventede resultater og virkninger</w:t>
      </w:r>
    </w:p>
    <w:p w:rsidR="00DE7E70" w:rsidRDefault="00B85DCD">
      <w:pPr>
        <w:pStyle w:val="Text1"/>
        <w:rPr>
          <w:i/>
          <w:noProof/>
          <w:sz w:val="20"/>
        </w:rPr>
      </w:pPr>
      <w:r>
        <w:rPr>
          <w:i/>
          <w:noProof/>
          <w:sz w:val="20"/>
        </w:rPr>
        <w:t>Angiv, hvilke virkninger forslaget/initiativet forventes at få for modtagerne/målgrupperne</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Forslaget skal gøre det muligt for EU at reducere drivhusgasemissionern</w:t>
      </w:r>
      <w:r>
        <w:rPr>
          <w:noProof/>
        </w:rPr>
        <w:t>e med 30 % i sektorerne uden for EU ETS senest i 2030 i forhold til 2005.</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 xml:space="preserve">Forslaget fastsætter mål uden for ETS hovedsagligt baseret på BNP pr. indbygger og tager derved fat om medlemsstaternes primære bekymringer om retfærdighed. De planlagte, fremtidige </w:t>
      </w:r>
      <w:r>
        <w:rPr>
          <w:noProof/>
        </w:rPr>
        <w:t>justeringer af målene for medlemsstaterne med høj indkomst samt forbedringerne af den eksisterende og nye fleksibilitet giver mulighed for en omkostningseffektiv opfyldelse af målet. For at kunne sikre den overordnede miljømæssige integritet skal 2021-udga</w:t>
      </w:r>
      <w:r>
        <w:rPr>
          <w:noProof/>
        </w:rPr>
        <w:t>ngspunktet for det planlagte forløb fastsættes på grundlag af de historiske emissioner, og de nye fleksible bestemmelser skal begrænses for at undgå, at EU kommer bagud med at opfylde sine internationale forpligtelser til at mindske sine egne drivhusgasemi</w:t>
      </w:r>
      <w:r>
        <w:rPr>
          <w:noProof/>
        </w:rPr>
        <w:t>ssioner med mindst 40 % senest i 2030 i forhold til 1990.</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Det anbefales, at der kræves sjældnere overensstemmelseskontroller, dvs. kun kontrol hvert femte år i stedet for hvert år, hvilket vil mindske den administrative byrde for både medlemsstaterne og Eu</w:t>
      </w:r>
      <w:r>
        <w:rPr>
          <w:noProof/>
        </w:rPr>
        <w:t xml:space="preserve">ropa-Kommissionen. Der er ingen direkte rapporteringsforpligtelser eller på anden måde administrative konsekvenser for virksomheder, SMV’er eller mikrovirksomheder </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Forslaget henvender sig til medlemsstaterne som institutionelle aktører. Den foreslåede lov</w:t>
      </w:r>
      <w:r>
        <w:rPr>
          <w:noProof/>
        </w:rPr>
        <w:t>givning skal gennemføres på nationalt plan og vil dermed for det meste påvirke de nationale administrationer. Afhængigt af arten og omfanget af de nationale foranstaltninger, der gennemføres af medlemsstaterne, vil forskellige interessenter i de pågældende</w:t>
      </w:r>
      <w:r>
        <w:rPr>
          <w:noProof/>
        </w:rPr>
        <w:t xml:space="preserve"> sektorer blive påvirket</w:t>
      </w:r>
      <w:r>
        <w:t>.</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Andre virkninger vil være afhængige af den nationale politik på området og de foranstaltninger, der vælges i hvert givet land</w:t>
      </w:r>
      <w:r>
        <w:t>.</w:t>
      </w:r>
    </w:p>
    <w:p w:rsidR="00DE7E70" w:rsidRDefault="00B85DCD">
      <w:pPr>
        <w:pStyle w:val="ManualHeading3"/>
        <w:rPr>
          <w:bCs/>
          <w:noProof/>
          <w:szCs w:val="24"/>
        </w:rPr>
      </w:pPr>
      <w:r>
        <w:t>1.4.4.</w:t>
      </w:r>
      <w:r>
        <w:tab/>
      </w:r>
      <w:r>
        <w:rPr>
          <w:noProof/>
        </w:rPr>
        <w:t xml:space="preserve">Virknings- og resultatindikatorer </w:t>
      </w:r>
    </w:p>
    <w:p w:rsidR="00DE7E70" w:rsidRDefault="00B85DCD">
      <w:pPr>
        <w:pStyle w:val="Text1"/>
        <w:rPr>
          <w:i/>
          <w:noProof/>
          <w:sz w:val="20"/>
        </w:rPr>
      </w:pPr>
      <w:r>
        <w:rPr>
          <w:i/>
          <w:noProof/>
          <w:sz w:val="20"/>
        </w:rPr>
        <w:t xml:space="preserve">Angiv indikatorerne til kontrol af forslagets/initiativets </w:t>
      </w:r>
      <w:r>
        <w:rPr>
          <w:i/>
          <w:noProof/>
          <w:sz w:val="20"/>
        </w:rPr>
        <w:t>gennemførelse.</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Indikator nr. 1: Niveau for reduktion af drivhusgasemissioner, der ikke er omfattet af ETS, i EU.</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Indikator nr. 2: Niveau for emissionsreduktioner i medlemsstaterne.</w:t>
      </w:r>
    </w:p>
    <w:p w:rsidR="00DE7E70" w:rsidRDefault="00B85DCD">
      <w:pPr>
        <w:pStyle w:val="ManualHeading2"/>
        <w:rPr>
          <w:bCs/>
          <w:noProof/>
          <w:szCs w:val="24"/>
        </w:rPr>
      </w:pPr>
      <w:r>
        <w:t>1.5.</w:t>
      </w:r>
      <w:r>
        <w:tab/>
      </w:r>
      <w:r>
        <w:rPr>
          <w:noProof/>
        </w:rPr>
        <w:t xml:space="preserve">Forslagets/initiativets begrundelse </w:t>
      </w:r>
    </w:p>
    <w:p w:rsidR="00DE7E70" w:rsidRDefault="00B85DCD">
      <w:pPr>
        <w:pStyle w:val="ManualHeading3"/>
        <w:rPr>
          <w:noProof/>
        </w:rPr>
      </w:pPr>
      <w:r>
        <w:t>1.5.1.</w:t>
      </w:r>
      <w:r>
        <w:tab/>
      </w:r>
      <w:r>
        <w:rPr>
          <w:noProof/>
        </w:rPr>
        <w:t>Behov, der skal opfyldes p</w:t>
      </w:r>
      <w:r>
        <w:rPr>
          <w:noProof/>
        </w:rPr>
        <w:t xml:space="preserve">å kort eller langt sigt </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Medlemsstaterne skal opfylde deres nationale emissionsreduktionsmål i 2030. De skal gennemføre politikker og foranstaltninger og juridiske og administrative bestemmelser, der er nødvendige på nationalt plan for at overholde forslag</w:t>
      </w:r>
      <w:r>
        <w:rPr>
          <w:noProof/>
        </w:rPr>
        <w:t>et. Kommissionen skal udarbejde de relevante foranstaltninger for gennemførelse for perioden efter 2020.</w:t>
      </w:r>
    </w:p>
    <w:p w:rsidR="00DE7E70" w:rsidRDefault="00B85DCD">
      <w:pPr>
        <w:pStyle w:val="ManualHeading3"/>
        <w:rPr>
          <w:bCs/>
          <w:noProof/>
          <w:szCs w:val="24"/>
        </w:rPr>
      </w:pPr>
      <w:r>
        <w:t>1.5.2.</w:t>
      </w:r>
      <w:r>
        <w:tab/>
      </w:r>
      <w:r>
        <w:rPr>
          <w:noProof/>
        </w:rPr>
        <w:t>Merværdien ved en indsats fra EU's side</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Klimaændringer er et grænseoverskridende problem. Da målet for den foreslåede handlingsplan ikke i tilst</w:t>
      </w:r>
      <w:r>
        <w:rPr>
          <w:noProof/>
        </w:rPr>
        <w:t xml:space="preserve">rækkelig grad kan opfyldes af de enkelte medlemsstater hver for sig, er koordinering af klimaindsatsen på europæisk plan og, hvor det er muligt, på globalt plan en nødvendighed, og alle EU-foranstaltninger er begrundet i hensynet til nærhedsprincippet. EU </w:t>
      </w:r>
      <w:r>
        <w:rPr>
          <w:noProof/>
        </w:rPr>
        <w:t>og medlemsstaterne deltager på samme niveau i gennemførelsen af Parisaftalen. Gennem en fælles indsats kan EU sikre en retfærdig og effektiv indsats og samtidig nå et ambitiøst miljømæssigt mål. I artikel 191-193 i TEUF stadfæstes EU's kompetencer inden fo</w:t>
      </w:r>
      <w:r>
        <w:rPr>
          <w:noProof/>
        </w:rPr>
        <w:t>r klimaændringer.</w:t>
      </w:r>
    </w:p>
    <w:p w:rsidR="00DE7E70" w:rsidRDefault="00B85DCD">
      <w:pPr>
        <w:pStyle w:val="ManualHeading3"/>
        <w:rPr>
          <w:bCs/>
          <w:noProof/>
          <w:szCs w:val="24"/>
        </w:rPr>
      </w:pPr>
      <w:r>
        <w:t>1.5.3.</w:t>
      </w:r>
      <w:r>
        <w:tab/>
      </w:r>
      <w:r>
        <w:rPr>
          <w:noProof/>
        </w:rPr>
        <w:t>Erfaringer fra tidligere, lignende foranstaltninger</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Mens den aktuelle beslutning om byrdefordeling (ESD) stadig er i de tidlige stadier af gennemførelsen, kan medlemsstaternes forpligtelser anses for at have været nyttige til, i de</w:t>
      </w:r>
      <w:r>
        <w:rPr>
          <w:noProof/>
        </w:rPr>
        <w:t>t mindste delvist, at stimulere nye nationale politikker og foranstaltninger for at fremme effektiv reduktion af drivhusgasemissionerne inden for ESD. Dette er blevet forstærket af, at det blev lanceret sammen med en række andre EU-forslag på klima- og ene</w:t>
      </w:r>
      <w:r>
        <w:rPr>
          <w:noProof/>
        </w:rPr>
        <w:t>rgiområdet som del af 2020-pakken, især vedrørende energieffektivitet og vedvarende energi. I flere ESD-sektorer, herunder bygninger, transport, landbrug og affald, kan en væsentlig del af emissionsreduktionerne til dato tilskrives faktorer som teknologisk</w:t>
      </w:r>
      <w:r>
        <w:rPr>
          <w:noProof/>
        </w:rPr>
        <w:t>e forandringer, der skyldes politiske indgreb som følge af 2020-pakken. Alt i alt har ESD resulteret i, at medlemsstaterne er blevet mere aktive i deres overvejelser om nye tiltag, der kan hjælpe med til at reducere emissionerne i deres sektorer, og hvorda</w:t>
      </w:r>
      <w:r>
        <w:rPr>
          <w:noProof/>
        </w:rPr>
        <w:t>n man bedst udformer dem. Det har vist sig, at ESD kun har resulteret i begrænsede ekstra administrative omkostninger på medlemsstatsniveau, samtidig med at det har vist sig, at der kan være muligheder for at reducere de administrative på EU-plan.</w:t>
      </w:r>
    </w:p>
    <w:p w:rsidR="00DE7E70" w:rsidRDefault="00B85DCD">
      <w:pPr>
        <w:pStyle w:val="ManualHeading3"/>
        <w:rPr>
          <w:bCs/>
          <w:noProof/>
          <w:szCs w:val="24"/>
        </w:rPr>
      </w:pPr>
      <w:r>
        <w:t>1.5.4.</w:t>
      </w:r>
      <w:r>
        <w:tab/>
      </w:r>
      <w:r>
        <w:rPr>
          <w:noProof/>
        </w:rPr>
        <w:t>S</w:t>
      </w:r>
      <w:r>
        <w:rPr>
          <w:noProof/>
        </w:rPr>
        <w:t>ammenhæng med andre relevante instrumenter og eventuel synergivirkning</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 xml:space="preserve">Forslaget bygger videre på EU's nuværende byrdefordelingsmekanisme for sektorer uden for ETS frem til 2030 og er en integreret del af klima- og energirammen for 2030 samt Kommissionens </w:t>
      </w:r>
      <w:r>
        <w:rPr>
          <w:noProof/>
        </w:rPr>
        <w:t>rammestrategi for en modstandsdygtig energiunion med en fremsynet klimaforandringspolitik. I særdeleshed bidrager det til at sikre fremskridt inden for energiunionens fjerde dimension, nemlig at dekarbonisere økonomien</w:t>
      </w:r>
      <w:r>
        <w:t xml:space="preserve">. </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Forslaget er i overensstemmelse med</w:t>
      </w:r>
      <w:r>
        <w:rPr>
          <w:noProof/>
        </w:rPr>
        <w:t xml:space="preserve"> andre dele af energiunionspakken, såsom energieffektivitetspakken, som har et stærkt fokus på bygningers energieffektivitet, pakken om vedvarende energi samt initiativet om dekarbonisering af transportsektoren.</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Medlemsstaterne er ansvarlige for at gennemf</w:t>
      </w:r>
      <w:r>
        <w:rPr>
          <w:noProof/>
        </w:rPr>
        <w:t>øre de politikker og foranstaltninger, der er nødvendige for, at de kan opfylde deres forpligtelser, hvoraf nogle også forventes at bidrage til opnåelse af EU's tilsagn inden for vedvarende energi og energieffektivitet.</w:t>
      </w:r>
    </w:p>
    <w:p w:rsidR="00DE7E70" w:rsidRDefault="00B85DCD">
      <w:pPr>
        <w:pStyle w:val="ManualHeading2"/>
        <w:rPr>
          <w:bCs/>
          <w:noProof/>
          <w:szCs w:val="24"/>
        </w:rPr>
      </w:pPr>
      <w:r>
        <w:rPr>
          <w:noProof/>
        </w:rPr>
        <w:br w:type="page"/>
      </w:r>
      <w:r>
        <w:t>1.6.</w:t>
      </w:r>
      <w:r>
        <w:tab/>
      </w:r>
      <w:r>
        <w:rPr>
          <w:noProof/>
        </w:rPr>
        <w:t>Varighed og finansielle virkni</w:t>
      </w:r>
      <w:r>
        <w:rPr>
          <w:noProof/>
        </w:rPr>
        <w:t xml:space="preserve">nger </w:t>
      </w:r>
    </w:p>
    <w:p w:rsidR="00DE7E70" w:rsidRDefault="00B85DCD">
      <w:pPr>
        <w:pStyle w:val="Text1"/>
        <w:rPr>
          <w:noProof/>
        </w:rPr>
      </w:pPr>
      <w:r>
        <w:rPr>
          <w:noProof/>
        </w:rPr>
        <w:t xml:space="preserve">X Forslag/initiativ af </w:t>
      </w:r>
      <w:r>
        <w:rPr>
          <w:b/>
          <w:noProof/>
        </w:rPr>
        <w:t xml:space="preserve">begrænset varighed: </w:t>
      </w:r>
    </w:p>
    <w:p w:rsidR="00DE7E70" w:rsidRDefault="00B85DCD">
      <w:pPr>
        <w:pStyle w:val="ListDash2"/>
        <w:rPr>
          <w:noProof/>
        </w:rPr>
      </w:pPr>
      <w:r>
        <w:rPr>
          <w:noProof/>
        </w:rPr>
        <w:sym w:font="Wingdings" w:char="F0A8"/>
      </w:r>
      <w:r>
        <w:rPr>
          <w:noProof/>
        </w:rPr>
        <w:tab/>
        <w:t xml:space="preserve">Forslag/initiativ gældende fra 2021 til 2030 </w:t>
      </w:r>
    </w:p>
    <w:p w:rsidR="00DE7E70" w:rsidRDefault="00B85DCD">
      <w:pPr>
        <w:pStyle w:val="ListDash2"/>
        <w:rPr>
          <w:noProof/>
        </w:rPr>
      </w:pPr>
      <w:r>
        <w:rPr>
          <w:noProof/>
        </w:rPr>
        <w:sym w:font="Wingdings" w:char="F0A8"/>
      </w:r>
      <w:r>
        <w:rPr>
          <w:noProof/>
        </w:rPr>
        <w:tab/>
        <w:t xml:space="preserve">Finansielle virkninger fra 2019 til 2031 </w:t>
      </w:r>
    </w:p>
    <w:p w:rsidR="00DE7E70" w:rsidRDefault="00B85DCD">
      <w:pPr>
        <w:pStyle w:val="Text1"/>
        <w:rPr>
          <w:noProof/>
        </w:rPr>
      </w:pPr>
      <w:r>
        <w:rPr>
          <w:noProof/>
        </w:rPr>
        <w:sym w:font="Wingdings" w:char="F0A8"/>
      </w:r>
      <w:r>
        <w:rPr>
          <w:noProof/>
        </w:rPr>
        <w:tab/>
        <w:t xml:space="preserve">Forslag/initiativ af </w:t>
      </w:r>
      <w:r>
        <w:rPr>
          <w:b/>
          <w:noProof/>
        </w:rPr>
        <w:t>ubegrænset varighed</w:t>
      </w:r>
    </w:p>
    <w:p w:rsidR="00DE7E70" w:rsidRDefault="00B85DCD">
      <w:pPr>
        <w:pStyle w:val="ListDash2"/>
        <w:rPr>
          <w:noProof/>
        </w:rPr>
      </w:pPr>
      <w:r>
        <w:rPr>
          <w:noProof/>
        </w:rPr>
        <w:t>Iværksættelse med en indkøringsperiode fra ÅÅÅÅ til ÅÅÅÅ,</w:t>
      </w:r>
    </w:p>
    <w:p w:rsidR="00DE7E70" w:rsidRDefault="00B85DCD">
      <w:pPr>
        <w:pStyle w:val="ListDash2"/>
        <w:rPr>
          <w:noProof/>
        </w:rPr>
      </w:pPr>
      <w:r>
        <w:rPr>
          <w:noProof/>
        </w:rPr>
        <w:t>derefter genn</w:t>
      </w:r>
      <w:r>
        <w:rPr>
          <w:noProof/>
        </w:rPr>
        <w:t>emførelse i fuldt omfang</w:t>
      </w:r>
    </w:p>
    <w:p w:rsidR="00DE7E70" w:rsidRDefault="00B85DCD">
      <w:pPr>
        <w:pStyle w:val="ManualHeading2"/>
        <w:rPr>
          <w:bCs/>
          <w:noProof/>
          <w:szCs w:val="24"/>
        </w:rPr>
      </w:pPr>
      <w:r>
        <w:t>1.7.</w:t>
      </w:r>
      <w:r>
        <w:tab/>
      </w:r>
      <w:r>
        <w:rPr>
          <w:noProof/>
        </w:rPr>
        <w:t>Påtænkt(e) forvaltningsmetode(r)</w:t>
      </w:r>
      <w:r>
        <w:rPr>
          <w:rStyle w:val="FootnoteReference"/>
          <w:noProof/>
        </w:rPr>
        <w:footnoteReference w:id="25"/>
      </w:r>
      <w:r>
        <w:rPr>
          <w:noProof/>
        </w:rPr>
        <w:t xml:space="preserve"> </w:t>
      </w:r>
    </w:p>
    <w:p w:rsidR="00DE7E70" w:rsidRDefault="00B85DCD">
      <w:pPr>
        <w:pStyle w:val="Text1"/>
        <w:rPr>
          <w:noProof/>
        </w:rPr>
      </w:pPr>
      <w:r>
        <w:rPr>
          <w:b/>
          <w:noProof/>
        </w:rPr>
        <w:t>X Direkte forvaltning</w:t>
      </w:r>
      <w:r>
        <w:rPr>
          <w:noProof/>
        </w:rPr>
        <w:t xml:space="preserve"> ved Kommissionen</w:t>
      </w:r>
    </w:p>
    <w:p w:rsidR="00DE7E70" w:rsidRDefault="00B85DCD">
      <w:pPr>
        <w:pStyle w:val="ListDash2"/>
        <w:rPr>
          <w:rFonts w:cs="EUAlbertina"/>
          <w:noProof/>
        </w:rPr>
      </w:pPr>
      <w:r>
        <w:rPr>
          <w:noProof/>
        </w:rPr>
        <w:sym w:font="Wingdings" w:char="F0A8"/>
      </w:r>
      <w:r>
        <w:rPr>
          <w:noProof/>
        </w:rPr>
        <w:t xml:space="preserve"> i dens tjenestegrene, herunder ved dens personale i EU's delegationer </w:t>
      </w:r>
    </w:p>
    <w:p w:rsidR="00DE7E70" w:rsidRDefault="00B85DCD">
      <w:pPr>
        <w:pStyle w:val="ListDash2"/>
        <w:rPr>
          <w:noProof/>
        </w:rPr>
      </w:pPr>
      <w:r>
        <w:rPr>
          <w:noProof/>
        </w:rPr>
        <w:sym w:font="Wingdings" w:char="F0A8"/>
      </w:r>
      <w:r>
        <w:rPr>
          <w:noProof/>
        </w:rPr>
        <w:tab/>
        <w:t xml:space="preserve">i gennemførelsesorganer </w:t>
      </w:r>
    </w:p>
    <w:p w:rsidR="00DE7E70" w:rsidRDefault="00B85DCD">
      <w:pPr>
        <w:pStyle w:val="Text1"/>
        <w:rPr>
          <w:noProof/>
        </w:rPr>
      </w:pPr>
      <w:r>
        <w:rPr>
          <w:noProof/>
        </w:rPr>
        <w:sym w:font="Wingdings" w:char="F0A8"/>
      </w:r>
      <w:r>
        <w:rPr>
          <w:b/>
          <w:noProof/>
        </w:rPr>
        <w:t xml:space="preserve"> Delt forvaltning</w:t>
      </w:r>
      <w:r>
        <w:rPr>
          <w:noProof/>
        </w:rPr>
        <w:t xml:space="preserve"> i samarbejde med medlemsstaterne </w:t>
      </w:r>
    </w:p>
    <w:p w:rsidR="00DE7E70" w:rsidRDefault="00B85DCD">
      <w:pPr>
        <w:pStyle w:val="Text1"/>
        <w:rPr>
          <w:noProof/>
        </w:rPr>
      </w:pPr>
      <w:r>
        <w:rPr>
          <w:noProof/>
        </w:rPr>
        <w:sym w:font="Wingdings" w:char="F0A8"/>
      </w:r>
      <w:r>
        <w:rPr>
          <w:b/>
          <w:noProof/>
        </w:rPr>
        <w:t xml:space="preserve"> Indirekte forvaltning</w:t>
      </w:r>
      <w:r>
        <w:rPr>
          <w:noProof/>
        </w:rPr>
        <w:t xml:space="preserve"> ved at overlade budgetgennemførelsesopgaver til:</w:t>
      </w:r>
    </w:p>
    <w:p w:rsidR="00DE7E70" w:rsidRDefault="00B85DCD">
      <w:pPr>
        <w:pStyle w:val="ListDash2"/>
        <w:rPr>
          <w:noProof/>
        </w:rPr>
      </w:pPr>
      <w:r>
        <w:rPr>
          <w:noProof/>
        </w:rPr>
        <w:sym w:font="Wingdings" w:char="F0A8"/>
      </w:r>
      <w:r>
        <w:rPr>
          <w:noProof/>
        </w:rPr>
        <w:t xml:space="preserve"> tredjelande eller institutioner, som tredjelande har udpeget</w:t>
      </w:r>
    </w:p>
    <w:p w:rsidR="00DE7E70" w:rsidRDefault="00B85DCD">
      <w:pPr>
        <w:pStyle w:val="ListDash2"/>
        <w:rPr>
          <w:noProof/>
        </w:rPr>
      </w:pPr>
      <w:r>
        <w:rPr>
          <w:noProof/>
        </w:rPr>
        <w:sym w:font="Wingdings" w:char="F0A8"/>
      </w:r>
      <w:r>
        <w:rPr>
          <w:noProof/>
        </w:rPr>
        <w:t xml:space="preserve"> internationale organisationer og deres institutioner (angives nærmere)</w:t>
      </w:r>
    </w:p>
    <w:p w:rsidR="00DE7E70" w:rsidRDefault="00B85DCD">
      <w:pPr>
        <w:pStyle w:val="ListDash2"/>
        <w:rPr>
          <w:noProof/>
        </w:rPr>
      </w:pPr>
      <w:r>
        <w:rPr>
          <w:noProof/>
        </w:rPr>
        <w:sym w:font="Wingdings" w:char="F0A8"/>
      </w:r>
      <w:r>
        <w:rPr>
          <w:noProof/>
        </w:rPr>
        <w:tab/>
        <w:t>Den Europæiske Investeringsbank og Den Europ</w:t>
      </w:r>
      <w:r>
        <w:rPr>
          <w:noProof/>
        </w:rPr>
        <w:t>æiske Investeringsfond</w:t>
      </w:r>
    </w:p>
    <w:p w:rsidR="00DE7E70" w:rsidRDefault="00B85DCD">
      <w:pPr>
        <w:pStyle w:val="ListDash2"/>
        <w:rPr>
          <w:noProof/>
        </w:rPr>
      </w:pPr>
      <w:r>
        <w:rPr>
          <w:noProof/>
        </w:rPr>
        <w:sym w:font="Wingdings" w:char="F0A8"/>
      </w:r>
      <w:r>
        <w:rPr>
          <w:noProof/>
        </w:rPr>
        <w:t xml:space="preserve"> de institutioner, der er omhandlet i finansforordningens artikel 208 og 209</w:t>
      </w:r>
    </w:p>
    <w:p w:rsidR="00DE7E70" w:rsidRDefault="00B85DCD">
      <w:pPr>
        <w:pStyle w:val="ListDash2"/>
        <w:rPr>
          <w:noProof/>
        </w:rPr>
      </w:pPr>
      <w:r>
        <w:rPr>
          <w:noProof/>
        </w:rPr>
        <w:sym w:font="Wingdings" w:char="F0A8"/>
      </w:r>
      <w:r>
        <w:rPr>
          <w:noProof/>
        </w:rPr>
        <w:t xml:space="preserve"> offentligretlige institutioner</w:t>
      </w:r>
    </w:p>
    <w:p w:rsidR="00DE7E70" w:rsidRDefault="00B85DCD">
      <w:pPr>
        <w:pStyle w:val="ListDash2"/>
        <w:rPr>
          <w:noProof/>
        </w:rPr>
      </w:pPr>
      <w:r>
        <w:rPr>
          <w:noProof/>
        </w:rPr>
        <w:sym w:font="Wingdings" w:char="F0A8"/>
      </w:r>
      <w:r>
        <w:rPr>
          <w:noProof/>
        </w:rPr>
        <w:t xml:space="preserve"> institutioner underlagt privat lov, der har fået overdraget samfundsopgaver, forudsat at de stiller tilstrækkelige finan</w:t>
      </w:r>
      <w:r>
        <w:rPr>
          <w:noProof/>
        </w:rPr>
        <w:t>sielle garantier</w:t>
      </w:r>
    </w:p>
    <w:p w:rsidR="00DE7E70" w:rsidRDefault="00B85DCD">
      <w:pPr>
        <w:pStyle w:val="ListDash2"/>
        <w:rPr>
          <w:noProof/>
        </w:rPr>
      </w:pPr>
      <w:r>
        <w:rPr>
          <w:noProof/>
        </w:rPr>
        <w:sym w:font="Wingdings" w:char="F0A8"/>
      </w:r>
      <w:r>
        <w:rPr>
          <w:noProof/>
        </w:rPr>
        <w:t xml:space="preserve"> institutioner underlagt privat lov, undergivet lovgivningen i en medlemsstat, som har fået overdraget gennemførelsen af et offentlig-privat partnerskab, og som stiller tilstrækkelige finansielle garantier</w:t>
      </w:r>
    </w:p>
    <w:p w:rsidR="00DE7E70" w:rsidRDefault="00B85DCD">
      <w:pPr>
        <w:pStyle w:val="ListDash2"/>
        <w:rPr>
          <w:noProof/>
        </w:rPr>
      </w:pPr>
      <w:r>
        <w:rPr>
          <w:noProof/>
        </w:rPr>
        <w:sym w:font="Wingdings" w:char="F0A8"/>
      </w:r>
      <w:r>
        <w:rPr>
          <w:noProof/>
        </w:rPr>
        <w:t xml:space="preserve"> personer, der har fået overdra</w:t>
      </w:r>
      <w:r>
        <w:rPr>
          <w:noProof/>
        </w:rPr>
        <w:t>get gennemførelsen af specifikke aktioner i den fælles udenrigs- og sikkerhedspolitik i henhold til afsnit V i traktaten om Den Europæiske Union, og som er udpeget i den relevante basisretsakt</w:t>
      </w:r>
    </w:p>
    <w:p w:rsidR="00DE7E70" w:rsidRDefault="00B85DCD">
      <w:pPr>
        <w:pStyle w:val="ListDash2"/>
        <w:rPr>
          <w:i/>
          <w:noProof/>
          <w:sz w:val="18"/>
          <w:u w:val="single"/>
        </w:rPr>
      </w:pPr>
      <w:r>
        <w:rPr>
          <w:i/>
          <w:noProof/>
          <w:sz w:val="18"/>
        </w:rPr>
        <w:t>Hvis der angives flere forvaltningsmetoder, gives der en nærmer</w:t>
      </w:r>
      <w:r>
        <w:rPr>
          <w:i/>
          <w:noProof/>
          <w:sz w:val="18"/>
        </w:rPr>
        <w:t>e forklaring i afsnittet "Bemærkninger".</w:t>
      </w:r>
    </w:p>
    <w:p w:rsidR="00DE7E70" w:rsidRDefault="00B85DCD">
      <w:pPr>
        <w:rPr>
          <w:noProof/>
        </w:rPr>
      </w:pPr>
      <w:r>
        <w:rPr>
          <w:noProof/>
        </w:rPr>
        <w:t xml:space="preserve">Bemærkninger </w:t>
      </w:r>
    </w:p>
    <w:p w:rsidR="00DE7E70" w:rsidRDefault="00B85DCD">
      <w:pPr>
        <w:pBdr>
          <w:top w:val="single" w:sz="4" w:space="1" w:color="auto"/>
          <w:left w:val="single" w:sz="4" w:space="4" w:color="auto"/>
          <w:bottom w:val="single" w:sz="4" w:space="1" w:color="auto"/>
          <w:right w:val="single" w:sz="4" w:space="4" w:color="auto"/>
        </w:pBdr>
        <w:rPr>
          <w:noProof/>
        </w:rPr>
      </w:pPr>
      <w:r>
        <w:rPr>
          <w:noProof/>
        </w:rPr>
        <w:t xml:space="preserve">Forslaget bygger på den nuværende beslutning nr. 409/2009/EF (beslutningen om byrdefordeling) med samme overvågnings- og rapporteringsforpligtelser for medlemsstaterne og samme forvaltningsopgaver for </w:t>
      </w:r>
      <w:r>
        <w:rPr>
          <w:noProof/>
        </w:rPr>
        <w:t>Kommissionen. Kommissionen vil fortsat blive støttet af Det Europæiske Miljøagentur i overvågningen af medlemsstaternes fremskridt i retning af at opfylde deres forpligtelser i henhold til forslaget.</w:t>
      </w:r>
    </w:p>
    <w:p w:rsidR="00DE7E70" w:rsidRDefault="00DE7E70">
      <w:pPr>
        <w:rPr>
          <w:noProof/>
        </w:rPr>
        <w:sectPr w:rsidR="00DE7E70" w:rsidSect="00B85DCD">
          <w:pgSz w:w="11907" w:h="16840" w:code="9"/>
          <w:pgMar w:top="1134" w:right="1418" w:bottom="1134" w:left="1418" w:header="709" w:footer="709" w:gutter="0"/>
          <w:cols w:space="708"/>
          <w:docGrid w:linePitch="360"/>
        </w:sectPr>
      </w:pPr>
    </w:p>
    <w:p w:rsidR="00DE7E70" w:rsidRDefault="00B85DCD">
      <w:pPr>
        <w:pStyle w:val="ManualHeading1"/>
        <w:rPr>
          <w:bCs/>
          <w:noProof/>
          <w:szCs w:val="24"/>
        </w:rPr>
      </w:pPr>
      <w:r>
        <w:t>2.</w:t>
      </w:r>
      <w:r>
        <w:tab/>
      </w:r>
      <w:r>
        <w:rPr>
          <w:noProof/>
        </w:rPr>
        <w:t xml:space="preserve">FORVALTNINGSFORANSTALTNINGER </w:t>
      </w:r>
    </w:p>
    <w:p w:rsidR="00DE7E70" w:rsidRDefault="00B85DCD">
      <w:pPr>
        <w:pStyle w:val="ManualHeading2"/>
        <w:rPr>
          <w:noProof/>
        </w:rPr>
      </w:pPr>
      <w:r>
        <w:t>2.1.</w:t>
      </w:r>
      <w:r>
        <w:tab/>
      </w:r>
      <w:r>
        <w:rPr>
          <w:noProof/>
        </w:rPr>
        <w:t xml:space="preserve">Bestemmelser om kontrol og rapportering </w:t>
      </w:r>
    </w:p>
    <w:p w:rsidR="00DE7E70" w:rsidRDefault="00B85DCD">
      <w:pPr>
        <w:pStyle w:val="Text1"/>
        <w:rPr>
          <w:i/>
          <w:noProof/>
          <w:sz w:val="20"/>
          <w:u w:val="single"/>
        </w:rPr>
      </w:pPr>
      <w:r>
        <w:rPr>
          <w:i/>
          <w:noProof/>
          <w:sz w:val="20"/>
        </w:rPr>
        <w:t>Angiv hyppighed og betingelser.</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Overvågning af fremskridt og vurdering af overholdelse vil ske på grundlag af et eksisterende omfattende program for overvågning, rapportering og verifikation, der er delvist fastsat i ESD og delvist i forordningen om overvågningsmekanismen (forordning (EU</w:t>
      </w:r>
      <w:r>
        <w:rPr>
          <w:noProof/>
        </w:rPr>
        <w:t>) nr. 525/2013) og dens gennemførelsesbestemmelser. Den grundige solide rapportering og overholdelse, som defineret i ESD, vil blive opretholdt i henhold til forslaget. Medlemsstaterne har fortsat en forpligtelse til at overholde de årlige emissionsgrænser</w:t>
      </w:r>
      <w:r>
        <w:rPr>
          <w:noProof/>
        </w:rPr>
        <w:t xml:space="preserve"> og følge det projekterede forløb for 2021-2030, selv om den </w:t>
      </w:r>
      <w:r>
        <w:rPr>
          <w:noProof/>
          <w:color w:val="000000" w:themeColor="text1"/>
        </w:rPr>
        <w:t>faktiske kontrol af overholdelsen vil finde sted hvert femte år i stedet for hvert år.</w:t>
      </w:r>
    </w:p>
    <w:p w:rsidR="00DE7E70" w:rsidRDefault="00B85DCD">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For at sikre at vurderingen af overholdelsen er baseret på nøjagtige oplysninger, vil de årlige opgørelser o</w:t>
      </w:r>
      <w:r>
        <w:rPr>
          <w:noProof/>
          <w:color w:val="000000" w:themeColor="text1"/>
        </w:rPr>
        <w:t>ver drivhusgasemissioner fra medlemsstaterne blive gennemgået af Kommissionen</w:t>
      </w:r>
      <w:r>
        <w:rPr>
          <w:noProof/>
        </w:rPr>
        <w:t>.</w:t>
      </w:r>
      <w:r>
        <w:rPr>
          <w:noProof/>
          <w:color w:val="000000" w:themeColor="text1"/>
        </w:rPr>
        <w:t xml:space="preserve"> Det Europæiske Miljøagentur vil fortsat koordinere kontrollen af de indsendte oplysningers gennemsigtighed, nøjagtighed, konsistens, sammenlignelighed og fuldstændighed.  </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color w:val="000000" w:themeColor="text1"/>
        </w:rPr>
        <w:t>Medle</w:t>
      </w:r>
      <w:r>
        <w:rPr>
          <w:noProof/>
          <w:color w:val="000000" w:themeColor="text1"/>
        </w:rPr>
        <w:t>msstaterne vil stadig hvert andet år skulle indberette, hvilke politikker og foranstaltninger de har indført for at opfylde deres forpligtelser og mål i henhold til dette forslag, samt om deres emissionsfremskrivninger.</w:t>
      </w:r>
    </w:p>
    <w:p w:rsidR="00DE7E70" w:rsidRDefault="00B85DCD">
      <w:pPr>
        <w:pStyle w:val="ManualHeading2"/>
        <w:rPr>
          <w:bCs/>
          <w:noProof/>
          <w:szCs w:val="24"/>
        </w:rPr>
      </w:pPr>
      <w:r>
        <w:t>2.2.</w:t>
      </w:r>
      <w:r>
        <w:tab/>
      </w:r>
      <w:r>
        <w:rPr>
          <w:noProof/>
        </w:rPr>
        <w:t xml:space="preserve">Forvaltnings- og kontrolsystem </w:t>
      </w:r>
    </w:p>
    <w:p w:rsidR="00DE7E70" w:rsidRDefault="00B85DCD">
      <w:pPr>
        <w:pStyle w:val="ManualHeading3"/>
        <w:rPr>
          <w:noProof/>
        </w:rPr>
      </w:pPr>
      <w:r>
        <w:t>2.2.1.</w:t>
      </w:r>
      <w:r>
        <w:tab/>
      </w:r>
      <w:r>
        <w:rPr>
          <w:noProof/>
        </w:rPr>
        <w:t xml:space="preserve">Konstaterede risici </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At medlemsstaterne ikke indgiver eller ikke rettidigt indgiver rapportering af deres årlige drivhusgasemissioner.</w:t>
      </w:r>
    </w:p>
    <w:p w:rsidR="00DE7E70" w:rsidRDefault="00B85DCD">
      <w:pPr>
        <w:pStyle w:val="ManualHeading3"/>
        <w:rPr>
          <w:bCs/>
          <w:noProof/>
          <w:szCs w:val="24"/>
        </w:rPr>
      </w:pPr>
      <w:r>
        <w:t>2.2.2.</w:t>
      </w:r>
      <w:r>
        <w:tab/>
      </w:r>
      <w:r>
        <w:rPr>
          <w:noProof/>
        </w:rPr>
        <w:t>Oplysninger om det interne kontrolsystem</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 xml:space="preserve">Takket være det allerede eksisterende og veletablerede årlige </w:t>
      </w:r>
      <w:r>
        <w:rPr>
          <w:noProof/>
        </w:rPr>
        <w:t>rapporteringssystem for medlemslandenes drivhusgasemissioner, som fastlagt i MMR, er der procedurer på plads, der skal sørge for at emissionsrapporterne ankommer rettidigt, og at ethvert medlemsland, der ikke opfylder sin rapporteringspligt, kan få hjælp.</w:t>
      </w:r>
    </w:p>
    <w:p w:rsidR="00DE7E70" w:rsidRDefault="00B85DCD">
      <w:pPr>
        <w:pStyle w:val="ManualHeading3"/>
        <w:rPr>
          <w:noProof/>
        </w:rPr>
      </w:pPr>
      <w:r>
        <w:t>2.2.3.</w:t>
      </w:r>
      <w:r>
        <w:tab/>
      </w:r>
      <w:r>
        <w:rPr>
          <w:noProof/>
        </w:rPr>
        <w:t xml:space="preserve">Anslåede omkostninger og fordele ved kontrollen samt forventet fejlrisiko </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Risikoen for fejl er ikke relevant.</w:t>
      </w:r>
    </w:p>
    <w:p w:rsidR="00DE7E70" w:rsidRDefault="00B85DCD">
      <w:pPr>
        <w:pStyle w:val="ManualHeading2"/>
        <w:rPr>
          <w:bCs/>
          <w:noProof/>
          <w:szCs w:val="24"/>
        </w:rPr>
      </w:pPr>
      <w:r>
        <w:t>2.3.</w:t>
      </w:r>
      <w:r>
        <w:tab/>
      </w:r>
      <w:r>
        <w:rPr>
          <w:noProof/>
        </w:rPr>
        <w:t xml:space="preserve">Foranstaltninger til forebyggelse af svig og uregelmæssigheder </w:t>
      </w:r>
    </w:p>
    <w:p w:rsidR="00DE7E70" w:rsidRDefault="00B85DCD">
      <w:pPr>
        <w:pStyle w:val="Text1"/>
        <w:rPr>
          <w:i/>
          <w:noProof/>
          <w:sz w:val="20"/>
        </w:rPr>
      </w:pPr>
      <w:r>
        <w:rPr>
          <w:i/>
          <w:noProof/>
          <w:sz w:val="20"/>
        </w:rPr>
        <w:t>Angiv eksisterende eller påtænkte forebyggelses- og beskyttelsesforan</w:t>
      </w:r>
      <w:r>
        <w:rPr>
          <w:i/>
          <w:noProof/>
          <w:sz w:val="20"/>
        </w:rPr>
        <w:t>staltninger.</w:t>
      </w:r>
    </w:p>
    <w:p w:rsidR="00DE7E70" w:rsidRDefault="00B85DCD">
      <w:pPr>
        <w:pStyle w:val="Text1"/>
        <w:pBdr>
          <w:top w:val="single" w:sz="4" w:space="1" w:color="auto"/>
          <w:left w:val="single" w:sz="4" w:space="4" w:color="auto"/>
          <w:bottom w:val="single" w:sz="4" w:space="1" w:color="auto"/>
          <w:right w:val="single" w:sz="4" w:space="4" w:color="auto"/>
        </w:pBdr>
        <w:rPr>
          <w:noProof/>
        </w:rPr>
      </w:pPr>
      <w:r>
        <w:rPr>
          <w:noProof/>
        </w:rPr>
        <w:t>Overvågningen af medlemsstaternes fremskridt hen imod deres forpligtelser i henhold til dette forslag bygger på et veletableret eksisterende kvalitetskontrolsystem og verifikation af deres årlige indberetninger af drivhusgasemissioner. Dette s</w:t>
      </w:r>
      <w:r>
        <w:rPr>
          <w:noProof/>
        </w:rPr>
        <w:t>ikrer, at eventuelle mangler eller uregelmæssigheder med hensyn til de rapporterede emissioner behandles og korrigeres i tide før overensstemmelseskontrollen.</w:t>
      </w:r>
    </w:p>
    <w:p w:rsidR="00DE7E70" w:rsidRDefault="00DE7E70">
      <w:pPr>
        <w:rPr>
          <w:noProof/>
        </w:rPr>
        <w:sectPr w:rsidR="00DE7E70" w:rsidSect="00B85DCD">
          <w:pgSz w:w="11907" w:h="16840" w:code="9"/>
          <w:pgMar w:top="1134" w:right="1418" w:bottom="1134" w:left="1418" w:header="709" w:footer="709" w:gutter="0"/>
          <w:cols w:space="708"/>
          <w:docGrid w:linePitch="360"/>
        </w:sectPr>
      </w:pPr>
    </w:p>
    <w:p w:rsidR="00DE7E70" w:rsidRDefault="00B85DCD">
      <w:pPr>
        <w:pStyle w:val="ManualHeading1"/>
        <w:rPr>
          <w:bCs/>
          <w:noProof/>
          <w:szCs w:val="24"/>
        </w:rPr>
      </w:pPr>
      <w:r>
        <w:t>3.</w:t>
      </w:r>
      <w:r>
        <w:tab/>
      </w:r>
      <w:r>
        <w:rPr>
          <w:noProof/>
        </w:rPr>
        <w:t xml:space="preserve">FORSLAGETS/INITIATIVETS ANSLÅEDE FINANSIELLE VIRKNINGER </w:t>
      </w:r>
    </w:p>
    <w:p w:rsidR="00DE7E70" w:rsidRDefault="00B85DCD">
      <w:pPr>
        <w:pStyle w:val="ManualHeading2"/>
        <w:rPr>
          <w:noProof/>
        </w:rPr>
      </w:pPr>
      <w:r>
        <w:t>3.1.</w:t>
      </w:r>
      <w:r>
        <w:tab/>
      </w:r>
      <w:r>
        <w:rPr>
          <w:noProof/>
        </w:rPr>
        <w:t>Berørt(e</w:t>
      </w:r>
      <w:r>
        <w:rPr>
          <w:noProof/>
        </w:rPr>
        <w:t xml:space="preserve">) udgiftspost(er) på budgettet og udgiftsområde(r) i den flerårige finansielle ramme </w:t>
      </w:r>
    </w:p>
    <w:p w:rsidR="00DE7E70" w:rsidRDefault="00B85DCD">
      <w:pPr>
        <w:pStyle w:val="ListBullet1"/>
        <w:rPr>
          <w:noProof/>
        </w:rPr>
      </w:pPr>
      <w:r>
        <w:rPr>
          <w:noProof/>
        </w:rPr>
        <w:t xml:space="preserve">Eksisterende udgiftsposter på budgettet </w:t>
      </w:r>
    </w:p>
    <w:p w:rsidR="00DE7E70" w:rsidRDefault="00B85DCD">
      <w:pPr>
        <w:pStyle w:val="Text1"/>
        <w:rPr>
          <w:noProof/>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960"/>
        <w:gridCol w:w="1196"/>
        <w:gridCol w:w="1084"/>
        <w:gridCol w:w="1320"/>
      </w:tblGrid>
      <w:tr w:rsidR="00DE7E70">
        <w:tc>
          <w:tcPr>
            <w:tcW w:w="1080" w:type="dxa"/>
            <w:vMerge w:val="restart"/>
            <w:vAlign w:val="center"/>
          </w:tcPr>
          <w:p w:rsidR="00DE7E70" w:rsidRDefault="00B85DCD">
            <w:pPr>
              <w:spacing w:before="60" w:after="60"/>
              <w:jc w:val="center"/>
              <w:rPr>
                <w:noProof/>
                <w:sz w:val="20"/>
                <w:szCs w:val="20"/>
              </w:rPr>
            </w:pPr>
            <w:r>
              <w:rPr>
                <w:noProof/>
                <w:sz w:val="20"/>
                <w:szCs w:val="20"/>
              </w:rPr>
              <w:t>Udgifts-område i den flerårige finan</w:t>
            </w:r>
            <w:r>
              <w:rPr>
                <w:noProof/>
                <w:sz w:val="20"/>
                <w:szCs w:val="20"/>
              </w:rPr>
              <w:t>sielle ramme</w:t>
            </w:r>
          </w:p>
        </w:tc>
        <w:tc>
          <w:tcPr>
            <w:tcW w:w="3840" w:type="dxa"/>
            <w:vAlign w:val="center"/>
          </w:tcPr>
          <w:p w:rsidR="00DE7E70" w:rsidRDefault="00B85DCD">
            <w:pPr>
              <w:spacing w:before="60" w:after="60"/>
              <w:jc w:val="center"/>
              <w:rPr>
                <w:noProof/>
                <w:sz w:val="20"/>
                <w:szCs w:val="20"/>
              </w:rPr>
            </w:pPr>
            <w:r>
              <w:rPr>
                <w:noProof/>
                <w:sz w:val="20"/>
                <w:szCs w:val="20"/>
              </w:rPr>
              <w:t>Budgetpost</w:t>
            </w:r>
          </w:p>
        </w:tc>
        <w:tc>
          <w:tcPr>
            <w:tcW w:w="1080" w:type="dxa"/>
            <w:vAlign w:val="center"/>
          </w:tcPr>
          <w:p w:rsidR="00DE7E70" w:rsidRDefault="00B85DCD">
            <w:pPr>
              <w:spacing w:before="60" w:after="60"/>
              <w:jc w:val="center"/>
              <w:rPr>
                <w:noProof/>
                <w:sz w:val="20"/>
                <w:szCs w:val="20"/>
              </w:rPr>
            </w:pPr>
            <w:r>
              <w:rPr>
                <w:noProof/>
                <w:sz w:val="20"/>
                <w:szCs w:val="20"/>
              </w:rPr>
              <w:t>Udgiftens art</w:t>
            </w:r>
          </w:p>
        </w:tc>
        <w:tc>
          <w:tcPr>
            <w:tcW w:w="4560" w:type="dxa"/>
            <w:gridSpan w:val="4"/>
            <w:vAlign w:val="center"/>
          </w:tcPr>
          <w:p w:rsidR="00DE7E70" w:rsidRDefault="00B85DCD">
            <w:pPr>
              <w:spacing w:before="60" w:after="60"/>
              <w:jc w:val="center"/>
              <w:rPr>
                <w:noProof/>
                <w:sz w:val="20"/>
                <w:szCs w:val="20"/>
              </w:rPr>
            </w:pPr>
            <w:r>
              <w:rPr>
                <w:noProof/>
                <w:sz w:val="20"/>
                <w:szCs w:val="20"/>
              </w:rPr>
              <w:t xml:space="preserve">Bidrag </w:t>
            </w:r>
          </w:p>
        </w:tc>
      </w:tr>
      <w:tr w:rsidR="00DE7E70">
        <w:tc>
          <w:tcPr>
            <w:tcW w:w="1080" w:type="dxa"/>
            <w:vMerge/>
            <w:vAlign w:val="center"/>
          </w:tcPr>
          <w:p w:rsidR="00DE7E70" w:rsidRDefault="00DE7E70">
            <w:pPr>
              <w:jc w:val="center"/>
              <w:rPr>
                <w:noProof/>
                <w:sz w:val="22"/>
              </w:rPr>
            </w:pPr>
          </w:p>
        </w:tc>
        <w:tc>
          <w:tcPr>
            <w:tcW w:w="3840" w:type="dxa"/>
            <w:vAlign w:val="center"/>
          </w:tcPr>
          <w:p w:rsidR="00DE7E70" w:rsidRDefault="00DE7E70">
            <w:pPr>
              <w:rPr>
                <w:noProof/>
                <w:sz w:val="22"/>
              </w:rPr>
            </w:pPr>
          </w:p>
        </w:tc>
        <w:tc>
          <w:tcPr>
            <w:tcW w:w="1080" w:type="dxa"/>
            <w:vAlign w:val="center"/>
          </w:tcPr>
          <w:p w:rsidR="00DE7E70" w:rsidRDefault="00B85DCD">
            <w:pPr>
              <w:jc w:val="center"/>
              <w:rPr>
                <w:noProof/>
                <w:sz w:val="16"/>
                <w:szCs w:val="16"/>
              </w:rPr>
            </w:pPr>
            <w:r>
              <w:rPr>
                <w:noProof/>
                <w:sz w:val="16"/>
                <w:szCs w:val="16"/>
              </w:rPr>
              <w:t>OB./IOB.</w:t>
            </w:r>
            <w:r>
              <w:rPr>
                <w:rStyle w:val="FootnoteReference"/>
                <w:noProof/>
                <w:sz w:val="16"/>
                <w:szCs w:val="16"/>
              </w:rPr>
              <w:footnoteReference w:id="26"/>
            </w:r>
          </w:p>
        </w:tc>
        <w:tc>
          <w:tcPr>
            <w:tcW w:w="960" w:type="dxa"/>
            <w:vAlign w:val="center"/>
          </w:tcPr>
          <w:p w:rsidR="00DE7E70" w:rsidRDefault="00B85DCD">
            <w:pPr>
              <w:jc w:val="center"/>
              <w:rPr>
                <w:noProof/>
                <w:sz w:val="16"/>
                <w:szCs w:val="16"/>
              </w:rPr>
            </w:pPr>
            <w:r>
              <w:rPr>
                <w:noProof/>
                <w:sz w:val="16"/>
                <w:szCs w:val="16"/>
              </w:rPr>
              <w:t>fra EFTA-lande</w:t>
            </w:r>
            <w:r>
              <w:rPr>
                <w:rStyle w:val="FootnoteReference"/>
                <w:noProof/>
                <w:sz w:val="16"/>
                <w:szCs w:val="16"/>
              </w:rPr>
              <w:footnoteReference w:id="27"/>
            </w:r>
          </w:p>
          <w:p w:rsidR="00DE7E70" w:rsidRDefault="00DE7E70">
            <w:pPr>
              <w:spacing w:before="0" w:after="0"/>
              <w:jc w:val="center"/>
              <w:rPr>
                <w:b/>
                <w:noProof/>
                <w:sz w:val="16"/>
                <w:szCs w:val="16"/>
              </w:rPr>
            </w:pPr>
          </w:p>
        </w:tc>
        <w:tc>
          <w:tcPr>
            <w:tcW w:w="1196" w:type="dxa"/>
            <w:vAlign w:val="center"/>
          </w:tcPr>
          <w:p w:rsidR="00DE7E70" w:rsidRDefault="00B85DCD">
            <w:pPr>
              <w:jc w:val="center"/>
              <w:rPr>
                <w:noProof/>
                <w:sz w:val="16"/>
                <w:szCs w:val="16"/>
              </w:rPr>
            </w:pPr>
            <w:r>
              <w:rPr>
                <w:noProof/>
                <w:sz w:val="16"/>
                <w:szCs w:val="16"/>
              </w:rPr>
              <w:t>fra kandidatlande</w:t>
            </w:r>
            <w:r>
              <w:rPr>
                <w:rStyle w:val="FootnoteReference"/>
                <w:noProof/>
                <w:sz w:val="16"/>
                <w:szCs w:val="16"/>
              </w:rPr>
              <w:footnoteReference w:id="28"/>
            </w:r>
          </w:p>
          <w:p w:rsidR="00DE7E70" w:rsidRDefault="00DE7E70">
            <w:pPr>
              <w:spacing w:before="0" w:after="0"/>
              <w:jc w:val="center"/>
              <w:rPr>
                <w:noProof/>
                <w:sz w:val="16"/>
                <w:szCs w:val="16"/>
              </w:rPr>
            </w:pPr>
          </w:p>
        </w:tc>
        <w:tc>
          <w:tcPr>
            <w:tcW w:w="1084" w:type="dxa"/>
            <w:vAlign w:val="center"/>
          </w:tcPr>
          <w:p w:rsidR="00DE7E70" w:rsidRDefault="00B85DCD">
            <w:pPr>
              <w:jc w:val="center"/>
              <w:rPr>
                <w:noProof/>
                <w:sz w:val="16"/>
                <w:szCs w:val="16"/>
              </w:rPr>
            </w:pPr>
            <w:r>
              <w:rPr>
                <w:noProof/>
                <w:sz w:val="16"/>
                <w:szCs w:val="16"/>
              </w:rPr>
              <w:t>fra tredjelande</w:t>
            </w:r>
          </w:p>
        </w:tc>
        <w:tc>
          <w:tcPr>
            <w:tcW w:w="1320" w:type="dxa"/>
            <w:vAlign w:val="center"/>
          </w:tcPr>
          <w:p w:rsidR="00DE7E70" w:rsidRDefault="00B85DCD">
            <w:pPr>
              <w:jc w:val="center"/>
              <w:rPr>
                <w:noProof/>
                <w:sz w:val="16"/>
                <w:szCs w:val="16"/>
              </w:rPr>
            </w:pPr>
            <w:r>
              <w:rPr>
                <w:noProof/>
                <w:sz w:val="16"/>
                <w:szCs w:val="16"/>
              </w:rPr>
              <w:t xml:space="preserve">iht. finans-forordningens artikel 21, stk. 2, litra (b) </w:t>
            </w:r>
          </w:p>
        </w:tc>
      </w:tr>
      <w:tr w:rsidR="00DE7E70">
        <w:tc>
          <w:tcPr>
            <w:tcW w:w="1080" w:type="dxa"/>
            <w:vAlign w:val="center"/>
          </w:tcPr>
          <w:p w:rsidR="00DE7E70" w:rsidRDefault="00B85DCD">
            <w:pPr>
              <w:jc w:val="center"/>
              <w:rPr>
                <w:noProof/>
                <w:sz w:val="22"/>
              </w:rPr>
            </w:pPr>
            <w:r>
              <w:rPr>
                <w:noProof/>
                <w:sz w:val="22"/>
              </w:rPr>
              <w:t>2</w:t>
            </w:r>
          </w:p>
        </w:tc>
        <w:tc>
          <w:tcPr>
            <w:tcW w:w="3840" w:type="dxa"/>
            <w:vAlign w:val="center"/>
          </w:tcPr>
          <w:p w:rsidR="00DE7E70" w:rsidRDefault="00B85DCD">
            <w:pPr>
              <w:spacing w:before="60"/>
              <w:rPr>
                <w:noProof/>
                <w:sz w:val="22"/>
              </w:rPr>
            </w:pPr>
            <w:r>
              <w:rPr>
                <w:noProof/>
                <w:sz w:val="22"/>
              </w:rPr>
              <w:t>34.02.01</w:t>
            </w:r>
            <w:r>
              <w:rPr>
                <w:rStyle w:val="FootnoteReference"/>
                <w:noProof/>
                <w:sz w:val="22"/>
              </w:rPr>
              <w:footnoteReference w:id="29"/>
            </w:r>
          </w:p>
        </w:tc>
        <w:tc>
          <w:tcPr>
            <w:tcW w:w="1080" w:type="dxa"/>
            <w:vAlign w:val="center"/>
          </w:tcPr>
          <w:p w:rsidR="00DE7E70" w:rsidRDefault="00B85DCD">
            <w:pPr>
              <w:jc w:val="center"/>
              <w:rPr>
                <w:noProof/>
                <w:color w:val="0000FF"/>
                <w:sz w:val="22"/>
              </w:rPr>
            </w:pPr>
            <w:r>
              <w:rPr>
                <w:noProof/>
                <w:sz w:val="22"/>
              </w:rPr>
              <w:t>OB.</w:t>
            </w:r>
          </w:p>
        </w:tc>
        <w:tc>
          <w:tcPr>
            <w:tcW w:w="960" w:type="dxa"/>
            <w:vAlign w:val="center"/>
          </w:tcPr>
          <w:p w:rsidR="00DE7E70" w:rsidRDefault="00B85DCD">
            <w:pPr>
              <w:jc w:val="center"/>
              <w:rPr>
                <w:noProof/>
                <w:sz w:val="22"/>
              </w:rPr>
            </w:pPr>
            <w:r>
              <w:rPr>
                <w:noProof/>
                <w:sz w:val="22"/>
              </w:rPr>
              <w:t>NEJ</w:t>
            </w:r>
          </w:p>
        </w:tc>
        <w:tc>
          <w:tcPr>
            <w:tcW w:w="1196" w:type="dxa"/>
            <w:vAlign w:val="center"/>
          </w:tcPr>
          <w:p w:rsidR="00DE7E70" w:rsidRDefault="00B85DCD">
            <w:pPr>
              <w:jc w:val="center"/>
              <w:rPr>
                <w:noProof/>
                <w:sz w:val="22"/>
              </w:rPr>
            </w:pPr>
            <w:r>
              <w:rPr>
                <w:noProof/>
                <w:sz w:val="22"/>
              </w:rPr>
              <w:t>NEJ</w:t>
            </w:r>
          </w:p>
        </w:tc>
        <w:tc>
          <w:tcPr>
            <w:tcW w:w="1084" w:type="dxa"/>
            <w:vAlign w:val="center"/>
          </w:tcPr>
          <w:p w:rsidR="00DE7E70" w:rsidRDefault="00B85DCD">
            <w:pPr>
              <w:jc w:val="center"/>
              <w:rPr>
                <w:noProof/>
                <w:sz w:val="22"/>
              </w:rPr>
            </w:pPr>
            <w:r>
              <w:rPr>
                <w:noProof/>
                <w:sz w:val="22"/>
              </w:rPr>
              <w:t>NEJ</w:t>
            </w:r>
          </w:p>
        </w:tc>
        <w:tc>
          <w:tcPr>
            <w:tcW w:w="1320" w:type="dxa"/>
            <w:vAlign w:val="center"/>
          </w:tcPr>
          <w:p w:rsidR="00DE7E70" w:rsidRDefault="00B85DCD">
            <w:pPr>
              <w:jc w:val="center"/>
              <w:rPr>
                <w:noProof/>
                <w:sz w:val="22"/>
              </w:rPr>
            </w:pPr>
            <w:r>
              <w:rPr>
                <w:noProof/>
                <w:sz w:val="22"/>
              </w:rPr>
              <w:t>NEJ</w:t>
            </w:r>
          </w:p>
        </w:tc>
      </w:tr>
      <w:tr w:rsidR="00DE7E70">
        <w:tc>
          <w:tcPr>
            <w:tcW w:w="1080" w:type="dxa"/>
            <w:vAlign w:val="center"/>
          </w:tcPr>
          <w:p w:rsidR="00DE7E70" w:rsidRDefault="00B85DCD">
            <w:pPr>
              <w:jc w:val="center"/>
              <w:rPr>
                <w:noProof/>
                <w:sz w:val="22"/>
              </w:rPr>
            </w:pPr>
            <w:r>
              <w:rPr>
                <w:noProof/>
                <w:sz w:val="22"/>
              </w:rPr>
              <w:t>2</w:t>
            </w:r>
          </w:p>
        </w:tc>
        <w:tc>
          <w:tcPr>
            <w:tcW w:w="3840" w:type="dxa"/>
            <w:vAlign w:val="center"/>
          </w:tcPr>
          <w:p w:rsidR="00DE7E70" w:rsidRDefault="00B85DCD">
            <w:pPr>
              <w:spacing w:before="60"/>
              <w:rPr>
                <w:noProof/>
                <w:sz w:val="22"/>
              </w:rPr>
            </w:pPr>
            <w:r>
              <w:rPr>
                <w:noProof/>
                <w:sz w:val="22"/>
              </w:rPr>
              <w:t>07.02.06</w:t>
            </w:r>
            <w:r>
              <w:rPr>
                <w:rStyle w:val="FootnoteReference"/>
                <w:noProof/>
                <w:sz w:val="22"/>
              </w:rPr>
              <w:footnoteReference w:id="30"/>
            </w:r>
          </w:p>
        </w:tc>
        <w:tc>
          <w:tcPr>
            <w:tcW w:w="1080" w:type="dxa"/>
            <w:vAlign w:val="center"/>
          </w:tcPr>
          <w:p w:rsidR="00DE7E70" w:rsidRDefault="00B85DCD">
            <w:pPr>
              <w:jc w:val="center"/>
              <w:rPr>
                <w:noProof/>
                <w:color w:val="0000FF"/>
                <w:sz w:val="22"/>
              </w:rPr>
            </w:pPr>
            <w:r>
              <w:rPr>
                <w:noProof/>
                <w:sz w:val="22"/>
              </w:rPr>
              <w:t>OB.</w:t>
            </w:r>
          </w:p>
        </w:tc>
        <w:tc>
          <w:tcPr>
            <w:tcW w:w="960" w:type="dxa"/>
            <w:vAlign w:val="center"/>
          </w:tcPr>
          <w:p w:rsidR="00DE7E70" w:rsidRDefault="00B85DCD">
            <w:pPr>
              <w:jc w:val="center"/>
              <w:rPr>
                <w:noProof/>
                <w:sz w:val="22"/>
              </w:rPr>
            </w:pPr>
            <w:r>
              <w:rPr>
                <w:noProof/>
                <w:sz w:val="22"/>
              </w:rPr>
              <w:t>JA</w:t>
            </w:r>
          </w:p>
        </w:tc>
        <w:tc>
          <w:tcPr>
            <w:tcW w:w="1196" w:type="dxa"/>
          </w:tcPr>
          <w:p w:rsidR="00DE7E70" w:rsidRDefault="00B85DCD">
            <w:pPr>
              <w:jc w:val="center"/>
              <w:rPr>
                <w:noProof/>
              </w:rPr>
            </w:pPr>
            <w:r>
              <w:rPr>
                <w:noProof/>
                <w:sz w:val="22"/>
              </w:rPr>
              <w:t>JA</w:t>
            </w:r>
          </w:p>
        </w:tc>
        <w:tc>
          <w:tcPr>
            <w:tcW w:w="1084" w:type="dxa"/>
          </w:tcPr>
          <w:p w:rsidR="00DE7E70" w:rsidRDefault="00B85DCD">
            <w:pPr>
              <w:jc w:val="center"/>
              <w:rPr>
                <w:noProof/>
              </w:rPr>
            </w:pPr>
            <w:r>
              <w:rPr>
                <w:noProof/>
                <w:sz w:val="22"/>
              </w:rPr>
              <w:t>JA</w:t>
            </w:r>
          </w:p>
        </w:tc>
        <w:tc>
          <w:tcPr>
            <w:tcW w:w="1320" w:type="dxa"/>
            <w:vAlign w:val="center"/>
          </w:tcPr>
          <w:p w:rsidR="00DE7E70" w:rsidRDefault="00B85DCD">
            <w:pPr>
              <w:jc w:val="center"/>
              <w:rPr>
                <w:noProof/>
                <w:sz w:val="22"/>
              </w:rPr>
            </w:pPr>
            <w:r>
              <w:rPr>
                <w:noProof/>
                <w:sz w:val="22"/>
              </w:rPr>
              <w:t>NEJ</w:t>
            </w:r>
          </w:p>
        </w:tc>
      </w:tr>
      <w:tr w:rsidR="00DE7E70">
        <w:tc>
          <w:tcPr>
            <w:tcW w:w="1080" w:type="dxa"/>
            <w:vAlign w:val="center"/>
          </w:tcPr>
          <w:p w:rsidR="00DE7E70" w:rsidRDefault="00B85DCD">
            <w:pPr>
              <w:jc w:val="center"/>
              <w:rPr>
                <w:noProof/>
                <w:sz w:val="22"/>
              </w:rPr>
            </w:pPr>
            <w:r>
              <w:rPr>
                <w:noProof/>
                <w:sz w:val="22"/>
              </w:rPr>
              <w:t>5</w:t>
            </w:r>
          </w:p>
        </w:tc>
        <w:tc>
          <w:tcPr>
            <w:tcW w:w="3840" w:type="dxa"/>
            <w:vAlign w:val="center"/>
          </w:tcPr>
          <w:p w:rsidR="00DE7E70" w:rsidRDefault="00B85DCD">
            <w:pPr>
              <w:spacing w:before="60"/>
              <w:rPr>
                <w:noProof/>
                <w:sz w:val="22"/>
              </w:rPr>
            </w:pPr>
            <w:r>
              <w:rPr>
                <w:noProof/>
                <w:sz w:val="22"/>
              </w:rPr>
              <w:t>34,01 %</w:t>
            </w:r>
          </w:p>
        </w:tc>
        <w:tc>
          <w:tcPr>
            <w:tcW w:w="1080" w:type="dxa"/>
            <w:vAlign w:val="center"/>
          </w:tcPr>
          <w:p w:rsidR="00DE7E70" w:rsidRDefault="00B85DCD">
            <w:pPr>
              <w:jc w:val="center"/>
              <w:rPr>
                <w:noProof/>
                <w:sz w:val="22"/>
              </w:rPr>
            </w:pPr>
            <w:r>
              <w:rPr>
                <w:noProof/>
                <w:sz w:val="22"/>
              </w:rPr>
              <w:t>IOB.</w:t>
            </w:r>
          </w:p>
        </w:tc>
        <w:tc>
          <w:tcPr>
            <w:tcW w:w="960" w:type="dxa"/>
            <w:vAlign w:val="center"/>
          </w:tcPr>
          <w:p w:rsidR="00DE7E70" w:rsidRDefault="00B85DCD">
            <w:pPr>
              <w:jc w:val="center"/>
              <w:rPr>
                <w:noProof/>
                <w:sz w:val="22"/>
              </w:rPr>
            </w:pPr>
            <w:r>
              <w:rPr>
                <w:noProof/>
                <w:sz w:val="22"/>
              </w:rPr>
              <w:t>NEJ</w:t>
            </w:r>
          </w:p>
        </w:tc>
        <w:tc>
          <w:tcPr>
            <w:tcW w:w="1196" w:type="dxa"/>
            <w:vAlign w:val="center"/>
          </w:tcPr>
          <w:p w:rsidR="00DE7E70" w:rsidRDefault="00B85DCD">
            <w:pPr>
              <w:jc w:val="center"/>
              <w:rPr>
                <w:noProof/>
                <w:sz w:val="22"/>
              </w:rPr>
            </w:pPr>
            <w:r>
              <w:rPr>
                <w:noProof/>
                <w:sz w:val="22"/>
              </w:rPr>
              <w:t>NEJ</w:t>
            </w:r>
          </w:p>
        </w:tc>
        <w:tc>
          <w:tcPr>
            <w:tcW w:w="1084" w:type="dxa"/>
            <w:vAlign w:val="center"/>
          </w:tcPr>
          <w:p w:rsidR="00DE7E70" w:rsidRDefault="00B85DCD">
            <w:pPr>
              <w:jc w:val="center"/>
              <w:rPr>
                <w:noProof/>
                <w:sz w:val="22"/>
              </w:rPr>
            </w:pPr>
            <w:r>
              <w:rPr>
                <w:noProof/>
                <w:sz w:val="22"/>
              </w:rPr>
              <w:t>NEJ</w:t>
            </w:r>
          </w:p>
        </w:tc>
        <w:tc>
          <w:tcPr>
            <w:tcW w:w="1320" w:type="dxa"/>
            <w:vAlign w:val="center"/>
          </w:tcPr>
          <w:p w:rsidR="00DE7E70" w:rsidRDefault="00B85DCD">
            <w:pPr>
              <w:jc w:val="center"/>
              <w:rPr>
                <w:noProof/>
                <w:sz w:val="22"/>
              </w:rPr>
            </w:pPr>
            <w:r>
              <w:rPr>
                <w:noProof/>
                <w:sz w:val="22"/>
              </w:rPr>
              <w:t>NEJ</w:t>
            </w:r>
          </w:p>
        </w:tc>
      </w:tr>
    </w:tbl>
    <w:p w:rsidR="00DE7E70" w:rsidRDefault="00B85DCD">
      <w:pPr>
        <w:pStyle w:val="ListBullet1"/>
        <w:rPr>
          <w:noProof/>
        </w:rPr>
      </w:pPr>
      <w:r>
        <w:rPr>
          <w:noProof/>
        </w:rPr>
        <w:t xml:space="preserve">Nye budgetposter, der er søgt om: </w:t>
      </w:r>
      <w:r>
        <w:rPr>
          <w:b/>
          <w:noProof/>
        </w:rPr>
        <w:t>Ikke relevant</w:t>
      </w:r>
      <w:r>
        <w:rPr>
          <w:noProof/>
        </w:rPr>
        <w:t xml:space="preserve"> </w:t>
      </w:r>
    </w:p>
    <w:p w:rsidR="00DE7E70" w:rsidRDefault="00B85DCD">
      <w:pPr>
        <w:pStyle w:val="Text1"/>
        <w:rPr>
          <w:i/>
          <w:noProof/>
          <w:sz w:val="20"/>
        </w:rPr>
      </w:pPr>
      <w:r>
        <w:rPr>
          <w:noProof/>
          <w:u w:val="single"/>
        </w:rPr>
        <w:t>I samme rækkefølge</w:t>
      </w:r>
      <w:r>
        <w:rPr>
          <w:noProof/>
        </w:rPr>
        <w:t xml:space="preserve"> som udgiftsområderne i den flerårige finansielle ramme og budgetposterne</w:t>
      </w:r>
      <w:r>
        <w:rPr>
          <w:i/>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960"/>
        <w:gridCol w:w="1196"/>
        <w:gridCol w:w="956"/>
        <w:gridCol w:w="1448"/>
      </w:tblGrid>
      <w:tr w:rsidR="00DE7E70">
        <w:tc>
          <w:tcPr>
            <w:tcW w:w="1080" w:type="dxa"/>
            <w:vMerge w:val="restart"/>
            <w:vAlign w:val="center"/>
          </w:tcPr>
          <w:p w:rsidR="00DE7E70" w:rsidRDefault="00B85DCD">
            <w:pPr>
              <w:spacing w:before="60" w:after="60"/>
              <w:jc w:val="center"/>
              <w:rPr>
                <w:noProof/>
                <w:sz w:val="20"/>
                <w:szCs w:val="20"/>
              </w:rPr>
            </w:pPr>
            <w:r>
              <w:rPr>
                <w:noProof/>
                <w:sz w:val="20"/>
                <w:szCs w:val="20"/>
              </w:rPr>
              <w:t>Udgifts-område i den flerårige finansielle ramme</w:t>
            </w:r>
          </w:p>
        </w:tc>
        <w:tc>
          <w:tcPr>
            <w:tcW w:w="3840" w:type="dxa"/>
            <w:vAlign w:val="center"/>
          </w:tcPr>
          <w:p w:rsidR="00DE7E70" w:rsidRDefault="00B85DCD">
            <w:pPr>
              <w:spacing w:before="60" w:after="60"/>
              <w:jc w:val="center"/>
              <w:rPr>
                <w:noProof/>
                <w:sz w:val="20"/>
                <w:szCs w:val="20"/>
              </w:rPr>
            </w:pPr>
            <w:r>
              <w:rPr>
                <w:noProof/>
                <w:sz w:val="20"/>
                <w:szCs w:val="20"/>
              </w:rPr>
              <w:t>Budgetpost</w:t>
            </w:r>
          </w:p>
        </w:tc>
        <w:tc>
          <w:tcPr>
            <w:tcW w:w="1080" w:type="dxa"/>
            <w:vAlign w:val="center"/>
          </w:tcPr>
          <w:p w:rsidR="00DE7E70" w:rsidRDefault="00B85DCD">
            <w:pPr>
              <w:spacing w:before="60" w:after="60"/>
              <w:jc w:val="center"/>
              <w:rPr>
                <w:noProof/>
                <w:sz w:val="20"/>
                <w:szCs w:val="20"/>
              </w:rPr>
            </w:pPr>
            <w:r>
              <w:rPr>
                <w:noProof/>
                <w:sz w:val="20"/>
                <w:szCs w:val="20"/>
              </w:rPr>
              <w:t>Udgiftens art</w:t>
            </w:r>
          </w:p>
        </w:tc>
        <w:tc>
          <w:tcPr>
            <w:tcW w:w="4560" w:type="dxa"/>
            <w:gridSpan w:val="4"/>
            <w:vAlign w:val="center"/>
          </w:tcPr>
          <w:p w:rsidR="00DE7E70" w:rsidRDefault="00B85DCD">
            <w:pPr>
              <w:spacing w:before="60" w:after="60"/>
              <w:jc w:val="center"/>
              <w:rPr>
                <w:noProof/>
                <w:sz w:val="20"/>
                <w:szCs w:val="20"/>
              </w:rPr>
            </w:pPr>
            <w:r>
              <w:rPr>
                <w:noProof/>
                <w:sz w:val="20"/>
                <w:szCs w:val="20"/>
              </w:rPr>
              <w:t xml:space="preserve">Bidrag </w:t>
            </w:r>
          </w:p>
        </w:tc>
      </w:tr>
      <w:tr w:rsidR="00DE7E70">
        <w:tc>
          <w:tcPr>
            <w:tcW w:w="1080" w:type="dxa"/>
            <w:vMerge/>
            <w:vAlign w:val="center"/>
          </w:tcPr>
          <w:p w:rsidR="00DE7E70" w:rsidRDefault="00DE7E70">
            <w:pPr>
              <w:jc w:val="center"/>
              <w:rPr>
                <w:noProof/>
                <w:sz w:val="22"/>
              </w:rPr>
            </w:pPr>
          </w:p>
        </w:tc>
        <w:tc>
          <w:tcPr>
            <w:tcW w:w="3840" w:type="dxa"/>
            <w:vAlign w:val="center"/>
          </w:tcPr>
          <w:p w:rsidR="00DE7E70" w:rsidRDefault="00B85DCD">
            <w:pPr>
              <w:rPr>
                <w:noProof/>
                <w:sz w:val="20"/>
                <w:szCs w:val="20"/>
              </w:rPr>
            </w:pPr>
            <w:r>
              <w:rPr>
                <w:noProof/>
                <w:sz w:val="20"/>
                <w:szCs w:val="20"/>
              </w:rPr>
              <w:t xml:space="preserve">Nummer  </w:t>
            </w:r>
            <w:r>
              <w:rPr>
                <w:noProof/>
                <w:sz w:val="20"/>
                <w:szCs w:val="20"/>
              </w:rPr>
              <w:br/>
            </w:r>
            <w:r>
              <w:rPr>
                <w:noProof/>
                <w:sz w:val="20"/>
                <w:szCs w:val="20"/>
              </w:rPr>
              <w:t>[Betegnelse………………………………..]</w:t>
            </w:r>
          </w:p>
        </w:tc>
        <w:tc>
          <w:tcPr>
            <w:tcW w:w="1080" w:type="dxa"/>
            <w:vAlign w:val="center"/>
          </w:tcPr>
          <w:p w:rsidR="00DE7E70" w:rsidRDefault="00B85DCD">
            <w:pPr>
              <w:jc w:val="center"/>
              <w:rPr>
                <w:noProof/>
                <w:sz w:val="16"/>
                <w:szCs w:val="16"/>
              </w:rPr>
            </w:pPr>
            <w:r>
              <w:rPr>
                <w:noProof/>
                <w:sz w:val="16"/>
                <w:szCs w:val="16"/>
              </w:rPr>
              <w:t>OB./IOB.</w:t>
            </w:r>
          </w:p>
        </w:tc>
        <w:tc>
          <w:tcPr>
            <w:tcW w:w="960" w:type="dxa"/>
            <w:vAlign w:val="center"/>
          </w:tcPr>
          <w:p w:rsidR="00DE7E70" w:rsidRDefault="00B85DCD">
            <w:pPr>
              <w:jc w:val="center"/>
              <w:rPr>
                <w:noProof/>
                <w:sz w:val="16"/>
                <w:szCs w:val="16"/>
              </w:rPr>
            </w:pPr>
            <w:r>
              <w:rPr>
                <w:noProof/>
                <w:sz w:val="16"/>
                <w:szCs w:val="16"/>
              </w:rPr>
              <w:t>fra EFTA-lande</w:t>
            </w:r>
          </w:p>
        </w:tc>
        <w:tc>
          <w:tcPr>
            <w:tcW w:w="1196" w:type="dxa"/>
            <w:vAlign w:val="center"/>
          </w:tcPr>
          <w:p w:rsidR="00DE7E70" w:rsidRDefault="00B85DCD">
            <w:pPr>
              <w:jc w:val="center"/>
              <w:rPr>
                <w:noProof/>
                <w:sz w:val="16"/>
                <w:szCs w:val="16"/>
              </w:rPr>
            </w:pPr>
            <w:r>
              <w:rPr>
                <w:noProof/>
                <w:sz w:val="16"/>
                <w:szCs w:val="16"/>
              </w:rPr>
              <w:t>fra kandidatlande</w:t>
            </w:r>
          </w:p>
        </w:tc>
        <w:tc>
          <w:tcPr>
            <w:tcW w:w="956" w:type="dxa"/>
            <w:vAlign w:val="center"/>
          </w:tcPr>
          <w:p w:rsidR="00DE7E70" w:rsidRDefault="00B85DCD">
            <w:pPr>
              <w:jc w:val="center"/>
              <w:rPr>
                <w:noProof/>
                <w:sz w:val="16"/>
                <w:szCs w:val="16"/>
              </w:rPr>
            </w:pPr>
            <w:r>
              <w:rPr>
                <w:noProof/>
                <w:sz w:val="16"/>
                <w:szCs w:val="16"/>
              </w:rPr>
              <w:t>fra tredjelande</w:t>
            </w:r>
          </w:p>
        </w:tc>
        <w:tc>
          <w:tcPr>
            <w:tcW w:w="1448" w:type="dxa"/>
            <w:vAlign w:val="center"/>
          </w:tcPr>
          <w:p w:rsidR="00DE7E70" w:rsidRDefault="00B85DCD">
            <w:pPr>
              <w:jc w:val="center"/>
              <w:rPr>
                <w:noProof/>
                <w:sz w:val="16"/>
                <w:szCs w:val="16"/>
              </w:rPr>
            </w:pPr>
            <w:r>
              <w:rPr>
                <w:noProof/>
                <w:sz w:val="16"/>
                <w:szCs w:val="16"/>
              </w:rPr>
              <w:t xml:space="preserve">iht. finans-forordningens artikel 21, stk. 2, litra (b) </w:t>
            </w:r>
          </w:p>
        </w:tc>
      </w:tr>
      <w:tr w:rsidR="00DE7E70">
        <w:tc>
          <w:tcPr>
            <w:tcW w:w="1080" w:type="dxa"/>
            <w:vAlign w:val="center"/>
          </w:tcPr>
          <w:p w:rsidR="00DE7E70" w:rsidRDefault="00DE7E70">
            <w:pPr>
              <w:jc w:val="center"/>
              <w:rPr>
                <w:noProof/>
                <w:color w:val="0000FF"/>
                <w:sz w:val="22"/>
              </w:rPr>
            </w:pPr>
          </w:p>
        </w:tc>
        <w:tc>
          <w:tcPr>
            <w:tcW w:w="3840" w:type="dxa"/>
            <w:vAlign w:val="center"/>
          </w:tcPr>
          <w:p w:rsidR="00DE7E70" w:rsidRDefault="00B85DCD">
            <w:pPr>
              <w:spacing w:before="60"/>
              <w:rPr>
                <w:noProof/>
                <w:sz w:val="22"/>
              </w:rPr>
            </w:pPr>
            <w:r>
              <w:rPr>
                <w:noProof/>
                <w:sz w:val="22"/>
              </w:rPr>
              <w:t>[XX.YY.YY.YY]</w:t>
            </w:r>
          </w:p>
          <w:p w:rsidR="00DE7E70" w:rsidRDefault="00DE7E70">
            <w:pPr>
              <w:spacing w:after="60"/>
              <w:rPr>
                <w:noProof/>
                <w:color w:val="0000FF"/>
                <w:sz w:val="22"/>
              </w:rPr>
            </w:pPr>
          </w:p>
        </w:tc>
        <w:tc>
          <w:tcPr>
            <w:tcW w:w="1080" w:type="dxa"/>
            <w:vAlign w:val="center"/>
          </w:tcPr>
          <w:p w:rsidR="00DE7E70" w:rsidRDefault="00DE7E70">
            <w:pPr>
              <w:jc w:val="center"/>
              <w:rPr>
                <w:noProof/>
                <w:color w:val="0000FF"/>
                <w:sz w:val="22"/>
              </w:rPr>
            </w:pPr>
          </w:p>
        </w:tc>
        <w:tc>
          <w:tcPr>
            <w:tcW w:w="960" w:type="dxa"/>
            <w:vAlign w:val="center"/>
          </w:tcPr>
          <w:p w:rsidR="00DE7E70" w:rsidRDefault="00B85DCD">
            <w:pPr>
              <w:jc w:val="center"/>
              <w:rPr>
                <w:noProof/>
                <w:sz w:val="22"/>
              </w:rPr>
            </w:pPr>
            <w:r>
              <w:rPr>
                <w:noProof/>
                <w:sz w:val="22"/>
              </w:rPr>
              <w:t>JA/NEJ</w:t>
            </w:r>
          </w:p>
        </w:tc>
        <w:tc>
          <w:tcPr>
            <w:tcW w:w="1196" w:type="dxa"/>
            <w:vAlign w:val="center"/>
          </w:tcPr>
          <w:p w:rsidR="00DE7E70" w:rsidRDefault="00B85DCD">
            <w:pPr>
              <w:jc w:val="center"/>
              <w:rPr>
                <w:noProof/>
                <w:color w:val="0000FF"/>
                <w:sz w:val="18"/>
              </w:rPr>
            </w:pPr>
            <w:r>
              <w:rPr>
                <w:noProof/>
                <w:sz w:val="22"/>
              </w:rPr>
              <w:t>JA/NEJ</w:t>
            </w:r>
          </w:p>
        </w:tc>
        <w:tc>
          <w:tcPr>
            <w:tcW w:w="956" w:type="dxa"/>
            <w:vAlign w:val="center"/>
          </w:tcPr>
          <w:p w:rsidR="00DE7E70" w:rsidRDefault="00B85DCD">
            <w:pPr>
              <w:jc w:val="center"/>
              <w:rPr>
                <w:noProof/>
                <w:color w:val="0000FF"/>
                <w:sz w:val="18"/>
              </w:rPr>
            </w:pPr>
            <w:r>
              <w:rPr>
                <w:noProof/>
                <w:sz w:val="22"/>
              </w:rPr>
              <w:t>JA/NEJ</w:t>
            </w:r>
          </w:p>
        </w:tc>
        <w:tc>
          <w:tcPr>
            <w:tcW w:w="1448" w:type="dxa"/>
            <w:vAlign w:val="center"/>
          </w:tcPr>
          <w:p w:rsidR="00DE7E70" w:rsidRDefault="00B85DCD">
            <w:pPr>
              <w:jc w:val="center"/>
              <w:rPr>
                <w:noProof/>
                <w:sz w:val="22"/>
              </w:rPr>
            </w:pPr>
            <w:r>
              <w:rPr>
                <w:noProof/>
                <w:sz w:val="22"/>
              </w:rPr>
              <w:t>JA/NEJ</w:t>
            </w:r>
          </w:p>
        </w:tc>
      </w:tr>
    </w:tbl>
    <w:p w:rsidR="00DE7E70" w:rsidRDefault="00DE7E70">
      <w:pPr>
        <w:rPr>
          <w:noProof/>
        </w:rPr>
        <w:sectPr w:rsidR="00DE7E70" w:rsidSect="00B85DCD">
          <w:pgSz w:w="11907" w:h="16840" w:code="1"/>
          <w:pgMar w:top="1134" w:right="1418" w:bottom="1134" w:left="1418" w:header="709" w:footer="709" w:gutter="0"/>
          <w:cols w:space="708"/>
          <w:docGrid w:linePitch="360"/>
        </w:sectPr>
      </w:pPr>
    </w:p>
    <w:p w:rsidR="00DE7E70" w:rsidRDefault="00B85DCD">
      <w:pPr>
        <w:pStyle w:val="ManualHeading2"/>
        <w:rPr>
          <w:bCs/>
          <w:noProof/>
          <w:szCs w:val="24"/>
        </w:rPr>
      </w:pPr>
      <w:r>
        <w:t>3.2.</w:t>
      </w:r>
      <w:r>
        <w:tab/>
      </w:r>
      <w:r>
        <w:rPr>
          <w:noProof/>
        </w:rPr>
        <w:t xml:space="preserve">Anslåede virkninger for udgifterne </w:t>
      </w:r>
    </w:p>
    <w:p w:rsidR="00DE7E70" w:rsidRDefault="00B85DCD">
      <w:pPr>
        <w:pStyle w:val="Text1"/>
        <w:rPr>
          <w:noProof/>
        </w:rPr>
      </w:pPr>
      <w:r>
        <w:rPr>
          <w:noProof/>
        </w:rPr>
        <w:t>]</w:t>
      </w:r>
    </w:p>
    <w:p w:rsidR="00DE7E70" w:rsidRDefault="00B85DCD">
      <w:pPr>
        <w:pStyle w:val="ManualHeading3"/>
        <w:rPr>
          <w:noProof/>
          <w:u w:val="single"/>
        </w:rPr>
      </w:pPr>
      <w:r>
        <w:t>3.2.1.</w:t>
      </w:r>
      <w:r>
        <w:tab/>
      </w:r>
      <w:r>
        <w:rPr>
          <w:noProof/>
        </w:rPr>
        <w:t xml:space="preserve">Sammenfatning af de anslåede virkninger for udgifterne </w:t>
      </w:r>
    </w:p>
    <w:p w:rsidR="00DE7E70" w:rsidRDefault="00B85DCD">
      <w:pPr>
        <w:jc w:val="right"/>
        <w:rPr>
          <w:noProof/>
          <w:sz w:val="20"/>
        </w:rPr>
      </w:pPr>
      <w:r>
        <w:rPr>
          <w:noProof/>
          <w:sz w:val="20"/>
        </w:rPr>
        <w:t>i mio. EUR (op til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E7E70">
        <w:trPr>
          <w:jc w:val="center"/>
        </w:trPr>
        <w:tc>
          <w:tcPr>
            <w:tcW w:w="4744" w:type="dxa"/>
            <w:shd w:val="thinDiagStripe" w:color="C0C0C0" w:fill="auto"/>
            <w:vAlign w:val="center"/>
          </w:tcPr>
          <w:p w:rsidR="00DE7E70" w:rsidRDefault="00B85DCD">
            <w:pPr>
              <w:spacing w:before="60" w:after="60"/>
              <w:jc w:val="center"/>
              <w:rPr>
                <w:b/>
                <w:noProof/>
                <w:sz w:val="22"/>
              </w:rPr>
            </w:pPr>
            <w:r>
              <w:rPr>
                <w:b/>
                <w:noProof/>
                <w:sz w:val="22"/>
              </w:rPr>
              <w:t xml:space="preserve">Betegnelse for den flerårige finansielle ramme </w:t>
            </w:r>
          </w:p>
        </w:tc>
        <w:tc>
          <w:tcPr>
            <w:tcW w:w="1080" w:type="dxa"/>
            <w:vAlign w:val="center"/>
          </w:tcPr>
          <w:p w:rsidR="00DE7E70" w:rsidRDefault="00B85DCD">
            <w:pPr>
              <w:spacing w:before="60" w:after="60"/>
              <w:jc w:val="center"/>
              <w:rPr>
                <w:noProof/>
                <w:sz w:val="22"/>
              </w:rPr>
            </w:pPr>
            <w:r>
              <w:rPr>
                <w:noProof/>
                <w:sz w:val="22"/>
              </w:rPr>
              <w:t>Nummer</w:t>
            </w:r>
          </w:p>
        </w:tc>
        <w:tc>
          <w:tcPr>
            <w:tcW w:w="7817" w:type="dxa"/>
            <w:vAlign w:val="center"/>
          </w:tcPr>
          <w:p w:rsidR="00DE7E70" w:rsidRDefault="00B85DCD">
            <w:pPr>
              <w:spacing w:before="60" w:after="60"/>
              <w:rPr>
                <w:noProof/>
                <w:sz w:val="22"/>
              </w:rPr>
            </w:pPr>
            <w:r>
              <w:rPr>
                <w:noProof/>
                <w:sz w:val="22"/>
              </w:rPr>
              <w:t>Bæredygtig vækst: Naturressourcer</w:t>
            </w:r>
          </w:p>
        </w:tc>
      </w:tr>
    </w:tbl>
    <w:p w:rsidR="00DE7E70" w:rsidRDefault="00DE7E70">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DE7E70">
        <w:tc>
          <w:tcPr>
            <w:tcW w:w="3960" w:type="dxa"/>
            <w:vAlign w:val="center"/>
          </w:tcPr>
          <w:p w:rsidR="00DE7E70" w:rsidRDefault="00B85DCD">
            <w:pPr>
              <w:jc w:val="center"/>
              <w:rPr>
                <w:noProof/>
                <w:sz w:val="20"/>
                <w:szCs w:val="20"/>
              </w:rPr>
            </w:pPr>
            <w:r>
              <w:rPr>
                <w:noProof/>
                <w:sz w:val="20"/>
                <w:szCs w:val="20"/>
              </w:rPr>
              <w:t>DG: CLIMA</w:t>
            </w:r>
          </w:p>
        </w:tc>
        <w:tc>
          <w:tcPr>
            <w:tcW w:w="1560" w:type="dxa"/>
            <w:gridSpan w:val="2"/>
          </w:tcPr>
          <w:p w:rsidR="00DE7E70" w:rsidRDefault="00DE7E70">
            <w:pPr>
              <w:rPr>
                <w:noProof/>
                <w:sz w:val="20"/>
                <w:szCs w:val="20"/>
              </w:rPr>
            </w:pPr>
          </w:p>
        </w:tc>
        <w:tc>
          <w:tcPr>
            <w:tcW w:w="534" w:type="dxa"/>
          </w:tcPr>
          <w:p w:rsidR="00DE7E70" w:rsidRDefault="00DE7E70">
            <w:pPr>
              <w:jc w:val="center"/>
              <w:rPr>
                <w:noProof/>
                <w:sz w:val="20"/>
                <w:szCs w:val="20"/>
              </w:rPr>
            </w:pPr>
          </w:p>
        </w:tc>
        <w:tc>
          <w:tcPr>
            <w:tcW w:w="868" w:type="dxa"/>
            <w:vAlign w:val="center"/>
          </w:tcPr>
          <w:p w:rsidR="00DE7E70" w:rsidRDefault="00B85DCD">
            <w:pPr>
              <w:jc w:val="center"/>
              <w:rPr>
                <w:noProof/>
                <w:sz w:val="20"/>
                <w:szCs w:val="20"/>
              </w:rPr>
            </w:pPr>
            <w:r>
              <w:rPr>
                <w:noProof/>
                <w:sz w:val="20"/>
                <w:szCs w:val="20"/>
              </w:rPr>
              <w:t xml:space="preserve">År </w:t>
            </w:r>
            <w:r>
              <w:rPr>
                <w:noProof/>
                <w:sz w:val="20"/>
                <w:szCs w:val="20"/>
              </w:rPr>
              <w:br/>
            </w:r>
            <w:r>
              <w:rPr>
                <w:b/>
                <w:noProof/>
                <w:sz w:val="20"/>
                <w:szCs w:val="20"/>
              </w:rPr>
              <w:t>2017</w:t>
            </w:r>
          </w:p>
        </w:tc>
        <w:tc>
          <w:tcPr>
            <w:tcW w:w="868" w:type="dxa"/>
            <w:vAlign w:val="center"/>
          </w:tcPr>
          <w:p w:rsidR="00DE7E70" w:rsidRDefault="00B85DCD">
            <w:pPr>
              <w:jc w:val="center"/>
              <w:rPr>
                <w:noProof/>
                <w:sz w:val="20"/>
                <w:szCs w:val="20"/>
              </w:rPr>
            </w:pPr>
            <w:r>
              <w:rPr>
                <w:noProof/>
                <w:sz w:val="20"/>
                <w:szCs w:val="20"/>
              </w:rPr>
              <w:t xml:space="preserve">År </w:t>
            </w:r>
            <w:r>
              <w:rPr>
                <w:noProof/>
                <w:sz w:val="20"/>
                <w:szCs w:val="20"/>
              </w:rPr>
              <w:br/>
            </w:r>
            <w:r>
              <w:rPr>
                <w:b/>
                <w:noProof/>
                <w:sz w:val="20"/>
                <w:szCs w:val="20"/>
              </w:rPr>
              <w:t>2018</w:t>
            </w:r>
          </w:p>
        </w:tc>
        <w:tc>
          <w:tcPr>
            <w:tcW w:w="868" w:type="dxa"/>
            <w:vAlign w:val="center"/>
          </w:tcPr>
          <w:p w:rsidR="00DE7E70" w:rsidRDefault="00B85DCD">
            <w:pPr>
              <w:jc w:val="center"/>
              <w:rPr>
                <w:noProof/>
                <w:sz w:val="20"/>
                <w:szCs w:val="20"/>
              </w:rPr>
            </w:pPr>
            <w:r>
              <w:rPr>
                <w:noProof/>
                <w:sz w:val="20"/>
                <w:szCs w:val="20"/>
              </w:rPr>
              <w:t xml:space="preserve">År </w:t>
            </w:r>
            <w:r>
              <w:rPr>
                <w:noProof/>
                <w:sz w:val="20"/>
                <w:szCs w:val="20"/>
              </w:rPr>
              <w:br/>
            </w:r>
            <w:r>
              <w:rPr>
                <w:b/>
                <w:noProof/>
                <w:sz w:val="20"/>
                <w:szCs w:val="20"/>
              </w:rPr>
              <w:t>2019</w:t>
            </w:r>
          </w:p>
        </w:tc>
        <w:tc>
          <w:tcPr>
            <w:tcW w:w="868" w:type="dxa"/>
            <w:vAlign w:val="center"/>
          </w:tcPr>
          <w:p w:rsidR="00DE7E70" w:rsidRDefault="00B85DCD">
            <w:pPr>
              <w:jc w:val="center"/>
              <w:rPr>
                <w:noProof/>
                <w:sz w:val="20"/>
                <w:szCs w:val="20"/>
              </w:rPr>
            </w:pPr>
            <w:r>
              <w:rPr>
                <w:noProof/>
                <w:sz w:val="20"/>
                <w:szCs w:val="20"/>
              </w:rPr>
              <w:t xml:space="preserve">År </w:t>
            </w:r>
            <w:r>
              <w:rPr>
                <w:noProof/>
                <w:sz w:val="20"/>
                <w:szCs w:val="20"/>
              </w:rPr>
              <w:br/>
            </w:r>
            <w:r>
              <w:rPr>
                <w:b/>
                <w:noProof/>
                <w:sz w:val="20"/>
                <w:szCs w:val="20"/>
              </w:rPr>
              <w:t>2020</w:t>
            </w:r>
          </w:p>
        </w:tc>
        <w:tc>
          <w:tcPr>
            <w:tcW w:w="2604" w:type="dxa"/>
            <w:gridSpan w:val="3"/>
            <w:vAlign w:val="center"/>
          </w:tcPr>
          <w:p w:rsidR="00DE7E70" w:rsidRDefault="00DE7E70">
            <w:pPr>
              <w:jc w:val="center"/>
              <w:rPr>
                <w:b/>
                <w:noProof/>
                <w:sz w:val="20"/>
                <w:szCs w:val="20"/>
              </w:rPr>
            </w:pPr>
          </w:p>
        </w:tc>
        <w:tc>
          <w:tcPr>
            <w:tcW w:w="1777" w:type="dxa"/>
            <w:vAlign w:val="center"/>
          </w:tcPr>
          <w:p w:rsidR="00DE7E70" w:rsidRDefault="00B85DCD">
            <w:pPr>
              <w:jc w:val="center"/>
              <w:rPr>
                <w:b/>
                <w:noProof/>
                <w:sz w:val="20"/>
                <w:szCs w:val="20"/>
              </w:rPr>
            </w:pPr>
            <w:r>
              <w:rPr>
                <w:b/>
                <w:noProof/>
                <w:sz w:val="20"/>
                <w:szCs w:val="20"/>
              </w:rPr>
              <w:t>I ALT</w:t>
            </w:r>
          </w:p>
        </w:tc>
      </w:tr>
      <w:tr w:rsidR="00DE7E70">
        <w:trPr>
          <w:trHeight w:val="213"/>
        </w:trPr>
        <w:tc>
          <w:tcPr>
            <w:tcW w:w="6054" w:type="dxa"/>
            <w:gridSpan w:val="4"/>
            <w:vAlign w:val="center"/>
          </w:tcPr>
          <w:p w:rsidR="00DE7E70" w:rsidRDefault="00B85DCD">
            <w:pPr>
              <w:spacing w:before="20" w:after="20"/>
              <w:rPr>
                <w:noProof/>
                <w:sz w:val="21"/>
                <w:szCs w:val="21"/>
              </w:rPr>
            </w:pPr>
            <w:r>
              <w:rPr>
                <w:noProof/>
                <w:sz w:val="21"/>
                <w:szCs w:val="21"/>
              </w:rPr>
              <w:sym w:font="Wingdings" w:char="F09F"/>
            </w:r>
            <w:r>
              <w:rPr>
                <w:noProof/>
                <w:sz w:val="21"/>
                <w:szCs w:val="21"/>
              </w:rPr>
              <w:t xml:space="preserve"> Aktionsbevillinger</w:t>
            </w:r>
          </w:p>
        </w:tc>
        <w:tc>
          <w:tcPr>
            <w:tcW w:w="868" w:type="dxa"/>
            <w:vAlign w:val="center"/>
          </w:tcPr>
          <w:p w:rsidR="00DE7E70" w:rsidRDefault="00DE7E70">
            <w:pPr>
              <w:rPr>
                <w:noProof/>
                <w:sz w:val="20"/>
              </w:rPr>
            </w:pPr>
          </w:p>
        </w:tc>
        <w:tc>
          <w:tcPr>
            <w:tcW w:w="868" w:type="dxa"/>
            <w:vAlign w:val="center"/>
          </w:tcPr>
          <w:p w:rsidR="00DE7E70" w:rsidRDefault="00DE7E70">
            <w:pPr>
              <w:rPr>
                <w:noProof/>
                <w:sz w:val="20"/>
              </w:rPr>
            </w:pPr>
          </w:p>
        </w:tc>
        <w:tc>
          <w:tcPr>
            <w:tcW w:w="868" w:type="dxa"/>
            <w:vAlign w:val="center"/>
          </w:tcPr>
          <w:p w:rsidR="00DE7E70" w:rsidRDefault="00DE7E70">
            <w:pPr>
              <w:rPr>
                <w:noProof/>
                <w:sz w:val="20"/>
              </w:rPr>
            </w:pPr>
          </w:p>
        </w:tc>
        <w:tc>
          <w:tcPr>
            <w:tcW w:w="868" w:type="dxa"/>
            <w:vAlign w:val="center"/>
          </w:tcPr>
          <w:p w:rsidR="00DE7E70" w:rsidRDefault="00DE7E70">
            <w:pPr>
              <w:rPr>
                <w:noProof/>
                <w:sz w:val="20"/>
              </w:rPr>
            </w:pPr>
          </w:p>
        </w:tc>
        <w:tc>
          <w:tcPr>
            <w:tcW w:w="868" w:type="dxa"/>
            <w:vAlign w:val="center"/>
          </w:tcPr>
          <w:p w:rsidR="00DE7E70" w:rsidRDefault="00DE7E70">
            <w:pPr>
              <w:rPr>
                <w:noProof/>
                <w:sz w:val="20"/>
              </w:rPr>
            </w:pPr>
          </w:p>
        </w:tc>
        <w:tc>
          <w:tcPr>
            <w:tcW w:w="868" w:type="dxa"/>
            <w:vAlign w:val="center"/>
          </w:tcPr>
          <w:p w:rsidR="00DE7E70" w:rsidRDefault="00DE7E70">
            <w:pPr>
              <w:rPr>
                <w:noProof/>
                <w:sz w:val="20"/>
              </w:rPr>
            </w:pPr>
          </w:p>
        </w:tc>
        <w:tc>
          <w:tcPr>
            <w:tcW w:w="868" w:type="dxa"/>
            <w:vAlign w:val="center"/>
          </w:tcPr>
          <w:p w:rsidR="00DE7E70" w:rsidRDefault="00DE7E70">
            <w:pPr>
              <w:rPr>
                <w:b/>
                <w:noProof/>
                <w:sz w:val="20"/>
              </w:rPr>
            </w:pPr>
          </w:p>
        </w:tc>
        <w:tc>
          <w:tcPr>
            <w:tcW w:w="1777" w:type="dxa"/>
            <w:vAlign w:val="center"/>
          </w:tcPr>
          <w:p w:rsidR="00DE7E70" w:rsidRDefault="00DE7E70">
            <w:pPr>
              <w:rPr>
                <w:b/>
                <w:noProof/>
                <w:sz w:val="20"/>
              </w:rPr>
            </w:pPr>
          </w:p>
        </w:tc>
      </w:tr>
      <w:tr w:rsidR="00DE7E70">
        <w:trPr>
          <w:trHeight w:val="277"/>
        </w:trPr>
        <w:tc>
          <w:tcPr>
            <w:tcW w:w="3960" w:type="dxa"/>
            <w:vMerge w:val="restart"/>
            <w:vAlign w:val="center"/>
          </w:tcPr>
          <w:p w:rsidR="00DE7E70" w:rsidRDefault="00B85DCD">
            <w:pPr>
              <w:rPr>
                <w:noProof/>
                <w:sz w:val="22"/>
              </w:rPr>
            </w:pPr>
            <w:r>
              <w:rPr>
                <w:noProof/>
                <w:sz w:val="20"/>
              </w:rPr>
              <w:t>34 02 01</w:t>
            </w:r>
          </w:p>
        </w:tc>
        <w:tc>
          <w:tcPr>
            <w:tcW w:w="1440" w:type="dxa"/>
            <w:vAlign w:val="center"/>
          </w:tcPr>
          <w:p w:rsidR="00DE7E70" w:rsidRDefault="00B85DCD">
            <w:pPr>
              <w:spacing w:before="20" w:after="20"/>
              <w:rPr>
                <w:noProof/>
                <w:sz w:val="18"/>
              </w:rPr>
            </w:pPr>
            <w:r>
              <w:rPr>
                <w:noProof/>
                <w:sz w:val="18"/>
              </w:rPr>
              <w:t>Forpligtelser</w:t>
            </w:r>
          </w:p>
        </w:tc>
        <w:tc>
          <w:tcPr>
            <w:tcW w:w="654" w:type="dxa"/>
            <w:gridSpan w:val="2"/>
            <w:vAlign w:val="center"/>
          </w:tcPr>
          <w:p w:rsidR="00DE7E70" w:rsidRDefault="00B85DCD">
            <w:pPr>
              <w:spacing w:before="20" w:after="20"/>
              <w:jc w:val="center"/>
              <w:rPr>
                <w:noProof/>
                <w:sz w:val="14"/>
              </w:rPr>
            </w:pPr>
            <w:r>
              <w:rPr>
                <w:noProof/>
                <w:sz w:val="14"/>
              </w:rPr>
              <w:t>(1)</w:t>
            </w:r>
          </w:p>
        </w:tc>
        <w:tc>
          <w:tcPr>
            <w:tcW w:w="868" w:type="dxa"/>
            <w:vAlign w:val="center"/>
          </w:tcPr>
          <w:p w:rsidR="00DE7E70" w:rsidRDefault="00B85DCD">
            <w:pPr>
              <w:spacing w:before="20" w:after="20"/>
              <w:jc w:val="right"/>
              <w:rPr>
                <w:noProof/>
                <w:sz w:val="20"/>
              </w:rPr>
            </w:pPr>
            <w:r>
              <w:rPr>
                <w:noProof/>
                <w:sz w:val="20"/>
              </w:rPr>
              <w:t>0,900</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b/>
                <w:noProof/>
                <w:sz w:val="20"/>
              </w:rPr>
            </w:pPr>
          </w:p>
        </w:tc>
        <w:tc>
          <w:tcPr>
            <w:tcW w:w="1777" w:type="dxa"/>
            <w:vAlign w:val="center"/>
          </w:tcPr>
          <w:p w:rsidR="00DE7E70" w:rsidRDefault="00B85DCD">
            <w:pPr>
              <w:spacing w:before="20" w:after="20"/>
              <w:jc w:val="right"/>
              <w:rPr>
                <w:b/>
                <w:noProof/>
                <w:sz w:val="20"/>
              </w:rPr>
            </w:pPr>
            <w:r>
              <w:rPr>
                <w:b/>
                <w:noProof/>
                <w:sz w:val="20"/>
              </w:rPr>
              <w:t>0,900</w:t>
            </w:r>
          </w:p>
        </w:tc>
      </w:tr>
      <w:tr w:rsidR="00DE7E70">
        <w:tc>
          <w:tcPr>
            <w:tcW w:w="3960" w:type="dxa"/>
            <w:vMerge/>
          </w:tcPr>
          <w:p w:rsidR="00DE7E70" w:rsidRDefault="00DE7E70">
            <w:pPr>
              <w:jc w:val="center"/>
              <w:rPr>
                <w:noProof/>
                <w:sz w:val="20"/>
              </w:rPr>
            </w:pPr>
          </w:p>
        </w:tc>
        <w:tc>
          <w:tcPr>
            <w:tcW w:w="1440" w:type="dxa"/>
            <w:vAlign w:val="center"/>
          </w:tcPr>
          <w:p w:rsidR="00DE7E70" w:rsidRDefault="00B85DCD">
            <w:pPr>
              <w:spacing w:before="20" w:after="20"/>
              <w:rPr>
                <w:noProof/>
                <w:sz w:val="18"/>
              </w:rPr>
            </w:pPr>
            <w:r>
              <w:rPr>
                <w:noProof/>
                <w:sz w:val="18"/>
              </w:rPr>
              <w:t>Betalinger</w:t>
            </w:r>
          </w:p>
        </w:tc>
        <w:tc>
          <w:tcPr>
            <w:tcW w:w="654" w:type="dxa"/>
            <w:gridSpan w:val="2"/>
            <w:vAlign w:val="center"/>
          </w:tcPr>
          <w:p w:rsidR="00DE7E70" w:rsidRDefault="00B85DCD">
            <w:pPr>
              <w:spacing w:before="20" w:after="20"/>
              <w:jc w:val="center"/>
              <w:rPr>
                <w:noProof/>
                <w:sz w:val="14"/>
              </w:rPr>
            </w:pPr>
            <w:r>
              <w:rPr>
                <w:noProof/>
                <w:sz w:val="14"/>
              </w:rPr>
              <w:t>(2)</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B85DCD">
            <w:pPr>
              <w:spacing w:before="20" w:after="20"/>
              <w:jc w:val="right"/>
              <w:rPr>
                <w:noProof/>
                <w:sz w:val="20"/>
              </w:rPr>
            </w:pPr>
            <w:r>
              <w:rPr>
                <w:noProof/>
                <w:sz w:val="20"/>
              </w:rPr>
              <w:t>0,540</w:t>
            </w:r>
          </w:p>
        </w:tc>
        <w:tc>
          <w:tcPr>
            <w:tcW w:w="868" w:type="dxa"/>
            <w:vAlign w:val="center"/>
          </w:tcPr>
          <w:p w:rsidR="00DE7E70" w:rsidRDefault="00B85DCD">
            <w:pPr>
              <w:spacing w:before="20" w:after="20"/>
              <w:jc w:val="right"/>
              <w:rPr>
                <w:noProof/>
                <w:sz w:val="20"/>
              </w:rPr>
            </w:pPr>
            <w:r>
              <w:rPr>
                <w:noProof/>
                <w:sz w:val="20"/>
              </w:rPr>
              <w:t>0,360</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1777" w:type="dxa"/>
            <w:vAlign w:val="center"/>
          </w:tcPr>
          <w:p w:rsidR="00DE7E70" w:rsidRDefault="00B85DCD">
            <w:pPr>
              <w:spacing w:before="20" w:after="20"/>
              <w:jc w:val="right"/>
              <w:rPr>
                <w:b/>
                <w:noProof/>
                <w:sz w:val="20"/>
              </w:rPr>
            </w:pPr>
            <w:r>
              <w:rPr>
                <w:b/>
                <w:noProof/>
                <w:sz w:val="20"/>
              </w:rPr>
              <w:t>0,900</w:t>
            </w:r>
          </w:p>
        </w:tc>
      </w:tr>
      <w:tr w:rsidR="00DE7E70">
        <w:tc>
          <w:tcPr>
            <w:tcW w:w="3960" w:type="dxa"/>
            <w:vMerge w:val="restart"/>
            <w:vAlign w:val="center"/>
          </w:tcPr>
          <w:p w:rsidR="00DE7E70" w:rsidRDefault="00B85DCD">
            <w:pPr>
              <w:rPr>
                <w:noProof/>
                <w:sz w:val="22"/>
              </w:rPr>
            </w:pPr>
            <w:r>
              <w:rPr>
                <w:noProof/>
                <w:sz w:val="20"/>
              </w:rPr>
              <w:t>07 02 06</w:t>
            </w:r>
          </w:p>
        </w:tc>
        <w:tc>
          <w:tcPr>
            <w:tcW w:w="1440" w:type="dxa"/>
            <w:vAlign w:val="center"/>
          </w:tcPr>
          <w:p w:rsidR="00DE7E70" w:rsidRDefault="00B85DCD">
            <w:pPr>
              <w:spacing w:before="20" w:after="20"/>
              <w:rPr>
                <w:noProof/>
                <w:sz w:val="18"/>
              </w:rPr>
            </w:pPr>
            <w:r>
              <w:rPr>
                <w:noProof/>
                <w:sz w:val="18"/>
              </w:rPr>
              <w:t>Forpligtelser</w:t>
            </w:r>
          </w:p>
        </w:tc>
        <w:tc>
          <w:tcPr>
            <w:tcW w:w="654" w:type="dxa"/>
            <w:gridSpan w:val="2"/>
            <w:vAlign w:val="center"/>
          </w:tcPr>
          <w:p w:rsidR="00DE7E70" w:rsidRDefault="00B85DCD">
            <w:pPr>
              <w:spacing w:before="20" w:after="20"/>
              <w:jc w:val="center"/>
              <w:rPr>
                <w:noProof/>
                <w:sz w:val="14"/>
              </w:rPr>
            </w:pPr>
            <w:r>
              <w:rPr>
                <w:noProof/>
                <w:sz w:val="14"/>
              </w:rPr>
              <w:t>(1a)</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B85DCD">
            <w:pPr>
              <w:spacing w:before="20" w:after="20"/>
              <w:jc w:val="right"/>
              <w:rPr>
                <w:noProof/>
                <w:sz w:val="20"/>
              </w:rPr>
            </w:pPr>
            <w:r>
              <w:rPr>
                <w:noProof/>
                <w:sz w:val="20"/>
              </w:rPr>
              <w:t>0,200</w:t>
            </w:r>
          </w:p>
        </w:tc>
        <w:tc>
          <w:tcPr>
            <w:tcW w:w="868" w:type="dxa"/>
            <w:vAlign w:val="center"/>
          </w:tcPr>
          <w:p w:rsidR="00DE7E70" w:rsidRDefault="00B85DCD">
            <w:pPr>
              <w:spacing w:before="20" w:after="20"/>
              <w:jc w:val="right"/>
              <w:rPr>
                <w:noProof/>
                <w:sz w:val="20"/>
              </w:rPr>
            </w:pPr>
            <w:r>
              <w:rPr>
                <w:noProof/>
                <w:sz w:val="20"/>
              </w:rPr>
              <w:t>0,200</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b/>
                <w:noProof/>
                <w:sz w:val="20"/>
              </w:rPr>
            </w:pPr>
          </w:p>
        </w:tc>
        <w:tc>
          <w:tcPr>
            <w:tcW w:w="1777" w:type="dxa"/>
            <w:vAlign w:val="center"/>
          </w:tcPr>
          <w:p w:rsidR="00DE7E70" w:rsidRDefault="00B85DCD">
            <w:pPr>
              <w:spacing w:before="20" w:after="20"/>
              <w:jc w:val="right"/>
              <w:rPr>
                <w:b/>
                <w:noProof/>
                <w:sz w:val="20"/>
              </w:rPr>
            </w:pPr>
            <w:r>
              <w:rPr>
                <w:b/>
                <w:noProof/>
                <w:sz w:val="20"/>
              </w:rPr>
              <w:t>0,400</w:t>
            </w:r>
          </w:p>
        </w:tc>
      </w:tr>
      <w:tr w:rsidR="00DE7E70">
        <w:tc>
          <w:tcPr>
            <w:tcW w:w="3960" w:type="dxa"/>
            <w:vMerge/>
          </w:tcPr>
          <w:p w:rsidR="00DE7E70" w:rsidRDefault="00DE7E70">
            <w:pPr>
              <w:jc w:val="center"/>
              <w:rPr>
                <w:noProof/>
                <w:sz w:val="20"/>
              </w:rPr>
            </w:pPr>
          </w:p>
        </w:tc>
        <w:tc>
          <w:tcPr>
            <w:tcW w:w="1440" w:type="dxa"/>
            <w:vAlign w:val="center"/>
          </w:tcPr>
          <w:p w:rsidR="00DE7E70" w:rsidRDefault="00B85DCD">
            <w:pPr>
              <w:spacing w:before="20" w:after="20"/>
              <w:rPr>
                <w:noProof/>
                <w:sz w:val="18"/>
              </w:rPr>
            </w:pPr>
            <w:r>
              <w:rPr>
                <w:noProof/>
                <w:sz w:val="18"/>
              </w:rPr>
              <w:t>Betalinger</w:t>
            </w:r>
          </w:p>
        </w:tc>
        <w:tc>
          <w:tcPr>
            <w:tcW w:w="654" w:type="dxa"/>
            <w:gridSpan w:val="2"/>
            <w:vAlign w:val="center"/>
          </w:tcPr>
          <w:p w:rsidR="00DE7E70" w:rsidRDefault="00B85DCD">
            <w:pPr>
              <w:spacing w:before="20" w:after="20"/>
              <w:jc w:val="center"/>
              <w:rPr>
                <w:noProof/>
                <w:sz w:val="14"/>
              </w:rPr>
            </w:pPr>
            <w:r>
              <w:rPr>
                <w:noProof/>
                <w:sz w:val="14"/>
              </w:rPr>
              <w:t>(2a)</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B85DCD">
            <w:pPr>
              <w:spacing w:before="20" w:after="20"/>
              <w:jc w:val="right"/>
              <w:rPr>
                <w:noProof/>
                <w:sz w:val="20"/>
              </w:rPr>
            </w:pPr>
            <w:r>
              <w:rPr>
                <w:noProof/>
                <w:sz w:val="20"/>
              </w:rPr>
              <w:t>0,200</w:t>
            </w:r>
          </w:p>
        </w:tc>
        <w:tc>
          <w:tcPr>
            <w:tcW w:w="868" w:type="dxa"/>
            <w:vAlign w:val="center"/>
          </w:tcPr>
          <w:p w:rsidR="00DE7E70" w:rsidRDefault="00B85DCD">
            <w:pPr>
              <w:spacing w:before="20" w:after="20"/>
              <w:jc w:val="right"/>
              <w:rPr>
                <w:noProof/>
                <w:sz w:val="20"/>
              </w:rPr>
            </w:pPr>
            <w:r>
              <w:rPr>
                <w:noProof/>
                <w:sz w:val="20"/>
              </w:rPr>
              <w:t>0,200</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b/>
                <w:noProof/>
                <w:sz w:val="20"/>
              </w:rPr>
            </w:pPr>
          </w:p>
        </w:tc>
        <w:tc>
          <w:tcPr>
            <w:tcW w:w="1777" w:type="dxa"/>
            <w:vAlign w:val="center"/>
          </w:tcPr>
          <w:p w:rsidR="00DE7E70" w:rsidRDefault="00B85DCD">
            <w:pPr>
              <w:spacing w:before="20" w:after="20"/>
              <w:jc w:val="right"/>
              <w:rPr>
                <w:b/>
                <w:noProof/>
                <w:sz w:val="20"/>
              </w:rPr>
            </w:pPr>
            <w:r>
              <w:rPr>
                <w:b/>
                <w:noProof/>
                <w:sz w:val="20"/>
              </w:rPr>
              <w:t>0,400</w:t>
            </w:r>
          </w:p>
        </w:tc>
      </w:tr>
      <w:tr w:rsidR="00DE7E70">
        <w:trPr>
          <w:trHeight w:val="231"/>
        </w:trPr>
        <w:tc>
          <w:tcPr>
            <w:tcW w:w="6054" w:type="dxa"/>
            <w:gridSpan w:val="4"/>
            <w:vAlign w:val="center"/>
          </w:tcPr>
          <w:p w:rsidR="00DE7E70" w:rsidRDefault="00B85DCD">
            <w:pPr>
              <w:spacing w:before="20" w:after="20"/>
              <w:rPr>
                <w:noProof/>
                <w:sz w:val="21"/>
                <w:szCs w:val="21"/>
              </w:rPr>
            </w:pPr>
            <w:r>
              <w:rPr>
                <w:noProof/>
                <w:sz w:val="21"/>
                <w:szCs w:val="21"/>
              </w:rPr>
              <w:t xml:space="preserve">Administrationsbevillinger finansieret over </w:t>
            </w:r>
            <w:r>
              <w:rPr>
                <w:noProof/>
                <w:sz w:val="21"/>
                <w:szCs w:val="21"/>
              </w:rPr>
              <w:t>bevillingsrammen for særprogrammer</w:t>
            </w:r>
            <w:r>
              <w:rPr>
                <w:rStyle w:val="FootnoteReference"/>
                <w:noProof/>
                <w:sz w:val="21"/>
                <w:szCs w:val="21"/>
              </w:rPr>
              <w:footnoteReference w:id="31"/>
            </w:r>
            <w:r>
              <w:rPr>
                <w:noProof/>
                <w:sz w:val="21"/>
                <w:szCs w:val="21"/>
              </w:rPr>
              <w:t xml:space="preserve"> </w:t>
            </w:r>
          </w:p>
          <w:p w:rsidR="00DE7E70" w:rsidRDefault="00DE7E70">
            <w:pPr>
              <w:spacing w:before="0" w:after="0"/>
              <w:rPr>
                <w:noProof/>
                <w:sz w:val="21"/>
                <w:szCs w:val="21"/>
              </w:rPr>
            </w:pPr>
          </w:p>
        </w:tc>
        <w:tc>
          <w:tcPr>
            <w:tcW w:w="868" w:type="dxa"/>
            <w:vAlign w:val="center"/>
          </w:tcPr>
          <w:p w:rsidR="00DE7E70" w:rsidRDefault="00DE7E70">
            <w:pPr>
              <w:rPr>
                <w:b/>
                <w:noProof/>
                <w:sz w:val="20"/>
              </w:rPr>
            </w:pPr>
          </w:p>
        </w:tc>
        <w:tc>
          <w:tcPr>
            <w:tcW w:w="868" w:type="dxa"/>
            <w:vAlign w:val="center"/>
          </w:tcPr>
          <w:p w:rsidR="00DE7E70" w:rsidRDefault="00DE7E70">
            <w:pPr>
              <w:rPr>
                <w:b/>
                <w:noProof/>
                <w:sz w:val="20"/>
              </w:rPr>
            </w:pPr>
          </w:p>
        </w:tc>
        <w:tc>
          <w:tcPr>
            <w:tcW w:w="868" w:type="dxa"/>
            <w:vAlign w:val="center"/>
          </w:tcPr>
          <w:p w:rsidR="00DE7E70" w:rsidRDefault="00DE7E70">
            <w:pPr>
              <w:rPr>
                <w:b/>
                <w:noProof/>
                <w:sz w:val="20"/>
              </w:rPr>
            </w:pPr>
          </w:p>
        </w:tc>
        <w:tc>
          <w:tcPr>
            <w:tcW w:w="868" w:type="dxa"/>
            <w:vAlign w:val="center"/>
          </w:tcPr>
          <w:p w:rsidR="00DE7E70" w:rsidRDefault="00DE7E70">
            <w:pPr>
              <w:rPr>
                <w:b/>
                <w:noProof/>
                <w:sz w:val="20"/>
              </w:rPr>
            </w:pPr>
          </w:p>
        </w:tc>
        <w:tc>
          <w:tcPr>
            <w:tcW w:w="868" w:type="dxa"/>
            <w:vAlign w:val="center"/>
          </w:tcPr>
          <w:p w:rsidR="00DE7E70" w:rsidRDefault="00DE7E70">
            <w:pPr>
              <w:rPr>
                <w:b/>
                <w:noProof/>
                <w:sz w:val="20"/>
              </w:rPr>
            </w:pPr>
          </w:p>
        </w:tc>
        <w:tc>
          <w:tcPr>
            <w:tcW w:w="868" w:type="dxa"/>
            <w:vAlign w:val="center"/>
          </w:tcPr>
          <w:p w:rsidR="00DE7E70" w:rsidRDefault="00DE7E70">
            <w:pPr>
              <w:rPr>
                <w:b/>
                <w:noProof/>
                <w:sz w:val="20"/>
              </w:rPr>
            </w:pPr>
          </w:p>
        </w:tc>
        <w:tc>
          <w:tcPr>
            <w:tcW w:w="868" w:type="dxa"/>
            <w:vAlign w:val="center"/>
          </w:tcPr>
          <w:p w:rsidR="00DE7E70" w:rsidRDefault="00DE7E70">
            <w:pPr>
              <w:rPr>
                <w:b/>
                <w:noProof/>
                <w:sz w:val="20"/>
              </w:rPr>
            </w:pPr>
          </w:p>
        </w:tc>
        <w:tc>
          <w:tcPr>
            <w:tcW w:w="1777" w:type="dxa"/>
            <w:vAlign w:val="center"/>
          </w:tcPr>
          <w:p w:rsidR="00DE7E70" w:rsidRDefault="00DE7E70">
            <w:pPr>
              <w:rPr>
                <w:b/>
                <w:noProof/>
                <w:sz w:val="20"/>
              </w:rPr>
            </w:pPr>
          </w:p>
        </w:tc>
      </w:tr>
      <w:tr w:rsidR="00DE7E70">
        <w:trPr>
          <w:trHeight w:val="319"/>
        </w:trPr>
        <w:tc>
          <w:tcPr>
            <w:tcW w:w="3960" w:type="dxa"/>
            <w:vAlign w:val="center"/>
          </w:tcPr>
          <w:p w:rsidR="00DE7E70" w:rsidRDefault="00B85DCD">
            <w:pPr>
              <w:spacing w:before="60" w:after="60"/>
              <w:rPr>
                <w:noProof/>
                <w:sz w:val="22"/>
              </w:rPr>
            </w:pPr>
            <w:r>
              <w:rPr>
                <w:noProof/>
                <w:sz w:val="20"/>
              </w:rPr>
              <w:t>Budgetpostens nummer</w:t>
            </w:r>
          </w:p>
        </w:tc>
        <w:tc>
          <w:tcPr>
            <w:tcW w:w="1440" w:type="dxa"/>
            <w:vAlign w:val="center"/>
          </w:tcPr>
          <w:p w:rsidR="00DE7E70" w:rsidRDefault="00DE7E70">
            <w:pPr>
              <w:spacing w:before="40" w:after="40"/>
              <w:jc w:val="right"/>
              <w:rPr>
                <w:noProof/>
                <w:sz w:val="18"/>
              </w:rPr>
            </w:pPr>
          </w:p>
        </w:tc>
        <w:tc>
          <w:tcPr>
            <w:tcW w:w="654" w:type="dxa"/>
            <w:gridSpan w:val="2"/>
            <w:vAlign w:val="center"/>
          </w:tcPr>
          <w:p w:rsidR="00DE7E70" w:rsidRDefault="00B85DCD">
            <w:pPr>
              <w:spacing w:before="40" w:after="40"/>
              <w:jc w:val="center"/>
              <w:rPr>
                <w:noProof/>
                <w:sz w:val="14"/>
              </w:rPr>
            </w:pPr>
            <w:r>
              <w:rPr>
                <w:noProof/>
                <w:sz w:val="14"/>
              </w:rPr>
              <w:t>(3)</w:t>
            </w:r>
          </w:p>
        </w:tc>
        <w:tc>
          <w:tcPr>
            <w:tcW w:w="868" w:type="dxa"/>
            <w:vAlign w:val="center"/>
          </w:tcPr>
          <w:p w:rsidR="00DE7E70" w:rsidRDefault="00DE7E70">
            <w:pPr>
              <w:spacing w:before="40" w:after="40"/>
              <w:jc w:val="right"/>
              <w:rPr>
                <w:b/>
                <w:noProof/>
                <w:sz w:val="20"/>
              </w:rPr>
            </w:pPr>
          </w:p>
        </w:tc>
        <w:tc>
          <w:tcPr>
            <w:tcW w:w="868" w:type="dxa"/>
            <w:vAlign w:val="center"/>
          </w:tcPr>
          <w:p w:rsidR="00DE7E70" w:rsidRDefault="00DE7E70">
            <w:pPr>
              <w:spacing w:before="40" w:after="40"/>
              <w:jc w:val="right"/>
              <w:rPr>
                <w:b/>
                <w:noProof/>
                <w:sz w:val="20"/>
              </w:rPr>
            </w:pPr>
          </w:p>
        </w:tc>
        <w:tc>
          <w:tcPr>
            <w:tcW w:w="868" w:type="dxa"/>
            <w:vAlign w:val="center"/>
          </w:tcPr>
          <w:p w:rsidR="00DE7E70" w:rsidRDefault="00DE7E70">
            <w:pPr>
              <w:spacing w:before="40" w:after="40"/>
              <w:jc w:val="right"/>
              <w:rPr>
                <w:b/>
                <w:noProof/>
                <w:sz w:val="20"/>
              </w:rPr>
            </w:pPr>
          </w:p>
        </w:tc>
        <w:tc>
          <w:tcPr>
            <w:tcW w:w="868" w:type="dxa"/>
            <w:vAlign w:val="center"/>
          </w:tcPr>
          <w:p w:rsidR="00DE7E70" w:rsidRDefault="00DE7E70">
            <w:pPr>
              <w:spacing w:before="40" w:after="40"/>
              <w:jc w:val="right"/>
              <w:rPr>
                <w:b/>
                <w:noProof/>
                <w:sz w:val="20"/>
              </w:rPr>
            </w:pPr>
          </w:p>
        </w:tc>
        <w:tc>
          <w:tcPr>
            <w:tcW w:w="868" w:type="dxa"/>
            <w:vAlign w:val="center"/>
          </w:tcPr>
          <w:p w:rsidR="00DE7E70" w:rsidRDefault="00DE7E70">
            <w:pPr>
              <w:spacing w:before="40" w:after="40"/>
              <w:jc w:val="right"/>
              <w:rPr>
                <w:b/>
                <w:noProof/>
                <w:sz w:val="20"/>
              </w:rPr>
            </w:pPr>
          </w:p>
        </w:tc>
        <w:tc>
          <w:tcPr>
            <w:tcW w:w="868" w:type="dxa"/>
            <w:vAlign w:val="center"/>
          </w:tcPr>
          <w:p w:rsidR="00DE7E70" w:rsidRDefault="00DE7E70">
            <w:pPr>
              <w:spacing w:before="40" w:after="40"/>
              <w:jc w:val="right"/>
              <w:rPr>
                <w:b/>
                <w:noProof/>
                <w:sz w:val="20"/>
              </w:rPr>
            </w:pPr>
          </w:p>
        </w:tc>
        <w:tc>
          <w:tcPr>
            <w:tcW w:w="868" w:type="dxa"/>
            <w:vAlign w:val="center"/>
          </w:tcPr>
          <w:p w:rsidR="00DE7E70" w:rsidRDefault="00DE7E70">
            <w:pPr>
              <w:spacing w:before="40" w:after="40"/>
              <w:jc w:val="right"/>
              <w:rPr>
                <w:b/>
                <w:noProof/>
                <w:sz w:val="20"/>
              </w:rPr>
            </w:pPr>
          </w:p>
        </w:tc>
        <w:tc>
          <w:tcPr>
            <w:tcW w:w="1777" w:type="dxa"/>
            <w:vAlign w:val="center"/>
          </w:tcPr>
          <w:p w:rsidR="00DE7E70" w:rsidRDefault="00DE7E70">
            <w:pPr>
              <w:spacing w:before="40" w:after="40"/>
              <w:jc w:val="right"/>
              <w:rPr>
                <w:b/>
                <w:noProof/>
                <w:sz w:val="20"/>
              </w:rPr>
            </w:pPr>
          </w:p>
        </w:tc>
      </w:tr>
      <w:tr w:rsidR="00DE7E70">
        <w:tc>
          <w:tcPr>
            <w:tcW w:w="3960" w:type="dxa"/>
            <w:vMerge w:val="restart"/>
            <w:vAlign w:val="center"/>
          </w:tcPr>
          <w:p w:rsidR="00DE7E70" w:rsidRDefault="00B85DCD">
            <w:pPr>
              <w:jc w:val="center"/>
              <w:rPr>
                <w:b/>
                <w:noProof/>
                <w:sz w:val="22"/>
              </w:rPr>
            </w:pPr>
            <w:r>
              <w:rPr>
                <w:b/>
                <w:noProof/>
                <w:sz w:val="22"/>
              </w:rPr>
              <w:t>Bevillinger I ALT til DG CLIMA</w:t>
            </w:r>
          </w:p>
        </w:tc>
        <w:tc>
          <w:tcPr>
            <w:tcW w:w="1440" w:type="dxa"/>
            <w:vAlign w:val="center"/>
          </w:tcPr>
          <w:p w:rsidR="00DE7E70" w:rsidRDefault="00B85DCD">
            <w:pPr>
              <w:rPr>
                <w:noProof/>
                <w:sz w:val="18"/>
              </w:rPr>
            </w:pPr>
            <w:r>
              <w:rPr>
                <w:noProof/>
                <w:sz w:val="18"/>
              </w:rPr>
              <w:t>Forpligtelser</w:t>
            </w:r>
          </w:p>
        </w:tc>
        <w:tc>
          <w:tcPr>
            <w:tcW w:w="654" w:type="dxa"/>
            <w:gridSpan w:val="2"/>
            <w:vAlign w:val="center"/>
          </w:tcPr>
          <w:p w:rsidR="00DE7E70" w:rsidRDefault="00B85DCD">
            <w:pPr>
              <w:jc w:val="center"/>
              <w:rPr>
                <w:noProof/>
                <w:sz w:val="14"/>
              </w:rPr>
            </w:pPr>
            <w:r>
              <w:rPr>
                <w:noProof/>
                <w:sz w:val="14"/>
              </w:rPr>
              <w:t>=1+1a +3</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B85DCD">
            <w:pPr>
              <w:spacing w:before="20" w:after="20"/>
              <w:jc w:val="right"/>
              <w:rPr>
                <w:noProof/>
                <w:sz w:val="20"/>
              </w:rPr>
            </w:pPr>
            <w:r>
              <w:rPr>
                <w:noProof/>
                <w:sz w:val="20"/>
              </w:rPr>
              <w:t>1,100</w:t>
            </w:r>
          </w:p>
        </w:tc>
        <w:tc>
          <w:tcPr>
            <w:tcW w:w="868" w:type="dxa"/>
            <w:vAlign w:val="center"/>
          </w:tcPr>
          <w:p w:rsidR="00DE7E70" w:rsidRDefault="00B85DCD">
            <w:pPr>
              <w:spacing w:before="20" w:after="20"/>
              <w:jc w:val="right"/>
              <w:rPr>
                <w:noProof/>
                <w:sz w:val="20"/>
              </w:rPr>
            </w:pPr>
            <w:r>
              <w:rPr>
                <w:noProof/>
                <w:sz w:val="20"/>
              </w:rPr>
              <w:t>0,200</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b/>
                <w:noProof/>
                <w:sz w:val="20"/>
              </w:rPr>
            </w:pPr>
          </w:p>
        </w:tc>
        <w:tc>
          <w:tcPr>
            <w:tcW w:w="1777" w:type="dxa"/>
            <w:vAlign w:val="center"/>
          </w:tcPr>
          <w:p w:rsidR="00DE7E70" w:rsidRDefault="00B85DCD">
            <w:pPr>
              <w:spacing w:before="20" w:after="20"/>
              <w:jc w:val="right"/>
              <w:rPr>
                <w:b/>
                <w:noProof/>
                <w:sz w:val="20"/>
              </w:rPr>
            </w:pPr>
            <w:r>
              <w:rPr>
                <w:b/>
                <w:noProof/>
                <w:sz w:val="20"/>
              </w:rPr>
              <w:t>1,300</w:t>
            </w:r>
          </w:p>
        </w:tc>
      </w:tr>
      <w:tr w:rsidR="00DE7E70">
        <w:tc>
          <w:tcPr>
            <w:tcW w:w="3960" w:type="dxa"/>
            <w:vMerge/>
          </w:tcPr>
          <w:p w:rsidR="00DE7E70" w:rsidRDefault="00DE7E70">
            <w:pPr>
              <w:rPr>
                <w:noProof/>
                <w:sz w:val="20"/>
              </w:rPr>
            </w:pPr>
          </w:p>
        </w:tc>
        <w:tc>
          <w:tcPr>
            <w:tcW w:w="1440" w:type="dxa"/>
            <w:vAlign w:val="center"/>
          </w:tcPr>
          <w:p w:rsidR="00DE7E70" w:rsidRDefault="00B85DCD">
            <w:pPr>
              <w:rPr>
                <w:noProof/>
                <w:sz w:val="18"/>
              </w:rPr>
            </w:pPr>
            <w:r>
              <w:rPr>
                <w:noProof/>
                <w:sz w:val="18"/>
              </w:rPr>
              <w:t>Betalinger</w:t>
            </w:r>
          </w:p>
        </w:tc>
        <w:tc>
          <w:tcPr>
            <w:tcW w:w="654" w:type="dxa"/>
            <w:gridSpan w:val="2"/>
            <w:vAlign w:val="center"/>
          </w:tcPr>
          <w:p w:rsidR="00DE7E70" w:rsidRDefault="00B85DCD">
            <w:pPr>
              <w:jc w:val="center"/>
              <w:rPr>
                <w:noProof/>
                <w:sz w:val="14"/>
              </w:rPr>
            </w:pPr>
            <w:r>
              <w:rPr>
                <w:noProof/>
                <w:sz w:val="14"/>
              </w:rPr>
              <w:t>=2+2a</w:t>
            </w:r>
          </w:p>
          <w:p w:rsidR="00DE7E70" w:rsidRDefault="00B85DCD">
            <w:pPr>
              <w:jc w:val="center"/>
              <w:rPr>
                <w:noProof/>
                <w:sz w:val="14"/>
              </w:rPr>
            </w:pPr>
            <w:r>
              <w:rPr>
                <w:noProof/>
                <w:sz w:val="14"/>
              </w:rPr>
              <w:t>+3</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B85DCD">
            <w:pPr>
              <w:spacing w:before="20" w:after="20"/>
              <w:jc w:val="right"/>
              <w:rPr>
                <w:noProof/>
                <w:sz w:val="20"/>
              </w:rPr>
            </w:pPr>
            <w:r>
              <w:rPr>
                <w:noProof/>
                <w:sz w:val="20"/>
              </w:rPr>
              <w:t>0,740</w:t>
            </w:r>
          </w:p>
        </w:tc>
        <w:tc>
          <w:tcPr>
            <w:tcW w:w="868" w:type="dxa"/>
            <w:vAlign w:val="center"/>
          </w:tcPr>
          <w:p w:rsidR="00DE7E70" w:rsidRDefault="00B85DCD">
            <w:pPr>
              <w:spacing w:before="20" w:after="20"/>
              <w:jc w:val="right"/>
              <w:rPr>
                <w:noProof/>
                <w:sz w:val="20"/>
              </w:rPr>
            </w:pPr>
            <w:r>
              <w:rPr>
                <w:noProof/>
                <w:sz w:val="20"/>
              </w:rPr>
              <w:t>0,560</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1777" w:type="dxa"/>
            <w:vAlign w:val="center"/>
          </w:tcPr>
          <w:p w:rsidR="00DE7E70" w:rsidRDefault="00B85DCD">
            <w:pPr>
              <w:spacing w:before="20" w:after="20"/>
              <w:jc w:val="right"/>
              <w:rPr>
                <w:b/>
                <w:noProof/>
                <w:sz w:val="20"/>
              </w:rPr>
            </w:pPr>
            <w:r>
              <w:rPr>
                <w:b/>
                <w:noProof/>
                <w:sz w:val="20"/>
              </w:rPr>
              <w:t>1,300</w:t>
            </w:r>
          </w:p>
        </w:tc>
      </w:tr>
    </w:tbl>
    <w:p w:rsidR="00DE7E70" w:rsidRDefault="00B85DCD">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DE7E70">
        <w:trPr>
          <w:trHeight w:val="277"/>
        </w:trPr>
        <w:tc>
          <w:tcPr>
            <w:tcW w:w="3960" w:type="dxa"/>
            <w:vMerge w:val="restart"/>
            <w:vAlign w:val="center"/>
          </w:tcPr>
          <w:p w:rsidR="00DE7E70" w:rsidRDefault="00B85DCD">
            <w:pPr>
              <w:spacing w:before="20" w:after="20"/>
              <w:rPr>
                <w:noProof/>
                <w:sz w:val="21"/>
                <w:szCs w:val="21"/>
              </w:rPr>
            </w:pPr>
            <w:r>
              <w:rPr>
                <w:noProof/>
                <w:sz w:val="21"/>
                <w:szCs w:val="21"/>
              </w:rPr>
              <w:br w:type="page"/>
            </w:r>
            <w:r>
              <w:rPr>
                <w:noProof/>
                <w:sz w:val="21"/>
                <w:szCs w:val="21"/>
              </w:rPr>
              <w:sym w:font="Wingdings" w:char="F09F"/>
            </w:r>
            <w:r>
              <w:rPr>
                <w:noProof/>
                <w:sz w:val="21"/>
                <w:szCs w:val="21"/>
              </w:rPr>
              <w:t> Aktionsbevillinger I ALT</w:t>
            </w:r>
          </w:p>
        </w:tc>
        <w:tc>
          <w:tcPr>
            <w:tcW w:w="1440" w:type="dxa"/>
            <w:vAlign w:val="center"/>
          </w:tcPr>
          <w:p w:rsidR="00DE7E70" w:rsidRDefault="00B85DCD">
            <w:pPr>
              <w:spacing w:beforeLines="20" w:before="48" w:afterLines="20" w:after="48"/>
              <w:rPr>
                <w:noProof/>
                <w:sz w:val="18"/>
              </w:rPr>
            </w:pPr>
            <w:r>
              <w:rPr>
                <w:noProof/>
                <w:sz w:val="18"/>
              </w:rPr>
              <w:t>Forpligtelser</w:t>
            </w:r>
          </w:p>
        </w:tc>
        <w:tc>
          <w:tcPr>
            <w:tcW w:w="654" w:type="dxa"/>
            <w:vAlign w:val="center"/>
          </w:tcPr>
          <w:p w:rsidR="00DE7E70" w:rsidRDefault="00B85DCD">
            <w:pPr>
              <w:spacing w:beforeLines="20" w:before="48" w:afterLines="20" w:after="48"/>
              <w:jc w:val="center"/>
              <w:rPr>
                <w:noProof/>
                <w:sz w:val="14"/>
              </w:rPr>
            </w:pPr>
            <w:r>
              <w:rPr>
                <w:noProof/>
                <w:sz w:val="14"/>
              </w:rPr>
              <w:t>(4)</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B85DCD">
            <w:pPr>
              <w:spacing w:before="20" w:after="20"/>
              <w:jc w:val="right"/>
              <w:rPr>
                <w:noProof/>
                <w:sz w:val="20"/>
              </w:rPr>
            </w:pPr>
            <w:r>
              <w:rPr>
                <w:noProof/>
                <w:sz w:val="20"/>
              </w:rPr>
              <w:t>1,100</w:t>
            </w:r>
          </w:p>
        </w:tc>
        <w:tc>
          <w:tcPr>
            <w:tcW w:w="868" w:type="dxa"/>
            <w:vAlign w:val="center"/>
          </w:tcPr>
          <w:p w:rsidR="00DE7E70" w:rsidRDefault="00B85DCD">
            <w:pPr>
              <w:spacing w:before="20" w:after="20"/>
              <w:jc w:val="right"/>
              <w:rPr>
                <w:noProof/>
                <w:sz w:val="20"/>
              </w:rPr>
            </w:pPr>
            <w:r>
              <w:rPr>
                <w:noProof/>
                <w:sz w:val="20"/>
              </w:rPr>
              <w:t>0,200</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b/>
                <w:noProof/>
                <w:sz w:val="20"/>
              </w:rPr>
            </w:pPr>
          </w:p>
        </w:tc>
        <w:tc>
          <w:tcPr>
            <w:tcW w:w="1777" w:type="dxa"/>
            <w:vAlign w:val="center"/>
          </w:tcPr>
          <w:p w:rsidR="00DE7E70" w:rsidRDefault="00B85DCD">
            <w:pPr>
              <w:spacing w:before="20" w:after="20"/>
              <w:jc w:val="right"/>
              <w:rPr>
                <w:b/>
                <w:noProof/>
                <w:sz w:val="20"/>
              </w:rPr>
            </w:pPr>
            <w:r>
              <w:rPr>
                <w:b/>
                <w:noProof/>
                <w:sz w:val="20"/>
              </w:rPr>
              <w:t>1,300</w:t>
            </w:r>
          </w:p>
        </w:tc>
      </w:tr>
      <w:tr w:rsidR="00DE7E70">
        <w:tc>
          <w:tcPr>
            <w:tcW w:w="3960" w:type="dxa"/>
            <w:vMerge/>
          </w:tcPr>
          <w:p w:rsidR="00DE7E70" w:rsidRDefault="00DE7E70">
            <w:pPr>
              <w:jc w:val="center"/>
              <w:rPr>
                <w:noProof/>
                <w:sz w:val="21"/>
                <w:szCs w:val="21"/>
              </w:rPr>
            </w:pPr>
          </w:p>
        </w:tc>
        <w:tc>
          <w:tcPr>
            <w:tcW w:w="1440" w:type="dxa"/>
            <w:vAlign w:val="center"/>
          </w:tcPr>
          <w:p w:rsidR="00DE7E70" w:rsidRDefault="00B85DCD">
            <w:pPr>
              <w:spacing w:beforeLines="20" w:before="48" w:afterLines="20" w:after="48"/>
              <w:rPr>
                <w:noProof/>
                <w:sz w:val="18"/>
              </w:rPr>
            </w:pPr>
            <w:r>
              <w:rPr>
                <w:noProof/>
                <w:sz w:val="18"/>
              </w:rPr>
              <w:t>Betalinger</w:t>
            </w:r>
          </w:p>
        </w:tc>
        <w:tc>
          <w:tcPr>
            <w:tcW w:w="654" w:type="dxa"/>
            <w:vAlign w:val="center"/>
          </w:tcPr>
          <w:p w:rsidR="00DE7E70" w:rsidRDefault="00B85DCD">
            <w:pPr>
              <w:spacing w:beforeLines="20" w:before="48" w:afterLines="20" w:after="48"/>
              <w:jc w:val="center"/>
              <w:rPr>
                <w:noProof/>
                <w:sz w:val="14"/>
              </w:rPr>
            </w:pPr>
            <w:r>
              <w:rPr>
                <w:noProof/>
                <w:sz w:val="14"/>
              </w:rPr>
              <w:t>(5)</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B85DCD">
            <w:pPr>
              <w:spacing w:before="20" w:after="20"/>
              <w:jc w:val="right"/>
              <w:rPr>
                <w:noProof/>
                <w:sz w:val="20"/>
              </w:rPr>
            </w:pPr>
            <w:r>
              <w:rPr>
                <w:noProof/>
                <w:sz w:val="20"/>
              </w:rPr>
              <w:t>0,740</w:t>
            </w:r>
          </w:p>
        </w:tc>
        <w:tc>
          <w:tcPr>
            <w:tcW w:w="868" w:type="dxa"/>
            <w:vAlign w:val="center"/>
          </w:tcPr>
          <w:p w:rsidR="00DE7E70" w:rsidRDefault="00B85DCD">
            <w:pPr>
              <w:spacing w:before="20" w:after="20"/>
              <w:jc w:val="right"/>
              <w:rPr>
                <w:noProof/>
                <w:sz w:val="20"/>
              </w:rPr>
            </w:pPr>
            <w:r>
              <w:rPr>
                <w:noProof/>
                <w:sz w:val="20"/>
              </w:rPr>
              <w:t>0,560</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1777" w:type="dxa"/>
            <w:vAlign w:val="center"/>
          </w:tcPr>
          <w:p w:rsidR="00DE7E70" w:rsidRDefault="00B85DCD">
            <w:pPr>
              <w:spacing w:before="20" w:after="20"/>
              <w:jc w:val="right"/>
              <w:rPr>
                <w:b/>
                <w:noProof/>
                <w:sz w:val="20"/>
              </w:rPr>
            </w:pPr>
            <w:r>
              <w:rPr>
                <w:b/>
                <w:noProof/>
                <w:sz w:val="20"/>
              </w:rPr>
              <w:t>1,300</w:t>
            </w:r>
          </w:p>
        </w:tc>
      </w:tr>
      <w:tr w:rsidR="00DE7E70">
        <w:trPr>
          <w:trHeight w:val="533"/>
        </w:trPr>
        <w:tc>
          <w:tcPr>
            <w:tcW w:w="5400" w:type="dxa"/>
            <w:gridSpan w:val="2"/>
            <w:vAlign w:val="center"/>
          </w:tcPr>
          <w:p w:rsidR="00DE7E70" w:rsidRDefault="00B85DCD">
            <w:pPr>
              <w:spacing w:beforeLines="20" w:before="48" w:afterLines="20" w:after="48"/>
              <w:rPr>
                <w:noProof/>
                <w:sz w:val="21"/>
                <w:szCs w:val="21"/>
              </w:rPr>
            </w:pPr>
            <w:r>
              <w:rPr>
                <w:noProof/>
                <w:sz w:val="21"/>
                <w:szCs w:val="21"/>
              </w:rPr>
              <w:sym w:font="Wingdings" w:char="F09F"/>
            </w:r>
            <w:r>
              <w:rPr>
                <w:noProof/>
                <w:sz w:val="21"/>
                <w:szCs w:val="21"/>
              </w:rPr>
              <w:t> Administrationsbevillinger finansieret over bevillingsrammen for særprogrammer I ALT</w:t>
            </w:r>
          </w:p>
        </w:tc>
        <w:tc>
          <w:tcPr>
            <w:tcW w:w="654" w:type="dxa"/>
            <w:vAlign w:val="center"/>
          </w:tcPr>
          <w:p w:rsidR="00DE7E70" w:rsidRDefault="00B85DCD">
            <w:pPr>
              <w:spacing w:beforeLines="20" w:before="48" w:afterLines="20" w:after="48"/>
              <w:jc w:val="center"/>
              <w:rPr>
                <w:noProof/>
                <w:sz w:val="14"/>
              </w:rPr>
            </w:pPr>
            <w:r>
              <w:rPr>
                <w:noProof/>
                <w:sz w:val="14"/>
              </w:rPr>
              <w:t>(6)</w:t>
            </w:r>
          </w:p>
        </w:tc>
        <w:tc>
          <w:tcPr>
            <w:tcW w:w="868" w:type="dxa"/>
            <w:vAlign w:val="center"/>
          </w:tcPr>
          <w:p w:rsidR="00DE7E70" w:rsidRDefault="00DE7E70">
            <w:pPr>
              <w:spacing w:before="20" w:after="20"/>
              <w:jc w:val="right"/>
              <w:rPr>
                <w:b/>
                <w:noProof/>
                <w:sz w:val="20"/>
              </w:rPr>
            </w:pPr>
          </w:p>
        </w:tc>
        <w:tc>
          <w:tcPr>
            <w:tcW w:w="868" w:type="dxa"/>
            <w:vAlign w:val="center"/>
          </w:tcPr>
          <w:p w:rsidR="00DE7E70" w:rsidRDefault="00DE7E70">
            <w:pPr>
              <w:spacing w:before="20" w:after="20"/>
              <w:jc w:val="right"/>
              <w:rPr>
                <w:b/>
                <w:noProof/>
                <w:sz w:val="20"/>
              </w:rPr>
            </w:pPr>
          </w:p>
        </w:tc>
        <w:tc>
          <w:tcPr>
            <w:tcW w:w="868" w:type="dxa"/>
            <w:vAlign w:val="center"/>
          </w:tcPr>
          <w:p w:rsidR="00DE7E70" w:rsidRDefault="00DE7E70">
            <w:pPr>
              <w:spacing w:before="20" w:after="20"/>
              <w:jc w:val="right"/>
              <w:rPr>
                <w:b/>
                <w:noProof/>
                <w:sz w:val="20"/>
              </w:rPr>
            </w:pPr>
          </w:p>
        </w:tc>
        <w:tc>
          <w:tcPr>
            <w:tcW w:w="868" w:type="dxa"/>
            <w:vAlign w:val="center"/>
          </w:tcPr>
          <w:p w:rsidR="00DE7E70" w:rsidRDefault="00DE7E70">
            <w:pPr>
              <w:spacing w:before="20" w:after="20"/>
              <w:jc w:val="right"/>
              <w:rPr>
                <w:b/>
                <w:noProof/>
                <w:sz w:val="20"/>
              </w:rPr>
            </w:pPr>
          </w:p>
        </w:tc>
        <w:tc>
          <w:tcPr>
            <w:tcW w:w="868" w:type="dxa"/>
            <w:vAlign w:val="center"/>
          </w:tcPr>
          <w:p w:rsidR="00DE7E70" w:rsidRDefault="00DE7E70">
            <w:pPr>
              <w:spacing w:before="20" w:after="20"/>
              <w:jc w:val="right"/>
              <w:rPr>
                <w:b/>
                <w:noProof/>
                <w:sz w:val="20"/>
              </w:rPr>
            </w:pPr>
          </w:p>
        </w:tc>
        <w:tc>
          <w:tcPr>
            <w:tcW w:w="868" w:type="dxa"/>
            <w:vAlign w:val="center"/>
          </w:tcPr>
          <w:p w:rsidR="00DE7E70" w:rsidRDefault="00DE7E70">
            <w:pPr>
              <w:spacing w:before="20" w:after="20"/>
              <w:jc w:val="right"/>
              <w:rPr>
                <w:b/>
                <w:noProof/>
                <w:sz w:val="20"/>
              </w:rPr>
            </w:pPr>
          </w:p>
        </w:tc>
        <w:tc>
          <w:tcPr>
            <w:tcW w:w="868" w:type="dxa"/>
            <w:vAlign w:val="center"/>
          </w:tcPr>
          <w:p w:rsidR="00DE7E70" w:rsidRDefault="00DE7E70">
            <w:pPr>
              <w:spacing w:before="20" w:after="20"/>
              <w:jc w:val="right"/>
              <w:rPr>
                <w:b/>
                <w:noProof/>
                <w:sz w:val="20"/>
              </w:rPr>
            </w:pPr>
          </w:p>
        </w:tc>
        <w:tc>
          <w:tcPr>
            <w:tcW w:w="1777" w:type="dxa"/>
            <w:vAlign w:val="center"/>
          </w:tcPr>
          <w:p w:rsidR="00DE7E70" w:rsidRDefault="00DE7E70">
            <w:pPr>
              <w:spacing w:before="20" w:after="20"/>
              <w:jc w:val="right"/>
              <w:rPr>
                <w:b/>
                <w:noProof/>
                <w:sz w:val="20"/>
              </w:rPr>
            </w:pPr>
          </w:p>
        </w:tc>
      </w:tr>
      <w:tr w:rsidR="00DE7E70">
        <w:tc>
          <w:tcPr>
            <w:tcW w:w="3960" w:type="dxa"/>
            <w:vMerge w:val="restart"/>
            <w:shd w:val="thinDiagStripe" w:color="C0C0C0" w:fill="auto"/>
            <w:vAlign w:val="center"/>
          </w:tcPr>
          <w:p w:rsidR="00DE7E70" w:rsidRDefault="00B85DCD">
            <w:pPr>
              <w:jc w:val="center"/>
              <w:rPr>
                <w:b/>
                <w:noProof/>
                <w:sz w:val="22"/>
              </w:rPr>
            </w:pPr>
            <w:r>
              <w:rPr>
                <w:b/>
                <w:noProof/>
                <w:sz w:val="22"/>
              </w:rPr>
              <w:t>Bevillinger I ALT under UDGIFTSOMRÅDE 2</w:t>
            </w:r>
            <w:r>
              <w:rPr>
                <w:noProof/>
                <w:sz w:val="22"/>
              </w:rPr>
              <w:t xml:space="preserve"> i den flerårige, finansielle ramme</w:t>
            </w:r>
          </w:p>
        </w:tc>
        <w:tc>
          <w:tcPr>
            <w:tcW w:w="1440" w:type="dxa"/>
            <w:vAlign w:val="center"/>
          </w:tcPr>
          <w:p w:rsidR="00DE7E70" w:rsidRDefault="00B85DCD">
            <w:pPr>
              <w:rPr>
                <w:noProof/>
                <w:sz w:val="18"/>
              </w:rPr>
            </w:pPr>
            <w:r>
              <w:rPr>
                <w:noProof/>
                <w:sz w:val="18"/>
              </w:rPr>
              <w:t>Forpligtelser</w:t>
            </w:r>
          </w:p>
        </w:tc>
        <w:tc>
          <w:tcPr>
            <w:tcW w:w="654" w:type="dxa"/>
            <w:vAlign w:val="center"/>
          </w:tcPr>
          <w:p w:rsidR="00DE7E70" w:rsidRDefault="00B85DCD">
            <w:pPr>
              <w:jc w:val="center"/>
              <w:rPr>
                <w:noProof/>
                <w:sz w:val="14"/>
              </w:rPr>
            </w:pPr>
            <w:r>
              <w:rPr>
                <w:noProof/>
                <w:sz w:val="14"/>
              </w:rPr>
              <w:t>=4+ 6</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B85DCD">
            <w:pPr>
              <w:spacing w:before="20" w:after="20"/>
              <w:jc w:val="right"/>
              <w:rPr>
                <w:noProof/>
                <w:sz w:val="20"/>
              </w:rPr>
            </w:pPr>
            <w:r>
              <w:rPr>
                <w:noProof/>
                <w:sz w:val="20"/>
              </w:rPr>
              <w:t>1,100</w:t>
            </w:r>
          </w:p>
        </w:tc>
        <w:tc>
          <w:tcPr>
            <w:tcW w:w="868" w:type="dxa"/>
            <w:vAlign w:val="center"/>
          </w:tcPr>
          <w:p w:rsidR="00DE7E70" w:rsidRDefault="00B85DCD">
            <w:pPr>
              <w:spacing w:before="20" w:after="20"/>
              <w:jc w:val="right"/>
              <w:rPr>
                <w:noProof/>
                <w:sz w:val="20"/>
              </w:rPr>
            </w:pPr>
            <w:r>
              <w:rPr>
                <w:noProof/>
                <w:sz w:val="20"/>
              </w:rPr>
              <w:t>0,200</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b/>
                <w:noProof/>
                <w:sz w:val="20"/>
              </w:rPr>
            </w:pPr>
          </w:p>
        </w:tc>
        <w:tc>
          <w:tcPr>
            <w:tcW w:w="1777" w:type="dxa"/>
            <w:vAlign w:val="center"/>
          </w:tcPr>
          <w:p w:rsidR="00DE7E70" w:rsidRDefault="00B85DCD">
            <w:pPr>
              <w:spacing w:before="20" w:after="20"/>
              <w:jc w:val="right"/>
              <w:rPr>
                <w:b/>
                <w:noProof/>
                <w:sz w:val="20"/>
              </w:rPr>
            </w:pPr>
            <w:r>
              <w:rPr>
                <w:b/>
                <w:noProof/>
                <w:sz w:val="20"/>
              </w:rPr>
              <w:t>1,300</w:t>
            </w:r>
          </w:p>
        </w:tc>
      </w:tr>
      <w:tr w:rsidR="00DE7E70">
        <w:tc>
          <w:tcPr>
            <w:tcW w:w="3960" w:type="dxa"/>
            <w:vMerge/>
            <w:shd w:val="thinDiagStripe" w:color="C0C0C0" w:fill="auto"/>
          </w:tcPr>
          <w:p w:rsidR="00DE7E70" w:rsidRDefault="00DE7E70">
            <w:pPr>
              <w:rPr>
                <w:noProof/>
                <w:sz w:val="20"/>
              </w:rPr>
            </w:pPr>
          </w:p>
        </w:tc>
        <w:tc>
          <w:tcPr>
            <w:tcW w:w="1440" w:type="dxa"/>
            <w:vAlign w:val="center"/>
          </w:tcPr>
          <w:p w:rsidR="00DE7E70" w:rsidRDefault="00B85DCD">
            <w:pPr>
              <w:rPr>
                <w:noProof/>
                <w:sz w:val="18"/>
              </w:rPr>
            </w:pPr>
            <w:r>
              <w:rPr>
                <w:noProof/>
                <w:sz w:val="18"/>
              </w:rPr>
              <w:t>Betalinger</w:t>
            </w:r>
          </w:p>
        </w:tc>
        <w:tc>
          <w:tcPr>
            <w:tcW w:w="654" w:type="dxa"/>
            <w:vAlign w:val="center"/>
          </w:tcPr>
          <w:p w:rsidR="00DE7E70" w:rsidRDefault="00B85DCD">
            <w:pPr>
              <w:jc w:val="center"/>
              <w:rPr>
                <w:noProof/>
                <w:sz w:val="14"/>
              </w:rPr>
            </w:pPr>
            <w:r>
              <w:rPr>
                <w:noProof/>
                <w:sz w:val="14"/>
              </w:rPr>
              <w:t>=5+ 6</w:t>
            </w:r>
          </w:p>
        </w:tc>
        <w:tc>
          <w:tcPr>
            <w:tcW w:w="868" w:type="dxa"/>
            <w:vAlign w:val="center"/>
          </w:tcPr>
          <w:p w:rsidR="00DE7E70" w:rsidRDefault="00DE7E70">
            <w:pPr>
              <w:spacing w:before="20" w:after="20"/>
              <w:jc w:val="center"/>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B85DCD">
            <w:pPr>
              <w:spacing w:before="20" w:after="20"/>
              <w:jc w:val="right"/>
              <w:rPr>
                <w:noProof/>
                <w:sz w:val="20"/>
              </w:rPr>
            </w:pPr>
            <w:r>
              <w:rPr>
                <w:noProof/>
                <w:sz w:val="20"/>
              </w:rPr>
              <w:t>0,740</w:t>
            </w:r>
          </w:p>
        </w:tc>
        <w:tc>
          <w:tcPr>
            <w:tcW w:w="868" w:type="dxa"/>
            <w:vAlign w:val="center"/>
          </w:tcPr>
          <w:p w:rsidR="00DE7E70" w:rsidRDefault="00B85DCD">
            <w:pPr>
              <w:spacing w:before="20" w:after="20"/>
              <w:jc w:val="right"/>
              <w:rPr>
                <w:noProof/>
                <w:sz w:val="20"/>
              </w:rPr>
            </w:pPr>
            <w:r>
              <w:rPr>
                <w:noProof/>
                <w:sz w:val="20"/>
              </w:rPr>
              <w:t>0,560</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1777" w:type="dxa"/>
            <w:vAlign w:val="center"/>
          </w:tcPr>
          <w:p w:rsidR="00DE7E70" w:rsidRDefault="00B85DCD">
            <w:pPr>
              <w:spacing w:before="20" w:after="20"/>
              <w:jc w:val="right"/>
              <w:rPr>
                <w:b/>
                <w:noProof/>
                <w:sz w:val="20"/>
              </w:rPr>
            </w:pPr>
            <w:r>
              <w:rPr>
                <w:b/>
                <w:noProof/>
                <w:sz w:val="20"/>
              </w:rPr>
              <w:t>1,300</w:t>
            </w:r>
          </w:p>
        </w:tc>
      </w:tr>
    </w:tbl>
    <w:p w:rsidR="00DE7E70" w:rsidRDefault="00B85DCD">
      <w:pPr>
        <w:spacing w:after="40"/>
        <w:rPr>
          <w:b/>
          <w:noProof/>
          <w:sz w:val="22"/>
          <w:u w:val="single"/>
        </w:rPr>
      </w:pPr>
      <w:r>
        <w:rPr>
          <w:b/>
          <w:noProof/>
          <w:sz w:val="22"/>
          <w:u w:val="single"/>
        </w:rPr>
        <w:t>Hvis flere udgiftsområder påvirkes af forslaget/initiativet: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DE7E70">
        <w:trPr>
          <w:trHeight w:val="277"/>
        </w:trPr>
        <w:tc>
          <w:tcPr>
            <w:tcW w:w="3960" w:type="dxa"/>
            <w:vMerge w:val="restart"/>
            <w:tcBorders>
              <w:top w:val="single" w:sz="4" w:space="0" w:color="FF0000"/>
              <w:left w:val="single" w:sz="4" w:space="0" w:color="auto"/>
              <w:bottom w:val="single" w:sz="4" w:space="0" w:color="FF0000"/>
            </w:tcBorders>
            <w:vAlign w:val="center"/>
          </w:tcPr>
          <w:p w:rsidR="00DE7E70" w:rsidRDefault="00B85DCD">
            <w:pPr>
              <w:spacing w:before="20" w:after="20"/>
              <w:rPr>
                <w:noProof/>
                <w:sz w:val="21"/>
                <w:szCs w:val="21"/>
              </w:rPr>
            </w:pPr>
            <w:r>
              <w:rPr>
                <w:noProof/>
                <w:sz w:val="21"/>
                <w:szCs w:val="21"/>
              </w:rPr>
              <w:sym w:font="Wingdings" w:char="F09F"/>
            </w:r>
            <w:r>
              <w:rPr>
                <w:noProof/>
                <w:sz w:val="21"/>
                <w:szCs w:val="21"/>
              </w:rPr>
              <w:t> Aktionsbevillinger I ALT</w:t>
            </w:r>
          </w:p>
        </w:tc>
        <w:tc>
          <w:tcPr>
            <w:tcW w:w="1440" w:type="dxa"/>
            <w:tcBorders>
              <w:top w:val="single" w:sz="4" w:space="0" w:color="FF0000"/>
            </w:tcBorders>
            <w:vAlign w:val="center"/>
          </w:tcPr>
          <w:p w:rsidR="00DE7E70" w:rsidRDefault="00B85DCD">
            <w:pPr>
              <w:spacing w:beforeLines="20" w:before="48" w:afterLines="20" w:after="48"/>
              <w:rPr>
                <w:noProof/>
                <w:sz w:val="18"/>
              </w:rPr>
            </w:pPr>
            <w:r>
              <w:rPr>
                <w:noProof/>
                <w:sz w:val="18"/>
              </w:rPr>
              <w:t>Forpligtelser</w:t>
            </w:r>
          </w:p>
        </w:tc>
        <w:tc>
          <w:tcPr>
            <w:tcW w:w="654" w:type="dxa"/>
            <w:tcBorders>
              <w:top w:val="single" w:sz="4" w:space="0" w:color="FF0000"/>
            </w:tcBorders>
            <w:vAlign w:val="center"/>
          </w:tcPr>
          <w:p w:rsidR="00DE7E70" w:rsidRDefault="00B85DCD">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DE7E70" w:rsidRDefault="00DE7E70">
            <w:pPr>
              <w:spacing w:before="20" w:after="20"/>
              <w:jc w:val="right"/>
              <w:rPr>
                <w:noProof/>
                <w:sz w:val="20"/>
              </w:rPr>
            </w:pPr>
          </w:p>
        </w:tc>
        <w:tc>
          <w:tcPr>
            <w:tcW w:w="868" w:type="dxa"/>
            <w:tcBorders>
              <w:top w:val="single" w:sz="4" w:space="0" w:color="FF0000"/>
            </w:tcBorders>
            <w:vAlign w:val="center"/>
          </w:tcPr>
          <w:p w:rsidR="00DE7E70" w:rsidRDefault="00DE7E70">
            <w:pPr>
              <w:spacing w:before="20" w:after="20"/>
              <w:jc w:val="right"/>
              <w:rPr>
                <w:noProof/>
                <w:sz w:val="20"/>
              </w:rPr>
            </w:pPr>
          </w:p>
        </w:tc>
        <w:tc>
          <w:tcPr>
            <w:tcW w:w="868" w:type="dxa"/>
            <w:tcBorders>
              <w:top w:val="single" w:sz="4" w:space="0" w:color="FF0000"/>
            </w:tcBorders>
            <w:vAlign w:val="center"/>
          </w:tcPr>
          <w:p w:rsidR="00DE7E70" w:rsidRDefault="00DE7E70">
            <w:pPr>
              <w:spacing w:before="20" w:after="20"/>
              <w:jc w:val="right"/>
              <w:rPr>
                <w:noProof/>
                <w:sz w:val="20"/>
              </w:rPr>
            </w:pPr>
          </w:p>
        </w:tc>
        <w:tc>
          <w:tcPr>
            <w:tcW w:w="868" w:type="dxa"/>
            <w:tcBorders>
              <w:top w:val="single" w:sz="4" w:space="0" w:color="FF0000"/>
            </w:tcBorders>
            <w:vAlign w:val="center"/>
          </w:tcPr>
          <w:p w:rsidR="00DE7E70" w:rsidRDefault="00DE7E70">
            <w:pPr>
              <w:spacing w:before="20" w:after="20"/>
              <w:jc w:val="right"/>
              <w:rPr>
                <w:noProof/>
                <w:sz w:val="20"/>
              </w:rPr>
            </w:pPr>
          </w:p>
        </w:tc>
        <w:tc>
          <w:tcPr>
            <w:tcW w:w="868" w:type="dxa"/>
            <w:tcBorders>
              <w:top w:val="single" w:sz="4" w:space="0" w:color="FF0000"/>
            </w:tcBorders>
            <w:vAlign w:val="center"/>
          </w:tcPr>
          <w:p w:rsidR="00DE7E70" w:rsidRDefault="00DE7E70">
            <w:pPr>
              <w:spacing w:before="20" w:after="20"/>
              <w:jc w:val="right"/>
              <w:rPr>
                <w:noProof/>
                <w:sz w:val="20"/>
              </w:rPr>
            </w:pPr>
          </w:p>
        </w:tc>
        <w:tc>
          <w:tcPr>
            <w:tcW w:w="868" w:type="dxa"/>
            <w:tcBorders>
              <w:top w:val="single" w:sz="4" w:space="0" w:color="FF0000"/>
            </w:tcBorders>
            <w:vAlign w:val="center"/>
          </w:tcPr>
          <w:p w:rsidR="00DE7E70" w:rsidRDefault="00DE7E70">
            <w:pPr>
              <w:spacing w:before="20" w:after="20"/>
              <w:jc w:val="right"/>
              <w:rPr>
                <w:noProof/>
                <w:sz w:val="20"/>
              </w:rPr>
            </w:pPr>
          </w:p>
        </w:tc>
        <w:tc>
          <w:tcPr>
            <w:tcW w:w="868" w:type="dxa"/>
            <w:tcBorders>
              <w:top w:val="single" w:sz="4" w:space="0" w:color="FF0000"/>
            </w:tcBorders>
            <w:vAlign w:val="center"/>
          </w:tcPr>
          <w:p w:rsidR="00DE7E70" w:rsidRDefault="00DE7E70">
            <w:pPr>
              <w:spacing w:before="20" w:after="20"/>
              <w:jc w:val="right"/>
              <w:rPr>
                <w:b/>
                <w:noProof/>
                <w:sz w:val="20"/>
              </w:rPr>
            </w:pPr>
          </w:p>
        </w:tc>
        <w:tc>
          <w:tcPr>
            <w:tcW w:w="1777" w:type="dxa"/>
            <w:tcBorders>
              <w:top w:val="single" w:sz="4" w:space="0" w:color="FF0000"/>
              <w:right w:val="single" w:sz="4" w:space="0" w:color="auto"/>
            </w:tcBorders>
            <w:vAlign w:val="center"/>
          </w:tcPr>
          <w:p w:rsidR="00DE7E70" w:rsidRDefault="00DE7E70">
            <w:pPr>
              <w:spacing w:before="20" w:after="20"/>
              <w:jc w:val="right"/>
              <w:rPr>
                <w:b/>
                <w:noProof/>
                <w:sz w:val="20"/>
              </w:rPr>
            </w:pPr>
          </w:p>
        </w:tc>
      </w:tr>
      <w:tr w:rsidR="00DE7E70">
        <w:tc>
          <w:tcPr>
            <w:tcW w:w="3960" w:type="dxa"/>
            <w:vMerge/>
            <w:tcBorders>
              <w:top w:val="single" w:sz="4" w:space="0" w:color="FF0000"/>
              <w:left w:val="single" w:sz="4" w:space="0" w:color="auto"/>
              <w:bottom w:val="single" w:sz="4" w:space="0" w:color="FF0000"/>
            </w:tcBorders>
          </w:tcPr>
          <w:p w:rsidR="00DE7E70" w:rsidRDefault="00DE7E70">
            <w:pPr>
              <w:jc w:val="center"/>
              <w:rPr>
                <w:noProof/>
                <w:sz w:val="21"/>
                <w:szCs w:val="21"/>
              </w:rPr>
            </w:pPr>
          </w:p>
        </w:tc>
        <w:tc>
          <w:tcPr>
            <w:tcW w:w="1440" w:type="dxa"/>
            <w:vAlign w:val="center"/>
          </w:tcPr>
          <w:p w:rsidR="00DE7E70" w:rsidRDefault="00B85DCD">
            <w:pPr>
              <w:spacing w:beforeLines="20" w:before="48" w:afterLines="20" w:after="48"/>
              <w:rPr>
                <w:noProof/>
                <w:sz w:val="18"/>
              </w:rPr>
            </w:pPr>
            <w:r>
              <w:rPr>
                <w:noProof/>
                <w:sz w:val="18"/>
              </w:rPr>
              <w:t>Betalinger</w:t>
            </w:r>
          </w:p>
        </w:tc>
        <w:tc>
          <w:tcPr>
            <w:tcW w:w="654" w:type="dxa"/>
            <w:vAlign w:val="center"/>
          </w:tcPr>
          <w:p w:rsidR="00DE7E70" w:rsidRDefault="00B85DCD">
            <w:pPr>
              <w:spacing w:beforeLines="20" w:before="48" w:afterLines="20" w:after="48"/>
              <w:jc w:val="center"/>
              <w:rPr>
                <w:noProof/>
                <w:sz w:val="14"/>
              </w:rPr>
            </w:pPr>
            <w:r>
              <w:rPr>
                <w:noProof/>
                <w:sz w:val="14"/>
              </w:rPr>
              <w:t>(5)</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b/>
                <w:noProof/>
                <w:sz w:val="20"/>
              </w:rPr>
            </w:pPr>
          </w:p>
        </w:tc>
        <w:tc>
          <w:tcPr>
            <w:tcW w:w="1777" w:type="dxa"/>
            <w:tcBorders>
              <w:right w:val="single" w:sz="4" w:space="0" w:color="auto"/>
            </w:tcBorders>
            <w:vAlign w:val="center"/>
          </w:tcPr>
          <w:p w:rsidR="00DE7E70" w:rsidRDefault="00DE7E70">
            <w:pPr>
              <w:spacing w:before="20" w:after="20"/>
              <w:jc w:val="right"/>
              <w:rPr>
                <w:b/>
                <w:noProof/>
                <w:sz w:val="20"/>
              </w:rPr>
            </w:pPr>
          </w:p>
        </w:tc>
      </w:tr>
      <w:tr w:rsidR="00DE7E70">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DE7E70" w:rsidRDefault="00B85DCD">
            <w:pPr>
              <w:spacing w:beforeLines="20" w:before="48" w:afterLines="20" w:after="48"/>
              <w:rPr>
                <w:noProof/>
                <w:sz w:val="21"/>
                <w:szCs w:val="21"/>
              </w:rPr>
            </w:pPr>
            <w:r>
              <w:rPr>
                <w:noProof/>
                <w:sz w:val="21"/>
                <w:szCs w:val="21"/>
              </w:rPr>
              <w:sym w:font="Wingdings" w:char="F09F"/>
            </w:r>
            <w:r>
              <w:rPr>
                <w:noProof/>
                <w:sz w:val="21"/>
                <w:szCs w:val="21"/>
              </w:rPr>
              <w:t xml:space="preserve"> Administrationsbevillinger finansieret over </w:t>
            </w:r>
            <w:r>
              <w:rPr>
                <w:noProof/>
                <w:sz w:val="21"/>
                <w:szCs w:val="21"/>
              </w:rPr>
              <w:t>bevillingsrammen for særprogrammer I ALT</w:t>
            </w:r>
          </w:p>
        </w:tc>
        <w:tc>
          <w:tcPr>
            <w:tcW w:w="654" w:type="dxa"/>
            <w:vAlign w:val="center"/>
          </w:tcPr>
          <w:p w:rsidR="00DE7E70" w:rsidRDefault="00B85DCD">
            <w:pPr>
              <w:spacing w:beforeLines="20" w:before="48" w:afterLines="20" w:after="48"/>
              <w:jc w:val="center"/>
              <w:rPr>
                <w:noProof/>
                <w:sz w:val="14"/>
              </w:rPr>
            </w:pPr>
            <w:r>
              <w:rPr>
                <w:noProof/>
                <w:sz w:val="14"/>
              </w:rPr>
              <w:t>(6)</w:t>
            </w:r>
          </w:p>
        </w:tc>
        <w:tc>
          <w:tcPr>
            <w:tcW w:w="868" w:type="dxa"/>
            <w:vAlign w:val="center"/>
          </w:tcPr>
          <w:p w:rsidR="00DE7E70" w:rsidRDefault="00DE7E70">
            <w:pPr>
              <w:spacing w:before="20" w:after="20"/>
              <w:jc w:val="right"/>
              <w:rPr>
                <w:b/>
                <w:noProof/>
                <w:sz w:val="20"/>
              </w:rPr>
            </w:pPr>
          </w:p>
        </w:tc>
        <w:tc>
          <w:tcPr>
            <w:tcW w:w="868" w:type="dxa"/>
            <w:vAlign w:val="center"/>
          </w:tcPr>
          <w:p w:rsidR="00DE7E70" w:rsidRDefault="00DE7E70">
            <w:pPr>
              <w:spacing w:before="20" w:after="20"/>
              <w:jc w:val="right"/>
              <w:rPr>
                <w:b/>
                <w:noProof/>
                <w:sz w:val="20"/>
              </w:rPr>
            </w:pPr>
          </w:p>
        </w:tc>
        <w:tc>
          <w:tcPr>
            <w:tcW w:w="868" w:type="dxa"/>
            <w:vAlign w:val="center"/>
          </w:tcPr>
          <w:p w:rsidR="00DE7E70" w:rsidRDefault="00DE7E70">
            <w:pPr>
              <w:spacing w:before="20" w:after="20"/>
              <w:jc w:val="right"/>
              <w:rPr>
                <w:b/>
                <w:noProof/>
                <w:sz w:val="20"/>
              </w:rPr>
            </w:pPr>
          </w:p>
        </w:tc>
        <w:tc>
          <w:tcPr>
            <w:tcW w:w="868" w:type="dxa"/>
            <w:vAlign w:val="center"/>
          </w:tcPr>
          <w:p w:rsidR="00DE7E70" w:rsidRDefault="00DE7E70">
            <w:pPr>
              <w:spacing w:before="20" w:after="20"/>
              <w:jc w:val="right"/>
              <w:rPr>
                <w:b/>
                <w:noProof/>
                <w:sz w:val="20"/>
              </w:rPr>
            </w:pPr>
          </w:p>
        </w:tc>
        <w:tc>
          <w:tcPr>
            <w:tcW w:w="868" w:type="dxa"/>
            <w:vAlign w:val="center"/>
          </w:tcPr>
          <w:p w:rsidR="00DE7E70" w:rsidRDefault="00DE7E70">
            <w:pPr>
              <w:spacing w:before="20" w:after="20"/>
              <w:jc w:val="right"/>
              <w:rPr>
                <w:b/>
                <w:noProof/>
                <w:sz w:val="20"/>
              </w:rPr>
            </w:pPr>
          </w:p>
        </w:tc>
        <w:tc>
          <w:tcPr>
            <w:tcW w:w="868" w:type="dxa"/>
            <w:vAlign w:val="center"/>
          </w:tcPr>
          <w:p w:rsidR="00DE7E70" w:rsidRDefault="00DE7E70">
            <w:pPr>
              <w:spacing w:before="20" w:after="20"/>
              <w:jc w:val="right"/>
              <w:rPr>
                <w:b/>
                <w:noProof/>
                <w:sz w:val="20"/>
              </w:rPr>
            </w:pPr>
          </w:p>
        </w:tc>
        <w:tc>
          <w:tcPr>
            <w:tcW w:w="868" w:type="dxa"/>
            <w:vAlign w:val="center"/>
          </w:tcPr>
          <w:p w:rsidR="00DE7E70" w:rsidRDefault="00DE7E70">
            <w:pPr>
              <w:spacing w:before="20" w:after="20"/>
              <w:jc w:val="right"/>
              <w:rPr>
                <w:b/>
                <w:noProof/>
                <w:sz w:val="20"/>
              </w:rPr>
            </w:pPr>
          </w:p>
        </w:tc>
        <w:tc>
          <w:tcPr>
            <w:tcW w:w="1777" w:type="dxa"/>
            <w:vAlign w:val="center"/>
          </w:tcPr>
          <w:p w:rsidR="00DE7E70" w:rsidRDefault="00DE7E70">
            <w:pPr>
              <w:spacing w:before="20" w:after="20"/>
              <w:jc w:val="right"/>
              <w:rPr>
                <w:b/>
                <w:noProof/>
                <w:sz w:val="20"/>
              </w:rPr>
            </w:pPr>
          </w:p>
        </w:tc>
      </w:tr>
      <w:tr w:rsidR="00DE7E70">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DE7E70" w:rsidRDefault="00B85DCD">
            <w:pPr>
              <w:jc w:val="center"/>
              <w:rPr>
                <w:b/>
                <w:noProof/>
                <w:sz w:val="22"/>
              </w:rPr>
            </w:pPr>
            <w:r>
              <w:rPr>
                <w:b/>
                <w:noProof/>
                <w:sz w:val="22"/>
              </w:rPr>
              <w:t>Bevillinger I ALT under UDGIFTSOMRÅDE 1-4</w:t>
            </w:r>
            <w:r>
              <w:rPr>
                <w:noProof/>
                <w:sz w:val="22"/>
              </w:rPr>
              <w:t xml:space="preserve"> i den flerårige finansielle ramme (referencebeløb)</w:t>
            </w:r>
          </w:p>
        </w:tc>
        <w:tc>
          <w:tcPr>
            <w:tcW w:w="1440" w:type="dxa"/>
            <w:vAlign w:val="center"/>
          </w:tcPr>
          <w:p w:rsidR="00DE7E70" w:rsidRDefault="00B85DCD">
            <w:pPr>
              <w:rPr>
                <w:noProof/>
                <w:sz w:val="18"/>
              </w:rPr>
            </w:pPr>
            <w:r>
              <w:rPr>
                <w:noProof/>
                <w:sz w:val="18"/>
              </w:rPr>
              <w:t>Forpligtelser</w:t>
            </w:r>
          </w:p>
        </w:tc>
        <w:tc>
          <w:tcPr>
            <w:tcW w:w="654" w:type="dxa"/>
            <w:vAlign w:val="center"/>
          </w:tcPr>
          <w:p w:rsidR="00DE7E70" w:rsidRDefault="00B85DCD">
            <w:pPr>
              <w:jc w:val="center"/>
              <w:rPr>
                <w:noProof/>
                <w:sz w:val="14"/>
              </w:rPr>
            </w:pPr>
            <w:r>
              <w:rPr>
                <w:noProof/>
                <w:sz w:val="14"/>
              </w:rPr>
              <w:t>=4+ 6</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B85DCD">
            <w:pPr>
              <w:spacing w:before="20" w:after="20"/>
              <w:jc w:val="right"/>
              <w:rPr>
                <w:noProof/>
                <w:sz w:val="20"/>
              </w:rPr>
            </w:pPr>
            <w:r>
              <w:rPr>
                <w:noProof/>
                <w:sz w:val="20"/>
              </w:rPr>
              <w:t>1,100</w:t>
            </w:r>
          </w:p>
        </w:tc>
        <w:tc>
          <w:tcPr>
            <w:tcW w:w="868" w:type="dxa"/>
            <w:vAlign w:val="center"/>
          </w:tcPr>
          <w:p w:rsidR="00DE7E70" w:rsidRDefault="00B85DCD">
            <w:pPr>
              <w:spacing w:before="20" w:after="20"/>
              <w:jc w:val="right"/>
              <w:rPr>
                <w:noProof/>
                <w:sz w:val="20"/>
              </w:rPr>
            </w:pPr>
            <w:r>
              <w:rPr>
                <w:noProof/>
                <w:sz w:val="20"/>
              </w:rPr>
              <w:t>0,200</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b/>
                <w:noProof/>
                <w:sz w:val="20"/>
              </w:rPr>
            </w:pPr>
          </w:p>
        </w:tc>
        <w:tc>
          <w:tcPr>
            <w:tcW w:w="1777" w:type="dxa"/>
            <w:tcBorders>
              <w:right w:val="single" w:sz="4" w:space="0" w:color="auto"/>
            </w:tcBorders>
            <w:vAlign w:val="center"/>
          </w:tcPr>
          <w:p w:rsidR="00DE7E70" w:rsidRDefault="00B85DCD">
            <w:pPr>
              <w:spacing w:before="20" w:after="20"/>
              <w:jc w:val="right"/>
              <w:rPr>
                <w:b/>
                <w:noProof/>
                <w:sz w:val="20"/>
              </w:rPr>
            </w:pPr>
            <w:r>
              <w:rPr>
                <w:b/>
                <w:noProof/>
                <w:sz w:val="20"/>
              </w:rPr>
              <w:t>1,300</w:t>
            </w:r>
          </w:p>
        </w:tc>
      </w:tr>
      <w:tr w:rsidR="00DE7E70">
        <w:tc>
          <w:tcPr>
            <w:tcW w:w="3960" w:type="dxa"/>
            <w:vMerge/>
            <w:tcBorders>
              <w:top w:val="single" w:sz="4" w:space="0" w:color="FF0000"/>
              <w:left w:val="single" w:sz="4" w:space="0" w:color="auto"/>
              <w:bottom w:val="single" w:sz="4" w:space="0" w:color="FF0000"/>
            </w:tcBorders>
            <w:shd w:val="thinDiagStripe" w:color="C0C0C0" w:fill="auto"/>
          </w:tcPr>
          <w:p w:rsidR="00DE7E70" w:rsidRDefault="00DE7E70">
            <w:pPr>
              <w:rPr>
                <w:noProof/>
                <w:sz w:val="20"/>
              </w:rPr>
            </w:pPr>
          </w:p>
        </w:tc>
        <w:tc>
          <w:tcPr>
            <w:tcW w:w="1440" w:type="dxa"/>
            <w:tcBorders>
              <w:bottom w:val="single" w:sz="4" w:space="0" w:color="FF0000"/>
            </w:tcBorders>
            <w:vAlign w:val="center"/>
          </w:tcPr>
          <w:p w:rsidR="00DE7E70" w:rsidRDefault="00B85DCD">
            <w:pPr>
              <w:rPr>
                <w:noProof/>
                <w:sz w:val="18"/>
              </w:rPr>
            </w:pPr>
            <w:r>
              <w:rPr>
                <w:noProof/>
                <w:sz w:val="18"/>
              </w:rPr>
              <w:t>Betalinger</w:t>
            </w:r>
          </w:p>
        </w:tc>
        <w:tc>
          <w:tcPr>
            <w:tcW w:w="654" w:type="dxa"/>
            <w:tcBorders>
              <w:bottom w:val="single" w:sz="4" w:space="0" w:color="FF0000"/>
            </w:tcBorders>
            <w:vAlign w:val="center"/>
          </w:tcPr>
          <w:p w:rsidR="00DE7E70" w:rsidRDefault="00B85DCD">
            <w:pPr>
              <w:jc w:val="center"/>
              <w:rPr>
                <w:noProof/>
                <w:sz w:val="14"/>
              </w:rPr>
            </w:pPr>
            <w:r>
              <w:rPr>
                <w:noProof/>
                <w:sz w:val="14"/>
              </w:rPr>
              <w:t>=5+ 6</w:t>
            </w:r>
          </w:p>
        </w:tc>
        <w:tc>
          <w:tcPr>
            <w:tcW w:w="868" w:type="dxa"/>
            <w:tcBorders>
              <w:bottom w:val="single" w:sz="4" w:space="0" w:color="FF0000"/>
            </w:tcBorders>
            <w:vAlign w:val="center"/>
          </w:tcPr>
          <w:p w:rsidR="00DE7E70" w:rsidRDefault="00DE7E70">
            <w:pPr>
              <w:spacing w:before="20" w:after="20"/>
              <w:jc w:val="right"/>
              <w:rPr>
                <w:noProof/>
                <w:sz w:val="20"/>
              </w:rPr>
            </w:pPr>
          </w:p>
        </w:tc>
        <w:tc>
          <w:tcPr>
            <w:tcW w:w="868" w:type="dxa"/>
            <w:tcBorders>
              <w:bottom w:val="single" w:sz="4" w:space="0" w:color="FF0000"/>
            </w:tcBorders>
            <w:vAlign w:val="center"/>
          </w:tcPr>
          <w:p w:rsidR="00DE7E70" w:rsidRDefault="00DE7E70">
            <w:pPr>
              <w:spacing w:before="20" w:after="20"/>
              <w:jc w:val="right"/>
              <w:rPr>
                <w:noProof/>
                <w:sz w:val="20"/>
              </w:rPr>
            </w:pPr>
          </w:p>
        </w:tc>
        <w:tc>
          <w:tcPr>
            <w:tcW w:w="868" w:type="dxa"/>
            <w:tcBorders>
              <w:bottom w:val="single" w:sz="4" w:space="0" w:color="FF0000"/>
            </w:tcBorders>
            <w:vAlign w:val="center"/>
          </w:tcPr>
          <w:p w:rsidR="00DE7E70" w:rsidRDefault="00B85DCD">
            <w:pPr>
              <w:spacing w:before="20" w:after="20"/>
              <w:jc w:val="right"/>
              <w:rPr>
                <w:noProof/>
                <w:sz w:val="20"/>
              </w:rPr>
            </w:pPr>
            <w:r>
              <w:rPr>
                <w:noProof/>
                <w:sz w:val="20"/>
              </w:rPr>
              <w:t>0,740</w:t>
            </w:r>
          </w:p>
        </w:tc>
        <w:tc>
          <w:tcPr>
            <w:tcW w:w="868" w:type="dxa"/>
            <w:tcBorders>
              <w:bottom w:val="single" w:sz="4" w:space="0" w:color="FF0000"/>
            </w:tcBorders>
            <w:vAlign w:val="center"/>
          </w:tcPr>
          <w:p w:rsidR="00DE7E70" w:rsidRDefault="00B85DCD">
            <w:pPr>
              <w:spacing w:before="20" w:after="20"/>
              <w:jc w:val="right"/>
              <w:rPr>
                <w:noProof/>
                <w:sz w:val="20"/>
              </w:rPr>
            </w:pPr>
            <w:r>
              <w:rPr>
                <w:noProof/>
                <w:sz w:val="20"/>
              </w:rPr>
              <w:t>0,560</w:t>
            </w:r>
          </w:p>
        </w:tc>
        <w:tc>
          <w:tcPr>
            <w:tcW w:w="868" w:type="dxa"/>
            <w:tcBorders>
              <w:bottom w:val="single" w:sz="4" w:space="0" w:color="FF0000"/>
            </w:tcBorders>
            <w:vAlign w:val="center"/>
          </w:tcPr>
          <w:p w:rsidR="00DE7E70" w:rsidRDefault="00DE7E70">
            <w:pPr>
              <w:spacing w:before="20" w:after="20"/>
              <w:jc w:val="right"/>
              <w:rPr>
                <w:noProof/>
                <w:sz w:val="20"/>
              </w:rPr>
            </w:pPr>
          </w:p>
        </w:tc>
        <w:tc>
          <w:tcPr>
            <w:tcW w:w="868" w:type="dxa"/>
            <w:tcBorders>
              <w:bottom w:val="single" w:sz="4" w:space="0" w:color="FF0000"/>
            </w:tcBorders>
            <w:vAlign w:val="center"/>
          </w:tcPr>
          <w:p w:rsidR="00DE7E70" w:rsidRDefault="00DE7E70">
            <w:pPr>
              <w:spacing w:before="20" w:after="20"/>
              <w:jc w:val="right"/>
              <w:rPr>
                <w:noProof/>
                <w:sz w:val="20"/>
              </w:rPr>
            </w:pPr>
          </w:p>
        </w:tc>
        <w:tc>
          <w:tcPr>
            <w:tcW w:w="868" w:type="dxa"/>
            <w:tcBorders>
              <w:bottom w:val="single" w:sz="4" w:space="0" w:color="FF0000"/>
            </w:tcBorders>
            <w:vAlign w:val="center"/>
          </w:tcPr>
          <w:p w:rsidR="00DE7E70" w:rsidRDefault="00DE7E70">
            <w:pPr>
              <w:spacing w:before="20" w:after="20"/>
              <w:jc w:val="right"/>
              <w:rPr>
                <w:noProof/>
                <w:sz w:val="20"/>
              </w:rPr>
            </w:pPr>
          </w:p>
        </w:tc>
        <w:tc>
          <w:tcPr>
            <w:tcW w:w="1777" w:type="dxa"/>
            <w:tcBorders>
              <w:bottom w:val="single" w:sz="4" w:space="0" w:color="FF0000"/>
              <w:right w:val="single" w:sz="4" w:space="0" w:color="auto"/>
            </w:tcBorders>
            <w:vAlign w:val="center"/>
          </w:tcPr>
          <w:p w:rsidR="00DE7E70" w:rsidRDefault="00B85DCD">
            <w:pPr>
              <w:spacing w:before="20" w:after="20"/>
              <w:jc w:val="right"/>
              <w:rPr>
                <w:b/>
                <w:noProof/>
                <w:sz w:val="20"/>
              </w:rPr>
            </w:pPr>
            <w:r>
              <w:rPr>
                <w:b/>
                <w:noProof/>
                <w:sz w:val="20"/>
              </w:rPr>
              <w:t>1,300</w:t>
            </w:r>
          </w:p>
        </w:tc>
      </w:tr>
    </w:tbl>
    <w:p w:rsidR="00DE7E70" w:rsidRDefault="00B85DCD">
      <w:pPr>
        <w:rPr>
          <w:noProof/>
        </w:rPr>
      </w:pPr>
      <w:r>
        <w:rPr>
          <w:noProof/>
        </w:rPr>
        <w:t xml:space="preserve">De foreslåede </w:t>
      </w:r>
      <w:r>
        <w:rPr>
          <w:noProof/>
        </w:rPr>
        <w:t>foranstaltninger vil blive gennemført i den financielle ramme for LIFE, og for en mindre dels vedkommende af de Europæiske Miljøagentur som aftalt under MFF 2014-2020.</w:t>
      </w:r>
    </w:p>
    <w:p w:rsidR="00DE7E70" w:rsidRDefault="00B85DCD">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E7E70">
        <w:trPr>
          <w:jc w:val="center"/>
        </w:trPr>
        <w:tc>
          <w:tcPr>
            <w:tcW w:w="4744" w:type="dxa"/>
            <w:shd w:val="thinDiagStripe" w:color="C0C0C0" w:fill="auto"/>
            <w:vAlign w:val="center"/>
          </w:tcPr>
          <w:p w:rsidR="00DE7E70" w:rsidRDefault="00B85DCD">
            <w:pPr>
              <w:spacing w:before="60" w:after="60"/>
              <w:jc w:val="center"/>
              <w:rPr>
                <w:b/>
                <w:noProof/>
                <w:sz w:val="22"/>
              </w:rPr>
            </w:pPr>
            <w:r>
              <w:rPr>
                <w:noProof/>
              </w:rPr>
              <w:br w:type="page"/>
            </w:r>
            <w:r>
              <w:rPr>
                <w:b/>
                <w:noProof/>
                <w:sz w:val="22"/>
              </w:rPr>
              <w:t xml:space="preserve">Betegnelse for den flerårige finansielle ramme </w:t>
            </w:r>
          </w:p>
        </w:tc>
        <w:tc>
          <w:tcPr>
            <w:tcW w:w="1080" w:type="dxa"/>
            <w:shd w:val="thinDiagStripe" w:color="C0C0C0" w:fill="auto"/>
            <w:vAlign w:val="center"/>
          </w:tcPr>
          <w:p w:rsidR="00DE7E70" w:rsidRDefault="00B85DCD">
            <w:pPr>
              <w:spacing w:before="60" w:after="60"/>
              <w:jc w:val="center"/>
              <w:rPr>
                <w:noProof/>
                <w:sz w:val="22"/>
              </w:rPr>
            </w:pPr>
            <w:r>
              <w:rPr>
                <w:b/>
                <w:noProof/>
                <w:sz w:val="22"/>
              </w:rPr>
              <w:t>5</w:t>
            </w:r>
          </w:p>
        </w:tc>
        <w:tc>
          <w:tcPr>
            <w:tcW w:w="7817" w:type="dxa"/>
            <w:vAlign w:val="center"/>
          </w:tcPr>
          <w:p w:rsidR="00DE7E70" w:rsidRDefault="00B85DCD">
            <w:pPr>
              <w:spacing w:before="60" w:after="60"/>
              <w:rPr>
                <w:noProof/>
                <w:sz w:val="22"/>
              </w:rPr>
            </w:pPr>
            <w:r>
              <w:rPr>
                <w:noProof/>
                <w:sz w:val="22"/>
              </w:rPr>
              <w:t>Administrative udgifter</w:t>
            </w:r>
          </w:p>
        </w:tc>
      </w:tr>
    </w:tbl>
    <w:p w:rsidR="00DE7E70" w:rsidRDefault="00B85DCD">
      <w:pPr>
        <w:jc w:val="right"/>
        <w:rPr>
          <w:noProof/>
          <w:sz w:val="20"/>
        </w:rPr>
      </w:pPr>
      <w:r>
        <w:rPr>
          <w:noProof/>
          <w:sz w:val="20"/>
        </w:rPr>
        <w:t>i mio. EUR</w:t>
      </w:r>
      <w:r>
        <w:rPr>
          <w:noProof/>
          <w:sz w:val="20"/>
        </w:rPr>
        <w:t xml:space="preserve"> (op til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DE7E70">
        <w:tc>
          <w:tcPr>
            <w:tcW w:w="3960" w:type="dxa"/>
            <w:tcBorders>
              <w:top w:val="nil"/>
              <w:left w:val="nil"/>
              <w:right w:val="nil"/>
            </w:tcBorders>
            <w:vAlign w:val="center"/>
          </w:tcPr>
          <w:p w:rsidR="00DE7E70" w:rsidRDefault="00DE7E70">
            <w:pPr>
              <w:jc w:val="center"/>
              <w:rPr>
                <w:noProof/>
                <w:sz w:val="22"/>
              </w:rPr>
            </w:pPr>
          </w:p>
        </w:tc>
        <w:tc>
          <w:tcPr>
            <w:tcW w:w="1560" w:type="dxa"/>
            <w:tcBorders>
              <w:top w:val="nil"/>
              <w:left w:val="nil"/>
              <w:right w:val="nil"/>
            </w:tcBorders>
          </w:tcPr>
          <w:p w:rsidR="00DE7E70" w:rsidRDefault="00DE7E70">
            <w:pPr>
              <w:rPr>
                <w:noProof/>
                <w:sz w:val="20"/>
              </w:rPr>
            </w:pPr>
          </w:p>
        </w:tc>
        <w:tc>
          <w:tcPr>
            <w:tcW w:w="534" w:type="dxa"/>
            <w:tcBorders>
              <w:top w:val="nil"/>
              <w:left w:val="nil"/>
            </w:tcBorders>
          </w:tcPr>
          <w:p w:rsidR="00DE7E70" w:rsidRDefault="00DE7E70">
            <w:pPr>
              <w:jc w:val="center"/>
              <w:rPr>
                <w:noProof/>
                <w:sz w:val="20"/>
              </w:rPr>
            </w:pPr>
          </w:p>
        </w:tc>
        <w:tc>
          <w:tcPr>
            <w:tcW w:w="868" w:type="dxa"/>
            <w:vAlign w:val="center"/>
          </w:tcPr>
          <w:p w:rsidR="00DE7E70" w:rsidRDefault="00B85DCD">
            <w:pPr>
              <w:jc w:val="center"/>
              <w:rPr>
                <w:noProof/>
                <w:sz w:val="20"/>
              </w:rPr>
            </w:pPr>
            <w:r>
              <w:rPr>
                <w:noProof/>
              </w:rPr>
              <w:t xml:space="preserve">År </w:t>
            </w:r>
            <w:r>
              <w:rPr>
                <w:noProof/>
              </w:rPr>
              <w:br/>
            </w:r>
            <w:r>
              <w:rPr>
                <w:b/>
                <w:noProof/>
              </w:rPr>
              <w:t>2017</w:t>
            </w:r>
          </w:p>
        </w:tc>
        <w:tc>
          <w:tcPr>
            <w:tcW w:w="868" w:type="dxa"/>
            <w:vAlign w:val="center"/>
          </w:tcPr>
          <w:p w:rsidR="00DE7E70" w:rsidRDefault="00B85DCD">
            <w:pPr>
              <w:jc w:val="center"/>
              <w:rPr>
                <w:noProof/>
                <w:sz w:val="20"/>
              </w:rPr>
            </w:pPr>
            <w:r>
              <w:rPr>
                <w:noProof/>
              </w:rPr>
              <w:t xml:space="preserve">År </w:t>
            </w:r>
            <w:r>
              <w:rPr>
                <w:noProof/>
              </w:rPr>
              <w:br/>
            </w:r>
            <w:r>
              <w:rPr>
                <w:b/>
                <w:noProof/>
              </w:rPr>
              <w:t>2018</w:t>
            </w:r>
          </w:p>
        </w:tc>
        <w:tc>
          <w:tcPr>
            <w:tcW w:w="868" w:type="dxa"/>
            <w:vAlign w:val="center"/>
          </w:tcPr>
          <w:p w:rsidR="00DE7E70" w:rsidRDefault="00B85DCD">
            <w:pPr>
              <w:jc w:val="center"/>
              <w:rPr>
                <w:noProof/>
                <w:sz w:val="20"/>
              </w:rPr>
            </w:pPr>
            <w:r>
              <w:rPr>
                <w:noProof/>
              </w:rPr>
              <w:t xml:space="preserve">År </w:t>
            </w:r>
            <w:r>
              <w:rPr>
                <w:noProof/>
              </w:rPr>
              <w:br/>
            </w:r>
            <w:r>
              <w:rPr>
                <w:b/>
                <w:noProof/>
              </w:rPr>
              <w:t>2019</w:t>
            </w:r>
          </w:p>
        </w:tc>
        <w:tc>
          <w:tcPr>
            <w:tcW w:w="868" w:type="dxa"/>
            <w:vAlign w:val="center"/>
          </w:tcPr>
          <w:p w:rsidR="00DE7E70" w:rsidRDefault="00B85DCD">
            <w:pPr>
              <w:jc w:val="center"/>
              <w:rPr>
                <w:noProof/>
                <w:sz w:val="20"/>
              </w:rPr>
            </w:pPr>
            <w:r>
              <w:rPr>
                <w:noProof/>
              </w:rPr>
              <w:t xml:space="preserve">År </w:t>
            </w:r>
            <w:r>
              <w:rPr>
                <w:noProof/>
              </w:rPr>
              <w:br/>
            </w:r>
            <w:r>
              <w:rPr>
                <w:b/>
                <w:noProof/>
              </w:rPr>
              <w:t>2020</w:t>
            </w:r>
          </w:p>
        </w:tc>
        <w:tc>
          <w:tcPr>
            <w:tcW w:w="2604" w:type="dxa"/>
            <w:gridSpan w:val="3"/>
            <w:vAlign w:val="center"/>
          </w:tcPr>
          <w:p w:rsidR="00DE7E70" w:rsidRDefault="00DE7E70">
            <w:pPr>
              <w:jc w:val="center"/>
              <w:rPr>
                <w:b/>
                <w:noProof/>
                <w:sz w:val="18"/>
              </w:rPr>
            </w:pPr>
          </w:p>
        </w:tc>
        <w:tc>
          <w:tcPr>
            <w:tcW w:w="1777" w:type="dxa"/>
            <w:vAlign w:val="center"/>
          </w:tcPr>
          <w:p w:rsidR="00DE7E70" w:rsidRDefault="00B85DCD">
            <w:pPr>
              <w:jc w:val="center"/>
              <w:rPr>
                <w:b/>
                <w:noProof/>
                <w:sz w:val="20"/>
              </w:rPr>
            </w:pPr>
            <w:r>
              <w:rPr>
                <w:b/>
                <w:noProof/>
                <w:sz w:val="20"/>
              </w:rPr>
              <w:t>I ALT</w:t>
            </w:r>
          </w:p>
        </w:tc>
      </w:tr>
      <w:tr w:rsidR="00DE7E70">
        <w:trPr>
          <w:gridAfter w:val="10"/>
          <w:wAfter w:w="9947" w:type="dxa"/>
        </w:trPr>
        <w:tc>
          <w:tcPr>
            <w:tcW w:w="3960" w:type="dxa"/>
            <w:vAlign w:val="center"/>
          </w:tcPr>
          <w:p w:rsidR="00DE7E70" w:rsidRDefault="00B85DCD">
            <w:pPr>
              <w:spacing w:before="60" w:after="60"/>
              <w:jc w:val="center"/>
              <w:rPr>
                <w:noProof/>
                <w:sz w:val="22"/>
              </w:rPr>
            </w:pPr>
            <w:r>
              <w:rPr>
                <w:noProof/>
                <w:sz w:val="22"/>
              </w:rPr>
              <w:t>DG: CLIMA</w:t>
            </w:r>
          </w:p>
        </w:tc>
      </w:tr>
      <w:tr w:rsidR="00DE7E70">
        <w:trPr>
          <w:trHeight w:val="313"/>
        </w:trPr>
        <w:tc>
          <w:tcPr>
            <w:tcW w:w="6054" w:type="dxa"/>
            <w:gridSpan w:val="3"/>
            <w:vAlign w:val="center"/>
          </w:tcPr>
          <w:p w:rsidR="00DE7E70" w:rsidRDefault="00B85DCD">
            <w:pPr>
              <w:spacing w:before="20" w:after="20"/>
              <w:rPr>
                <w:noProof/>
                <w:sz w:val="22"/>
              </w:rPr>
            </w:pPr>
            <w:r>
              <w:rPr>
                <w:noProof/>
                <w:sz w:val="22"/>
              </w:rPr>
              <w:sym w:font="Wingdings" w:char="F09F"/>
            </w:r>
            <w:r>
              <w:rPr>
                <w:noProof/>
                <w:sz w:val="22"/>
              </w:rPr>
              <w:t xml:space="preserve"> HR</w:t>
            </w:r>
          </w:p>
        </w:tc>
        <w:tc>
          <w:tcPr>
            <w:tcW w:w="868" w:type="dxa"/>
            <w:vAlign w:val="center"/>
          </w:tcPr>
          <w:p w:rsidR="00DE7E70" w:rsidRDefault="00B85DCD">
            <w:pPr>
              <w:spacing w:before="20" w:after="20"/>
              <w:jc w:val="right"/>
              <w:rPr>
                <w:noProof/>
                <w:sz w:val="20"/>
              </w:rPr>
            </w:pPr>
            <w:r>
              <w:rPr>
                <w:noProof/>
                <w:sz w:val="20"/>
              </w:rPr>
              <w:t>0,402</w:t>
            </w:r>
          </w:p>
        </w:tc>
        <w:tc>
          <w:tcPr>
            <w:tcW w:w="868" w:type="dxa"/>
            <w:vAlign w:val="center"/>
          </w:tcPr>
          <w:p w:rsidR="00DE7E70" w:rsidRDefault="00B85DCD">
            <w:pPr>
              <w:spacing w:before="20" w:after="20"/>
              <w:jc w:val="right"/>
              <w:rPr>
                <w:noProof/>
                <w:sz w:val="20"/>
              </w:rPr>
            </w:pPr>
            <w:r>
              <w:rPr>
                <w:noProof/>
                <w:sz w:val="20"/>
              </w:rPr>
              <w:t>0,402</w:t>
            </w:r>
          </w:p>
        </w:tc>
        <w:tc>
          <w:tcPr>
            <w:tcW w:w="868" w:type="dxa"/>
            <w:vAlign w:val="center"/>
          </w:tcPr>
          <w:p w:rsidR="00DE7E70" w:rsidRDefault="00B85DCD">
            <w:pPr>
              <w:spacing w:before="20" w:after="20"/>
              <w:jc w:val="right"/>
              <w:rPr>
                <w:noProof/>
                <w:sz w:val="20"/>
              </w:rPr>
            </w:pPr>
            <w:r>
              <w:rPr>
                <w:noProof/>
                <w:sz w:val="20"/>
              </w:rPr>
              <w:t>0,606</w:t>
            </w:r>
          </w:p>
        </w:tc>
        <w:tc>
          <w:tcPr>
            <w:tcW w:w="868" w:type="dxa"/>
            <w:vAlign w:val="center"/>
          </w:tcPr>
          <w:p w:rsidR="00DE7E70" w:rsidRDefault="00B85DCD">
            <w:pPr>
              <w:spacing w:before="20" w:after="20"/>
              <w:jc w:val="right"/>
              <w:rPr>
                <w:noProof/>
                <w:sz w:val="20"/>
              </w:rPr>
            </w:pPr>
            <w:r>
              <w:rPr>
                <w:noProof/>
                <w:sz w:val="20"/>
              </w:rPr>
              <w:t>0,606</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b/>
                <w:noProof/>
                <w:sz w:val="20"/>
              </w:rPr>
            </w:pPr>
          </w:p>
        </w:tc>
        <w:tc>
          <w:tcPr>
            <w:tcW w:w="1777" w:type="dxa"/>
            <w:vAlign w:val="center"/>
          </w:tcPr>
          <w:p w:rsidR="00DE7E70" w:rsidRDefault="00B85DCD">
            <w:pPr>
              <w:spacing w:before="20" w:after="20"/>
              <w:jc w:val="right"/>
              <w:rPr>
                <w:b/>
                <w:noProof/>
                <w:sz w:val="20"/>
              </w:rPr>
            </w:pPr>
            <w:r>
              <w:rPr>
                <w:b/>
                <w:noProof/>
                <w:sz w:val="20"/>
              </w:rPr>
              <w:t>2,016</w:t>
            </w:r>
          </w:p>
        </w:tc>
      </w:tr>
      <w:tr w:rsidR="00DE7E70">
        <w:trPr>
          <w:trHeight w:val="351"/>
        </w:trPr>
        <w:tc>
          <w:tcPr>
            <w:tcW w:w="6054" w:type="dxa"/>
            <w:gridSpan w:val="3"/>
            <w:vAlign w:val="center"/>
          </w:tcPr>
          <w:p w:rsidR="00DE7E70" w:rsidRDefault="00B85DCD">
            <w:pPr>
              <w:spacing w:before="20" w:after="20"/>
              <w:rPr>
                <w:noProof/>
                <w:sz w:val="22"/>
              </w:rPr>
            </w:pPr>
            <w:r>
              <w:rPr>
                <w:noProof/>
                <w:sz w:val="22"/>
              </w:rPr>
              <w:sym w:font="Wingdings" w:char="F09F"/>
            </w:r>
            <w:r>
              <w:rPr>
                <w:noProof/>
                <w:sz w:val="22"/>
              </w:rPr>
              <w:t xml:space="preserve"> Andre administrationsudgifter</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B85DCD">
            <w:pPr>
              <w:spacing w:before="20" w:after="20"/>
              <w:jc w:val="right"/>
              <w:rPr>
                <w:noProof/>
                <w:sz w:val="20"/>
              </w:rPr>
            </w:pPr>
            <w:r>
              <w:rPr>
                <w:noProof/>
                <w:sz w:val="20"/>
              </w:rPr>
              <w:t>0,015</w:t>
            </w:r>
          </w:p>
        </w:tc>
        <w:tc>
          <w:tcPr>
            <w:tcW w:w="868" w:type="dxa"/>
            <w:vAlign w:val="center"/>
          </w:tcPr>
          <w:p w:rsidR="00DE7E70" w:rsidRDefault="00B85DCD">
            <w:pPr>
              <w:spacing w:before="20" w:after="20"/>
              <w:jc w:val="right"/>
              <w:rPr>
                <w:noProof/>
                <w:sz w:val="20"/>
              </w:rPr>
            </w:pPr>
            <w:r>
              <w:rPr>
                <w:noProof/>
                <w:sz w:val="20"/>
              </w:rPr>
              <w:t>0,015</w:t>
            </w:r>
          </w:p>
        </w:tc>
        <w:tc>
          <w:tcPr>
            <w:tcW w:w="868" w:type="dxa"/>
            <w:vAlign w:val="center"/>
          </w:tcPr>
          <w:p w:rsidR="00DE7E70" w:rsidRDefault="00DE7E70">
            <w:pPr>
              <w:spacing w:before="20" w:after="20"/>
              <w:jc w:val="right"/>
              <w:rPr>
                <w:b/>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b/>
                <w:noProof/>
                <w:sz w:val="20"/>
              </w:rPr>
            </w:pPr>
          </w:p>
        </w:tc>
        <w:tc>
          <w:tcPr>
            <w:tcW w:w="1777" w:type="dxa"/>
            <w:vAlign w:val="center"/>
          </w:tcPr>
          <w:p w:rsidR="00DE7E70" w:rsidRDefault="00B85DCD">
            <w:pPr>
              <w:spacing w:before="20" w:after="20"/>
              <w:jc w:val="right"/>
              <w:rPr>
                <w:b/>
                <w:noProof/>
                <w:sz w:val="20"/>
              </w:rPr>
            </w:pPr>
            <w:r>
              <w:rPr>
                <w:b/>
                <w:noProof/>
                <w:sz w:val="20"/>
              </w:rPr>
              <w:t>0,030</w:t>
            </w:r>
          </w:p>
        </w:tc>
      </w:tr>
      <w:tr w:rsidR="00DE7E70">
        <w:tc>
          <w:tcPr>
            <w:tcW w:w="3960" w:type="dxa"/>
            <w:vAlign w:val="center"/>
          </w:tcPr>
          <w:p w:rsidR="00DE7E70" w:rsidRDefault="00B85DCD">
            <w:pPr>
              <w:jc w:val="center"/>
              <w:rPr>
                <w:b/>
                <w:noProof/>
                <w:sz w:val="22"/>
              </w:rPr>
            </w:pPr>
            <w:r>
              <w:rPr>
                <w:b/>
                <w:noProof/>
                <w:sz w:val="22"/>
              </w:rPr>
              <w:t xml:space="preserve">I ALT DG CLIMA </w:t>
            </w:r>
          </w:p>
        </w:tc>
        <w:tc>
          <w:tcPr>
            <w:tcW w:w="2094" w:type="dxa"/>
            <w:gridSpan w:val="2"/>
            <w:vAlign w:val="center"/>
          </w:tcPr>
          <w:p w:rsidR="00DE7E70" w:rsidRDefault="00B85DCD">
            <w:pPr>
              <w:rPr>
                <w:noProof/>
                <w:sz w:val="14"/>
              </w:rPr>
            </w:pPr>
            <w:r>
              <w:rPr>
                <w:noProof/>
                <w:sz w:val="18"/>
              </w:rPr>
              <w:t xml:space="preserve">Bevillinger </w:t>
            </w:r>
          </w:p>
        </w:tc>
        <w:tc>
          <w:tcPr>
            <w:tcW w:w="868" w:type="dxa"/>
            <w:vAlign w:val="center"/>
          </w:tcPr>
          <w:p w:rsidR="00DE7E70" w:rsidRDefault="00B85DCD">
            <w:pPr>
              <w:spacing w:before="60" w:after="60"/>
              <w:jc w:val="right"/>
              <w:rPr>
                <w:noProof/>
                <w:sz w:val="20"/>
              </w:rPr>
            </w:pPr>
            <w:r>
              <w:rPr>
                <w:noProof/>
                <w:sz w:val="20"/>
              </w:rPr>
              <w:t>0,402</w:t>
            </w:r>
          </w:p>
        </w:tc>
        <w:tc>
          <w:tcPr>
            <w:tcW w:w="868" w:type="dxa"/>
            <w:vAlign w:val="center"/>
          </w:tcPr>
          <w:p w:rsidR="00DE7E70" w:rsidRDefault="00B85DCD">
            <w:pPr>
              <w:spacing w:before="60" w:after="60"/>
              <w:jc w:val="right"/>
              <w:rPr>
                <w:noProof/>
                <w:sz w:val="20"/>
              </w:rPr>
            </w:pPr>
            <w:r>
              <w:rPr>
                <w:noProof/>
                <w:sz w:val="20"/>
              </w:rPr>
              <w:t>0,402</w:t>
            </w:r>
          </w:p>
        </w:tc>
        <w:tc>
          <w:tcPr>
            <w:tcW w:w="868" w:type="dxa"/>
            <w:vAlign w:val="center"/>
          </w:tcPr>
          <w:p w:rsidR="00DE7E70" w:rsidRDefault="00B85DCD">
            <w:pPr>
              <w:spacing w:before="60" w:after="60"/>
              <w:jc w:val="right"/>
              <w:rPr>
                <w:noProof/>
                <w:sz w:val="20"/>
              </w:rPr>
            </w:pPr>
            <w:r>
              <w:rPr>
                <w:noProof/>
                <w:sz w:val="20"/>
              </w:rPr>
              <w:t>0,621</w:t>
            </w:r>
          </w:p>
        </w:tc>
        <w:tc>
          <w:tcPr>
            <w:tcW w:w="868" w:type="dxa"/>
            <w:vAlign w:val="center"/>
          </w:tcPr>
          <w:p w:rsidR="00DE7E70" w:rsidRDefault="00B85DCD">
            <w:pPr>
              <w:spacing w:before="20" w:after="20"/>
              <w:jc w:val="right"/>
              <w:rPr>
                <w:noProof/>
                <w:sz w:val="20"/>
              </w:rPr>
            </w:pPr>
            <w:r>
              <w:rPr>
                <w:noProof/>
                <w:sz w:val="20"/>
              </w:rPr>
              <w:t>0,621</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b/>
                <w:noProof/>
                <w:sz w:val="20"/>
              </w:rPr>
            </w:pPr>
          </w:p>
        </w:tc>
        <w:tc>
          <w:tcPr>
            <w:tcW w:w="1777" w:type="dxa"/>
            <w:vAlign w:val="center"/>
          </w:tcPr>
          <w:p w:rsidR="00DE7E70" w:rsidRDefault="00B85DCD">
            <w:pPr>
              <w:spacing w:before="20" w:after="20"/>
              <w:jc w:val="right"/>
              <w:rPr>
                <w:b/>
                <w:noProof/>
                <w:sz w:val="20"/>
              </w:rPr>
            </w:pPr>
            <w:r>
              <w:rPr>
                <w:b/>
                <w:noProof/>
                <w:sz w:val="20"/>
              </w:rPr>
              <w:t>2,046</w:t>
            </w:r>
          </w:p>
        </w:tc>
      </w:tr>
    </w:tbl>
    <w:p w:rsidR="00DE7E70" w:rsidRDefault="00DE7E7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DE7E70">
        <w:tc>
          <w:tcPr>
            <w:tcW w:w="3960" w:type="dxa"/>
            <w:shd w:val="thinDiagStripe" w:color="C0C0C0" w:fill="auto"/>
            <w:vAlign w:val="center"/>
          </w:tcPr>
          <w:p w:rsidR="00DE7E70" w:rsidRDefault="00B85DCD">
            <w:pPr>
              <w:jc w:val="center"/>
              <w:rPr>
                <w:b/>
                <w:noProof/>
                <w:sz w:val="22"/>
              </w:rPr>
            </w:pPr>
            <w:r>
              <w:rPr>
                <w:b/>
                <w:noProof/>
                <w:sz w:val="22"/>
              </w:rPr>
              <w:t xml:space="preserve">Bevillinger I </w:t>
            </w:r>
            <w:r>
              <w:rPr>
                <w:b/>
                <w:noProof/>
                <w:sz w:val="22"/>
              </w:rPr>
              <w:t>ALT under UDGIFTSOMRÅDE 5</w:t>
            </w:r>
            <w:r>
              <w:rPr>
                <w:noProof/>
                <w:sz w:val="22"/>
              </w:rPr>
              <w:t xml:space="preserve"> i den flerårige finansielle ramme</w:t>
            </w:r>
            <w:r>
              <w:rPr>
                <w:b/>
                <w:noProof/>
                <w:sz w:val="22"/>
              </w:rPr>
              <w:t xml:space="preserve"> </w:t>
            </w:r>
          </w:p>
        </w:tc>
        <w:tc>
          <w:tcPr>
            <w:tcW w:w="2094" w:type="dxa"/>
            <w:vAlign w:val="center"/>
          </w:tcPr>
          <w:p w:rsidR="00DE7E70" w:rsidRDefault="00B85DCD">
            <w:pPr>
              <w:spacing w:before="40" w:after="40"/>
              <w:rPr>
                <w:noProof/>
                <w:sz w:val="22"/>
              </w:rPr>
            </w:pPr>
            <w:r>
              <w:rPr>
                <w:noProof/>
                <w:sz w:val="18"/>
              </w:rPr>
              <w:t>(Forpligtelser i alt = betalinger i alt)</w:t>
            </w:r>
          </w:p>
        </w:tc>
        <w:tc>
          <w:tcPr>
            <w:tcW w:w="868" w:type="dxa"/>
            <w:vAlign w:val="center"/>
          </w:tcPr>
          <w:p w:rsidR="00DE7E70" w:rsidRDefault="00B85DCD">
            <w:pPr>
              <w:spacing w:before="60" w:after="60"/>
              <w:jc w:val="right"/>
              <w:rPr>
                <w:noProof/>
                <w:sz w:val="20"/>
              </w:rPr>
            </w:pPr>
            <w:r>
              <w:rPr>
                <w:noProof/>
                <w:sz w:val="20"/>
              </w:rPr>
              <w:t>0,402</w:t>
            </w:r>
          </w:p>
        </w:tc>
        <w:tc>
          <w:tcPr>
            <w:tcW w:w="868" w:type="dxa"/>
            <w:vAlign w:val="center"/>
          </w:tcPr>
          <w:p w:rsidR="00DE7E70" w:rsidRDefault="00B85DCD">
            <w:pPr>
              <w:spacing w:before="60" w:after="60"/>
              <w:jc w:val="right"/>
              <w:rPr>
                <w:noProof/>
                <w:sz w:val="20"/>
              </w:rPr>
            </w:pPr>
            <w:r>
              <w:rPr>
                <w:noProof/>
                <w:sz w:val="20"/>
              </w:rPr>
              <w:t>0,402</w:t>
            </w:r>
          </w:p>
        </w:tc>
        <w:tc>
          <w:tcPr>
            <w:tcW w:w="868" w:type="dxa"/>
            <w:vAlign w:val="center"/>
          </w:tcPr>
          <w:p w:rsidR="00DE7E70" w:rsidRDefault="00B85DCD">
            <w:pPr>
              <w:spacing w:before="60" w:after="60"/>
              <w:jc w:val="right"/>
              <w:rPr>
                <w:noProof/>
                <w:sz w:val="20"/>
              </w:rPr>
            </w:pPr>
            <w:r>
              <w:rPr>
                <w:noProof/>
                <w:sz w:val="20"/>
              </w:rPr>
              <w:t>0,621</w:t>
            </w:r>
          </w:p>
        </w:tc>
        <w:tc>
          <w:tcPr>
            <w:tcW w:w="868" w:type="dxa"/>
            <w:vAlign w:val="center"/>
          </w:tcPr>
          <w:p w:rsidR="00DE7E70" w:rsidRDefault="00B85DCD">
            <w:pPr>
              <w:spacing w:before="20" w:after="20"/>
              <w:jc w:val="right"/>
              <w:rPr>
                <w:noProof/>
                <w:sz w:val="20"/>
              </w:rPr>
            </w:pPr>
            <w:r>
              <w:rPr>
                <w:noProof/>
                <w:sz w:val="20"/>
              </w:rPr>
              <w:t>0,621</w:t>
            </w: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noProof/>
                <w:sz w:val="20"/>
              </w:rPr>
            </w:pPr>
          </w:p>
        </w:tc>
        <w:tc>
          <w:tcPr>
            <w:tcW w:w="868" w:type="dxa"/>
            <w:vAlign w:val="center"/>
          </w:tcPr>
          <w:p w:rsidR="00DE7E70" w:rsidRDefault="00DE7E70">
            <w:pPr>
              <w:spacing w:before="20" w:after="20"/>
              <w:jc w:val="right"/>
              <w:rPr>
                <w:b/>
                <w:noProof/>
                <w:sz w:val="20"/>
              </w:rPr>
            </w:pPr>
          </w:p>
        </w:tc>
        <w:tc>
          <w:tcPr>
            <w:tcW w:w="1777" w:type="dxa"/>
            <w:vAlign w:val="center"/>
          </w:tcPr>
          <w:p w:rsidR="00DE7E70" w:rsidRDefault="00B85DCD">
            <w:pPr>
              <w:spacing w:before="20" w:after="20"/>
              <w:jc w:val="right"/>
              <w:rPr>
                <w:b/>
                <w:noProof/>
                <w:sz w:val="20"/>
              </w:rPr>
            </w:pPr>
            <w:r>
              <w:rPr>
                <w:b/>
                <w:noProof/>
                <w:sz w:val="20"/>
              </w:rPr>
              <w:t>2,046</w:t>
            </w:r>
          </w:p>
        </w:tc>
      </w:tr>
    </w:tbl>
    <w:p w:rsidR="00DE7E70" w:rsidRDefault="00B85DCD">
      <w:pPr>
        <w:jc w:val="right"/>
        <w:rPr>
          <w:noProof/>
          <w:sz w:val="20"/>
        </w:rPr>
      </w:pPr>
      <w:r>
        <w:rPr>
          <w:noProof/>
          <w:sz w:val="20"/>
        </w:rPr>
        <w:t>i mio. EUR (op til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DE7E70">
        <w:tc>
          <w:tcPr>
            <w:tcW w:w="3960" w:type="dxa"/>
            <w:tcBorders>
              <w:top w:val="nil"/>
              <w:left w:val="nil"/>
              <w:right w:val="nil"/>
            </w:tcBorders>
            <w:vAlign w:val="center"/>
          </w:tcPr>
          <w:p w:rsidR="00DE7E70" w:rsidRDefault="00DE7E70">
            <w:pPr>
              <w:jc w:val="center"/>
              <w:rPr>
                <w:noProof/>
                <w:sz w:val="22"/>
              </w:rPr>
            </w:pPr>
          </w:p>
        </w:tc>
        <w:tc>
          <w:tcPr>
            <w:tcW w:w="1560" w:type="dxa"/>
            <w:tcBorders>
              <w:top w:val="nil"/>
              <w:left w:val="nil"/>
              <w:right w:val="nil"/>
            </w:tcBorders>
          </w:tcPr>
          <w:p w:rsidR="00DE7E70" w:rsidRDefault="00DE7E70">
            <w:pPr>
              <w:rPr>
                <w:noProof/>
                <w:sz w:val="20"/>
              </w:rPr>
            </w:pPr>
          </w:p>
        </w:tc>
        <w:tc>
          <w:tcPr>
            <w:tcW w:w="534" w:type="dxa"/>
            <w:tcBorders>
              <w:top w:val="nil"/>
              <w:left w:val="nil"/>
            </w:tcBorders>
          </w:tcPr>
          <w:p w:rsidR="00DE7E70" w:rsidRDefault="00DE7E70">
            <w:pPr>
              <w:jc w:val="center"/>
              <w:rPr>
                <w:noProof/>
                <w:sz w:val="20"/>
              </w:rPr>
            </w:pPr>
          </w:p>
        </w:tc>
        <w:tc>
          <w:tcPr>
            <w:tcW w:w="868" w:type="dxa"/>
            <w:vAlign w:val="center"/>
          </w:tcPr>
          <w:p w:rsidR="00DE7E70" w:rsidRDefault="00B85DCD">
            <w:pPr>
              <w:jc w:val="center"/>
              <w:rPr>
                <w:noProof/>
                <w:sz w:val="20"/>
              </w:rPr>
            </w:pPr>
            <w:r>
              <w:rPr>
                <w:noProof/>
              </w:rPr>
              <w:t xml:space="preserve">År </w:t>
            </w:r>
            <w:r>
              <w:rPr>
                <w:noProof/>
              </w:rPr>
              <w:br/>
            </w:r>
            <w:r>
              <w:rPr>
                <w:b/>
                <w:noProof/>
              </w:rPr>
              <w:t>2017</w:t>
            </w:r>
          </w:p>
        </w:tc>
        <w:tc>
          <w:tcPr>
            <w:tcW w:w="868" w:type="dxa"/>
            <w:vAlign w:val="center"/>
          </w:tcPr>
          <w:p w:rsidR="00DE7E70" w:rsidRDefault="00B85DCD">
            <w:pPr>
              <w:jc w:val="center"/>
              <w:rPr>
                <w:noProof/>
                <w:sz w:val="20"/>
              </w:rPr>
            </w:pPr>
            <w:r>
              <w:rPr>
                <w:noProof/>
              </w:rPr>
              <w:t xml:space="preserve">År </w:t>
            </w:r>
            <w:r>
              <w:rPr>
                <w:noProof/>
              </w:rPr>
              <w:br/>
            </w:r>
            <w:r>
              <w:rPr>
                <w:b/>
                <w:noProof/>
              </w:rPr>
              <w:t>2018</w:t>
            </w:r>
          </w:p>
        </w:tc>
        <w:tc>
          <w:tcPr>
            <w:tcW w:w="868" w:type="dxa"/>
            <w:vAlign w:val="center"/>
          </w:tcPr>
          <w:p w:rsidR="00DE7E70" w:rsidRDefault="00B85DCD">
            <w:pPr>
              <w:jc w:val="center"/>
              <w:rPr>
                <w:noProof/>
                <w:sz w:val="20"/>
              </w:rPr>
            </w:pPr>
            <w:r>
              <w:rPr>
                <w:noProof/>
              </w:rPr>
              <w:t xml:space="preserve">År </w:t>
            </w:r>
            <w:r>
              <w:rPr>
                <w:noProof/>
              </w:rPr>
              <w:br/>
            </w:r>
            <w:r>
              <w:rPr>
                <w:b/>
                <w:noProof/>
              </w:rPr>
              <w:t>2019</w:t>
            </w:r>
          </w:p>
        </w:tc>
        <w:tc>
          <w:tcPr>
            <w:tcW w:w="868" w:type="dxa"/>
            <w:vAlign w:val="center"/>
          </w:tcPr>
          <w:p w:rsidR="00DE7E70" w:rsidRDefault="00B85DCD">
            <w:pPr>
              <w:jc w:val="center"/>
              <w:rPr>
                <w:noProof/>
                <w:sz w:val="20"/>
              </w:rPr>
            </w:pPr>
            <w:r>
              <w:rPr>
                <w:noProof/>
              </w:rPr>
              <w:t xml:space="preserve">År </w:t>
            </w:r>
            <w:r>
              <w:rPr>
                <w:noProof/>
              </w:rPr>
              <w:br/>
            </w:r>
            <w:r>
              <w:rPr>
                <w:b/>
                <w:noProof/>
              </w:rPr>
              <w:t>2020</w:t>
            </w:r>
          </w:p>
        </w:tc>
        <w:tc>
          <w:tcPr>
            <w:tcW w:w="2604" w:type="dxa"/>
            <w:gridSpan w:val="3"/>
            <w:vAlign w:val="center"/>
          </w:tcPr>
          <w:p w:rsidR="00DE7E70" w:rsidRDefault="00DE7E70">
            <w:pPr>
              <w:jc w:val="center"/>
              <w:rPr>
                <w:b/>
                <w:noProof/>
                <w:sz w:val="18"/>
              </w:rPr>
            </w:pPr>
          </w:p>
        </w:tc>
        <w:tc>
          <w:tcPr>
            <w:tcW w:w="1777" w:type="dxa"/>
            <w:vAlign w:val="center"/>
          </w:tcPr>
          <w:p w:rsidR="00DE7E70" w:rsidRDefault="00B85DCD">
            <w:pPr>
              <w:jc w:val="center"/>
              <w:rPr>
                <w:b/>
                <w:noProof/>
                <w:sz w:val="20"/>
              </w:rPr>
            </w:pPr>
            <w:r>
              <w:rPr>
                <w:b/>
                <w:noProof/>
                <w:sz w:val="20"/>
              </w:rPr>
              <w:t>I ALT</w:t>
            </w:r>
          </w:p>
        </w:tc>
      </w:tr>
      <w:tr w:rsidR="00DE7E70">
        <w:tc>
          <w:tcPr>
            <w:tcW w:w="3960" w:type="dxa"/>
            <w:vMerge w:val="restart"/>
            <w:shd w:val="clear" w:color="auto" w:fill="C0C0C0"/>
            <w:vAlign w:val="center"/>
          </w:tcPr>
          <w:p w:rsidR="00DE7E70" w:rsidRDefault="00B85DCD">
            <w:pPr>
              <w:jc w:val="center"/>
              <w:rPr>
                <w:b/>
                <w:noProof/>
                <w:sz w:val="22"/>
              </w:rPr>
            </w:pPr>
            <w:r>
              <w:rPr>
                <w:b/>
                <w:noProof/>
                <w:sz w:val="22"/>
              </w:rPr>
              <w:t xml:space="preserve">Bevillinger I ALT under UDGIFTSOMRÅDE </w:t>
            </w:r>
            <w:r>
              <w:rPr>
                <w:b/>
                <w:noProof/>
                <w:sz w:val="22"/>
              </w:rPr>
              <w:t>1-5</w:t>
            </w:r>
            <w:r>
              <w:rPr>
                <w:noProof/>
                <w:sz w:val="22"/>
              </w:rPr>
              <w:t xml:space="preserve"> i den flerårige finansielle ramme</w:t>
            </w:r>
            <w:r>
              <w:rPr>
                <w:b/>
                <w:noProof/>
                <w:sz w:val="22"/>
              </w:rPr>
              <w:t xml:space="preserve"> </w:t>
            </w:r>
          </w:p>
        </w:tc>
        <w:tc>
          <w:tcPr>
            <w:tcW w:w="2094" w:type="dxa"/>
            <w:gridSpan w:val="2"/>
            <w:vAlign w:val="center"/>
          </w:tcPr>
          <w:p w:rsidR="00DE7E70" w:rsidRDefault="00B85DCD">
            <w:pPr>
              <w:rPr>
                <w:noProof/>
                <w:sz w:val="14"/>
              </w:rPr>
            </w:pPr>
            <w:r>
              <w:rPr>
                <w:noProof/>
                <w:sz w:val="18"/>
              </w:rPr>
              <w:t>Forpligtelser</w:t>
            </w:r>
          </w:p>
        </w:tc>
        <w:tc>
          <w:tcPr>
            <w:tcW w:w="868" w:type="dxa"/>
            <w:vAlign w:val="center"/>
          </w:tcPr>
          <w:p w:rsidR="00DE7E70" w:rsidRDefault="00B85DCD">
            <w:pPr>
              <w:spacing w:before="60" w:after="60"/>
              <w:jc w:val="right"/>
              <w:rPr>
                <w:noProof/>
                <w:sz w:val="20"/>
              </w:rPr>
            </w:pPr>
            <w:r>
              <w:rPr>
                <w:noProof/>
                <w:sz w:val="20"/>
              </w:rPr>
              <w:t>0,402</w:t>
            </w:r>
          </w:p>
        </w:tc>
        <w:tc>
          <w:tcPr>
            <w:tcW w:w="868" w:type="dxa"/>
            <w:vAlign w:val="center"/>
          </w:tcPr>
          <w:p w:rsidR="00DE7E70" w:rsidRDefault="00B85DCD">
            <w:pPr>
              <w:spacing w:before="60" w:after="60"/>
              <w:jc w:val="right"/>
              <w:rPr>
                <w:noProof/>
                <w:sz w:val="20"/>
              </w:rPr>
            </w:pPr>
            <w:r>
              <w:rPr>
                <w:noProof/>
                <w:sz w:val="20"/>
              </w:rPr>
              <w:t>0,402</w:t>
            </w:r>
          </w:p>
        </w:tc>
        <w:tc>
          <w:tcPr>
            <w:tcW w:w="868" w:type="dxa"/>
            <w:vAlign w:val="center"/>
          </w:tcPr>
          <w:p w:rsidR="00DE7E70" w:rsidRDefault="00B85DCD">
            <w:pPr>
              <w:spacing w:before="60" w:after="60"/>
              <w:jc w:val="right"/>
              <w:rPr>
                <w:noProof/>
                <w:sz w:val="20"/>
              </w:rPr>
            </w:pPr>
            <w:r>
              <w:rPr>
                <w:noProof/>
                <w:sz w:val="20"/>
              </w:rPr>
              <w:t>1,721</w:t>
            </w:r>
          </w:p>
        </w:tc>
        <w:tc>
          <w:tcPr>
            <w:tcW w:w="868" w:type="dxa"/>
            <w:vAlign w:val="center"/>
          </w:tcPr>
          <w:p w:rsidR="00DE7E70" w:rsidRDefault="00B85DCD">
            <w:pPr>
              <w:spacing w:before="60" w:after="60"/>
              <w:jc w:val="right"/>
              <w:rPr>
                <w:noProof/>
                <w:sz w:val="20"/>
              </w:rPr>
            </w:pPr>
            <w:r>
              <w:rPr>
                <w:noProof/>
                <w:sz w:val="20"/>
              </w:rPr>
              <w:t>0,821</w:t>
            </w:r>
          </w:p>
        </w:tc>
        <w:tc>
          <w:tcPr>
            <w:tcW w:w="868" w:type="dxa"/>
            <w:vAlign w:val="center"/>
          </w:tcPr>
          <w:p w:rsidR="00DE7E70" w:rsidRDefault="00DE7E70">
            <w:pPr>
              <w:spacing w:before="60" w:after="60"/>
              <w:jc w:val="right"/>
              <w:rPr>
                <w:noProof/>
                <w:sz w:val="20"/>
              </w:rPr>
            </w:pPr>
          </w:p>
        </w:tc>
        <w:tc>
          <w:tcPr>
            <w:tcW w:w="868" w:type="dxa"/>
            <w:vAlign w:val="center"/>
          </w:tcPr>
          <w:p w:rsidR="00DE7E70" w:rsidRDefault="00DE7E70">
            <w:pPr>
              <w:spacing w:before="60" w:after="60"/>
              <w:jc w:val="right"/>
              <w:rPr>
                <w:noProof/>
                <w:sz w:val="20"/>
              </w:rPr>
            </w:pPr>
          </w:p>
        </w:tc>
        <w:tc>
          <w:tcPr>
            <w:tcW w:w="868" w:type="dxa"/>
            <w:vAlign w:val="center"/>
          </w:tcPr>
          <w:p w:rsidR="00DE7E70" w:rsidRDefault="00DE7E70">
            <w:pPr>
              <w:spacing w:before="60" w:after="60"/>
              <w:jc w:val="right"/>
              <w:rPr>
                <w:b/>
                <w:noProof/>
                <w:sz w:val="20"/>
              </w:rPr>
            </w:pPr>
          </w:p>
        </w:tc>
        <w:tc>
          <w:tcPr>
            <w:tcW w:w="1777" w:type="dxa"/>
            <w:vAlign w:val="center"/>
          </w:tcPr>
          <w:p w:rsidR="00DE7E70" w:rsidRDefault="00B85DCD">
            <w:pPr>
              <w:spacing w:before="60" w:after="60"/>
              <w:jc w:val="right"/>
              <w:rPr>
                <w:b/>
                <w:noProof/>
                <w:sz w:val="20"/>
              </w:rPr>
            </w:pPr>
            <w:r>
              <w:rPr>
                <w:b/>
                <w:noProof/>
                <w:sz w:val="20"/>
              </w:rPr>
              <w:t>3,346</w:t>
            </w:r>
          </w:p>
        </w:tc>
      </w:tr>
      <w:tr w:rsidR="00DE7E70">
        <w:tc>
          <w:tcPr>
            <w:tcW w:w="3960" w:type="dxa"/>
            <w:vMerge/>
            <w:shd w:val="clear" w:color="auto" w:fill="C0C0C0"/>
          </w:tcPr>
          <w:p w:rsidR="00DE7E70" w:rsidRDefault="00DE7E70">
            <w:pPr>
              <w:rPr>
                <w:noProof/>
                <w:sz w:val="20"/>
              </w:rPr>
            </w:pPr>
          </w:p>
        </w:tc>
        <w:tc>
          <w:tcPr>
            <w:tcW w:w="2094" w:type="dxa"/>
            <w:gridSpan w:val="2"/>
            <w:vAlign w:val="center"/>
          </w:tcPr>
          <w:p w:rsidR="00DE7E70" w:rsidRDefault="00B85DCD">
            <w:pPr>
              <w:rPr>
                <w:noProof/>
                <w:sz w:val="14"/>
              </w:rPr>
            </w:pPr>
            <w:r>
              <w:rPr>
                <w:noProof/>
                <w:sz w:val="18"/>
              </w:rPr>
              <w:t>Betalinger</w:t>
            </w:r>
          </w:p>
        </w:tc>
        <w:tc>
          <w:tcPr>
            <w:tcW w:w="868" w:type="dxa"/>
            <w:vAlign w:val="center"/>
          </w:tcPr>
          <w:p w:rsidR="00DE7E70" w:rsidRDefault="00B85DCD">
            <w:pPr>
              <w:spacing w:before="60" w:after="60"/>
              <w:jc w:val="right"/>
              <w:rPr>
                <w:noProof/>
                <w:sz w:val="20"/>
              </w:rPr>
            </w:pPr>
            <w:r>
              <w:rPr>
                <w:noProof/>
                <w:sz w:val="20"/>
              </w:rPr>
              <w:t>0,402</w:t>
            </w:r>
          </w:p>
        </w:tc>
        <w:tc>
          <w:tcPr>
            <w:tcW w:w="868" w:type="dxa"/>
            <w:vAlign w:val="center"/>
          </w:tcPr>
          <w:p w:rsidR="00DE7E70" w:rsidRDefault="00B85DCD">
            <w:pPr>
              <w:spacing w:before="60" w:after="60"/>
              <w:jc w:val="right"/>
              <w:rPr>
                <w:noProof/>
                <w:sz w:val="20"/>
              </w:rPr>
            </w:pPr>
            <w:r>
              <w:rPr>
                <w:noProof/>
                <w:sz w:val="20"/>
              </w:rPr>
              <w:t>0,402</w:t>
            </w:r>
          </w:p>
        </w:tc>
        <w:tc>
          <w:tcPr>
            <w:tcW w:w="868" w:type="dxa"/>
            <w:vAlign w:val="center"/>
          </w:tcPr>
          <w:p w:rsidR="00DE7E70" w:rsidRDefault="00B85DCD">
            <w:pPr>
              <w:spacing w:before="60" w:after="60"/>
              <w:jc w:val="right"/>
              <w:rPr>
                <w:noProof/>
                <w:sz w:val="20"/>
              </w:rPr>
            </w:pPr>
            <w:r>
              <w:rPr>
                <w:noProof/>
                <w:sz w:val="20"/>
              </w:rPr>
              <w:t>1,361</w:t>
            </w:r>
          </w:p>
        </w:tc>
        <w:tc>
          <w:tcPr>
            <w:tcW w:w="868" w:type="dxa"/>
            <w:vAlign w:val="center"/>
          </w:tcPr>
          <w:p w:rsidR="00DE7E70" w:rsidRDefault="00B85DCD">
            <w:pPr>
              <w:spacing w:before="60" w:after="60"/>
              <w:jc w:val="right"/>
              <w:rPr>
                <w:noProof/>
                <w:sz w:val="20"/>
              </w:rPr>
            </w:pPr>
            <w:r>
              <w:rPr>
                <w:noProof/>
                <w:sz w:val="20"/>
              </w:rPr>
              <w:t>1,181</w:t>
            </w:r>
          </w:p>
        </w:tc>
        <w:tc>
          <w:tcPr>
            <w:tcW w:w="868" w:type="dxa"/>
            <w:vAlign w:val="center"/>
          </w:tcPr>
          <w:p w:rsidR="00DE7E70" w:rsidRDefault="00DE7E70">
            <w:pPr>
              <w:spacing w:before="60" w:after="60"/>
              <w:jc w:val="right"/>
              <w:rPr>
                <w:noProof/>
                <w:sz w:val="20"/>
              </w:rPr>
            </w:pPr>
          </w:p>
        </w:tc>
        <w:tc>
          <w:tcPr>
            <w:tcW w:w="868" w:type="dxa"/>
            <w:vAlign w:val="center"/>
          </w:tcPr>
          <w:p w:rsidR="00DE7E70" w:rsidRDefault="00DE7E70">
            <w:pPr>
              <w:spacing w:before="60" w:after="60"/>
              <w:jc w:val="right"/>
              <w:rPr>
                <w:noProof/>
                <w:sz w:val="20"/>
              </w:rPr>
            </w:pPr>
          </w:p>
        </w:tc>
        <w:tc>
          <w:tcPr>
            <w:tcW w:w="868" w:type="dxa"/>
            <w:vAlign w:val="center"/>
          </w:tcPr>
          <w:p w:rsidR="00DE7E70" w:rsidRDefault="00DE7E70">
            <w:pPr>
              <w:spacing w:before="60" w:after="60"/>
              <w:jc w:val="right"/>
              <w:rPr>
                <w:noProof/>
                <w:sz w:val="20"/>
              </w:rPr>
            </w:pPr>
          </w:p>
        </w:tc>
        <w:tc>
          <w:tcPr>
            <w:tcW w:w="1777" w:type="dxa"/>
            <w:vAlign w:val="center"/>
          </w:tcPr>
          <w:p w:rsidR="00DE7E70" w:rsidRDefault="00B85DCD">
            <w:pPr>
              <w:spacing w:before="60" w:after="60"/>
              <w:jc w:val="right"/>
              <w:rPr>
                <w:b/>
                <w:noProof/>
                <w:sz w:val="20"/>
              </w:rPr>
            </w:pPr>
            <w:r>
              <w:rPr>
                <w:b/>
                <w:noProof/>
                <w:sz w:val="20"/>
              </w:rPr>
              <w:t>3,346</w:t>
            </w:r>
          </w:p>
        </w:tc>
      </w:tr>
    </w:tbl>
    <w:p w:rsidR="00DE7E70" w:rsidRDefault="00DE7E70">
      <w:pPr>
        <w:rPr>
          <w:noProof/>
        </w:rPr>
        <w:sectPr w:rsidR="00DE7E70" w:rsidSect="00B85DCD">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rsidR="00DE7E70" w:rsidRDefault="00B85DCD">
      <w:pPr>
        <w:pStyle w:val="ManualHeading3"/>
        <w:rPr>
          <w:bCs/>
          <w:noProof/>
          <w:szCs w:val="24"/>
        </w:rPr>
      </w:pPr>
      <w:r>
        <w:t>3.2.2.</w:t>
      </w:r>
      <w:r>
        <w:tab/>
      </w:r>
      <w:r>
        <w:rPr>
          <w:noProof/>
        </w:rPr>
        <w:t xml:space="preserve">Anslåede virkninger for aktionsbevillingerne </w:t>
      </w:r>
    </w:p>
    <w:p w:rsidR="00DE7E70" w:rsidRDefault="00B85DCD">
      <w:pPr>
        <w:pStyle w:val="ListDash1"/>
        <w:rPr>
          <w:noProof/>
        </w:rPr>
      </w:pPr>
      <w:r>
        <w:rPr>
          <w:noProof/>
        </w:rPr>
        <w:sym w:font="Wingdings" w:char="F0A8"/>
      </w:r>
      <w:r>
        <w:rPr>
          <w:noProof/>
        </w:rPr>
        <w:tab/>
        <w:t xml:space="preserve">Forslaget/initiativet kræver ikke anvendelse af aktionsbevillinger </w:t>
      </w:r>
    </w:p>
    <w:p w:rsidR="00DE7E70" w:rsidRDefault="00B85DCD">
      <w:pPr>
        <w:pStyle w:val="ListDash1"/>
        <w:rPr>
          <w:noProof/>
        </w:rPr>
      </w:pPr>
      <w:r>
        <w:rPr>
          <w:noProof/>
        </w:rPr>
        <w:t>X  Forslaget/initiativet kræver anvendelse af aktionsbevillinger som anført herunder:</w:t>
      </w:r>
    </w:p>
    <w:p w:rsidR="00DE7E70" w:rsidRDefault="00B85DCD">
      <w:pPr>
        <w:jc w:val="right"/>
        <w:rPr>
          <w:noProof/>
          <w:sz w:val="20"/>
        </w:rPr>
      </w:pPr>
      <w:r>
        <w:rPr>
          <w:noProof/>
          <w:sz w:val="20"/>
        </w:rPr>
        <w:t>Forpligtelsesbevillinger i mio. EUR (op til tre decima</w:t>
      </w:r>
      <w:r>
        <w:rPr>
          <w:noProof/>
          <w:sz w:val="20"/>
        </w:rPr>
        <w:t>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DE7E70">
        <w:trPr>
          <w:jc w:val="center"/>
        </w:trPr>
        <w:tc>
          <w:tcPr>
            <w:tcW w:w="1423" w:type="dxa"/>
            <w:vMerge w:val="restart"/>
            <w:vAlign w:val="center"/>
          </w:tcPr>
          <w:p w:rsidR="00DE7E70" w:rsidRDefault="00B85DCD">
            <w:pPr>
              <w:ind w:right="-29"/>
              <w:jc w:val="center"/>
              <w:rPr>
                <w:b/>
                <w:noProof/>
                <w:sz w:val="18"/>
                <w:szCs w:val="18"/>
              </w:rPr>
            </w:pPr>
            <w:r>
              <w:rPr>
                <w:b/>
                <w:noProof/>
                <w:sz w:val="18"/>
              </w:rPr>
              <w:t xml:space="preserve">Der angives mål og resultater </w:t>
            </w:r>
          </w:p>
          <w:p w:rsidR="00DE7E70" w:rsidRDefault="00DE7E70">
            <w:pPr>
              <w:ind w:right="-29"/>
              <w:jc w:val="center"/>
              <w:rPr>
                <w:b/>
                <w:noProof/>
                <w:sz w:val="18"/>
                <w:szCs w:val="18"/>
              </w:rPr>
            </w:pPr>
          </w:p>
          <w:p w:rsidR="00DE7E70" w:rsidRDefault="00B85DCD">
            <w:pPr>
              <w:ind w:right="-29"/>
              <w:jc w:val="center"/>
              <w:rPr>
                <w:noProof/>
                <w:sz w:val="18"/>
                <w:szCs w:val="18"/>
              </w:rPr>
            </w:pPr>
            <w:r>
              <w:rPr>
                <w:noProof/>
                <w:sz w:val="18"/>
              </w:rPr>
              <w:sym w:font="Wingdings" w:char="F0F2"/>
            </w:r>
          </w:p>
        </w:tc>
        <w:tc>
          <w:tcPr>
            <w:tcW w:w="720" w:type="dxa"/>
            <w:vAlign w:val="center"/>
          </w:tcPr>
          <w:p w:rsidR="00DE7E70" w:rsidRDefault="00DE7E70">
            <w:pPr>
              <w:ind w:right="-29"/>
              <w:jc w:val="center"/>
              <w:rPr>
                <w:noProof/>
                <w:sz w:val="18"/>
                <w:szCs w:val="18"/>
              </w:rPr>
            </w:pPr>
          </w:p>
        </w:tc>
        <w:tc>
          <w:tcPr>
            <w:tcW w:w="701" w:type="dxa"/>
            <w:vAlign w:val="center"/>
          </w:tcPr>
          <w:p w:rsidR="00DE7E70" w:rsidRDefault="00DE7E70">
            <w:pPr>
              <w:ind w:right="-29"/>
              <w:jc w:val="center"/>
              <w:rPr>
                <w:noProof/>
                <w:sz w:val="18"/>
                <w:szCs w:val="18"/>
              </w:rPr>
            </w:pPr>
          </w:p>
        </w:tc>
        <w:tc>
          <w:tcPr>
            <w:tcW w:w="1224" w:type="dxa"/>
            <w:gridSpan w:val="2"/>
            <w:tcBorders>
              <w:left w:val="nil"/>
            </w:tcBorders>
            <w:vAlign w:val="center"/>
          </w:tcPr>
          <w:p w:rsidR="00DE7E70" w:rsidRDefault="00B85DCD">
            <w:pPr>
              <w:ind w:right="-29"/>
              <w:jc w:val="center"/>
              <w:rPr>
                <w:noProof/>
                <w:sz w:val="18"/>
                <w:szCs w:val="18"/>
              </w:rPr>
            </w:pPr>
            <w:r>
              <w:rPr>
                <w:noProof/>
              </w:rPr>
              <w:t xml:space="preserve">År </w:t>
            </w:r>
            <w:r>
              <w:rPr>
                <w:noProof/>
              </w:rPr>
              <w:br/>
            </w:r>
            <w:r>
              <w:rPr>
                <w:b/>
                <w:noProof/>
              </w:rPr>
              <w:t>2017</w:t>
            </w:r>
          </w:p>
        </w:tc>
        <w:tc>
          <w:tcPr>
            <w:tcW w:w="1260" w:type="dxa"/>
            <w:gridSpan w:val="2"/>
            <w:vAlign w:val="center"/>
          </w:tcPr>
          <w:p w:rsidR="00DE7E70" w:rsidRDefault="00B85DCD">
            <w:pPr>
              <w:ind w:right="-29"/>
              <w:jc w:val="center"/>
              <w:rPr>
                <w:noProof/>
                <w:sz w:val="18"/>
                <w:szCs w:val="18"/>
              </w:rPr>
            </w:pPr>
            <w:r>
              <w:rPr>
                <w:noProof/>
              </w:rPr>
              <w:t xml:space="preserve">År </w:t>
            </w:r>
            <w:r>
              <w:rPr>
                <w:noProof/>
              </w:rPr>
              <w:br/>
            </w:r>
            <w:r>
              <w:rPr>
                <w:b/>
                <w:noProof/>
              </w:rPr>
              <w:t>2018</w:t>
            </w:r>
          </w:p>
        </w:tc>
        <w:tc>
          <w:tcPr>
            <w:tcW w:w="1440" w:type="dxa"/>
            <w:gridSpan w:val="2"/>
            <w:vAlign w:val="center"/>
          </w:tcPr>
          <w:p w:rsidR="00DE7E70" w:rsidRDefault="00B85DCD">
            <w:pPr>
              <w:ind w:right="-29"/>
              <w:jc w:val="center"/>
              <w:rPr>
                <w:noProof/>
                <w:sz w:val="18"/>
                <w:szCs w:val="18"/>
              </w:rPr>
            </w:pPr>
            <w:r>
              <w:rPr>
                <w:noProof/>
              </w:rPr>
              <w:t xml:space="preserve">År </w:t>
            </w:r>
            <w:r>
              <w:rPr>
                <w:noProof/>
              </w:rPr>
              <w:br/>
            </w:r>
            <w:r>
              <w:rPr>
                <w:b/>
                <w:noProof/>
              </w:rPr>
              <w:t>2019</w:t>
            </w:r>
          </w:p>
        </w:tc>
        <w:tc>
          <w:tcPr>
            <w:tcW w:w="1620" w:type="dxa"/>
            <w:gridSpan w:val="3"/>
            <w:vAlign w:val="center"/>
          </w:tcPr>
          <w:p w:rsidR="00DE7E70" w:rsidRDefault="00B85DCD">
            <w:pPr>
              <w:ind w:right="-29"/>
              <w:jc w:val="center"/>
              <w:rPr>
                <w:noProof/>
                <w:sz w:val="18"/>
                <w:szCs w:val="18"/>
              </w:rPr>
            </w:pPr>
            <w:r>
              <w:rPr>
                <w:noProof/>
              </w:rPr>
              <w:t xml:space="preserve">År </w:t>
            </w:r>
            <w:r>
              <w:rPr>
                <w:noProof/>
              </w:rPr>
              <w:br/>
            </w:r>
            <w:r>
              <w:rPr>
                <w:b/>
                <w:noProof/>
              </w:rPr>
              <w:t>2020</w:t>
            </w:r>
          </w:p>
        </w:tc>
        <w:tc>
          <w:tcPr>
            <w:tcW w:w="3600" w:type="dxa"/>
            <w:gridSpan w:val="6"/>
            <w:vAlign w:val="center"/>
          </w:tcPr>
          <w:p w:rsidR="00DE7E70" w:rsidRDefault="00DE7E70">
            <w:pPr>
              <w:jc w:val="center"/>
              <w:rPr>
                <w:noProof/>
                <w:sz w:val="18"/>
                <w:szCs w:val="18"/>
              </w:rPr>
            </w:pPr>
          </w:p>
        </w:tc>
        <w:tc>
          <w:tcPr>
            <w:tcW w:w="1620" w:type="dxa"/>
            <w:gridSpan w:val="2"/>
            <w:tcBorders>
              <w:left w:val="nil"/>
              <w:bottom w:val="nil"/>
            </w:tcBorders>
            <w:vAlign w:val="center"/>
          </w:tcPr>
          <w:p w:rsidR="00DE7E70" w:rsidRDefault="00B85DCD">
            <w:pPr>
              <w:ind w:right="-29"/>
              <w:jc w:val="center"/>
              <w:rPr>
                <w:noProof/>
                <w:sz w:val="18"/>
                <w:szCs w:val="18"/>
              </w:rPr>
            </w:pPr>
            <w:r>
              <w:rPr>
                <w:b/>
                <w:noProof/>
                <w:sz w:val="18"/>
              </w:rPr>
              <w:t>I ALT</w:t>
            </w:r>
          </w:p>
        </w:tc>
      </w:tr>
      <w:tr w:rsidR="00DE7E70">
        <w:trPr>
          <w:jc w:val="center"/>
        </w:trPr>
        <w:tc>
          <w:tcPr>
            <w:tcW w:w="1423" w:type="dxa"/>
            <w:vMerge/>
            <w:vAlign w:val="center"/>
          </w:tcPr>
          <w:p w:rsidR="00DE7E70" w:rsidRDefault="00DE7E70">
            <w:pPr>
              <w:ind w:right="-29"/>
              <w:jc w:val="center"/>
              <w:rPr>
                <w:noProof/>
                <w:sz w:val="18"/>
                <w:szCs w:val="18"/>
              </w:rPr>
            </w:pPr>
          </w:p>
        </w:tc>
        <w:tc>
          <w:tcPr>
            <w:tcW w:w="12185" w:type="dxa"/>
            <w:gridSpan w:val="19"/>
            <w:vAlign w:val="center"/>
          </w:tcPr>
          <w:p w:rsidR="00DE7E70" w:rsidRDefault="00B85DCD">
            <w:pPr>
              <w:spacing w:before="60" w:after="60"/>
              <w:ind w:right="-29"/>
              <w:jc w:val="center"/>
              <w:rPr>
                <w:noProof/>
                <w:sz w:val="18"/>
                <w:szCs w:val="18"/>
              </w:rPr>
            </w:pPr>
            <w:r>
              <w:rPr>
                <w:b/>
                <w:noProof/>
                <w:sz w:val="18"/>
              </w:rPr>
              <w:t>RESULTATER</w:t>
            </w:r>
          </w:p>
        </w:tc>
      </w:tr>
      <w:tr w:rsidR="00DE7E70">
        <w:trPr>
          <w:cantSplit/>
          <w:trHeight w:val="1134"/>
          <w:jc w:val="center"/>
        </w:trPr>
        <w:tc>
          <w:tcPr>
            <w:tcW w:w="1423" w:type="dxa"/>
            <w:vMerge/>
            <w:vAlign w:val="center"/>
          </w:tcPr>
          <w:p w:rsidR="00DE7E70" w:rsidRDefault="00DE7E70">
            <w:pPr>
              <w:rPr>
                <w:noProof/>
                <w:sz w:val="18"/>
                <w:szCs w:val="18"/>
              </w:rPr>
            </w:pPr>
          </w:p>
        </w:tc>
        <w:tc>
          <w:tcPr>
            <w:tcW w:w="720" w:type="dxa"/>
            <w:vAlign w:val="center"/>
          </w:tcPr>
          <w:p w:rsidR="00DE7E70" w:rsidRDefault="00B85DCD">
            <w:pPr>
              <w:jc w:val="center"/>
              <w:rPr>
                <w:noProof/>
                <w:sz w:val="18"/>
                <w:szCs w:val="18"/>
              </w:rPr>
            </w:pPr>
            <w:r>
              <w:rPr>
                <w:noProof/>
              </w:rPr>
              <w:t>Type</w:t>
            </w:r>
            <w:r>
              <w:rPr>
                <w:rStyle w:val="FootnoteReference"/>
                <w:noProof/>
              </w:rPr>
              <w:footnoteReference w:id="32"/>
            </w:r>
          </w:p>
          <w:p w:rsidR="00DE7E70" w:rsidRDefault="00DE7E70">
            <w:pPr>
              <w:spacing w:before="0" w:after="0"/>
              <w:jc w:val="center"/>
              <w:rPr>
                <w:noProof/>
                <w:sz w:val="18"/>
                <w:szCs w:val="18"/>
              </w:rPr>
            </w:pPr>
          </w:p>
        </w:tc>
        <w:tc>
          <w:tcPr>
            <w:tcW w:w="701" w:type="dxa"/>
            <w:vAlign w:val="center"/>
          </w:tcPr>
          <w:p w:rsidR="00DE7E70" w:rsidRDefault="00B85DCD">
            <w:pPr>
              <w:jc w:val="center"/>
              <w:rPr>
                <w:noProof/>
                <w:sz w:val="18"/>
                <w:szCs w:val="18"/>
              </w:rPr>
            </w:pPr>
            <w:r>
              <w:rPr>
                <w:noProof/>
                <w:sz w:val="18"/>
              </w:rPr>
              <w:t>Gennemsnitlige omkostninger</w:t>
            </w:r>
          </w:p>
        </w:tc>
        <w:tc>
          <w:tcPr>
            <w:tcW w:w="504" w:type="dxa"/>
            <w:tcBorders>
              <w:left w:val="nil"/>
              <w:right w:val="dashSmallGap" w:sz="4" w:space="0" w:color="auto"/>
            </w:tcBorders>
            <w:shd w:val="pct10" w:color="auto" w:fill="auto"/>
            <w:textDirection w:val="btLr"/>
            <w:vAlign w:val="center"/>
          </w:tcPr>
          <w:p w:rsidR="00DE7E70" w:rsidRDefault="00B85DCD">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DE7E70" w:rsidRDefault="00B85DCD">
            <w:pPr>
              <w:jc w:val="center"/>
              <w:rPr>
                <w:noProof/>
                <w:sz w:val="18"/>
                <w:szCs w:val="18"/>
              </w:rPr>
            </w:pPr>
            <w:r>
              <w:rPr>
                <w:noProof/>
                <w:sz w:val="18"/>
              </w:rPr>
              <w:t>Omkostninger</w:t>
            </w:r>
          </w:p>
        </w:tc>
        <w:tc>
          <w:tcPr>
            <w:tcW w:w="540" w:type="dxa"/>
            <w:tcBorders>
              <w:right w:val="dashSmallGap" w:sz="4" w:space="0" w:color="auto"/>
            </w:tcBorders>
            <w:shd w:val="pct10" w:color="auto" w:fill="auto"/>
            <w:textDirection w:val="btLr"/>
            <w:vAlign w:val="center"/>
          </w:tcPr>
          <w:p w:rsidR="00DE7E70" w:rsidRDefault="00B85DCD">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DE7E70" w:rsidRDefault="00B85DCD">
            <w:pPr>
              <w:jc w:val="center"/>
              <w:rPr>
                <w:noProof/>
                <w:sz w:val="18"/>
                <w:szCs w:val="18"/>
              </w:rPr>
            </w:pPr>
            <w:r>
              <w:rPr>
                <w:noProof/>
                <w:sz w:val="18"/>
              </w:rPr>
              <w:t>Omkostninger</w:t>
            </w:r>
          </w:p>
        </w:tc>
        <w:tc>
          <w:tcPr>
            <w:tcW w:w="720" w:type="dxa"/>
            <w:tcBorders>
              <w:right w:val="dashSmallGap" w:sz="4" w:space="0" w:color="auto"/>
            </w:tcBorders>
            <w:shd w:val="pct10" w:color="auto" w:fill="auto"/>
            <w:textDirection w:val="btLr"/>
            <w:vAlign w:val="center"/>
          </w:tcPr>
          <w:p w:rsidR="00DE7E70" w:rsidRDefault="00B85DCD">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DE7E70" w:rsidRDefault="00B85DCD">
            <w:pPr>
              <w:jc w:val="center"/>
              <w:rPr>
                <w:noProof/>
                <w:sz w:val="18"/>
                <w:szCs w:val="18"/>
              </w:rPr>
            </w:pPr>
            <w:r>
              <w:rPr>
                <w:noProof/>
                <w:sz w:val="18"/>
              </w:rPr>
              <w:t>Omkostninger</w:t>
            </w:r>
          </w:p>
        </w:tc>
        <w:tc>
          <w:tcPr>
            <w:tcW w:w="900" w:type="dxa"/>
            <w:tcBorders>
              <w:right w:val="dashSmallGap" w:sz="4" w:space="0" w:color="auto"/>
            </w:tcBorders>
            <w:shd w:val="pct10" w:color="auto" w:fill="auto"/>
            <w:textDirection w:val="btLr"/>
            <w:vAlign w:val="center"/>
          </w:tcPr>
          <w:p w:rsidR="00DE7E70" w:rsidRDefault="00B85DCD">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rsidR="00DE7E70" w:rsidRDefault="00B85DCD">
            <w:pPr>
              <w:jc w:val="center"/>
              <w:rPr>
                <w:noProof/>
                <w:sz w:val="18"/>
                <w:szCs w:val="18"/>
              </w:rPr>
            </w:pPr>
            <w:r>
              <w:rPr>
                <w:noProof/>
                <w:sz w:val="18"/>
              </w:rPr>
              <w:t>Omkostninger</w:t>
            </w:r>
          </w:p>
        </w:tc>
        <w:tc>
          <w:tcPr>
            <w:tcW w:w="540" w:type="dxa"/>
            <w:tcBorders>
              <w:right w:val="dashSmallGap" w:sz="4" w:space="0" w:color="auto"/>
            </w:tcBorders>
            <w:shd w:val="pct10" w:color="auto" w:fill="auto"/>
            <w:textDirection w:val="btLr"/>
            <w:vAlign w:val="center"/>
          </w:tcPr>
          <w:p w:rsidR="00DE7E70" w:rsidRDefault="00B85DCD">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rsidR="00DE7E70" w:rsidRDefault="00B85DCD">
            <w:pPr>
              <w:jc w:val="center"/>
              <w:rPr>
                <w:noProof/>
                <w:sz w:val="18"/>
                <w:szCs w:val="18"/>
              </w:rPr>
            </w:pPr>
            <w:r>
              <w:rPr>
                <w:noProof/>
                <w:sz w:val="18"/>
              </w:rPr>
              <w:t>Omkostninger</w:t>
            </w:r>
          </w:p>
        </w:tc>
        <w:tc>
          <w:tcPr>
            <w:tcW w:w="432" w:type="dxa"/>
            <w:tcBorders>
              <w:right w:val="dashSmallGap" w:sz="4" w:space="0" w:color="auto"/>
            </w:tcBorders>
            <w:shd w:val="pct10" w:color="auto" w:fill="auto"/>
            <w:textDirection w:val="btLr"/>
            <w:vAlign w:val="center"/>
          </w:tcPr>
          <w:p w:rsidR="00DE7E70" w:rsidRDefault="00B85DCD">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DE7E70" w:rsidRDefault="00B85DCD">
            <w:pPr>
              <w:jc w:val="center"/>
              <w:rPr>
                <w:noProof/>
                <w:sz w:val="18"/>
                <w:szCs w:val="18"/>
              </w:rPr>
            </w:pPr>
            <w:r>
              <w:rPr>
                <w:noProof/>
                <w:sz w:val="18"/>
              </w:rPr>
              <w:t>Omkostninger</w:t>
            </w:r>
          </w:p>
        </w:tc>
        <w:tc>
          <w:tcPr>
            <w:tcW w:w="540" w:type="dxa"/>
            <w:tcBorders>
              <w:right w:val="dashSmallGap" w:sz="4" w:space="0" w:color="auto"/>
            </w:tcBorders>
            <w:shd w:val="pct10" w:color="auto" w:fill="auto"/>
            <w:textDirection w:val="btLr"/>
            <w:vAlign w:val="center"/>
          </w:tcPr>
          <w:p w:rsidR="00DE7E70" w:rsidRDefault="00B85DCD">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DE7E70" w:rsidRDefault="00B85DCD">
            <w:pPr>
              <w:jc w:val="center"/>
              <w:rPr>
                <w:noProof/>
                <w:sz w:val="18"/>
                <w:szCs w:val="18"/>
              </w:rPr>
            </w:pPr>
            <w:r>
              <w:rPr>
                <w:noProof/>
                <w:sz w:val="18"/>
              </w:rPr>
              <w:t>Omkostninger</w:t>
            </w:r>
          </w:p>
        </w:tc>
        <w:tc>
          <w:tcPr>
            <w:tcW w:w="720" w:type="dxa"/>
            <w:tcBorders>
              <w:right w:val="dashSmallGap" w:sz="4" w:space="0" w:color="auto"/>
            </w:tcBorders>
            <w:shd w:val="pct10" w:color="auto" w:fill="auto"/>
            <w:vAlign w:val="center"/>
          </w:tcPr>
          <w:p w:rsidR="00DE7E70" w:rsidRDefault="00B85DCD">
            <w:pPr>
              <w:jc w:val="center"/>
              <w:rPr>
                <w:noProof/>
                <w:sz w:val="18"/>
                <w:szCs w:val="18"/>
              </w:rPr>
            </w:pPr>
            <w:r>
              <w:rPr>
                <w:noProof/>
                <w:sz w:val="18"/>
              </w:rPr>
              <w:t>Antal i alt</w:t>
            </w:r>
          </w:p>
        </w:tc>
        <w:tc>
          <w:tcPr>
            <w:tcW w:w="900" w:type="dxa"/>
            <w:tcBorders>
              <w:left w:val="dashSmallGap" w:sz="4" w:space="0" w:color="auto"/>
            </w:tcBorders>
            <w:shd w:val="pct10" w:color="auto" w:fill="auto"/>
            <w:vAlign w:val="center"/>
          </w:tcPr>
          <w:p w:rsidR="00DE7E70" w:rsidRDefault="00B85DCD">
            <w:pPr>
              <w:jc w:val="center"/>
              <w:rPr>
                <w:noProof/>
                <w:sz w:val="18"/>
                <w:szCs w:val="18"/>
              </w:rPr>
            </w:pPr>
            <w:r>
              <w:rPr>
                <w:noProof/>
                <w:sz w:val="18"/>
              </w:rPr>
              <w:t>Omkostninger i alt</w:t>
            </w:r>
          </w:p>
        </w:tc>
      </w:tr>
      <w:tr w:rsidR="00DE7E70">
        <w:trPr>
          <w:jc w:val="center"/>
        </w:trPr>
        <w:tc>
          <w:tcPr>
            <w:tcW w:w="2844" w:type="dxa"/>
            <w:gridSpan w:val="3"/>
            <w:vAlign w:val="center"/>
          </w:tcPr>
          <w:p w:rsidR="00DE7E70" w:rsidRDefault="00B85DCD">
            <w:pPr>
              <w:spacing w:before="60" w:after="60"/>
              <w:ind w:right="-29"/>
              <w:jc w:val="center"/>
              <w:rPr>
                <w:noProof/>
                <w:sz w:val="18"/>
                <w:szCs w:val="18"/>
              </w:rPr>
            </w:pPr>
            <w:r>
              <w:rPr>
                <w:noProof/>
                <w:sz w:val="18"/>
              </w:rPr>
              <w:t>SPECIFIKT MÅL Nr. 1</w:t>
            </w:r>
          </w:p>
        </w:tc>
        <w:tc>
          <w:tcPr>
            <w:tcW w:w="504" w:type="dxa"/>
            <w:tcBorders>
              <w:top w:val="nil"/>
              <w:left w:val="nil"/>
              <w:bottom w:val="nil"/>
              <w:right w:val="nil"/>
            </w:tcBorders>
          </w:tcPr>
          <w:p w:rsidR="00DE7E70" w:rsidRDefault="00DE7E70">
            <w:pPr>
              <w:spacing w:before="60" w:after="60"/>
              <w:ind w:right="-29"/>
              <w:jc w:val="center"/>
              <w:rPr>
                <w:noProof/>
                <w:sz w:val="18"/>
                <w:szCs w:val="18"/>
              </w:rPr>
            </w:pPr>
          </w:p>
        </w:tc>
        <w:tc>
          <w:tcPr>
            <w:tcW w:w="720" w:type="dxa"/>
            <w:tcBorders>
              <w:top w:val="nil"/>
              <w:left w:val="nil"/>
              <w:bottom w:val="nil"/>
              <w:right w:val="nil"/>
            </w:tcBorders>
          </w:tcPr>
          <w:p w:rsidR="00DE7E70" w:rsidRDefault="00DE7E70">
            <w:pPr>
              <w:spacing w:before="60" w:after="60"/>
              <w:ind w:right="-29"/>
              <w:jc w:val="center"/>
              <w:rPr>
                <w:noProof/>
                <w:sz w:val="18"/>
                <w:szCs w:val="18"/>
              </w:rPr>
            </w:pPr>
          </w:p>
        </w:tc>
        <w:tc>
          <w:tcPr>
            <w:tcW w:w="540" w:type="dxa"/>
            <w:tcBorders>
              <w:top w:val="nil"/>
              <w:left w:val="nil"/>
              <w:bottom w:val="nil"/>
              <w:right w:val="nil"/>
            </w:tcBorders>
          </w:tcPr>
          <w:p w:rsidR="00DE7E70" w:rsidRDefault="00DE7E70">
            <w:pPr>
              <w:spacing w:before="60" w:after="60"/>
              <w:ind w:right="-29"/>
              <w:jc w:val="center"/>
              <w:rPr>
                <w:noProof/>
                <w:sz w:val="18"/>
                <w:szCs w:val="18"/>
              </w:rPr>
            </w:pPr>
          </w:p>
        </w:tc>
        <w:tc>
          <w:tcPr>
            <w:tcW w:w="720" w:type="dxa"/>
            <w:tcBorders>
              <w:top w:val="nil"/>
              <w:left w:val="nil"/>
              <w:bottom w:val="nil"/>
              <w:right w:val="nil"/>
            </w:tcBorders>
          </w:tcPr>
          <w:p w:rsidR="00DE7E70" w:rsidRDefault="00DE7E70">
            <w:pPr>
              <w:spacing w:before="60" w:after="60"/>
              <w:ind w:right="-29"/>
              <w:jc w:val="center"/>
              <w:rPr>
                <w:noProof/>
                <w:sz w:val="18"/>
                <w:szCs w:val="18"/>
              </w:rPr>
            </w:pPr>
          </w:p>
        </w:tc>
        <w:tc>
          <w:tcPr>
            <w:tcW w:w="720" w:type="dxa"/>
            <w:tcBorders>
              <w:top w:val="nil"/>
              <w:left w:val="nil"/>
              <w:bottom w:val="nil"/>
              <w:right w:val="nil"/>
            </w:tcBorders>
          </w:tcPr>
          <w:p w:rsidR="00DE7E70" w:rsidRDefault="00DE7E70">
            <w:pPr>
              <w:spacing w:before="60" w:after="60"/>
              <w:ind w:right="-29"/>
              <w:jc w:val="center"/>
              <w:rPr>
                <w:noProof/>
                <w:sz w:val="18"/>
                <w:szCs w:val="18"/>
              </w:rPr>
            </w:pPr>
          </w:p>
        </w:tc>
        <w:tc>
          <w:tcPr>
            <w:tcW w:w="720" w:type="dxa"/>
            <w:tcBorders>
              <w:top w:val="nil"/>
              <w:left w:val="nil"/>
              <w:bottom w:val="nil"/>
              <w:right w:val="nil"/>
            </w:tcBorders>
          </w:tcPr>
          <w:p w:rsidR="00DE7E70" w:rsidRDefault="00DE7E70">
            <w:pPr>
              <w:spacing w:before="60" w:after="60"/>
              <w:ind w:right="-29"/>
              <w:jc w:val="center"/>
              <w:rPr>
                <w:noProof/>
                <w:sz w:val="18"/>
                <w:szCs w:val="18"/>
              </w:rPr>
            </w:pPr>
          </w:p>
        </w:tc>
        <w:tc>
          <w:tcPr>
            <w:tcW w:w="900" w:type="dxa"/>
            <w:tcBorders>
              <w:top w:val="nil"/>
              <w:left w:val="nil"/>
              <w:bottom w:val="nil"/>
              <w:right w:val="nil"/>
            </w:tcBorders>
          </w:tcPr>
          <w:p w:rsidR="00DE7E70" w:rsidRDefault="00DE7E70">
            <w:pPr>
              <w:spacing w:before="60" w:after="60"/>
              <w:ind w:right="-29"/>
              <w:jc w:val="center"/>
              <w:rPr>
                <w:noProof/>
                <w:sz w:val="18"/>
                <w:szCs w:val="18"/>
              </w:rPr>
            </w:pPr>
          </w:p>
        </w:tc>
        <w:tc>
          <w:tcPr>
            <w:tcW w:w="720" w:type="dxa"/>
            <w:gridSpan w:val="2"/>
            <w:tcBorders>
              <w:top w:val="nil"/>
              <w:left w:val="nil"/>
              <w:bottom w:val="nil"/>
              <w:right w:val="nil"/>
            </w:tcBorders>
          </w:tcPr>
          <w:p w:rsidR="00DE7E70" w:rsidRDefault="00DE7E70">
            <w:pPr>
              <w:spacing w:before="60" w:after="60"/>
              <w:ind w:right="-29"/>
              <w:jc w:val="center"/>
              <w:rPr>
                <w:noProof/>
                <w:sz w:val="18"/>
                <w:szCs w:val="18"/>
              </w:rPr>
            </w:pPr>
          </w:p>
        </w:tc>
        <w:tc>
          <w:tcPr>
            <w:tcW w:w="540" w:type="dxa"/>
            <w:tcBorders>
              <w:top w:val="nil"/>
              <w:left w:val="nil"/>
              <w:bottom w:val="nil"/>
              <w:right w:val="nil"/>
            </w:tcBorders>
          </w:tcPr>
          <w:p w:rsidR="00DE7E70" w:rsidRDefault="00DE7E70">
            <w:pPr>
              <w:spacing w:before="60" w:after="60"/>
              <w:ind w:right="-29"/>
              <w:jc w:val="center"/>
              <w:rPr>
                <w:noProof/>
                <w:sz w:val="18"/>
                <w:szCs w:val="18"/>
              </w:rPr>
            </w:pPr>
          </w:p>
        </w:tc>
        <w:tc>
          <w:tcPr>
            <w:tcW w:w="648" w:type="dxa"/>
            <w:tcBorders>
              <w:top w:val="nil"/>
              <w:left w:val="nil"/>
              <w:bottom w:val="nil"/>
              <w:right w:val="nil"/>
            </w:tcBorders>
          </w:tcPr>
          <w:p w:rsidR="00DE7E70" w:rsidRDefault="00DE7E70">
            <w:pPr>
              <w:spacing w:before="60" w:after="60"/>
              <w:ind w:right="-29"/>
              <w:jc w:val="center"/>
              <w:rPr>
                <w:noProof/>
                <w:sz w:val="18"/>
                <w:szCs w:val="18"/>
              </w:rPr>
            </w:pPr>
          </w:p>
        </w:tc>
        <w:tc>
          <w:tcPr>
            <w:tcW w:w="432" w:type="dxa"/>
            <w:tcBorders>
              <w:top w:val="nil"/>
              <w:left w:val="nil"/>
              <w:bottom w:val="nil"/>
              <w:right w:val="nil"/>
            </w:tcBorders>
          </w:tcPr>
          <w:p w:rsidR="00DE7E70" w:rsidRDefault="00DE7E70">
            <w:pPr>
              <w:spacing w:before="60" w:after="60"/>
              <w:ind w:right="-29"/>
              <w:jc w:val="center"/>
              <w:rPr>
                <w:noProof/>
                <w:sz w:val="18"/>
                <w:szCs w:val="18"/>
              </w:rPr>
            </w:pPr>
          </w:p>
        </w:tc>
        <w:tc>
          <w:tcPr>
            <w:tcW w:w="720" w:type="dxa"/>
            <w:tcBorders>
              <w:top w:val="nil"/>
              <w:left w:val="nil"/>
              <w:bottom w:val="nil"/>
              <w:right w:val="nil"/>
            </w:tcBorders>
          </w:tcPr>
          <w:p w:rsidR="00DE7E70" w:rsidRDefault="00DE7E70">
            <w:pPr>
              <w:spacing w:before="60" w:after="60"/>
              <w:ind w:right="-29"/>
              <w:jc w:val="center"/>
              <w:rPr>
                <w:noProof/>
                <w:sz w:val="18"/>
                <w:szCs w:val="18"/>
              </w:rPr>
            </w:pPr>
          </w:p>
        </w:tc>
        <w:tc>
          <w:tcPr>
            <w:tcW w:w="540" w:type="dxa"/>
            <w:tcBorders>
              <w:top w:val="nil"/>
              <w:left w:val="nil"/>
              <w:bottom w:val="nil"/>
              <w:right w:val="nil"/>
            </w:tcBorders>
          </w:tcPr>
          <w:p w:rsidR="00DE7E70" w:rsidRDefault="00DE7E70">
            <w:pPr>
              <w:spacing w:before="60" w:after="60"/>
              <w:ind w:right="-29"/>
              <w:jc w:val="center"/>
              <w:rPr>
                <w:noProof/>
                <w:sz w:val="18"/>
                <w:szCs w:val="18"/>
              </w:rPr>
            </w:pPr>
          </w:p>
        </w:tc>
        <w:tc>
          <w:tcPr>
            <w:tcW w:w="720" w:type="dxa"/>
            <w:tcBorders>
              <w:top w:val="nil"/>
              <w:left w:val="nil"/>
              <w:bottom w:val="nil"/>
              <w:right w:val="nil"/>
            </w:tcBorders>
          </w:tcPr>
          <w:p w:rsidR="00DE7E70" w:rsidRDefault="00DE7E70">
            <w:pPr>
              <w:spacing w:before="60" w:after="60"/>
              <w:ind w:right="-29"/>
              <w:jc w:val="center"/>
              <w:rPr>
                <w:noProof/>
                <w:sz w:val="18"/>
                <w:szCs w:val="18"/>
              </w:rPr>
            </w:pPr>
          </w:p>
        </w:tc>
        <w:tc>
          <w:tcPr>
            <w:tcW w:w="720" w:type="dxa"/>
            <w:tcBorders>
              <w:top w:val="nil"/>
              <w:left w:val="nil"/>
              <w:bottom w:val="nil"/>
              <w:right w:val="nil"/>
            </w:tcBorders>
          </w:tcPr>
          <w:p w:rsidR="00DE7E70" w:rsidRDefault="00DE7E70">
            <w:pPr>
              <w:spacing w:before="60" w:after="60"/>
              <w:ind w:right="-29"/>
              <w:jc w:val="center"/>
              <w:rPr>
                <w:noProof/>
                <w:sz w:val="18"/>
                <w:szCs w:val="18"/>
              </w:rPr>
            </w:pPr>
          </w:p>
        </w:tc>
        <w:tc>
          <w:tcPr>
            <w:tcW w:w="900" w:type="dxa"/>
            <w:tcBorders>
              <w:top w:val="nil"/>
              <w:left w:val="nil"/>
              <w:bottom w:val="nil"/>
              <w:right w:val="nil"/>
            </w:tcBorders>
          </w:tcPr>
          <w:p w:rsidR="00DE7E70" w:rsidRDefault="00DE7E70">
            <w:pPr>
              <w:spacing w:before="60" w:after="60"/>
              <w:ind w:right="-29"/>
              <w:jc w:val="center"/>
              <w:rPr>
                <w:noProof/>
                <w:sz w:val="18"/>
                <w:szCs w:val="18"/>
              </w:rPr>
            </w:pPr>
          </w:p>
        </w:tc>
      </w:tr>
      <w:tr w:rsidR="00DE7E70">
        <w:trPr>
          <w:trHeight w:hRule="exact" w:val="369"/>
          <w:jc w:val="center"/>
        </w:trPr>
        <w:tc>
          <w:tcPr>
            <w:tcW w:w="1423" w:type="dxa"/>
          </w:tcPr>
          <w:p w:rsidR="00DE7E70" w:rsidRDefault="00B85DCD">
            <w:pPr>
              <w:ind w:right="-29"/>
              <w:jc w:val="center"/>
              <w:rPr>
                <w:noProof/>
                <w:sz w:val="18"/>
                <w:szCs w:val="18"/>
              </w:rPr>
            </w:pPr>
            <w:r>
              <w:rPr>
                <w:noProof/>
                <w:sz w:val="18"/>
              </w:rPr>
              <w:t>- Resultat</w:t>
            </w:r>
          </w:p>
        </w:tc>
        <w:tc>
          <w:tcPr>
            <w:tcW w:w="720" w:type="dxa"/>
          </w:tcPr>
          <w:p w:rsidR="00DE7E70" w:rsidRDefault="00B85DCD">
            <w:pPr>
              <w:spacing w:before="0" w:after="0"/>
              <w:ind w:right="-28"/>
              <w:jc w:val="left"/>
              <w:rPr>
                <w:noProof/>
                <w:sz w:val="14"/>
                <w:szCs w:val="18"/>
              </w:rPr>
            </w:pPr>
            <w:r>
              <w:rPr>
                <w:noProof/>
                <w:sz w:val="14"/>
                <w:szCs w:val="18"/>
              </w:rPr>
              <w:t>Tjenesteydelseskontrakt</w:t>
            </w:r>
          </w:p>
        </w:tc>
        <w:tc>
          <w:tcPr>
            <w:tcW w:w="701" w:type="dxa"/>
          </w:tcPr>
          <w:p w:rsidR="00DE7E70" w:rsidRDefault="00B85DCD">
            <w:pPr>
              <w:ind w:right="-29"/>
              <w:jc w:val="center"/>
              <w:rPr>
                <w:noProof/>
                <w:sz w:val="18"/>
                <w:szCs w:val="18"/>
              </w:rPr>
            </w:pPr>
            <w:r>
              <w:rPr>
                <w:noProof/>
                <w:sz w:val="18"/>
                <w:szCs w:val="18"/>
              </w:rPr>
              <w:t>0,900</w:t>
            </w:r>
          </w:p>
        </w:tc>
        <w:tc>
          <w:tcPr>
            <w:tcW w:w="504" w:type="dxa"/>
            <w:tcBorders>
              <w:right w:val="dashSmallGap" w:sz="4" w:space="0" w:color="auto"/>
            </w:tcBorders>
          </w:tcPr>
          <w:p w:rsidR="00DE7E70" w:rsidRDefault="00DE7E70">
            <w:pPr>
              <w:ind w:right="-29"/>
              <w:jc w:val="center"/>
              <w:rPr>
                <w:noProof/>
                <w:sz w:val="18"/>
                <w:szCs w:val="18"/>
              </w:rPr>
            </w:pPr>
          </w:p>
        </w:tc>
        <w:tc>
          <w:tcPr>
            <w:tcW w:w="720" w:type="dxa"/>
            <w:tcBorders>
              <w:left w:val="dashSmallGap" w:sz="4" w:space="0" w:color="auto"/>
            </w:tcBorders>
          </w:tcPr>
          <w:p w:rsidR="00DE7E70" w:rsidRDefault="00DE7E70">
            <w:pPr>
              <w:ind w:right="-29"/>
              <w:jc w:val="center"/>
              <w:rPr>
                <w:noProof/>
                <w:sz w:val="18"/>
                <w:szCs w:val="18"/>
              </w:rPr>
            </w:pPr>
          </w:p>
        </w:tc>
        <w:tc>
          <w:tcPr>
            <w:tcW w:w="540" w:type="dxa"/>
            <w:tcBorders>
              <w:right w:val="dashSmallGap" w:sz="4" w:space="0" w:color="auto"/>
            </w:tcBorders>
          </w:tcPr>
          <w:p w:rsidR="00DE7E70" w:rsidRDefault="00DE7E70">
            <w:pPr>
              <w:ind w:right="-29"/>
              <w:jc w:val="center"/>
              <w:rPr>
                <w:noProof/>
                <w:sz w:val="18"/>
                <w:szCs w:val="18"/>
              </w:rPr>
            </w:pPr>
          </w:p>
        </w:tc>
        <w:tc>
          <w:tcPr>
            <w:tcW w:w="720" w:type="dxa"/>
            <w:tcBorders>
              <w:left w:val="dashSmallGap" w:sz="4" w:space="0" w:color="auto"/>
            </w:tcBorders>
          </w:tcPr>
          <w:p w:rsidR="00DE7E70" w:rsidRDefault="00DE7E70">
            <w:pPr>
              <w:ind w:right="-29"/>
              <w:jc w:val="center"/>
              <w:rPr>
                <w:noProof/>
                <w:sz w:val="18"/>
                <w:szCs w:val="18"/>
              </w:rPr>
            </w:pPr>
          </w:p>
        </w:tc>
        <w:tc>
          <w:tcPr>
            <w:tcW w:w="720" w:type="dxa"/>
            <w:tcBorders>
              <w:right w:val="dashSmallGap" w:sz="4" w:space="0" w:color="auto"/>
            </w:tcBorders>
          </w:tcPr>
          <w:p w:rsidR="00DE7E70" w:rsidRDefault="00B85DCD">
            <w:pPr>
              <w:ind w:right="-29"/>
              <w:jc w:val="center"/>
              <w:rPr>
                <w:noProof/>
                <w:sz w:val="18"/>
                <w:szCs w:val="18"/>
              </w:rPr>
            </w:pPr>
            <w:r>
              <w:rPr>
                <w:noProof/>
                <w:sz w:val="18"/>
                <w:szCs w:val="18"/>
              </w:rPr>
              <w:t>1</w:t>
            </w:r>
          </w:p>
        </w:tc>
        <w:tc>
          <w:tcPr>
            <w:tcW w:w="720" w:type="dxa"/>
            <w:tcBorders>
              <w:left w:val="dashSmallGap" w:sz="4" w:space="0" w:color="auto"/>
            </w:tcBorders>
          </w:tcPr>
          <w:p w:rsidR="00DE7E70" w:rsidRDefault="00B85DCD">
            <w:pPr>
              <w:ind w:right="-29"/>
              <w:jc w:val="center"/>
              <w:rPr>
                <w:noProof/>
                <w:sz w:val="18"/>
                <w:szCs w:val="18"/>
              </w:rPr>
            </w:pPr>
            <w:r>
              <w:rPr>
                <w:noProof/>
                <w:sz w:val="18"/>
                <w:szCs w:val="18"/>
              </w:rPr>
              <w:t>0,900</w:t>
            </w:r>
          </w:p>
        </w:tc>
        <w:tc>
          <w:tcPr>
            <w:tcW w:w="900" w:type="dxa"/>
            <w:tcBorders>
              <w:right w:val="dashSmallGap" w:sz="4" w:space="0" w:color="auto"/>
            </w:tcBorders>
          </w:tcPr>
          <w:p w:rsidR="00DE7E70" w:rsidRDefault="00DE7E70">
            <w:pPr>
              <w:ind w:right="-29"/>
              <w:jc w:val="center"/>
              <w:rPr>
                <w:noProof/>
                <w:sz w:val="18"/>
                <w:szCs w:val="18"/>
              </w:rPr>
            </w:pPr>
          </w:p>
        </w:tc>
        <w:tc>
          <w:tcPr>
            <w:tcW w:w="720" w:type="dxa"/>
            <w:gridSpan w:val="2"/>
            <w:tcBorders>
              <w:left w:val="dashSmallGap" w:sz="4" w:space="0" w:color="auto"/>
            </w:tcBorders>
          </w:tcPr>
          <w:p w:rsidR="00DE7E70" w:rsidRDefault="00DE7E70">
            <w:pPr>
              <w:ind w:right="-29"/>
              <w:jc w:val="center"/>
              <w:rPr>
                <w:noProof/>
                <w:sz w:val="18"/>
                <w:szCs w:val="18"/>
              </w:rPr>
            </w:pPr>
          </w:p>
        </w:tc>
        <w:tc>
          <w:tcPr>
            <w:tcW w:w="540" w:type="dxa"/>
            <w:tcBorders>
              <w:right w:val="dashSmallGap" w:sz="4" w:space="0" w:color="auto"/>
            </w:tcBorders>
          </w:tcPr>
          <w:p w:rsidR="00DE7E70" w:rsidRDefault="00DE7E70">
            <w:pPr>
              <w:ind w:right="-29"/>
              <w:jc w:val="center"/>
              <w:rPr>
                <w:noProof/>
                <w:sz w:val="18"/>
                <w:szCs w:val="18"/>
              </w:rPr>
            </w:pPr>
          </w:p>
        </w:tc>
        <w:tc>
          <w:tcPr>
            <w:tcW w:w="648" w:type="dxa"/>
            <w:tcBorders>
              <w:left w:val="dashSmallGap" w:sz="4" w:space="0" w:color="auto"/>
            </w:tcBorders>
          </w:tcPr>
          <w:p w:rsidR="00DE7E70" w:rsidRDefault="00DE7E70">
            <w:pPr>
              <w:ind w:right="-29"/>
              <w:jc w:val="center"/>
              <w:rPr>
                <w:noProof/>
                <w:sz w:val="18"/>
                <w:szCs w:val="18"/>
              </w:rPr>
            </w:pPr>
          </w:p>
        </w:tc>
        <w:tc>
          <w:tcPr>
            <w:tcW w:w="432" w:type="dxa"/>
            <w:tcBorders>
              <w:right w:val="dashSmallGap" w:sz="4" w:space="0" w:color="auto"/>
            </w:tcBorders>
          </w:tcPr>
          <w:p w:rsidR="00DE7E70" w:rsidRDefault="00DE7E70">
            <w:pPr>
              <w:ind w:right="-29"/>
              <w:jc w:val="center"/>
              <w:rPr>
                <w:noProof/>
                <w:sz w:val="18"/>
                <w:szCs w:val="18"/>
              </w:rPr>
            </w:pPr>
          </w:p>
        </w:tc>
        <w:tc>
          <w:tcPr>
            <w:tcW w:w="720" w:type="dxa"/>
            <w:tcBorders>
              <w:left w:val="dashSmallGap" w:sz="4" w:space="0" w:color="auto"/>
            </w:tcBorders>
          </w:tcPr>
          <w:p w:rsidR="00DE7E70" w:rsidRDefault="00DE7E70">
            <w:pPr>
              <w:ind w:right="-29"/>
              <w:jc w:val="center"/>
              <w:rPr>
                <w:noProof/>
                <w:sz w:val="18"/>
                <w:szCs w:val="18"/>
              </w:rPr>
            </w:pPr>
          </w:p>
        </w:tc>
        <w:tc>
          <w:tcPr>
            <w:tcW w:w="540" w:type="dxa"/>
            <w:tcBorders>
              <w:right w:val="dashSmallGap" w:sz="4" w:space="0" w:color="auto"/>
            </w:tcBorders>
          </w:tcPr>
          <w:p w:rsidR="00DE7E70" w:rsidRDefault="00DE7E70">
            <w:pPr>
              <w:ind w:right="-29"/>
              <w:jc w:val="center"/>
              <w:rPr>
                <w:noProof/>
                <w:sz w:val="18"/>
                <w:szCs w:val="18"/>
              </w:rPr>
            </w:pPr>
          </w:p>
        </w:tc>
        <w:tc>
          <w:tcPr>
            <w:tcW w:w="720" w:type="dxa"/>
            <w:tcBorders>
              <w:left w:val="dashSmallGap" w:sz="4" w:space="0" w:color="auto"/>
            </w:tcBorders>
          </w:tcPr>
          <w:p w:rsidR="00DE7E70" w:rsidRDefault="00DE7E70">
            <w:pPr>
              <w:ind w:right="-29"/>
              <w:jc w:val="center"/>
              <w:rPr>
                <w:noProof/>
                <w:sz w:val="18"/>
                <w:szCs w:val="18"/>
              </w:rPr>
            </w:pPr>
          </w:p>
        </w:tc>
        <w:tc>
          <w:tcPr>
            <w:tcW w:w="720" w:type="dxa"/>
          </w:tcPr>
          <w:p w:rsidR="00DE7E70" w:rsidRDefault="00B85DCD">
            <w:pPr>
              <w:ind w:right="-29"/>
              <w:jc w:val="center"/>
              <w:rPr>
                <w:noProof/>
                <w:sz w:val="18"/>
                <w:szCs w:val="18"/>
              </w:rPr>
            </w:pPr>
            <w:r>
              <w:rPr>
                <w:noProof/>
                <w:sz w:val="18"/>
                <w:szCs w:val="18"/>
              </w:rPr>
              <w:t>1</w:t>
            </w:r>
          </w:p>
        </w:tc>
        <w:tc>
          <w:tcPr>
            <w:tcW w:w="900" w:type="dxa"/>
          </w:tcPr>
          <w:p w:rsidR="00DE7E70" w:rsidRDefault="00B85DCD">
            <w:pPr>
              <w:ind w:right="-29"/>
              <w:jc w:val="center"/>
              <w:rPr>
                <w:noProof/>
                <w:sz w:val="18"/>
                <w:szCs w:val="18"/>
              </w:rPr>
            </w:pPr>
            <w:r>
              <w:rPr>
                <w:noProof/>
                <w:sz w:val="18"/>
                <w:szCs w:val="18"/>
              </w:rPr>
              <w:t>0,900</w:t>
            </w:r>
          </w:p>
        </w:tc>
      </w:tr>
      <w:tr w:rsidR="00DE7E70">
        <w:trPr>
          <w:trHeight w:hRule="exact" w:val="369"/>
          <w:jc w:val="center"/>
        </w:trPr>
        <w:tc>
          <w:tcPr>
            <w:tcW w:w="1423" w:type="dxa"/>
          </w:tcPr>
          <w:p w:rsidR="00DE7E70" w:rsidRDefault="00B85DCD">
            <w:pPr>
              <w:ind w:right="-29"/>
              <w:jc w:val="center"/>
              <w:rPr>
                <w:noProof/>
                <w:sz w:val="18"/>
                <w:szCs w:val="18"/>
              </w:rPr>
            </w:pPr>
            <w:r>
              <w:rPr>
                <w:noProof/>
                <w:sz w:val="18"/>
              </w:rPr>
              <w:t>- Resultat</w:t>
            </w:r>
          </w:p>
        </w:tc>
        <w:tc>
          <w:tcPr>
            <w:tcW w:w="720" w:type="dxa"/>
          </w:tcPr>
          <w:p w:rsidR="00DE7E70" w:rsidRDefault="00B85DCD">
            <w:pPr>
              <w:ind w:right="-29"/>
              <w:jc w:val="left"/>
              <w:rPr>
                <w:noProof/>
                <w:sz w:val="12"/>
                <w:szCs w:val="18"/>
              </w:rPr>
            </w:pPr>
            <w:r>
              <w:rPr>
                <w:noProof/>
                <w:sz w:val="12"/>
                <w:szCs w:val="18"/>
              </w:rPr>
              <w:t>IT-udvikling</w:t>
            </w:r>
          </w:p>
        </w:tc>
        <w:tc>
          <w:tcPr>
            <w:tcW w:w="701" w:type="dxa"/>
          </w:tcPr>
          <w:p w:rsidR="00DE7E70" w:rsidRDefault="00B85DCD">
            <w:pPr>
              <w:ind w:right="-29"/>
              <w:jc w:val="center"/>
              <w:rPr>
                <w:noProof/>
                <w:sz w:val="18"/>
                <w:szCs w:val="18"/>
              </w:rPr>
            </w:pPr>
            <w:r>
              <w:rPr>
                <w:noProof/>
                <w:sz w:val="18"/>
                <w:szCs w:val="18"/>
              </w:rPr>
              <w:t>0,200,200</w:t>
            </w:r>
          </w:p>
        </w:tc>
        <w:tc>
          <w:tcPr>
            <w:tcW w:w="504" w:type="dxa"/>
            <w:tcBorders>
              <w:right w:val="dashSmallGap" w:sz="4" w:space="0" w:color="auto"/>
            </w:tcBorders>
          </w:tcPr>
          <w:p w:rsidR="00DE7E70" w:rsidRDefault="00DE7E70">
            <w:pPr>
              <w:ind w:right="-29"/>
              <w:jc w:val="center"/>
              <w:rPr>
                <w:noProof/>
                <w:sz w:val="18"/>
                <w:szCs w:val="18"/>
              </w:rPr>
            </w:pPr>
          </w:p>
        </w:tc>
        <w:tc>
          <w:tcPr>
            <w:tcW w:w="720" w:type="dxa"/>
            <w:tcBorders>
              <w:left w:val="dashSmallGap" w:sz="4" w:space="0" w:color="auto"/>
            </w:tcBorders>
          </w:tcPr>
          <w:p w:rsidR="00DE7E70" w:rsidRDefault="00DE7E70">
            <w:pPr>
              <w:ind w:right="-29"/>
              <w:jc w:val="center"/>
              <w:rPr>
                <w:noProof/>
                <w:sz w:val="18"/>
                <w:szCs w:val="18"/>
              </w:rPr>
            </w:pPr>
          </w:p>
        </w:tc>
        <w:tc>
          <w:tcPr>
            <w:tcW w:w="540" w:type="dxa"/>
            <w:tcBorders>
              <w:right w:val="dashSmallGap" w:sz="4" w:space="0" w:color="auto"/>
            </w:tcBorders>
          </w:tcPr>
          <w:p w:rsidR="00DE7E70" w:rsidRDefault="00DE7E70">
            <w:pPr>
              <w:ind w:right="-29"/>
              <w:jc w:val="center"/>
              <w:rPr>
                <w:noProof/>
                <w:sz w:val="18"/>
                <w:szCs w:val="18"/>
              </w:rPr>
            </w:pPr>
          </w:p>
        </w:tc>
        <w:tc>
          <w:tcPr>
            <w:tcW w:w="720" w:type="dxa"/>
            <w:tcBorders>
              <w:left w:val="dashSmallGap" w:sz="4" w:space="0" w:color="auto"/>
            </w:tcBorders>
          </w:tcPr>
          <w:p w:rsidR="00DE7E70" w:rsidRDefault="00DE7E70">
            <w:pPr>
              <w:ind w:right="-29"/>
              <w:jc w:val="center"/>
              <w:rPr>
                <w:noProof/>
                <w:sz w:val="18"/>
                <w:szCs w:val="18"/>
              </w:rPr>
            </w:pPr>
          </w:p>
        </w:tc>
        <w:tc>
          <w:tcPr>
            <w:tcW w:w="720" w:type="dxa"/>
            <w:tcBorders>
              <w:right w:val="dashSmallGap" w:sz="4" w:space="0" w:color="auto"/>
            </w:tcBorders>
          </w:tcPr>
          <w:p w:rsidR="00DE7E70" w:rsidRDefault="00B85DCD">
            <w:pPr>
              <w:ind w:right="-29"/>
              <w:jc w:val="center"/>
              <w:rPr>
                <w:noProof/>
                <w:sz w:val="18"/>
                <w:szCs w:val="18"/>
              </w:rPr>
            </w:pPr>
            <w:r>
              <w:rPr>
                <w:noProof/>
                <w:sz w:val="18"/>
                <w:szCs w:val="18"/>
              </w:rPr>
              <w:t>1</w:t>
            </w:r>
          </w:p>
        </w:tc>
        <w:tc>
          <w:tcPr>
            <w:tcW w:w="720" w:type="dxa"/>
            <w:tcBorders>
              <w:left w:val="dashSmallGap" w:sz="4" w:space="0" w:color="auto"/>
            </w:tcBorders>
          </w:tcPr>
          <w:p w:rsidR="00DE7E70" w:rsidRDefault="00B85DCD">
            <w:pPr>
              <w:ind w:right="-29"/>
              <w:jc w:val="center"/>
              <w:rPr>
                <w:noProof/>
                <w:sz w:val="18"/>
                <w:szCs w:val="18"/>
              </w:rPr>
            </w:pPr>
            <w:r>
              <w:rPr>
                <w:noProof/>
                <w:sz w:val="18"/>
                <w:szCs w:val="18"/>
              </w:rPr>
              <w:t>0,200</w:t>
            </w:r>
          </w:p>
        </w:tc>
        <w:tc>
          <w:tcPr>
            <w:tcW w:w="900" w:type="dxa"/>
            <w:tcBorders>
              <w:right w:val="dashSmallGap" w:sz="4" w:space="0" w:color="auto"/>
            </w:tcBorders>
          </w:tcPr>
          <w:p w:rsidR="00DE7E70" w:rsidRDefault="00DE7E70">
            <w:pPr>
              <w:ind w:right="-29"/>
              <w:jc w:val="center"/>
              <w:rPr>
                <w:noProof/>
                <w:sz w:val="18"/>
                <w:szCs w:val="18"/>
              </w:rPr>
            </w:pPr>
          </w:p>
        </w:tc>
        <w:tc>
          <w:tcPr>
            <w:tcW w:w="720" w:type="dxa"/>
            <w:gridSpan w:val="2"/>
            <w:tcBorders>
              <w:left w:val="dashSmallGap" w:sz="4" w:space="0" w:color="auto"/>
            </w:tcBorders>
          </w:tcPr>
          <w:p w:rsidR="00DE7E70" w:rsidRDefault="00DE7E70">
            <w:pPr>
              <w:ind w:right="-29"/>
              <w:jc w:val="center"/>
              <w:rPr>
                <w:noProof/>
                <w:sz w:val="18"/>
                <w:szCs w:val="18"/>
              </w:rPr>
            </w:pPr>
          </w:p>
        </w:tc>
        <w:tc>
          <w:tcPr>
            <w:tcW w:w="540" w:type="dxa"/>
            <w:tcBorders>
              <w:right w:val="dashSmallGap" w:sz="4" w:space="0" w:color="auto"/>
            </w:tcBorders>
          </w:tcPr>
          <w:p w:rsidR="00DE7E70" w:rsidRDefault="00DE7E70">
            <w:pPr>
              <w:ind w:right="-29"/>
              <w:jc w:val="center"/>
              <w:rPr>
                <w:noProof/>
                <w:sz w:val="18"/>
                <w:szCs w:val="18"/>
              </w:rPr>
            </w:pPr>
          </w:p>
        </w:tc>
        <w:tc>
          <w:tcPr>
            <w:tcW w:w="648" w:type="dxa"/>
            <w:tcBorders>
              <w:left w:val="dashSmallGap" w:sz="4" w:space="0" w:color="auto"/>
            </w:tcBorders>
          </w:tcPr>
          <w:p w:rsidR="00DE7E70" w:rsidRDefault="00DE7E70">
            <w:pPr>
              <w:ind w:right="-29"/>
              <w:jc w:val="center"/>
              <w:rPr>
                <w:noProof/>
                <w:sz w:val="18"/>
                <w:szCs w:val="18"/>
              </w:rPr>
            </w:pPr>
          </w:p>
        </w:tc>
        <w:tc>
          <w:tcPr>
            <w:tcW w:w="432" w:type="dxa"/>
            <w:tcBorders>
              <w:right w:val="dashSmallGap" w:sz="4" w:space="0" w:color="auto"/>
            </w:tcBorders>
          </w:tcPr>
          <w:p w:rsidR="00DE7E70" w:rsidRDefault="00DE7E70">
            <w:pPr>
              <w:ind w:right="-29"/>
              <w:jc w:val="center"/>
              <w:rPr>
                <w:noProof/>
                <w:sz w:val="18"/>
                <w:szCs w:val="18"/>
              </w:rPr>
            </w:pPr>
          </w:p>
        </w:tc>
        <w:tc>
          <w:tcPr>
            <w:tcW w:w="720" w:type="dxa"/>
            <w:tcBorders>
              <w:left w:val="dashSmallGap" w:sz="4" w:space="0" w:color="auto"/>
            </w:tcBorders>
          </w:tcPr>
          <w:p w:rsidR="00DE7E70" w:rsidRDefault="00DE7E70">
            <w:pPr>
              <w:ind w:right="-29"/>
              <w:jc w:val="center"/>
              <w:rPr>
                <w:noProof/>
                <w:sz w:val="18"/>
                <w:szCs w:val="18"/>
              </w:rPr>
            </w:pPr>
          </w:p>
        </w:tc>
        <w:tc>
          <w:tcPr>
            <w:tcW w:w="540" w:type="dxa"/>
            <w:tcBorders>
              <w:right w:val="dashSmallGap" w:sz="4" w:space="0" w:color="auto"/>
            </w:tcBorders>
          </w:tcPr>
          <w:p w:rsidR="00DE7E70" w:rsidRDefault="00DE7E70">
            <w:pPr>
              <w:ind w:right="-29"/>
              <w:jc w:val="center"/>
              <w:rPr>
                <w:noProof/>
                <w:sz w:val="18"/>
                <w:szCs w:val="18"/>
              </w:rPr>
            </w:pPr>
          </w:p>
        </w:tc>
        <w:tc>
          <w:tcPr>
            <w:tcW w:w="720" w:type="dxa"/>
            <w:tcBorders>
              <w:left w:val="dashSmallGap" w:sz="4" w:space="0" w:color="auto"/>
            </w:tcBorders>
          </w:tcPr>
          <w:p w:rsidR="00DE7E70" w:rsidRDefault="00DE7E70">
            <w:pPr>
              <w:ind w:right="-29"/>
              <w:jc w:val="center"/>
              <w:rPr>
                <w:noProof/>
                <w:sz w:val="18"/>
                <w:szCs w:val="18"/>
              </w:rPr>
            </w:pPr>
          </w:p>
        </w:tc>
        <w:tc>
          <w:tcPr>
            <w:tcW w:w="720" w:type="dxa"/>
          </w:tcPr>
          <w:p w:rsidR="00DE7E70" w:rsidRDefault="00B85DCD">
            <w:pPr>
              <w:ind w:right="-29"/>
              <w:jc w:val="center"/>
              <w:rPr>
                <w:noProof/>
                <w:sz w:val="18"/>
                <w:szCs w:val="18"/>
              </w:rPr>
            </w:pPr>
            <w:r>
              <w:rPr>
                <w:noProof/>
                <w:sz w:val="18"/>
                <w:szCs w:val="18"/>
              </w:rPr>
              <w:t>2</w:t>
            </w:r>
          </w:p>
        </w:tc>
        <w:tc>
          <w:tcPr>
            <w:tcW w:w="900" w:type="dxa"/>
          </w:tcPr>
          <w:p w:rsidR="00DE7E70" w:rsidRDefault="00B85DCD">
            <w:pPr>
              <w:ind w:right="-29"/>
              <w:jc w:val="center"/>
              <w:rPr>
                <w:noProof/>
                <w:sz w:val="18"/>
                <w:szCs w:val="18"/>
              </w:rPr>
            </w:pPr>
            <w:r>
              <w:rPr>
                <w:noProof/>
                <w:sz w:val="18"/>
                <w:szCs w:val="18"/>
              </w:rPr>
              <w:t>0,400</w:t>
            </w:r>
          </w:p>
        </w:tc>
      </w:tr>
      <w:tr w:rsidR="00DE7E70">
        <w:trPr>
          <w:trHeight w:hRule="exact" w:val="369"/>
          <w:jc w:val="center"/>
        </w:trPr>
        <w:tc>
          <w:tcPr>
            <w:tcW w:w="1423" w:type="dxa"/>
          </w:tcPr>
          <w:p w:rsidR="00DE7E70" w:rsidRDefault="00B85DCD">
            <w:pPr>
              <w:ind w:right="-29"/>
              <w:jc w:val="center"/>
              <w:rPr>
                <w:noProof/>
                <w:sz w:val="18"/>
                <w:szCs w:val="18"/>
              </w:rPr>
            </w:pPr>
            <w:r>
              <w:rPr>
                <w:noProof/>
                <w:sz w:val="18"/>
              </w:rPr>
              <w:t>- Resultat</w:t>
            </w:r>
          </w:p>
        </w:tc>
        <w:tc>
          <w:tcPr>
            <w:tcW w:w="720" w:type="dxa"/>
          </w:tcPr>
          <w:p w:rsidR="00DE7E70" w:rsidRDefault="00DE7E70">
            <w:pPr>
              <w:ind w:right="-29"/>
              <w:jc w:val="center"/>
              <w:rPr>
                <w:noProof/>
                <w:sz w:val="18"/>
                <w:szCs w:val="18"/>
              </w:rPr>
            </w:pPr>
          </w:p>
        </w:tc>
        <w:tc>
          <w:tcPr>
            <w:tcW w:w="701" w:type="dxa"/>
          </w:tcPr>
          <w:p w:rsidR="00DE7E70" w:rsidRDefault="00DE7E70">
            <w:pPr>
              <w:ind w:right="-29"/>
              <w:jc w:val="center"/>
              <w:rPr>
                <w:noProof/>
                <w:sz w:val="18"/>
                <w:szCs w:val="18"/>
              </w:rPr>
            </w:pPr>
          </w:p>
        </w:tc>
        <w:tc>
          <w:tcPr>
            <w:tcW w:w="504" w:type="dxa"/>
          </w:tcPr>
          <w:p w:rsidR="00DE7E70" w:rsidRDefault="00DE7E70">
            <w:pPr>
              <w:ind w:right="-29"/>
              <w:jc w:val="center"/>
              <w:rPr>
                <w:noProof/>
                <w:sz w:val="18"/>
                <w:szCs w:val="18"/>
              </w:rPr>
            </w:pPr>
          </w:p>
        </w:tc>
        <w:tc>
          <w:tcPr>
            <w:tcW w:w="720" w:type="dxa"/>
          </w:tcPr>
          <w:p w:rsidR="00DE7E70" w:rsidRDefault="00DE7E70">
            <w:pPr>
              <w:ind w:right="-29"/>
              <w:jc w:val="center"/>
              <w:rPr>
                <w:noProof/>
                <w:sz w:val="18"/>
                <w:szCs w:val="18"/>
              </w:rPr>
            </w:pPr>
          </w:p>
        </w:tc>
        <w:tc>
          <w:tcPr>
            <w:tcW w:w="540" w:type="dxa"/>
          </w:tcPr>
          <w:p w:rsidR="00DE7E70" w:rsidRDefault="00DE7E70">
            <w:pPr>
              <w:ind w:right="-29"/>
              <w:jc w:val="center"/>
              <w:rPr>
                <w:noProof/>
                <w:sz w:val="18"/>
                <w:szCs w:val="18"/>
              </w:rPr>
            </w:pPr>
          </w:p>
        </w:tc>
        <w:tc>
          <w:tcPr>
            <w:tcW w:w="720" w:type="dxa"/>
          </w:tcPr>
          <w:p w:rsidR="00DE7E70" w:rsidRDefault="00DE7E70">
            <w:pPr>
              <w:ind w:right="-29"/>
              <w:jc w:val="center"/>
              <w:rPr>
                <w:noProof/>
                <w:sz w:val="18"/>
                <w:szCs w:val="18"/>
              </w:rPr>
            </w:pPr>
          </w:p>
        </w:tc>
        <w:tc>
          <w:tcPr>
            <w:tcW w:w="720" w:type="dxa"/>
          </w:tcPr>
          <w:p w:rsidR="00DE7E70" w:rsidRDefault="00DE7E70">
            <w:pPr>
              <w:ind w:right="-29"/>
              <w:jc w:val="center"/>
              <w:rPr>
                <w:noProof/>
                <w:sz w:val="18"/>
                <w:szCs w:val="18"/>
              </w:rPr>
            </w:pPr>
          </w:p>
        </w:tc>
        <w:tc>
          <w:tcPr>
            <w:tcW w:w="720" w:type="dxa"/>
          </w:tcPr>
          <w:p w:rsidR="00DE7E70" w:rsidRDefault="00DE7E70">
            <w:pPr>
              <w:ind w:right="-29"/>
              <w:jc w:val="center"/>
              <w:rPr>
                <w:noProof/>
                <w:sz w:val="18"/>
                <w:szCs w:val="18"/>
              </w:rPr>
            </w:pPr>
          </w:p>
        </w:tc>
        <w:tc>
          <w:tcPr>
            <w:tcW w:w="900" w:type="dxa"/>
          </w:tcPr>
          <w:p w:rsidR="00DE7E70" w:rsidRDefault="00DE7E70">
            <w:pPr>
              <w:ind w:right="-29"/>
              <w:jc w:val="center"/>
              <w:rPr>
                <w:noProof/>
                <w:sz w:val="18"/>
                <w:szCs w:val="18"/>
              </w:rPr>
            </w:pPr>
          </w:p>
        </w:tc>
        <w:tc>
          <w:tcPr>
            <w:tcW w:w="720" w:type="dxa"/>
            <w:gridSpan w:val="2"/>
          </w:tcPr>
          <w:p w:rsidR="00DE7E70" w:rsidRDefault="00DE7E70">
            <w:pPr>
              <w:ind w:right="-29"/>
              <w:jc w:val="center"/>
              <w:rPr>
                <w:noProof/>
                <w:sz w:val="18"/>
                <w:szCs w:val="18"/>
              </w:rPr>
            </w:pPr>
          </w:p>
        </w:tc>
        <w:tc>
          <w:tcPr>
            <w:tcW w:w="540" w:type="dxa"/>
          </w:tcPr>
          <w:p w:rsidR="00DE7E70" w:rsidRDefault="00DE7E70">
            <w:pPr>
              <w:ind w:right="-29"/>
              <w:jc w:val="center"/>
              <w:rPr>
                <w:noProof/>
                <w:sz w:val="18"/>
                <w:szCs w:val="18"/>
              </w:rPr>
            </w:pPr>
          </w:p>
        </w:tc>
        <w:tc>
          <w:tcPr>
            <w:tcW w:w="648" w:type="dxa"/>
          </w:tcPr>
          <w:p w:rsidR="00DE7E70" w:rsidRDefault="00DE7E70">
            <w:pPr>
              <w:ind w:right="-29"/>
              <w:jc w:val="center"/>
              <w:rPr>
                <w:noProof/>
                <w:sz w:val="18"/>
                <w:szCs w:val="18"/>
              </w:rPr>
            </w:pPr>
          </w:p>
        </w:tc>
        <w:tc>
          <w:tcPr>
            <w:tcW w:w="432" w:type="dxa"/>
          </w:tcPr>
          <w:p w:rsidR="00DE7E70" w:rsidRDefault="00DE7E70">
            <w:pPr>
              <w:ind w:right="-29"/>
              <w:jc w:val="center"/>
              <w:rPr>
                <w:noProof/>
                <w:sz w:val="18"/>
                <w:szCs w:val="18"/>
              </w:rPr>
            </w:pPr>
          </w:p>
        </w:tc>
        <w:tc>
          <w:tcPr>
            <w:tcW w:w="720" w:type="dxa"/>
          </w:tcPr>
          <w:p w:rsidR="00DE7E70" w:rsidRDefault="00DE7E70">
            <w:pPr>
              <w:ind w:right="-29"/>
              <w:jc w:val="center"/>
              <w:rPr>
                <w:noProof/>
                <w:sz w:val="18"/>
                <w:szCs w:val="18"/>
              </w:rPr>
            </w:pPr>
          </w:p>
        </w:tc>
        <w:tc>
          <w:tcPr>
            <w:tcW w:w="540" w:type="dxa"/>
          </w:tcPr>
          <w:p w:rsidR="00DE7E70" w:rsidRDefault="00DE7E70">
            <w:pPr>
              <w:ind w:right="-29"/>
              <w:jc w:val="center"/>
              <w:rPr>
                <w:noProof/>
                <w:sz w:val="18"/>
                <w:szCs w:val="18"/>
              </w:rPr>
            </w:pPr>
          </w:p>
        </w:tc>
        <w:tc>
          <w:tcPr>
            <w:tcW w:w="720" w:type="dxa"/>
          </w:tcPr>
          <w:p w:rsidR="00DE7E70" w:rsidRDefault="00DE7E70">
            <w:pPr>
              <w:ind w:right="-29"/>
              <w:jc w:val="center"/>
              <w:rPr>
                <w:noProof/>
                <w:sz w:val="18"/>
                <w:szCs w:val="18"/>
              </w:rPr>
            </w:pPr>
          </w:p>
        </w:tc>
        <w:tc>
          <w:tcPr>
            <w:tcW w:w="720" w:type="dxa"/>
          </w:tcPr>
          <w:p w:rsidR="00DE7E70" w:rsidRDefault="00DE7E70">
            <w:pPr>
              <w:ind w:right="-29"/>
              <w:jc w:val="center"/>
              <w:rPr>
                <w:noProof/>
                <w:sz w:val="18"/>
                <w:szCs w:val="18"/>
              </w:rPr>
            </w:pPr>
          </w:p>
        </w:tc>
        <w:tc>
          <w:tcPr>
            <w:tcW w:w="900" w:type="dxa"/>
          </w:tcPr>
          <w:p w:rsidR="00DE7E70" w:rsidRDefault="00DE7E70">
            <w:pPr>
              <w:ind w:right="-29"/>
              <w:jc w:val="center"/>
              <w:rPr>
                <w:noProof/>
                <w:sz w:val="18"/>
                <w:szCs w:val="18"/>
              </w:rPr>
            </w:pPr>
          </w:p>
        </w:tc>
      </w:tr>
      <w:tr w:rsidR="00DE7E70">
        <w:trPr>
          <w:jc w:val="center"/>
        </w:trPr>
        <w:tc>
          <w:tcPr>
            <w:tcW w:w="2844" w:type="dxa"/>
            <w:gridSpan w:val="3"/>
            <w:tcBorders>
              <w:bottom w:val="single" w:sz="12" w:space="0" w:color="auto"/>
            </w:tcBorders>
            <w:vAlign w:val="center"/>
          </w:tcPr>
          <w:p w:rsidR="00DE7E70" w:rsidRDefault="00B85DCD">
            <w:pPr>
              <w:ind w:right="-29"/>
              <w:jc w:val="center"/>
              <w:rPr>
                <w:noProof/>
                <w:sz w:val="18"/>
                <w:szCs w:val="18"/>
                <w:lang w:val="nn-NO"/>
              </w:rPr>
            </w:pPr>
            <w:r>
              <w:rPr>
                <w:noProof/>
                <w:sz w:val="18"/>
                <w:lang w:val="nn-NO"/>
              </w:rPr>
              <w:t>Subtotal for specifikt mål nr. 1</w:t>
            </w:r>
          </w:p>
        </w:tc>
        <w:tc>
          <w:tcPr>
            <w:tcW w:w="504" w:type="dxa"/>
            <w:tcBorders>
              <w:bottom w:val="single" w:sz="12" w:space="0" w:color="auto"/>
            </w:tcBorders>
          </w:tcPr>
          <w:p w:rsidR="00DE7E70" w:rsidRDefault="00DE7E70">
            <w:pPr>
              <w:ind w:right="-29"/>
              <w:jc w:val="center"/>
              <w:rPr>
                <w:noProof/>
                <w:sz w:val="18"/>
                <w:szCs w:val="18"/>
                <w:lang w:val="nn-NO"/>
              </w:rPr>
            </w:pPr>
          </w:p>
        </w:tc>
        <w:tc>
          <w:tcPr>
            <w:tcW w:w="720" w:type="dxa"/>
            <w:tcBorders>
              <w:bottom w:val="single" w:sz="12" w:space="0" w:color="auto"/>
            </w:tcBorders>
          </w:tcPr>
          <w:p w:rsidR="00DE7E70" w:rsidRDefault="00DE7E70">
            <w:pPr>
              <w:ind w:right="-29"/>
              <w:jc w:val="center"/>
              <w:rPr>
                <w:noProof/>
                <w:sz w:val="18"/>
                <w:szCs w:val="18"/>
                <w:lang w:val="nn-NO"/>
              </w:rPr>
            </w:pPr>
          </w:p>
        </w:tc>
        <w:tc>
          <w:tcPr>
            <w:tcW w:w="540" w:type="dxa"/>
            <w:tcBorders>
              <w:bottom w:val="single" w:sz="12" w:space="0" w:color="auto"/>
            </w:tcBorders>
          </w:tcPr>
          <w:p w:rsidR="00DE7E70" w:rsidRDefault="00DE7E70">
            <w:pPr>
              <w:ind w:right="-29"/>
              <w:jc w:val="center"/>
              <w:rPr>
                <w:noProof/>
                <w:sz w:val="18"/>
                <w:szCs w:val="18"/>
                <w:lang w:val="nn-NO"/>
              </w:rPr>
            </w:pPr>
          </w:p>
        </w:tc>
        <w:tc>
          <w:tcPr>
            <w:tcW w:w="720" w:type="dxa"/>
            <w:tcBorders>
              <w:bottom w:val="single" w:sz="12" w:space="0" w:color="auto"/>
            </w:tcBorders>
          </w:tcPr>
          <w:p w:rsidR="00DE7E70" w:rsidRDefault="00DE7E70">
            <w:pPr>
              <w:ind w:right="-29"/>
              <w:jc w:val="center"/>
              <w:rPr>
                <w:noProof/>
                <w:sz w:val="18"/>
                <w:szCs w:val="18"/>
                <w:lang w:val="nn-NO"/>
              </w:rPr>
            </w:pPr>
          </w:p>
        </w:tc>
        <w:tc>
          <w:tcPr>
            <w:tcW w:w="720" w:type="dxa"/>
            <w:tcBorders>
              <w:bottom w:val="single" w:sz="12" w:space="0" w:color="auto"/>
            </w:tcBorders>
          </w:tcPr>
          <w:p w:rsidR="00DE7E70" w:rsidRDefault="00B85DCD">
            <w:pPr>
              <w:ind w:right="-29"/>
              <w:jc w:val="center"/>
              <w:rPr>
                <w:noProof/>
                <w:sz w:val="18"/>
                <w:szCs w:val="18"/>
              </w:rPr>
            </w:pPr>
            <w:r>
              <w:rPr>
                <w:noProof/>
                <w:sz w:val="18"/>
                <w:szCs w:val="18"/>
              </w:rPr>
              <w:t>2</w:t>
            </w:r>
          </w:p>
        </w:tc>
        <w:tc>
          <w:tcPr>
            <w:tcW w:w="720" w:type="dxa"/>
            <w:tcBorders>
              <w:bottom w:val="single" w:sz="12" w:space="0" w:color="auto"/>
            </w:tcBorders>
          </w:tcPr>
          <w:p w:rsidR="00DE7E70" w:rsidRDefault="00B85DCD">
            <w:pPr>
              <w:ind w:right="-29"/>
              <w:jc w:val="center"/>
              <w:rPr>
                <w:noProof/>
                <w:sz w:val="18"/>
                <w:szCs w:val="18"/>
              </w:rPr>
            </w:pPr>
            <w:r>
              <w:rPr>
                <w:noProof/>
                <w:sz w:val="18"/>
                <w:szCs w:val="18"/>
              </w:rPr>
              <w:t>1,100</w:t>
            </w:r>
          </w:p>
        </w:tc>
        <w:tc>
          <w:tcPr>
            <w:tcW w:w="900" w:type="dxa"/>
            <w:tcBorders>
              <w:bottom w:val="single" w:sz="12" w:space="0" w:color="auto"/>
            </w:tcBorders>
          </w:tcPr>
          <w:p w:rsidR="00DE7E70" w:rsidRDefault="00DE7E70">
            <w:pPr>
              <w:ind w:right="-29"/>
              <w:jc w:val="center"/>
              <w:rPr>
                <w:noProof/>
                <w:sz w:val="18"/>
                <w:szCs w:val="18"/>
              </w:rPr>
            </w:pPr>
          </w:p>
        </w:tc>
        <w:tc>
          <w:tcPr>
            <w:tcW w:w="720" w:type="dxa"/>
            <w:gridSpan w:val="2"/>
            <w:tcBorders>
              <w:bottom w:val="single" w:sz="12" w:space="0" w:color="auto"/>
            </w:tcBorders>
          </w:tcPr>
          <w:p w:rsidR="00DE7E70" w:rsidRDefault="00DE7E70">
            <w:pPr>
              <w:ind w:right="-29"/>
              <w:jc w:val="center"/>
              <w:rPr>
                <w:noProof/>
                <w:sz w:val="18"/>
                <w:szCs w:val="18"/>
              </w:rPr>
            </w:pPr>
          </w:p>
        </w:tc>
        <w:tc>
          <w:tcPr>
            <w:tcW w:w="540" w:type="dxa"/>
            <w:tcBorders>
              <w:bottom w:val="single" w:sz="12" w:space="0" w:color="auto"/>
            </w:tcBorders>
          </w:tcPr>
          <w:p w:rsidR="00DE7E70" w:rsidRDefault="00DE7E70">
            <w:pPr>
              <w:ind w:right="-29"/>
              <w:jc w:val="center"/>
              <w:rPr>
                <w:noProof/>
                <w:sz w:val="18"/>
                <w:szCs w:val="18"/>
              </w:rPr>
            </w:pPr>
          </w:p>
        </w:tc>
        <w:tc>
          <w:tcPr>
            <w:tcW w:w="648" w:type="dxa"/>
            <w:tcBorders>
              <w:bottom w:val="single" w:sz="12" w:space="0" w:color="auto"/>
            </w:tcBorders>
          </w:tcPr>
          <w:p w:rsidR="00DE7E70" w:rsidRDefault="00DE7E70">
            <w:pPr>
              <w:ind w:right="-29"/>
              <w:jc w:val="center"/>
              <w:rPr>
                <w:noProof/>
                <w:sz w:val="18"/>
                <w:szCs w:val="18"/>
              </w:rPr>
            </w:pPr>
          </w:p>
        </w:tc>
        <w:tc>
          <w:tcPr>
            <w:tcW w:w="432" w:type="dxa"/>
            <w:tcBorders>
              <w:bottom w:val="single" w:sz="12" w:space="0" w:color="auto"/>
            </w:tcBorders>
          </w:tcPr>
          <w:p w:rsidR="00DE7E70" w:rsidRDefault="00DE7E70">
            <w:pPr>
              <w:ind w:right="-29"/>
              <w:jc w:val="center"/>
              <w:rPr>
                <w:noProof/>
                <w:sz w:val="18"/>
                <w:szCs w:val="18"/>
              </w:rPr>
            </w:pPr>
          </w:p>
        </w:tc>
        <w:tc>
          <w:tcPr>
            <w:tcW w:w="720" w:type="dxa"/>
            <w:tcBorders>
              <w:bottom w:val="single" w:sz="12" w:space="0" w:color="auto"/>
            </w:tcBorders>
          </w:tcPr>
          <w:p w:rsidR="00DE7E70" w:rsidRDefault="00DE7E70">
            <w:pPr>
              <w:ind w:right="-29"/>
              <w:jc w:val="center"/>
              <w:rPr>
                <w:noProof/>
                <w:sz w:val="18"/>
                <w:szCs w:val="18"/>
              </w:rPr>
            </w:pPr>
          </w:p>
        </w:tc>
        <w:tc>
          <w:tcPr>
            <w:tcW w:w="540" w:type="dxa"/>
            <w:tcBorders>
              <w:bottom w:val="single" w:sz="12" w:space="0" w:color="auto"/>
            </w:tcBorders>
          </w:tcPr>
          <w:p w:rsidR="00DE7E70" w:rsidRDefault="00DE7E70">
            <w:pPr>
              <w:ind w:right="-29"/>
              <w:jc w:val="center"/>
              <w:rPr>
                <w:noProof/>
                <w:sz w:val="18"/>
                <w:szCs w:val="18"/>
              </w:rPr>
            </w:pPr>
          </w:p>
        </w:tc>
        <w:tc>
          <w:tcPr>
            <w:tcW w:w="720" w:type="dxa"/>
            <w:tcBorders>
              <w:bottom w:val="single" w:sz="12" w:space="0" w:color="auto"/>
            </w:tcBorders>
          </w:tcPr>
          <w:p w:rsidR="00DE7E70" w:rsidRDefault="00DE7E70">
            <w:pPr>
              <w:ind w:right="-29"/>
              <w:jc w:val="center"/>
              <w:rPr>
                <w:noProof/>
                <w:sz w:val="18"/>
                <w:szCs w:val="18"/>
              </w:rPr>
            </w:pPr>
          </w:p>
        </w:tc>
        <w:tc>
          <w:tcPr>
            <w:tcW w:w="720" w:type="dxa"/>
            <w:tcBorders>
              <w:bottom w:val="single" w:sz="12" w:space="0" w:color="auto"/>
            </w:tcBorders>
          </w:tcPr>
          <w:p w:rsidR="00DE7E70" w:rsidRDefault="00B85DCD">
            <w:pPr>
              <w:ind w:right="-29"/>
              <w:jc w:val="center"/>
              <w:rPr>
                <w:noProof/>
                <w:sz w:val="18"/>
                <w:szCs w:val="18"/>
              </w:rPr>
            </w:pPr>
            <w:r>
              <w:rPr>
                <w:noProof/>
                <w:sz w:val="18"/>
                <w:szCs w:val="18"/>
              </w:rPr>
              <w:t>5</w:t>
            </w:r>
          </w:p>
        </w:tc>
        <w:tc>
          <w:tcPr>
            <w:tcW w:w="900" w:type="dxa"/>
            <w:tcBorders>
              <w:bottom w:val="single" w:sz="12" w:space="0" w:color="auto"/>
            </w:tcBorders>
          </w:tcPr>
          <w:p w:rsidR="00DE7E70" w:rsidRDefault="00B85DCD">
            <w:pPr>
              <w:ind w:right="-29"/>
              <w:jc w:val="center"/>
              <w:rPr>
                <w:noProof/>
                <w:sz w:val="18"/>
                <w:szCs w:val="18"/>
              </w:rPr>
            </w:pPr>
            <w:r>
              <w:rPr>
                <w:noProof/>
                <w:sz w:val="18"/>
                <w:szCs w:val="18"/>
              </w:rPr>
              <w:t>3,100</w:t>
            </w:r>
          </w:p>
        </w:tc>
      </w:tr>
      <w:tr w:rsidR="00DE7E70">
        <w:trPr>
          <w:jc w:val="center"/>
        </w:trPr>
        <w:tc>
          <w:tcPr>
            <w:tcW w:w="2844" w:type="dxa"/>
            <w:gridSpan w:val="3"/>
            <w:vAlign w:val="center"/>
          </w:tcPr>
          <w:p w:rsidR="00DE7E70" w:rsidRDefault="00B85DCD">
            <w:pPr>
              <w:spacing w:before="60" w:after="60"/>
              <w:ind w:right="-29"/>
              <w:jc w:val="center"/>
              <w:rPr>
                <w:noProof/>
                <w:sz w:val="18"/>
                <w:szCs w:val="18"/>
              </w:rPr>
            </w:pPr>
            <w:r>
              <w:rPr>
                <w:noProof/>
                <w:sz w:val="18"/>
              </w:rPr>
              <w:t>SPECIFIKT MÅL Nr. 2</w:t>
            </w:r>
          </w:p>
        </w:tc>
        <w:tc>
          <w:tcPr>
            <w:tcW w:w="504" w:type="dxa"/>
            <w:tcBorders>
              <w:top w:val="nil"/>
              <w:left w:val="nil"/>
              <w:bottom w:val="nil"/>
              <w:right w:val="nil"/>
            </w:tcBorders>
          </w:tcPr>
          <w:p w:rsidR="00DE7E70" w:rsidRDefault="00DE7E70">
            <w:pPr>
              <w:spacing w:before="60" w:after="60"/>
              <w:ind w:right="-29"/>
              <w:jc w:val="center"/>
              <w:rPr>
                <w:noProof/>
                <w:sz w:val="18"/>
                <w:szCs w:val="18"/>
              </w:rPr>
            </w:pPr>
          </w:p>
        </w:tc>
        <w:tc>
          <w:tcPr>
            <w:tcW w:w="720" w:type="dxa"/>
            <w:tcBorders>
              <w:top w:val="nil"/>
              <w:left w:val="nil"/>
              <w:bottom w:val="nil"/>
              <w:right w:val="nil"/>
            </w:tcBorders>
          </w:tcPr>
          <w:p w:rsidR="00DE7E70" w:rsidRDefault="00DE7E70">
            <w:pPr>
              <w:spacing w:before="60" w:after="60"/>
              <w:ind w:right="-29"/>
              <w:jc w:val="center"/>
              <w:rPr>
                <w:noProof/>
                <w:sz w:val="18"/>
                <w:szCs w:val="18"/>
              </w:rPr>
            </w:pPr>
          </w:p>
        </w:tc>
        <w:tc>
          <w:tcPr>
            <w:tcW w:w="540" w:type="dxa"/>
            <w:tcBorders>
              <w:top w:val="nil"/>
              <w:left w:val="nil"/>
              <w:bottom w:val="nil"/>
              <w:right w:val="nil"/>
            </w:tcBorders>
          </w:tcPr>
          <w:p w:rsidR="00DE7E70" w:rsidRDefault="00DE7E70">
            <w:pPr>
              <w:spacing w:before="60" w:after="60"/>
              <w:ind w:right="-29"/>
              <w:jc w:val="center"/>
              <w:rPr>
                <w:noProof/>
                <w:sz w:val="18"/>
                <w:szCs w:val="18"/>
              </w:rPr>
            </w:pPr>
          </w:p>
        </w:tc>
        <w:tc>
          <w:tcPr>
            <w:tcW w:w="720" w:type="dxa"/>
            <w:tcBorders>
              <w:top w:val="nil"/>
              <w:left w:val="nil"/>
              <w:bottom w:val="nil"/>
              <w:right w:val="nil"/>
            </w:tcBorders>
          </w:tcPr>
          <w:p w:rsidR="00DE7E70" w:rsidRDefault="00DE7E70">
            <w:pPr>
              <w:spacing w:before="60" w:after="60"/>
              <w:ind w:right="-29"/>
              <w:jc w:val="center"/>
              <w:rPr>
                <w:noProof/>
                <w:sz w:val="18"/>
                <w:szCs w:val="18"/>
              </w:rPr>
            </w:pPr>
          </w:p>
        </w:tc>
        <w:tc>
          <w:tcPr>
            <w:tcW w:w="720" w:type="dxa"/>
            <w:tcBorders>
              <w:top w:val="nil"/>
              <w:left w:val="nil"/>
              <w:bottom w:val="nil"/>
              <w:right w:val="nil"/>
            </w:tcBorders>
          </w:tcPr>
          <w:p w:rsidR="00DE7E70" w:rsidRDefault="00DE7E70">
            <w:pPr>
              <w:spacing w:before="60" w:after="60"/>
              <w:ind w:right="-29"/>
              <w:jc w:val="center"/>
              <w:rPr>
                <w:noProof/>
                <w:sz w:val="18"/>
                <w:szCs w:val="18"/>
              </w:rPr>
            </w:pPr>
          </w:p>
        </w:tc>
        <w:tc>
          <w:tcPr>
            <w:tcW w:w="720" w:type="dxa"/>
            <w:tcBorders>
              <w:top w:val="nil"/>
              <w:left w:val="nil"/>
              <w:bottom w:val="nil"/>
              <w:right w:val="nil"/>
            </w:tcBorders>
          </w:tcPr>
          <w:p w:rsidR="00DE7E70" w:rsidRDefault="00DE7E70">
            <w:pPr>
              <w:spacing w:before="60" w:after="60"/>
              <w:ind w:right="-29"/>
              <w:jc w:val="center"/>
              <w:rPr>
                <w:noProof/>
                <w:sz w:val="18"/>
                <w:szCs w:val="18"/>
              </w:rPr>
            </w:pPr>
          </w:p>
        </w:tc>
        <w:tc>
          <w:tcPr>
            <w:tcW w:w="900" w:type="dxa"/>
            <w:tcBorders>
              <w:top w:val="nil"/>
              <w:left w:val="nil"/>
              <w:bottom w:val="nil"/>
              <w:right w:val="nil"/>
            </w:tcBorders>
          </w:tcPr>
          <w:p w:rsidR="00DE7E70" w:rsidRDefault="00DE7E70">
            <w:pPr>
              <w:spacing w:before="60" w:after="60"/>
              <w:ind w:right="-29"/>
              <w:jc w:val="center"/>
              <w:rPr>
                <w:noProof/>
                <w:sz w:val="18"/>
                <w:szCs w:val="18"/>
              </w:rPr>
            </w:pPr>
          </w:p>
        </w:tc>
        <w:tc>
          <w:tcPr>
            <w:tcW w:w="720" w:type="dxa"/>
            <w:gridSpan w:val="2"/>
            <w:tcBorders>
              <w:top w:val="nil"/>
              <w:left w:val="nil"/>
              <w:bottom w:val="nil"/>
              <w:right w:val="nil"/>
            </w:tcBorders>
          </w:tcPr>
          <w:p w:rsidR="00DE7E70" w:rsidRDefault="00DE7E70">
            <w:pPr>
              <w:spacing w:before="60" w:after="60"/>
              <w:ind w:right="-29"/>
              <w:jc w:val="center"/>
              <w:rPr>
                <w:noProof/>
                <w:sz w:val="18"/>
                <w:szCs w:val="18"/>
              </w:rPr>
            </w:pPr>
          </w:p>
        </w:tc>
        <w:tc>
          <w:tcPr>
            <w:tcW w:w="540" w:type="dxa"/>
            <w:tcBorders>
              <w:top w:val="nil"/>
              <w:left w:val="nil"/>
              <w:bottom w:val="nil"/>
              <w:right w:val="nil"/>
            </w:tcBorders>
          </w:tcPr>
          <w:p w:rsidR="00DE7E70" w:rsidRDefault="00DE7E70">
            <w:pPr>
              <w:spacing w:before="60" w:after="60"/>
              <w:ind w:right="-29"/>
              <w:jc w:val="center"/>
              <w:rPr>
                <w:noProof/>
                <w:sz w:val="18"/>
                <w:szCs w:val="18"/>
              </w:rPr>
            </w:pPr>
          </w:p>
        </w:tc>
        <w:tc>
          <w:tcPr>
            <w:tcW w:w="648" w:type="dxa"/>
            <w:tcBorders>
              <w:top w:val="nil"/>
              <w:left w:val="nil"/>
              <w:bottom w:val="nil"/>
              <w:right w:val="nil"/>
            </w:tcBorders>
          </w:tcPr>
          <w:p w:rsidR="00DE7E70" w:rsidRDefault="00DE7E70">
            <w:pPr>
              <w:spacing w:before="60" w:after="60"/>
              <w:ind w:right="-29"/>
              <w:jc w:val="center"/>
              <w:rPr>
                <w:noProof/>
                <w:sz w:val="18"/>
                <w:szCs w:val="18"/>
              </w:rPr>
            </w:pPr>
          </w:p>
        </w:tc>
        <w:tc>
          <w:tcPr>
            <w:tcW w:w="432" w:type="dxa"/>
            <w:tcBorders>
              <w:top w:val="nil"/>
              <w:left w:val="nil"/>
              <w:bottom w:val="nil"/>
              <w:right w:val="nil"/>
            </w:tcBorders>
          </w:tcPr>
          <w:p w:rsidR="00DE7E70" w:rsidRDefault="00DE7E70">
            <w:pPr>
              <w:spacing w:before="60" w:after="60"/>
              <w:ind w:right="-29"/>
              <w:jc w:val="center"/>
              <w:rPr>
                <w:noProof/>
                <w:sz w:val="18"/>
                <w:szCs w:val="18"/>
              </w:rPr>
            </w:pPr>
          </w:p>
        </w:tc>
        <w:tc>
          <w:tcPr>
            <w:tcW w:w="720" w:type="dxa"/>
            <w:tcBorders>
              <w:top w:val="nil"/>
              <w:left w:val="nil"/>
              <w:bottom w:val="nil"/>
              <w:right w:val="nil"/>
            </w:tcBorders>
          </w:tcPr>
          <w:p w:rsidR="00DE7E70" w:rsidRDefault="00DE7E70">
            <w:pPr>
              <w:spacing w:before="60" w:after="60"/>
              <w:ind w:right="-29"/>
              <w:jc w:val="center"/>
              <w:rPr>
                <w:noProof/>
                <w:sz w:val="18"/>
                <w:szCs w:val="18"/>
              </w:rPr>
            </w:pPr>
          </w:p>
        </w:tc>
        <w:tc>
          <w:tcPr>
            <w:tcW w:w="540" w:type="dxa"/>
            <w:tcBorders>
              <w:top w:val="nil"/>
              <w:left w:val="nil"/>
              <w:bottom w:val="nil"/>
              <w:right w:val="nil"/>
            </w:tcBorders>
          </w:tcPr>
          <w:p w:rsidR="00DE7E70" w:rsidRDefault="00DE7E70">
            <w:pPr>
              <w:spacing w:before="60" w:after="60"/>
              <w:ind w:right="-29"/>
              <w:jc w:val="center"/>
              <w:rPr>
                <w:noProof/>
                <w:sz w:val="18"/>
                <w:szCs w:val="18"/>
              </w:rPr>
            </w:pPr>
          </w:p>
        </w:tc>
        <w:tc>
          <w:tcPr>
            <w:tcW w:w="720" w:type="dxa"/>
            <w:tcBorders>
              <w:top w:val="nil"/>
              <w:left w:val="nil"/>
              <w:bottom w:val="nil"/>
              <w:right w:val="nil"/>
            </w:tcBorders>
          </w:tcPr>
          <w:p w:rsidR="00DE7E70" w:rsidRDefault="00DE7E70">
            <w:pPr>
              <w:spacing w:before="60" w:after="60"/>
              <w:ind w:right="-29"/>
              <w:jc w:val="center"/>
              <w:rPr>
                <w:noProof/>
                <w:sz w:val="18"/>
                <w:szCs w:val="18"/>
              </w:rPr>
            </w:pPr>
          </w:p>
        </w:tc>
        <w:tc>
          <w:tcPr>
            <w:tcW w:w="720" w:type="dxa"/>
            <w:tcBorders>
              <w:top w:val="nil"/>
              <w:left w:val="nil"/>
              <w:bottom w:val="nil"/>
              <w:right w:val="nil"/>
            </w:tcBorders>
          </w:tcPr>
          <w:p w:rsidR="00DE7E70" w:rsidRDefault="00DE7E70">
            <w:pPr>
              <w:spacing w:before="60" w:after="60"/>
              <w:ind w:right="-29"/>
              <w:jc w:val="center"/>
              <w:rPr>
                <w:noProof/>
                <w:sz w:val="18"/>
                <w:szCs w:val="18"/>
              </w:rPr>
            </w:pPr>
          </w:p>
        </w:tc>
        <w:tc>
          <w:tcPr>
            <w:tcW w:w="900" w:type="dxa"/>
            <w:tcBorders>
              <w:top w:val="nil"/>
              <w:left w:val="nil"/>
              <w:bottom w:val="nil"/>
              <w:right w:val="nil"/>
            </w:tcBorders>
          </w:tcPr>
          <w:p w:rsidR="00DE7E70" w:rsidRDefault="00DE7E70">
            <w:pPr>
              <w:spacing w:before="60" w:after="60"/>
              <w:ind w:right="-29"/>
              <w:jc w:val="center"/>
              <w:rPr>
                <w:noProof/>
                <w:sz w:val="18"/>
                <w:szCs w:val="18"/>
              </w:rPr>
            </w:pPr>
          </w:p>
        </w:tc>
      </w:tr>
      <w:tr w:rsidR="00DE7E70">
        <w:trPr>
          <w:trHeight w:hRule="exact" w:val="369"/>
          <w:jc w:val="center"/>
        </w:trPr>
        <w:tc>
          <w:tcPr>
            <w:tcW w:w="1423" w:type="dxa"/>
          </w:tcPr>
          <w:p w:rsidR="00DE7E70" w:rsidRDefault="00B85DCD">
            <w:pPr>
              <w:ind w:right="-29"/>
              <w:jc w:val="center"/>
              <w:rPr>
                <w:noProof/>
                <w:sz w:val="18"/>
                <w:szCs w:val="18"/>
              </w:rPr>
            </w:pPr>
            <w:r>
              <w:rPr>
                <w:noProof/>
                <w:sz w:val="18"/>
              </w:rPr>
              <w:t>- Resultat</w:t>
            </w:r>
          </w:p>
        </w:tc>
        <w:tc>
          <w:tcPr>
            <w:tcW w:w="720" w:type="dxa"/>
          </w:tcPr>
          <w:p w:rsidR="00DE7E70" w:rsidRDefault="00DE7E70">
            <w:pPr>
              <w:ind w:right="-29"/>
              <w:jc w:val="center"/>
              <w:rPr>
                <w:noProof/>
                <w:sz w:val="18"/>
                <w:szCs w:val="18"/>
              </w:rPr>
            </w:pPr>
          </w:p>
        </w:tc>
        <w:tc>
          <w:tcPr>
            <w:tcW w:w="701" w:type="dxa"/>
          </w:tcPr>
          <w:p w:rsidR="00DE7E70" w:rsidRDefault="00DE7E70">
            <w:pPr>
              <w:ind w:right="-29"/>
              <w:jc w:val="center"/>
              <w:rPr>
                <w:noProof/>
                <w:sz w:val="18"/>
                <w:szCs w:val="18"/>
              </w:rPr>
            </w:pPr>
          </w:p>
        </w:tc>
        <w:tc>
          <w:tcPr>
            <w:tcW w:w="504" w:type="dxa"/>
          </w:tcPr>
          <w:p w:rsidR="00DE7E70" w:rsidRDefault="00DE7E70">
            <w:pPr>
              <w:ind w:right="-29"/>
              <w:jc w:val="center"/>
              <w:rPr>
                <w:noProof/>
                <w:sz w:val="18"/>
                <w:szCs w:val="18"/>
              </w:rPr>
            </w:pPr>
          </w:p>
        </w:tc>
        <w:tc>
          <w:tcPr>
            <w:tcW w:w="720" w:type="dxa"/>
          </w:tcPr>
          <w:p w:rsidR="00DE7E70" w:rsidRDefault="00DE7E70">
            <w:pPr>
              <w:ind w:right="-29"/>
              <w:jc w:val="center"/>
              <w:rPr>
                <w:noProof/>
                <w:sz w:val="18"/>
                <w:szCs w:val="18"/>
              </w:rPr>
            </w:pPr>
          </w:p>
        </w:tc>
        <w:tc>
          <w:tcPr>
            <w:tcW w:w="540" w:type="dxa"/>
          </w:tcPr>
          <w:p w:rsidR="00DE7E70" w:rsidRDefault="00DE7E70">
            <w:pPr>
              <w:ind w:right="-29"/>
              <w:jc w:val="center"/>
              <w:rPr>
                <w:noProof/>
                <w:sz w:val="18"/>
                <w:szCs w:val="18"/>
              </w:rPr>
            </w:pPr>
          </w:p>
        </w:tc>
        <w:tc>
          <w:tcPr>
            <w:tcW w:w="720" w:type="dxa"/>
          </w:tcPr>
          <w:p w:rsidR="00DE7E70" w:rsidRDefault="00DE7E70">
            <w:pPr>
              <w:ind w:right="-29"/>
              <w:jc w:val="center"/>
              <w:rPr>
                <w:noProof/>
                <w:sz w:val="18"/>
                <w:szCs w:val="18"/>
              </w:rPr>
            </w:pPr>
          </w:p>
        </w:tc>
        <w:tc>
          <w:tcPr>
            <w:tcW w:w="720" w:type="dxa"/>
          </w:tcPr>
          <w:p w:rsidR="00DE7E70" w:rsidRDefault="00DE7E70">
            <w:pPr>
              <w:ind w:right="-29"/>
              <w:jc w:val="center"/>
              <w:rPr>
                <w:noProof/>
                <w:sz w:val="18"/>
                <w:szCs w:val="18"/>
              </w:rPr>
            </w:pPr>
          </w:p>
        </w:tc>
        <w:tc>
          <w:tcPr>
            <w:tcW w:w="720" w:type="dxa"/>
          </w:tcPr>
          <w:p w:rsidR="00DE7E70" w:rsidRDefault="00DE7E70">
            <w:pPr>
              <w:ind w:right="-29"/>
              <w:jc w:val="center"/>
              <w:rPr>
                <w:noProof/>
                <w:sz w:val="18"/>
                <w:szCs w:val="18"/>
              </w:rPr>
            </w:pPr>
          </w:p>
        </w:tc>
        <w:tc>
          <w:tcPr>
            <w:tcW w:w="900" w:type="dxa"/>
          </w:tcPr>
          <w:p w:rsidR="00DE7E70" w:rsidRDefault="00DE7E70">
            <w:pPr>
              <w:ind w:right="-29"/>
              <w:jc w:val="center"/>
              <w:rPr>
                <w:noProof/>
                <w:sz w:val="18"/>
                <w:szCs w:val="18"/>
              </w:rPr>
            </w:pPr>
          </w:p>
        </w:tc>
        <w:tc>
          <w:tcPr>
            <w:tcW w:w="720" w:type="dxa"/>
            <w:gridSpan w:val="2"/>
          </w:tcPr>
          <w:p w:rsidR="00DE7E70" w:rsidRDefault="00DE7E70">
            <w:pPr>
              <w:ind w:right="-29"/>
              <w:jc w:val="center"/>
              <w:rPr>
                <w:noProof/>
                <w:sz w:val="18"/>
                <w:szCs w:val="18"/>
              </w:rPr>
            </w:pPr>
          </w:p>
        </w:tc>
        <w:tc>
          <w:tcPr>
            <w:tcW w:w="540" w:type="dxa"/>
          </w:tcPr>
          <w:p w:rsidR="00DE7E70" w:rsidRDefault="00DE7E70">
            <w:pPr>
              <w:ind w:right="-29"/>
              <w:jc w:val="center"/>
              <w:rPr>
                <w:noProof/>
                <w:sz w:val="18"/>
                <w:szCs w:val="18"/>
              </w:rPr>
            </w:pPr>
          </w:p>
        </w:tc>
        <w:tc>
          <w:tcPr>
            <w:tcW w:w="648" w:type="dxa"/>
          </w:tcPr>
          <w:p w:rsidR="00DE7E70" w:rsidRDefault="00DE7E70">
            <w:pPr>
              <w:ind w:right="-29"/>
              <w:jc w:val="center"/>
              <w:rPr>
                <w:noProof/>
                <w:sz w:val="18"/>
                <w:szCs w:val="18"/>
              </w:rPr>
            </w:pPr>
          </w:p>
        </w:tc>
        <w:tc>
          <w:tcPr>
            <w:tcW w:w="432" w:type="dxa"/>
          </w:tcPr>
          <w:p w:rsidR="00DE7E70" w:rsidRDefault="00DE7E70">
            <w:pPr>
              <w:ind w:right="-29"/>
              <w:jc w:val="center"/>
              <w:rPr>
                <w:noProof/>
                <w:sz w:val="18"/>
                <w:szCs w:val="18"/>
              </w:rPr>
            </w:pPr>
          </w:p>
        </w:tc>
        <w:tc>
          <w:tcPr>
            <w:tcW w:w="720" w:type="dxa"/>
          </w:tcPr>
          <w:p w:rsidR="00DE7E70" w:rsidRDefault="00DE7E70">
            <w:pPr>
              <w:ind w:right="-29"/>
              <w:jc w:val="center"/>
              <w:rPr>
                <w:noProof/>
                <w:sz w:val="18"/>
                <w:szCs w:val="18"/>
              </w:rPr>
            </w:pPr>
          </w:p>
        </w:tc>
        <w:tc>
          <w:tcPr>
            <w:tcW w:w="540" w:type="dxa"/>
          </w:tcPr>
          <w:p w:rsidR="00DE7E70" w:rsidRDefault="00DE7E70">
            <w:pPr>
              <w:ind w:right="-29"/>
              <w:jc w:val="center"/>
              <w:rPr>
                <w:noProof/>
                <w:sz w:val="18"/>
                <w:szCs w:val="18"/>
              </w:rPr>
            </w:pPr>
          </w:p>
        </w:tc>
        <w:tc>
          <w:tcPr>
            <w:tcW w:w="720" w:type="dxa"/>
          </w:tcPr>
          <w:p w:rsidR="00DE7E70" w:rsidRDefault="00DE7E70">
            <w:pPr>
              <w:ind w:right="-29"/>
              <w:jc w:val="center"/>
              <w:rPr>
                <w:noProof/>
                <w:sz w:val="18"/>
                <w:szCs w:val="18"/>
              </w:rPr>
            </w:pPr>
          </w:p>
        </w:tc>
        <w:tc>
          <w:tcPr>
            <w:tcW w:w="720" w:type="dxa"/>
          </w:tcPr>
          <w:p w:rsidR="00DE7E70" w:rsidRDefault="00DE7E70">
            <w:pPr>
              <w:ind w:right="-29"/>
              <w:jc w:val="center"/>
              <w:rPr>
                <w:noProof/>
                <w:sz w:val="18"/>
                <w:szCs w:val="18"/>
              </w:rPr>
            </w:pPr>
          </w:p>
        </w:tc>
        <w:tc>
          <w:tcPr>
            <w:tcW w:w="900" w:type="dxa"/>
          </w:tcPr>
          <w:p w:rsidR="00DE7E70" w:rsidRDefault="00DE7E70">
            <w:pPr>
              <w:ind w:right="-29"/>
              <w:jc w:val="center"/>
              <w:rPr>
                <w:noProof/>
                <w:sz w:val="18"/>
                <w:szCs w:val="18"/>
              </w:rPr>
            </w:pPr>
          </w:p>
        </w:tc>
      </w:tr>
      <w:tr w:rsidR="00DE7E70">
        <w:trPr>
          <w:jc w:val="center"/>
        </w:trPr>
        <w:tc>
          <w:tcPr>
            <w:tcW w:w="2844" w:type="dxa"/>
            <w:gridSpan w:val="3"/>
            <w:tcBorders>
              <w:bottom w:val="single" w:sz="12" w:space="0" w:color="auto"/>
            </w:tcBorders>
            <w:vAlign w:val="center"/>
          </w:tcPr>
          <w:p w:rsidR="00DE7E70" w:rsidRDefault="00B85DCD">
            <w:pPr>
              <w:jc w:val="center"/>
              <w:rPr>
                <w:noProof/>
                <w:sz w:val="18"/>
                <w:szCs w:val="18"/>
                <w:lang w:val="nn-NO"/>
              </w:rPr>
            </w:pPr>
            <w:r>
              <w:rPr>
                <w:noProof/>
                <w:sz w:val="18"/>
                <w:lang w:val="nn-NO"/>
              </w:rPr>
              <w:t>Subtotal for specifikt mål nr. 2</w:t>
            </w:r>
          </w:p>
        </w:tc>
        <w:tc>
          <w:tcPr>
            <w:tcW w:w="504" w:type="dxa"/>
            <w:tcBorders>
              <w:bottom w:val="single" w:sz="12" w:space="0" w:color="auto"/>
            </w:tcBorders>
          </w:tcPr>
          <w:p w:rsidR="00DE7E70" w:rsidRDefault="00DE7E70">
            <w:pPr>
              <w:ind w:right="-29"/>
              <w:jc w:val="center"/>
              <w:rPr>
                <w:noProof/>
                <w:sz w:val="18"/>
                <w:szCs w:val="18"/>
                <w:lang w:val="nn-NO"/>
              </w:rPr>
            </w:pPr>
          </w:p>
        </w:tc>
        <w:tc>
          <w:tcPr>
            <w:tcW w:w="720" w:type="dxa"/>
            <w:tcBorders>
              <w:bottom w:val="single" w:sz="12" w:space="0" w:color="auto"/>
            </w:tcBorders>
          </w:tcPr>
          <w:p w:rsidR="00DE7E70" w:rsidRDefault="00DE7E70">
            <w:pPr>
              <w:ind w:right="-29"/>
              <w:jc w:val="center"/>
              <w:rPr>
                <w:noProof/>
                <w:sz w:val="18"/>
                <w:szCs w:val="18"/>
                <w:lang w:val="nn-NO"/>
              </w:rPr>
            </w:pPr>
          </w:p>
        </w:tc>
        <w:tc>
          <w:tcPr>
            <w:tcW w:w="540" w:type="dxa"/>
            <w:tcBorders>
              <w:bottom w:val="single" w:sz="12" w:space="0" w:color="auto"/>
            </w:tcBorders>
          </w:tcPr>
          <w:p w:rsidR="00DE7E70" w:rsidRDefault="00DE7E70">
            <w:pPr>
              <w:ind w:right="-29"/>
              <w:jc w:val="center"/>
              <w:rPr>
                <w:noProof/>
                <w:sz w:val="18"/>
                <w:szCs w:val="18"/>
                <w:lang w:val="nn-NO"/>
              </w:rPr>
            </w:pPr>
          </w:p>
        </w:tc>
        <w:tc>
          <w:tcPr>
            <w:tcW w:w="720" w:type="dxa"/>
            <w:tcBorders>
              <w:bottom w:val="single" w:sz="12" w:space="0" w:color="auto"/>
            </w:tcBorders>
          </w:tcPr>
          <w:p w:rsidR="00DE7E70" w:rsidRDefault="00DE7E70">
            <w:pPr>
              <w:ind w:right="-29"/>
              <w:jc w:val="center"/>
              <w:rPr>
                <w:noProof/>
                <w:sz w:val="18"/>
                <w:szCs w:val="18"/>
                <w:lang w:val="nn-NO"/>
              </w:rPr>
            </w:pPr>
          </w:p>
        </w:tc>
        <w:tc>
          <w:tcPr>
            <w:tcW w:w="720" w:type="dxa"/>
            <w:tcBorders>
              <w:bottom w:val="single" w:sz="12" w:space="0" w:color="auto"/>
            </w:tcBorders>
          </w:tcPr>
          <w:p w:rsidR="00DE7E70" w:rsidRDefault="00DE7E70">
            <w:pPr>
              <w:ind w:right="-29"/>
              <w:jc w:val="center"/>
              <w:rPr>
                <w:noProof/>
                <w:sz w:val="18"/>
                <w:szCs w:val="18"/>
                <w:lang w:val="nn-NO"/>
              </w:rPr>
            </w:pPr>
          </w:p>
        </w:tc>
        <w:tc>
          <w:tcPr>
            <w:tcW w:w="720" w:type="dxa"/>
            <w:tcBorders>
              <w:bottom w:val="single" w:sz="12" w:space="0" w:color="auto"/>
            </w:tcBorders>
          </w:tcPr>
          <w:p w:rsidR="00DE7E70" w:rsidRDefault="00DE7E70">
            <w:pPr>
              <w:ind w:right="-29"/>
              <w:jc w:val="center"/>
              <w:rPr>
                <w:noProof/>
                <w:sz w:val="18"/>
                <w:szCs w:val="18"/>
                <w:lang w:val="nn-NO"/>
              </w:rPr>
            </w:pPr>
          </w:p>
        </w:tc>
        <w:tc>
          <w:tcPr>
            <w:tcW w:w="951" w:type="dxa"/>
            <w:gridSpan w:val="2"/>
            <w:tcBorders>
              <w:bottom w:val="single" w:sz="12" w:space="0" w:color="auto"/>
            </w:tcBorders>
          </w:tcPr>
          <w:p w:rsidR="00DE7E70" w:rsidRDefault="00DE7E70">
            <w:pPr>
              <w:ind w:right="-29"/>
              <w:jc w:val="center"/>
              <w:rPr>
                <w:noProof/>
                <w:sz w:val="18"/>
                <w:szCs w:val="18"/>
                <w:lang w:val="nn-NO"/>
              </w:rPr>
            </w:pPr>
          </w:p>
        </w:tc>
        <w:tc>
          <w:tcPr>
            <w:tcW w:w="669" w:type="dxa"/>
            <w:tcBorders>
              <w:bottom w:val="single" w:sz="12" w:space="0" w:color="auto"/>
            </w:tcBorders>
          </w:tcPr>
          <w:p w:rsidR="00DE7E70" w:rsidRDefault="00DE7E70">
            <w:pPr>
              <w:ind w:right="-29"/>
              <w:jc w:val="center"/>
              <w:rPr>
                <w:noProof/>
                <w:sz w:val="18"/>
                <w:szCs w:val="18"/>
                <w:lang w:val="nn-NO"/>
              </w:rPr>
            </w:pPr>
          </w:p>
        </w:tc>
        <w:tc>
          <w:tcPr>
            <w:tcW w:w="540" w:type="dxa"/>
            <w:tcBorders>
              <w:bottom w:val="single" w:sz="12" w:space="0" w:color="auto"/>
            </w:tcBorders>
          </w:tcPr>
          <w:p w:rsidR="00DE7E70" w:rsidRDefault="00DE7E70">
            <w:pPr>
              <w:ind w:right="-29"/>
              <w:jc w:val="center"/>
              <w:rPr>
                <w:noProof/>
                <w:sz w:val="18"/>
                <w:szCs w:val="18"/>
                <w:lang w:val="nn-NO"/>
              </w:rPr>
            </w:pPr>
          </w:p>
        </w:tc>
        <w:tc>
          <w:tcPr>
            <w:tcW w:w="648" w:type="dxa"/>
            <w:tcBorders>
              <w:bottom w:val="single" w:sz="12" w:space="0" w:color="auto"/>
            </w:tcBorders>
          </w:tcPr>
          <w:p w:rsidR="00DE7E70" w:rsidRDefault="00DE7E70">
            <w:pPr>
              <w:ind w:right="-29"/>
              <w:jc w:val="center"/>
              <w:rPr>
                <w:noProof/>
                <w:sz w:val="18"/>
                <w:szCs w:val="18"/>
                <w:lang w:val="nn-NO"/>
              </w:rPr>
            </w:pPr>
          </w:p>
        </w:tc>
        <w:tc>
          <w:tcPr>
            <w:tcW w:w="432" w:type="dxa"/>
            <w:tcBorders>
              <w:bottom w:val="single" w:sz="12" w:space="0" w:color="auto"/>
            </w:tcBorders>
          </w:tcPr>
          <w:p w:rsidR="00DE7E70" w:rsidRDefault="00DE7E70">
            <w:pPr>
              <w:ind w:right="-29"/>
              <w:jc w:val="center"/>
              <w:rPr>
                <w:noProof/>
                <w:sz w:val="18"/>
                <w:szCs w:val="18"/>
                <w:lang w:val="nn-NO"/>
              </w:rPr>
            </w:pPr>
          </w:p>
        </w:tc>
        <w:tc>
          <w:tcPr>
            <w:tcW w:w="720" w:type="dxa"/>
            <w:tcBorders>
              <w:bottom w:val="single" w:sz="12" w:space="0" w:color="auto"/>
            </w:tcBorders>
          </w:tcPr>
          <w:p w:rsidR="00DE7E70" w:rsidRDefault="00DE7E70">
            <w:pPr>
              <w:ind w:right="-29"/>
              <w:jc w:val="center"/>
              <w:rPr>
                <w:noProof/>
                <w:sz w:val="18"/>
                <w:szCs w:val="18"/>
                <w:lang w:val="nn-NO"/>
              </w:rPr>
            </w:pPr>
          </w:p>
        </w:tc>
        <w:tc>
          <w:tcPr>
            <w:tcW w:w="540" w:type="dxa"/>
            <w:tcBorders>
              <w:bottom w:val="single" w:sz="12" w:space="0" w:color="auto"/>
            </w:tcBorders>
          </w:tcPr>
          <w:p w:rsidR="00DE7E70" w:rsidRDefault="00DE7E70">
            <w:pPr>
              <w:ind w:right="-29"/>
              <w:jc w:val="center"/>
              <w:rPr>
                <w:noProof/>
                <w:sz w:val="18"/>
                <w:szCs w:val="18"/>
                <w:lang w:val="nn-NO"/>
              </w:rPr>
            </w:pPr>
          </w:p>
        </w:tc>
        <w:tc>
          <w:tcPr>
            <w:tcW w:w="720" w:type="dxa"/>
            <w:tcBorders>
              <w:bottom w:val="single" w:sz="12" w:space="0" w:color="auto"/>
            </w:tcBorders>
          </w:tcPr>
          <w:p w:rsidR="00DE7E70" w:rsidRDefault="00DE7E70">
            <w:pPr>
              <w:ind w:right="-29"/>
              <w:jc w:val="center"/>
              <w:rPr>
                <w:noProof/>
                <w:sz w:val="18"/>
                <w:szCs w:val="18"/>
                <w:lang w:val="nn-NO"/>
              </w:rPr>
            </w:pPr>
          </w:p>
        </w:tc>
        <w:tc>
          <w:tcPr>
            <w:tcW w:w="720" w:type="dxa"/>
            <w:tcBorders>
              <w:bottom w:val="single" w:sz="12" w:space="0" w:color="auto"/>
            </w:tcBorders>
          </w:tcPr>
          <w:p w:rsidR="00DE7E70" w:rsidRDefault="00DE7E70">
            <w:pPr>
              <w:ind w:right="-29"/>
              <w:jc w:val="center"/>
              <w:rPr>
                <w:noProof/>
                <w:sz w:val="18"/>
                <w:szCs w:val="18"/>
                <w:lang w:val="nn-NO"/>
              </w:rPr>
            </w:pPr>
          </w:p>
        </w:tc>
        <w:tc>
          <w:tcPr>
            <w:tcW w:w="900" w:type="dxa"/>
            <w:tcBorders>
              <w:bottom w:val="single" w:sz="12" w:space="0" w:color="auto"/>
            </w:tcBorders>
          </w:tcPr>
          <w:p w:rsidR="00DE7E70" w:rsidRDefault="00DE7E70">
            <w:pPr>
              <w:ind w:right="-29"/>
              <w:jc w:val="center"/>
              <w:rPr>
                <w:noProof/>
                <w:sz w:val="18"/>
                <w:szCs w:val="18"/>
                <w:lang w:val="nn-NO"/>
              </w:rPr>
            </w:pPr>
          </w:p>
        </w:tc>
      </w:tr>
      <w:tr w:rsidR="00DE7E70">
        <w:trPr>
          <w:jc w:val="center"/>
        </w:trPr>
        <w:tc>
          <w:tcPr>
            <w:tcW w:w="2844" w:type="dxa"/>
            <w:gridSpan w:val="3"/>
            <w:tcBorders>
              <w:top w:val="single" w:sz="12" w:space="0" w:color="auto"/>
              <w:left w:val="single" w:sz="12" w:space="0" w:color="auto"/>
              <w:bottom w:val="single" w:sz="12" w:space="0" w:color="auto"/>
            </w:tcBorders>
            <w:vAlign w:val="center"/>
          </w:tcPr>
          <w:p w:rsidR="00DE7E70" w:rsidRDefault="00B85DCD">
            <w:pPr>
              <w:ind w:right="-29"/>
              <w:jc w:val="center"/>
              <w:rPr>
                <w:noProof/>
                <w:sz w:val="18"/>
                <w:szCs w:val="18"/>
              </w:rPr>
            </w:pPr>
            <w:r>
              <w:rPr>
                <w:b/>
                <w:noProof/>
                <w:sz w:val="18"/>
              </w:rPr>
              <w:t>OMKOSTNINGER I ALT</w:t>
            </w:r>
          </w:p>
        </w:tc>
        <w:tc>
          <w:tcPr>
            <w:tcW w:w="504" w:type="dxa"/>
            <w:tcBorders>
              <w:top w:val="single" w:sz="12" w:space="0" w:color="auto"/>
              <w:bottom w:val="single" w:sz="12" w:space="0" w:color="auto"/>
            </w:tcBorders>
          </w:tcPr>
          <w:p w:rsidR="00DE7E70" w:rsidRDefault="00DE7E70">
            <w:pPr>
              <w:spacing w:before="180" w:after="180"/>
              <w:ind w:right="-29"/>
              <w:jc w:val="center"/>
              <w:rPr>
                <w:noProof/>
                <w:sz w:val="18"/>
                <w:szCs w:val="18"/>
              </w:rPr>
            </w:pPr>
          </w:p>
        </w:tc>
        <w:tc>
          <w:tcPr>
            <w:tcW w:w="720" w:type="dxa"/>
            <w:tcBorders>
              <w:top w:val="single" w:sz="12" w:space="0" w:color="auto"/>
              <w:bottom w:val="single" w:sz="12" w:space="0" w:color="auto"/>
            </w:tcBorders>
          </w:tcPr>
          <w:p w:rsidR="00DE7E70" w:rsidRDefault="00DE7E70">
            <w:pPr>
              <w:spacing w:before="180" w:after="180"/>
              <w:ind w:right="-29"/>
              <w:jc w:val="center"/>
              <w:rPr>
                <w:noProof/>
                <w:sz w:val="18"/>
                <w:szCs w:val="18"/>
              </w:rPr>
            </w:pPr>
          </w:p>
        </w:tc>
        <w:tc>
          <w:tcPr>
            <w:tcW w:w="540" w:type="dxa"/>
            <w:tcBorders>
              <w:top w:val="single" w:sz="12" w:space="0" w:color="auto"/>
              <w:bottom w:val="single" w:sz="12" w:space="0" w:color="auto"/>
            </w:tcBorders>
          </w:tcPr>
          <w:p w:rsidR="00DE7E70" w:rsidRDefault="00DE7E70">
            <w:pPr>
              <w:spacing w:before="180" w:after="180"/>
              <w:ind w:right="-29"/>
              <w:jc w:val="center"/>
              <w:rPr>
                <w:noProof/>
                <w:sz w:val="18"/>
                <w:szCs w:val="18"/>
              </w:rPr>
            </w:pPr>
          </w:p>
        </w:tc>
        <w:tc>
          <w:tcPr>
            <w:tcW w:w="720" w:type="dxa"/>
            <w:tcBorders>
              <w:top w:val="single" w:sz="12" w:space="0" w:color="auto"/>
              <w:bottom w:val="single" w:sz="12" w:space="0" w:color="auto"/>
            </w:tcBorders>
          </w:tcPr>
          <w:p w:rsidR="00DE7E70" w:rsidRDefault="00DE7E70">
            <w:pPr>
              <w:spacing w:before="180" w:after="180"/>
              <w:ind w:right="-29"/>
              <w:jc w:val="center"/>
              <w:rPr>
                <w:noProof/>
                <w:sz w:val="18"/>
                <w:szCs w:val="18"/>
              </w:rPr>
            </w:pPr>
          </w:p>
        </w:tc>
        <w:tc>
          <w:tcPr>
            <w:tcW w:w="720" w:type="dxa"/>
            <w:tcBorders>
              <w:top w:val="single" w:sz="12" w:space="0" w:color="auto"/>
              <w:bottom w:val="single" w:sz="12" w:space="0" w:color="auto"/>
            </w:tcBorders>
          </w:tcPr>
          <w:p w:rsidR="00DE7E70" w:rsidRDefault="00B85DCD">
            <w:pPr>
              <w:spacing w:before="180" w:after="180"/>
              <w:ind w:right="-29"/>
              <w:jc w:val="center"/>
              <w:rPr>
                <w:noProof/>
                <w:sz w:val="18"/>
                <w:szCs w:val="18"/>
              </w:rPr>
            </w:pPr>
            <w:r>
              <w:rPr>
                <w:noProof/>
                <w:sz w:val="18"/>
                <w:szCs w:val="18"/>
              </w:rPr>
              <w:t>2</w:t>
            </w:r>
          </w:p>
        </w:tc>
        <w:tc>
          <w:tcPr>
            <w:tcW w:w="720" w:type="dxa"/>
            <w:tcBorders>
              <w:top w:val="single" w:sz="12" w:space="0" w:color="auto"/>
              <w:bottom w:val="single" w:sz="12" w:space="0" w:color="auto"/>
            </w:tcBorders>
          </w:tcPr>
          <w:p w:rsidR="00DE7E70" w:rsidRDefault="00B85DCD">
            <w:pPr>
              <w:spacing w:before="180" w:after="180"/>
              <w:ind w:right="-29"/>
              <w:jc w:val="center"/>
              <w:rPr>
                <w:noProof/>
                <w:sz w:val="18"/>
                <w:szCs w:val="18"/>
              </w:rPr>
            </w:pPr>
            <w:r>
              <w:rPr>
                <w:noProof/>
                <w:sz w:val="18"/>
                <w:szCs w:val="18"/>
              </w:rPr>
              <w:t>1,100</w:t>
            </w:r>
          </w:p>
        </w:tc>
        <w:tc>
          <w:tcPr>
            <w:tcW w:w="900" w:type="dxa"/>
            <w:tcBorders>
              <w:top w:val="single" w:sz="12" w:space="0" w:color="auto"/>
              <w:bottom w:val="single" w:sz="12" w:space="0" w:color="auto"/>
            </w:tcBorders>
          </w:tcPr>
          <w:p w:rsidR="00DE7E70" w:rsidRDefault="00B85DCD">
            <w:pPr>
              <w:spacing w:before="180" w:after="180"/>
              <w:ind w:right="-29"/>
              <w:jc w:val="center"/>
              <w:rPr>
                <w:noProof/>
                <w:sz w:val="18"/>
                <w:szCs w:val="18"/>
              </w:rPr>
            </w:pPr>
            <w:r>
              <w:rPr>
                <w:noProof/>
                <w:sz w:val="18"/>
                <w:szCs w:val="18"/>
              </w:rPr>
              <w:t>1</w:t>
            </w:r>
          </w:p>
        </w:tc>
        <w:tc>
          <w:tcPr>
            <w:tcW w:w="720" w:type="dxa"/>
            <w:gridSpan w:val="2"/>
            <w:tcBorders>
              <w:top w:val="single" w:sz="12" w:space="0" w:color="auto"/>
              <w:bottom w:val="single" w:sz="12" w:space="0" w:color="auto"/>
            </w:tcBorders>
          </w:tcPr>
          <w:p w:rsidR="00DE7E70" w:rsidRDefault="00B85DCD">
            <w:pPr>
              <w:spacing w:before="180" w:after="180"/>
              <w:ind w:right="-29"/>
              <w:jc w:val="center"/>
              <w:rPr>
                <w:noProof/>
                <w:sz w:val="18"/>
                <w:szCs w:val="18"/>
              </w:rPr>
            </w:pPr>
            <w:r>
              <w:rPr>
                <w:noProof/>
                <w:sz w:val="18"/>
                <w:szCs w:val="18"/>
              </w:rPr>
              <w:t>0,200</w:t>
            </w:r>
          </w:p>
        </w:tc>
        <w:tc>
          <w:tcPr>
            <w:tcW w:w="540" w:type="dxa"/>
            <w:tcBorders>
              <w:top w:val="single" w:sz="12" w:space="0" w:color="auto"/>
              <w:bottom w:val="single" w:sz="12" w:space="0" w:color="auto"/>
            </w:tcBorders>
          </w:tcPr>
          <w:p w:rsidR="00DE7E70" w:rsidRDefault="00DE7E70">
            <w:pPr>
              <w:spacing w:before="180" w:after="180"/>
              <w:ind w:right="-29"/>
              <w:jc w:val="center"/>
              <w:rPr>
                <w:noProof/>
                <w:sz w:val="18"/>
                <w:szCs w:val="18"/>
              </w:rPr>
            </w:pPr>
          </w:p>
        </w:tc>
        <w:tc>
          <w:tcPr>
            <w:tcW w:w="648" w:type="dxa"/>
            <w:tcBorders>
              <w:top w:val="single" w:sz="12" w:space="0" w:color="auto"/>
              <w:bottom w:val="single" w:sz="12" w:space="0" w:color="auto"/>
            </w:tcBorders>
          </w:tcPr>
          <w:p w:rsidR="00DE7E70" w:rsidRDefault="00DE7E70">
            <w:pPr>
              <w:spacing w:before="180" w:after="180"/>
              <w:ind w:right="-29"/>
              <w:jc w:val="center"/>
              <w:rPr>
                <w:noProof/>
                <w:sz w:val="18"/>
                <w:szCs w:val="18"/>
              </w:rPr>
            </w:pPr>
          </w:p>
        </w:tc>
        <w:tc>
          <w:tcPr>
            <w:tcW w:w="432" w:type="dxa"/>
            <w:tcBorders>
              <w:top w:val="single" w:sz="12" w:space="0" w:color="auto"/>
              <w:bottom w:val="single" w:sz="12" w:space="0" w:color="auto"/>
            </w:tcBorders>
          </w:tcPr>
          <w:p w:rsidR="00DE7E70" w:rsidRDefault="00DE7E70">
            <w:pPr>
              <w:spacing w:before="180" w:after="180"/>
              <w:ind w:right="-29"/>
              <w:jc w:val="center"/>
              <w:rPr>
                <w:noProof/>
                <w:sz w:val="18"/>
                <w:szCs w:val="18"/>
              </w:rPr>
            </w:pPr>
          </w:p>
        </w:tc>
        <w:tc>
          <w:tcPr>
            <w:tcW w:w="720" w:type="dxa"/>
            <w:tcBorders>
              <w:top w:val="single" w:sz="12" w:space="0" w:color="auto"/>
              <w:bottom w:val="single" w:sz="12" w:space="0" w:color="auto"/>
            </w:tcBorders>
          </w:tcPr>
          <w:p w:rsidR="00DE7E70" w:rsidRDefault="00DE7E70">
            <w:pPr>
              <w:spacing w:before="180" w:after="180"/>
              <w:ind w:right="-29"/>
              <w:jc w:val="center"/>
              <w:rPr>
                <w:noProof/>
                <w:sz w:val="18"/>
                <w:szCs w:val="18"/>
              </w:rPr>
            </w:pPr>
          </w:p>
        </w:tc>
        <w:tc>
          <w:tcPr>
            <w:tcW w:w="540" w:type="dxa"/>
            <w:tcBorders>
              <w:top w:val="single" w:sz="12" w:space="0" w:color="auto"/>
              <w:bottom w:val="single" w:sz="12" w:space="0" w:color="auto"/>
            </w:tcBorders>
          </w:tcPr>
          <w:p w:rsidR="00DE7E70" w:rsidRDefault="00DE7E70">
            <w:pPr>
              <w:spacing w:before="180" w:after="180"/>
              <w:ind w:right="-29"/>
              <w:jc w:val="center"/>
              <w:rPr>
                <w:noProof/>
                <w:sz w:val="18"/>
                <w:szCs w:val="18"/>
              </w:rPr>
            </w:pPr>
          </w:p>
        </w:tc>
        <w:tc>
          <w:tcPr>
            <w:tcW w:w="720" w:type="dxa"/>
            <w:tcBorders>
              <w:top w:val="single" w:sz="12" w:space="0" w:color="auto"/>
              <w:bottom w:val="single" w:sz="12" w:space="0" w:color="auto"/>
            </w:tcBorders>
          </w:tcPr>
          <w:p w:rsidR="00DE7E70" w:rsidRDefault="00DE7E70">
            <w:pPr>
              <w:spacing w:before="180" w:after="180"/>
              <w:ind w:right="-29"/>
              <w:jc w:val="center"/>
              <w:rPr>
                <w:noProof/>
                <w:sz w:val="18"/>
                <w:szCs w:val="18"/>
              </w:rPr>
            </w:pPr>
          </w:p>
        </w:tc>
        <w:tc>
          <w:tcPr>
            <w:tcW w:w="720" w:type="dxa"/>
            <w:tcBorders>
              <w:top w:val="single" w:sz="12" w:space="0" w:color="auto"/>
              <w:bottom w:val="single" w:sz="12" w:space="0" w:color="auto"/>
            </w:tcBorders>
          </w:tcPr>
          <w:p w:rsidR="00DE7E70" w:rsidRDefault="00B85DCD">
            <w:pPr>
              <w:spacing w:before="180" w:after="180"/>
              <w:ind w:right="-29"/>
              <w:jc w:val="center"/>
              <w:rPr>
                <w:noProof/>
                <w:sz w:val="18"/>
                <w:szCs w:val="18"/>
              </w:rPr>
            </w:pPr>
            <w:r>
              <w:rPr>
                <w:noProof/>
                <w:sz w:val="18"/>
                <w:szCs w:val="18"/>
              </w:rPr>
              <w:t>3</w:t>
            </w:r>
          </w:p>
        </w:tc>
        <w:tc>
          <w:tcPr>
            <w:tcW w:w="900" w:type="dxa"/>
            <w:tcBorders>
              <w:top w:val="single" w:sz="12" w:space="0" w:color="auto"/>
              <w:bottom w:val="single" w:sz="12" w:space="0" w:color="auto"/>
              <w:right w:val="single" w:sz="12" w:space="0" w:color="auto"/>
            </w:tcBorders>
          </w:tcPr>
          <w:p w:rsidR="00DE7E70" w:rsidRDefault="00B85DCD">
            <w:pPr>
              <w:spacing w:before="180" w:after="180"/>
              <w:ind w:right="-29"/>
              <w:jc w:val="center"/>
              <w:rPr>
                <w:noProof/>
                <w:sz w:val="18"/>
                <w:szCs w:val="18"/>
              </w:rPr>
            </w:pPr>
            <w:r>
              <w:rPr>
                <w:noProof/>
                <w:sz w:val="18"/>
                <w:szCs w:val="18"/>
              </w:rPr>
              <w:t>1,300</w:t>
            </w:r>
          </w:p>
        </w:tc>
      </w:tr>
    </w:tbl>
    <w:p w:rsidR="00DE7E70" w:rsidRDefault="00DE7E70">
      <w:pPr>
        <w:rPr>
          <w:noProof/>
        </w:rPr>
        <w:sectPr w:rsidR="00DE7E70" w:rsidSect="00B85DCD">
          <w:pgSz w:w="16840" w:h="11907" w:orient="landscape" w:code="9"/>
          <w:pgMar w:top="1134" w:right="1418" w:bottom="567" w:left="1418" w:header="709" w:footer="709" w:gutter="0"/>
          <w:cols w:space="708"/>
          <w:docGrid w:linePitch="360"/>
        </w:sectPr>
      </w:pPr>
    </w:p>
    <w:p w:rsidR="00DE7E70" w:rsidRDefault="00B85DCD">
      <w:pPr>
        <w:pStyle w:val="ManualHeading3"/>
        <w:rPr>
          <w:bCs/>
          <w:noProof/>
          <w:szCs w:val="24"/>
        </w:rPr>
      </w:pPr>
      <w:r>
        <w:t>3.2.3.</w:t>
      </w:r>
      <w:r>
        <w:tab/>
      </w:r>
      <w:r>
        <w:rPr>
          <w:noProof/>
        </w:rPr>
        <w:t>Anslåede virkninger for administrationsbevillingerne</w:t>
      </w:r>
    </w:p>
    <w:p w:rsidR="00DE7E70" w:rsidRDefault="00B85DCD">
      <w:pPr>
        <w:pStyle w:val="ManualHeading4"/>
        <w:rPr>
          <w:noProof/>
        </w:rPr>
      </w:pPr>
      <w:r>
        <w:t>3.2.3.1.</w:t>
      </w:r>
      <w:r>
        <w:tab/>
      </w:r>
      <w:r>
        <w:rPr>
          <w:noProof/>
        </w:rPr>
        <w:t xml:space="preserve">Resumé </w:t>
      </w:r>
    </w:p>
    <w:p w:rsidR="00DE7E70" w:rsidRDefault="00B85DCD">
      <w:pPr>
        <w:pStyle w:val="ListDash1"/>
        <w:rPr>
          <w:noProof/>
        </w:rPr>
      </w:pPr>
      <w:r>
        <w:rPr>
          <w:noProof/>
        </w:rPr>
        <w:sym w:font="Wingdings" w:char="F0A8"/>
      </w:r>
      <w:r>
        <w:rPr>
          <w:noProof/>
        </w:rPr>
        <w:tab/>
        <w:t xml:space="preserve">Forslaget/initiativet medfører ikke anvendelse af administrationsbevillinger </w:t>
      </w:r>
    </w:p>
    <w:p w:rsidR="00DE7E70" w:rsidRDefault="00B85DCD">
      <w:pPr>
        <w:pStyle w:val="ListDash1"/>
        <w:rPr>
          <w:noProof/>
        </w:rPr>
      </w:pPr>
      <w:r>
        <w:rPr>
          <w:noProof/>
        </w:rPr>
        <w:t xml:space="preserve">X Forslaget/initiativet medfører anvendelse af </w:t>
      </w:r>
      <w:r>
        <w:rPr>
          <w:noProof/>
        </w:rPr>
        <w:t>administrationsbevillinger som anført herunder:</w:t>
      </w:r>
    </w:p>
    <w:p w:rsidR="00DE7E70" w:rsidRDefault="00B85DCD">
      <w:pPr>
        <w:rPr>
          <w:noProof/>
          <w:sz w:val="20"/>
        </w:rPr>
      </w:pPr>
      <w:r>
        <w:rPr>
          <w:noProof/>
          <w:sz w:val="20"/>
        </w:rPr>
        <w:t>i mio. EUR (op til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DE7E70">
        <w:trPr>
          <w:trHeight w:val="585"/>
        </w:trPr>
        <w:tc>
          <w:tcPr>
            <w:tcW w:w="1980" w:type="dxa"/>
          </w:tcPr>
          <w:p w:rsidR="00DE7E70" w:rsidRDefault="00DE7E70">
            <w:pPr>
              <w:spacing w:before="60" w:after="60" w:line="200" w:lineRule="exact"/>
              <w:rPr>
                <w:noProof/>
                <w:sz w:val="16"/>
                <w:szCs w:val="16"/>
              </w:rPr>
            </w:pPr>
          </w:p>
        </w:tc>
        <w:tc>
          <w:tcPr>
            <w:tcW w:w="1080" w:type="dxa"/>
            <w:vAlign w:val="center"/>
          </w:tcPr>
          <w:p w:rsidR="00DE7E70" w:rsidRDefault="00B85DCD">
            <w:pPr>
              <w:spacing w:before="60" w:after="60" w:line="200" w:lineRule="exact"/>
              <w:jc w:val="center"/>
              <w:rPr>
                <w:noProof/>
                <w:sz w:val="16"/>
                <w:szCs w:val="16"/>
              </w:rPr>
            </w:pPr>
            <w:r>
              <w:rPr>
                <w:noProof/>
                <w:sz w:val="16"/>
                <w:szCs w:val="16"/>
              </w:rPr>
              <w:t xml:space="preserve">År </w:t>
            </w:r>
            <w:r>
              <w:rPr>
                <w:noProof/>
                <w:sz w:val="16"/>
                <w:szCs w:val="16"/>
              </w:rPr>
              <w:br/>
            </w:r>
            <w:r>
              <w:rPr>
                <w:b/>
                <w:noProof/>
                <w:sz w:val="16"/>
                <w:szCs w:val="16"/>
              </w:rPr>
              <w:t>2019</w:t>
            </w:r>
          </w:p>
        </w:tc>
        <w:tc>
          <w:tcPr>
            <w:tcW w:w="1080" w:type="dxa"/>
            <w:vAlign w:val="center"/>
          </w:tcPr>
          <w:p w:rsidR="00DE7E70" w:rsidRDefault="00B85DCD">
            <w:pPr>
              <w:spacing w:before="60" w:after="60" w:line="200" w:lineRule="exact"/>
              <w:jc w:val="center"/>
              <w:rPr>
                <w:noProof/>
                <w:sz w:val="16"/>
                <w:szCs w:val="16"/>
              </w:rPr>
            </w:pPr>
            <w:r>
              <w:rPr>
                <w:noProof/>
                <w:sz w:val="16"/>
                <w:szCs w:val="16"/>
              </w:rPr>
              <w:t xml:space="preserve">År </w:t>
            </w:r>
            <w:r>
              <w:rPr>
                <w:noProof/>
                <w:sz w:val="16"/>
                <w:szCs w:val="16"/>
              </w:rPr>
              <w:br/>
            </w:r>
            <w:r>
              <w:rPr>
                <w:b/>
                <w:noProof/>
                <w:sz w:val="16"/>
                <w:szCs w:val="16"/>
              </w:rPr>
              <w:t>2020</w:t>
            </w:r>
          </w:p>
        </w:tc>
        <w:tc>
          <w:tcPr>
            <w:tcW w:w="1080" w:type="dxa"/>
            <w:vAlign w:val="center"/>
          </w:tcPr>
          <w:p w:rsidR="00DE7E70" w:rsidRDefault="00B85DCD">
            <w:pPr>
              <w:spacing w:before="60" w:after="60" w:line="200" w:lineRule="exact"/>
              <w:jc w:val="center"/>
              <w:rPr>
                <w:noProof/>
                <w:sz w:val="16"/>
                <w:szCs w:val="16"/>
              </w:rPr>
            </w:pPr>
            <w:r>
              <w:rPr>
                <w:noProof/>
                <w:sz w:val="16"/>
                <w:szCs w:val="16"/>
              </w:rPr>
              <w:t xml:space="preserve">År </w:t>
            </w:r>
            <w:r>
              <w:rPr>
                <w:noProof/>
                <w:sz w:val="16"/>
                <w:szCs w:val="16"/>
              </w:rPr>
              <w:br/>
            </w:r>
            <w:r>
              <w:rPr>
                <w:b/>
                <w:noProof/>
                <w:sz w:val="16"/>
                <w:szCs w:val="16"/>
              </w:rPr>
              <w:t>2021</w:t>
            </w:r>
          </w:p>
        </w:tc>
        <w:tc>
          <w:tcPr>
            <w:tcW w:w="1080" w:type="dxa"/>
            <w:vAlign w:val="center"/>
          </w:tcPr>
          <w:p w:rsidR="00DE7E70" w:rsidRDefault="00B85DCD">
            <w:pPr>
              <w:spacing w:before="60" w:after="60" w:line="200" w:lineRule="exact"/>
              <w:jc w:val="center"/>
              <w:rPr>
                <w:noProof/>
                <w:sz w:val="16"/>
                <w:szCs w:val="16"/>
              </w:rPr>
            </w:pPr>
            <w:r>
              <w:rPr>
                <w:noProof/>
                <w:sz w:val="16"/>
                <w:szCs w:val="16"/>
              </w:rPr>
              <w:t xml:space="preserve">År </w:t>
            </w:r>
            <w:r>
              <w:rPr>
                <w:noProof/>
                <w:sz w:val="16"/>
                <w:szCs w:val="16"/>
              </w:rPr>
              <w:br/>
            </w:r>
            <w:r>
              <w:rPr>
                <w:b/>
                <w:noProof/>
                <w:sz w:val="16"/>
                <w:szCs w:val="16"/>
              </w:rPr>
              <w:t>2022</w:t>
            </w:r>
          </w:p>
        </w:tc>
        <w:tc>
          <w:tcPr>
            <w:tcW w:w="3240" w:type="dxa"/>
            <w:vAlign w:val="center"/>
          </w:tcPr>
          <w:p w:rsidR="00DE7E70" w:rsidRDefault="00B85DCD">
            <w:pPr>
              <w:spacing w:line="200" w:lineRule="exact"/>
              <w:jc w:val="center"/>
              <w:rPr>
                <w:b/>
                <w:noProof/>
                <w:sz w:val="16"/>
                <w:szCs w:val="16"/>
              </w:rPr>
            </w:pPr>
            <w:r>
              <w:rPr>
                <w:noProof/>
                <w:sz w:val="16"/>
                <w:szCs w:val="16"/>
              </w:rPr>
              <w:t>2023-2032</w:t>
            </w:r>
          </w:p>
        </w:tc>
        <w:tc>
          <w:tcPr>
            <w:tcW w:w="1080" w:type="dxa"/>
            <w:vAlign w:val="center"/>
          </w:tcPr>
          <w:p w:rsidR="00DE7E70" w:rsidRDefault="00B85DCD">
            <w:pPr>
              <w:spacing w:before="60" w:after="60" w:line="200" w:lineRule="exact"/>
              <w:jc w:val="center"/>
              <w:rPr>
                <w:b/>
                <w:noProof/>
                <w:sz w:val="16"/>
                <w:szCs w:val="16"/>
              </w:rPr>
            </w:pPr>
            <w:r>
              <w:rPr>
                <w:b/>
                <w:noProof/>
                <w:sz w:val="16"/>
                <w:szCs w:val="16"/>
              </w:rPr>
              <w:t>I ALT</w:t>
            </w:r>
          </w:p>
        </w:tc>
      </w:tr>
    </w:tbl>
    <w:p w:rsidR="00DE7E70" w:rsidRDefault="00DE7E70">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E7E70">
        <w:trPr>
          <w:trHeight w:val="585"/>
        </w:trPr>
        <w:tc>
          <w:tcPr>
            <w:tcW w:w="1980" w:type="dxa"/>
            <w:shd w:val="clear" w:color="auto" w:fill="CCCCCC"/>
            <w:vAlign w:val="center"/>
          </w:tcPr>
          <w:p w:rsidR="00DE7E70" w:rsidRDefault="00B85DCD">
            <w:pPr>
              <w:spacing w:before="60" w:after="60" w:line="200" w:lineRule="exact"/>
              <w:jc w:val="center"/>
              <w:rPr>
                <w:b/>
                <w:noProof/>
                <w:sz w:val="16"/>
                <w:szCs w:val="16"/>
              </w:rPr>
            </w:pPr>
            <w:r>
              <w:rPr>
                <w:b/>
                <w:noProof/>
                <w:sz w:val="16"/>
                <w:szCs w:val="16"/>
              </w:rPr>
              <w:t xml:space="preserve">UDGIFTSOMRÅDE 5 </w:t>
            </w:r>
            <w:r>
              <w:rPr>
                <w:b/>
                <w:noProof/>
                <w:sz w:val="16"/>
                <w:szCs w:val="16"/>
              </w:rPr>
              <w:br/>
              <w:t>i den flerårige finansielle ramme</w:t>
            </w: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b/>
                <w:noProof/>
                <w:sz w:val="16"/>
                <w:szCs w:val="16"/>
              </w:rPr>
            </w:pPr>
          </w:p>
        </w:tc>
        <w:tc>
          <w:tcPr>
            <w:tcW w:w="1080" w:type="dxa"/>
            <w:vAlign w:val="center"/>
          </w:tcPr>
          <w:p w:rsidR="00DE7E70" w:rsidRDefault="00DE7E70">
            <w:pPr>
              <w:spacing w:before="60" w:after="60" w:line="200" w:lineRule="exact"/>
              <w:jc w:val="right"/>
              <w:rPr>
                <w:b/>
                <w:noProof/>
                <w:sz w:val="16"/>
                <w:szCs w:val="16"/>
              </w:rPr>
            </w:pPr>
          </w:p>
        </w:tc>
      </w:tr>
      <w:tr w:rsidR="00DE7E70">
        <w:trPr>
          <w:trHeight w:val="585"/>
        </w:trPr>
        <w:tc>
          <w:tcPr>
            <w:tcW w:w="1980" w:type="dxa"/>
            <w:vAlign w:val="center"/>
          </w:tcPr>
          <w:p w:rsidR="00DE7E70" w:rsidRDefault="00B85DCD">
            <w:pPr>
              <w:spacing w:before="60" w:after="60" w:line="200" w:lineRule="exact"/>
              <w:ind w:left="72"/>
              <w:jc w:val="left"/>
              <w:rPr>
                <w:noProof/>
                <w:sz w:val="16"/>
                <w:szCs w:val="16"/>
              </w:rPr>
            </w:pPr>
            <w:r>
              <w:rPr>
                <w:noProof/>
                <w:sz w:val="16"/>
                <w:szCs w:val="16"/>
              </w:rPr>
              <w:t xml:space="preserve">Menneskelige ressourcer </w:t>
            </w:r>
          </w:p>
        </w:tc>
        <w:tc>
          <w:tcPr>
            <w:tcW w:w="1080" w:type="dxa"/>
            <w:vAlign w:val="center"/>
          </w:tcPr>
          <w:p w:rsidR="00DE7E70" w:rsidRDefault="00B85DCD">
            <w:pPr>
              <w:spacing w:before="60" w:after="60" w:line="200" w:lineRule="exact"/>
              <w:jc w:val="right"/>
              <w:rPr>
                <w:noProof/>
                <w:sz w:val="16"/>
                <w:szCs w:val="16"/>
              </w:rPr>
            </w:pPr>
            <w:r>
              <w:rPr>
                <w:noProof/>
                <w:sz w:val="16"/>
                <w:szCs w:val="16"/>
              </w:rPr>
              <w:t>0,402</w:t>
            </w:r>
          </w:p>
        </w:tc>
        <w:tc>
          <w:tcPr>
            <w:tcW w:w="1080" w:type="dxa"/>
            <w:vAlign w:val="center"/>
          </w:tcPr>
          <w:p w:rsidR="00DE7E70" w:rsidRDefault="00B85DCD">
            <w:pPr>
              <w:spacing w:before="60" w:after="60" w:line="200" w:lineRule="exact"/>
              <w:jc w:val="right"/>
              <w:rPr>
                <w:noProof/>
                <w:sz w:val="16"/>
                <w:szCs w:val="16"/>
              </w:rPr>
            </w:pPr>
            <w:r>
              <w:rPr>
                <w:noProof/>
                <w:sz w:val="16"/>
                <w:szCs w:val="16"/>
              </w:rPr>
              <w:t>0,402</w:t>
            </w:r>
          </w:p>
        </w:tc>
        <w:tc>
          <w:tcPr>
            <w:tcW w:w="1080" w:type="dxa"/>
            <w:vAlign w:val="center"/>
          </w:tcPr>
          <w:p w:rsidR="00DE7E70" w:rsidRDefault="00B85DCD">
            <w:pPr>
              <w:spacing w:before="60" w:after="60" w:line="200" w:lineRule="exact"/>
              <w:jc w:val="right"/>
              <w:rPr>
                <w:noProof/>
                <w:sz w:val="16"/>
                <w:szCs w:val="16"/>
              </w:rPr>
            </w:pPr>
            <w:r>
              <w:rPr>
                <w:noProof/>
                <w:sz w:val="16"/>
                <w:szCs w:val="16"/>
              </w:rPr>
              <w:t>0,606</w:t>
            </w:r>
          </w:p>
        </w:tc>
        <w:tc>
          <w:tcPr>
            <w:tcW w:w="1080" w:type="dxa"/>
            <w:vAlign w:val="center"/>
          </w:tcPr>
          <w:p w:rsidR="00DE7E70" w:rsidRDefault="00B85DCD">
            <w:pPr>
              <w:spacing w:before="60" w:after="60" w:line="200" w:lineRule="exact"/>
              <w:jc w:val="right"/>
              <w:rPr>
                <w:noProof/>
                <w:sz w:val="16"/>
                <w:szCs w:val="16"/>
              </w:rPr>
            </w:pPr>
            <w:r>
              <w:rPr>
                <w:noProof/>
                <w:sz w:val="16"/>
                <w:szCs w:val="16"/>
              </w:rPr>
              <w:t>0,606</w:t>
            </w: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b/>
                <w:noProof/>
                <w:sz w:val="16"/>
                <w:szCs w:val="16"/>
              </w:rPr>
            </w:pPr>
          </w:p>
        </w:tc>
        <w:tc>
          <w:tcPr>
            <w:tcW w:w="1080" w:type="dxa"/>
            <w:vAlign w:val="center"/>
          </w:tcPr>
          <w:p w:rsidR="00DE7E70" w:rsidRDefault="00B85DCD">
            <w:pPr>
              <w:spacing w:before="60" w:after="60" w:line="200" w:lineRule="exact"/>
              <w:jc w:val="right"/>
              <w:rPr>
                <w:b/>
                <w:noProof/>
                <w:sz w:val="16"/>
                <w:szCs w:val="16"/>
              </w:rPr>
            </w:pPr>
            <w:r>
              <w:rPr>
                <w:b/>
                <w:noProof/>
                <w:sz w:val="16"/>
                <w:szCs w:val="16"/>
              </w:rPr>
              <w:t>2,016</w:t>
            </w:r>
          </w:p>
        </w:tc>
      </w:tr>
      <w:tr w:rsidR="00DE7E70">
        <w:trPr>
          <w:trHeight w:val="585"/>
        </w:trPr>
        <w:tc>
          <w:tcPr>
            <w:tcW w:w="1980" w:type="dxa"/>
            <w:vAlign w:val="center"/>
          </w:tcPr>
          <w:p w:rsidR="00DE7E70" w:rsidRDefault="00B85DCD">
            <w:pPr>
              <w:spacing w:before="60" w:after="60" w:line="200" w:lineRule="exact"/>
              <w:ind w:left="72"/>
              <w:jc w:val="left"/>
              <w:rPr>
                <w:noProof/>
                <w:sz w:val="16"/>
                <w:szCs w:val="16"/>
              </w:rPr>
            </w:pPr>
            <w:r>
              <w:rPr>
                <w:noProof/>
                <w:sz w:val="16"/>
                <w:szCs w:val="16"/>
              </w:rPr>
              <w:t xml:space="preserve">Andre administrative udgifter </w:t>
            </w: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B85DCD">
            <w:pPr>
              <w:spacing w:before="60" w:after="60" w:line="200" w:lineRule="exact"/>
              <w:jc w:val="right"/>
              <w:rPr>
                <w:noProof/>
                <w:sz w:val="16"/>
                <w:szCs w:val="16"/>
              </w:rPr>
            </w:pPr>
            <w:r>
              <w:rPr>
                <w:noProof/>
                <w:sz w:val="16"/>
                <w:szCs w:val="16"/>
              </w:rPr>
              <w:t>0,015</w:t>
            </w:r>
          </w:p>
        </w:tc>
        <w:tc>
          <w:tcPr>
            <w:tcW w:w="1080" w:type="dxa"/>
            <w:vAlign w:val="center"/>
          </w:tcPr>
          <w:p w:rsidR="00DE7E70" w:rsidRDefault="00B85DCD">
            <w:pPr>
              <w:spacing w:before="60" w:after="60" w:line="200" w:lineRule="exact"/>
              <w:jc w:val="right"/>
              <w:rPr>
                <w:noProof/>
                <w:sz w:val="16"/>
                <w:szCs w:val="16"/>
              </w:rPr>
            </w:pPr>
            <w:r>
              <w:rPr>
                <w:noProof/>
                <w:sz w:val="16"/>
                <w:szCs w:val="16"/>
              </w:rPr>
              <w:t>0,015</w:t>
            </w: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b/>
                <w:noProof/>
                <w:sz w:val="16"/>
                <w:szCs w:val="16"/>
              </w:rPr>
            </w:pPr>
          </w:p>
        </w:tc>
        <w:tc>
          <w:tcPr>
            <w:tcW w:w="1080" w:type="dxa"/>
            <w:vAlign w:val="center"/>
          </w:tcPr>
          <w:p w:rsidR="00DE7E70" w:rsidRDefault="00B85DCD">
            <w:pPr>
              <w:spacing w:before="60" w:after="60" w:line="200" w:lineRule="exact"/>
              <w:jc w:val="right"/>
              <w:rPr>
                <w:b/>
                <w:noProof/>
                <w:sz w:val="16"/>
                <w:szCs w:val="16"/>
              </w:rPr>
            </w:pPr>
            <w:r>
              <w:rPr>
                <w:b/>
                <w:noProof/>
                <w:sz w:val="16"/>
                <w:szCs w:val="16"/>
              </w:rPr>
              <w:t>0,030</w:t>
            </w:r>
          </w:p>
        </w:tc>
      </w:tr>
      <w:tr w:rsidR="00DE7E70">
        <w:trPr>
          <w:trHeight w:val="585"/>
        </w:trPr>
        <w:tc>
          <w:tcPr>
            <w:tcW w:w="1980" w:type="dxa"/>
            <w:shd w:val="clear" w:color="auto" w:fill="CCCCCC"/>
            <w:vAlign w:val="center"/>
          </w:tcPr>
          <w:p w:rsidR="00DE7E70" w:rsidRDefault="00B85DCD">
            <w:pPr>
              <w:spacing w:before="60" w:after="60" w:line="200" w:lineRule="exact"/>
              <w:jc w:val="center"/>
              <w:rPr>
                <w:b/>
                <w:noProof/>
                <w:sz w:val="16"/>
                <w:szCs w:val="16"/>
              </w:rPr>
            </w:pPr>
            <w:r>
              <w:rPr>
                <w:b/>
                <w:noProof/>
                <w:sz w:val="16"/>
                <w:szCs w:val="16"/>
              </w:rPr>
              <w:t xml:space="preserve">Subtotal UDGIFTSOMRÅDE 5 </w:t>
            </w:r>
            <w:r>
              <w:rPr>
                <w:b/>
                <w:noProof/>
                <w:sz w:val="16"/>
                <w:szCs w:val="16"/>
              </w:rPr>
              <w:br/>
              <w:t xml:space="preserve">i den flerårige finansielle ramme </w:t>
            </w:r>
          </w:p>
        </w:tc>
        <w:tc>
          <w:tcPr>
            <w:tcW w:w="1080" w:type="dxa"/>
            <w:vAlign w:val="center"/>
          </w:tcPr>
          <w:p w:rsidR="00DE7E70" w:rsidRDefault="00B85DCD">
            <w:pPr>
              <w:spacing w:before="60" w:after="60" w:line="200" w:lineRule="exact"/>
              <w:jc w:val="right"/>
              <w:rPr>
                <w:noProof/>
                <w:sz w:val="16"/>
                <w:szCs w:val="16"/>
              </w:rPr>
            </w:pPr>
            <w:r>
              <w:rPr>
                <w:noProof/>
                <w:sz w:val="16"/>
                <w:szCs w:val="16"/>
              </w:rPr>
              <w:t>0,402</w:t>
            </w:r>
          </w:p>
        </w:tc>
        <w:tc>
          <w:tcPr>
            <w:tcW w:w="1080" w:type="dxa"/>
            <w:vAlign w:val="center"/>
          </w:tcPr>
          <w:p w:rsidR="00DE7E70" w:rsidRDefault="00B85DCD">
            <w:pPr>
              <w:spacing w:before="60" w:after="60" w:line="200" w:lineRule="exact"/>
              <w:jc w:val="right"/>
              <w:rPr>
                <w:noProof/>
                <w:sz w:val="16"/>
                <w:szCs w:val="16"/>
              </w:rPr>
            </w:pPr>
            <w:r>
              <w:rPr>
                <w:noProof/>
                <w:sz w:val="16"/>
                <w:szCs w:val="16"/>
              </w:rPr>
              <w:t>0,402</w:t>
            </w:r>
          </w:p>
        </w:tc>
        <w:tc>
          <w:tcPr>
            <w:tcW w:w="1080" w:type="dxa"/>
            <w:vAlign w:val="center"/>
          </w:tcPr>
          <w:p w:rsidR="00DE7E70" w:rsidRDefault="00B85DCD">
            <w:pPr>
              <w:spacing w:before="60" w:after="60" w:line="200" w:lineRule="exact"/>
              <w:jc w:val="right"/>
              <w:rPr>
                <w:noProof/>
                <w:sz w:val="16"/>
                <w:szCs w:val="16"/>
              </w:rPr>
            </w:pPr>
            <w:r>
              <w:rPr>
                <w:noProof/>
                <w:sz w:val="16"/>
                <w:szCs w:val="16"/>
              </w:rPr>
              <w:t>0,621</w:t>
            </w:r>
          </w:p>
        </w:tc>
        <w:tc>
          <w:tcPr>
            <w:tcW w:w="1080" w:type="dxa"/>
            <w:vAlign w:val="center"/>
          </w:tcPr>
          <w:p w:rsidR="00DE7E70" w:rsidRDefault="00B85DCD">
            <w:pPr>
              <w:spacing w:before="60" w:after="60" w:line="200" w:lineRule="exact"/>
              <w:jc w:val="right"/>
              <w:rPr>
                <w:noProof/>
                <w:sz w:val="16"/>
                <w:szCs w:val="16"/>
              </w:rPr>
            </w:pPr>
            <w:r>
              <w:rPr>
                <w:noProof/>
                <w:sz w:val="16"/>
                <w:szCs w:val="16"/>
              </w:rPr>
              <w:t>0,621</w:t>
            </w: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b/>
                <w:noProof/>
                <w:sz w:val="16"/>
                <w:szCs w:val="16"/>
              </w:rPr>
            </w:pPr>
          </w:p>
        </w:tc>
        <w:tc>
          <w:tcPr>
            <w:tcW w:w="1080" w:type="dxa"/>
            <w:vAlign w:val="center"/>
          </w:tcPr>
          <w:p w:rsidR="00DE7E70" w:rsidRDefault="00B85DCD">
            <w:pPr>
              <w:spacing w:before="60" w:after="60" w:line="200" w:lineRule="exact"/>
              <w:jc w:val="right"/>
              <w:rPr>
                <w:b/>
                <w:noProof/>
                <w:sz w:val="16"/>
                <w:szCs w:val="16"/>
              </w:rPr>
            </w:pPr>
            <w:r>
              <w:rPr>
                <w:b/>
                <w:noProof/>
                <w:sz w:val="16"/>
                <w:szCs w:val="16"/>
              </w:rPr>
              <w:t>2,046</w:t>
            </w:r>
          </w:p>
        </w:tc>
      </w:tr>
    </w:tbl>
    <w:p w:rsidR="00DE7E70" w:rsidRDefault="00DE7E70">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E7E70">
        <w:trPr>
          <w:trHeight w:val="585"/>
        </w:trPr>
        <w:tc>
          <w:tcPr>
            <w:tcW w:w="1980" w:type="dxa"/>
            <w:shd w:val="clear" w:color="auto" w:fill="CCCCCC"/>
            <w:vAlign w:val="center"/>
          </w:tcPr>
          <w:p w:rsidR="00DE7E70" w:rsidRDefault="00B85DCD">
            <w:pPr>
              <w:spacing w:before="60" w:after="60" w:line="200" w:lineRule="exact"/>
              <w:jc w:val="center"/>
              <w:rPr>
                <w:b/>
                <w:noProof/>
                <w:sz w:val="16"/>
                <w:szCs w:val="16"/>
              </w:rPr>
            </w:pPr>
            <w:r>
              <w:rPr>
                <w:b/>
                <w:noProof/>
                <w:sz w:val="16"/>
                <w:szCs w:val="16"/>
              </w:rPr>
              <w:t>Uden for UDGIFTSOMRÅDE 5</w:t>
            </w:r>
            <w:r>
              <w:rPr>
                <w:rStyle w:val="FootnoteReference"/>
                <w:b/>
                <w:noProof/>
                <w:sz w:val="16"/>
                <w:szCs w:val="20"/>
              </w:rPr>
              <w:footnoteReference w:id="33"/>
            </w:r>
            <w:r>
              <w:rPr>
                <w:b/>
                <w:noProof/>
                <w:sz w:val="16"/>
                <w:szCs w:val="16"/>
              </w:rPr>
              <w:t xml:space="preserve"> </w:t>
            </w:r>
            <w:r>
              <w:rPr>
                <w:b/>
                <w:noProof/>
                <w:sz w:val="16"/>
                <w:szCs w:val="16"/>
              </w:rPr>
              <w:br/>
              <w:t xml:space="preserve">i den flerårige finansielle ramme </w:t>
            </w:r>
          </w:p>
          <w:p w:rsidR="00DE7E70" w:rsidRDefault="00DE7E70">
            <w:pPr>
              <w:spacing w:before="0" w:after="0" w:line="200" w:lineRule="exact"/>
              <w:jc w:val="center"/>
              <w:rPr>
                <w:b/>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b/>
                <w:noProof/>
                <w:sz w:val="16"/>
                <w:szCs w:val="16"/>
              </w:rPr>
            </w:pPr>
          </w:p>
        </w:tc>
        <w:tc>
          <w:tcPr>
            <w:tcW w:w="1080" w:type="dxa"/>
            <w:vAlign w:val="center"/>
          </w:tcPr>
          <w:p w:rsidR="00DE7E70" w:rsidRDefault="00DE7E70">
            <w:pPr>
              <w:spacing w:before="60" w:after="60" w:line="200" w:lineRule="exact"/>
              <w:jc w:val="right"/>
              <w:rPr>
                <w:b/>
                <w:noProof/>
                <w:sz w:val="16"/>
                <w:szCs w:val="16"/>
              </w:rPr>
            </w:pPr>
          </w:p>
        </w:tc>
      </w:tr>
      <w:tr w:rsidR="00DE7E70">
        <w:trPr>
          <w:trHeight w:val="585"/>
        </w:trPr>
        <w:tc>
          <w:tcPr>
            <w:tcW w:w="1980" w:type="dxa"/>
            <w:vAlign w:val="center"/>
          </w:tcPr>
          <w:p w:rsidR="00DE7E70" w:rsidRDefault="00B85DCD">
            <w:pPr>
              <w:spacing w:before="60" w:after="60" w:line="200" w:lineRule="exact"/>
              <w:ind w:left="72"/>
              <w:jc w:val="left"/>
              <w:rPr>
                <w:noProof/>
                <w:sz w:val="16"/>
                <w:szCs w:val="16"/>
              </w:rPr>
            </w:pPr>
            <w:r>
              <w:rPr>
                <w:noProof/>
                <w:sz w:val="16"/>
                <w:szCs w:val="16"/>
              </w:rPr>
              <w:t xml:space="preserve">Menneskelige Ressourcer  </w:t>
            </w: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b/>
                <w:noProof/>
                <w:sz w:val="16"/>
                <w:szCs w:val="16"/>
              </w:rPr>
            </w:pPr>
          </w:p>
        </w:tc>
        <w:tc>
          <w:tcPr>
            <w:tcW w:w="1080" w:type="dxa"/>
            <w:vAlign w:val="center"/>
          </w:tcPr>
          <w:p w:rsidR="00DE7E70" w:rsidRDefault="00DE7E70">
            <w:pPr>
              <w:spacing w:before="60" w:after="60" w:line="200" w:lineRule="exact"/>
              <w:jc w:val="right"/>
              <w:rPr>
                <w:b/>
                <w:noProof/>
                <w:sz w:val="16"/>
                <w:szCs w:val="16"/>
              </w:rPr>
            </w:pPr>
          </w:p>
        </w:tc>
      </w:tr>
      <w:tr w:rsidR="00DE7E70">
        <w:trPr>
          <w:trHeight w:val="585"/>
        </w:trPr>
        <w:tc>
          <w:tcPr>
            <w:tcW w:w="1980" w:type="dxa"/>
            <w:vAlign w:val="center"/>
          </w:tcPr>
          <w:p w:rsidR="00DE7E70" w:rsidRDefault="00B85DCD">
            <w:pPr>
              <w:spacing w:before="60" w:after="60" w:line="200" w:lineRule="exact"/>
              <w:ind w:left="72"/>
              <w:jc w:val="left"/>
              <w:rPr>
                <w:noProof/>
                <w:sz w:val="16"/>
                <w:szCs w:val="16"/>
              </w:rPr>
            </w:pPr>
            <w:r>
              <w:rPr>
                <w:noProof/>
                <w:sz w:val="16"/>
                <w:szCs w:val="16"/>
              </w:rPr>
              <w:t>Andre udgifter af administrativ art</w:t>
            </w: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b/>
                <w:noProof/>
                <w:sz w:val="16"/>
                <w:szCs w:val="16"/>
              </w:rPr>
            </w:pPr>
          </w:p>
        </w:tc>
        <w:tc>
          <w:tcPr>
            <w:tcW w:w="1080" w:type="dxa"/>
            <w:vAlign w:val="center"/>
          </w:tcPr>
          <w:p w:rsidR="00DE7E70" w:rsidRDefault="00DE7E70">
            <w:pPr>
              <w:spacing w:before="60" w:after="60" w:line="200" w:lineRule="exact"/>
              <w:jc w:val="right"/>
              <w:rPr>
                <w:b/>
                <w:noProof/>
                <w:sz w:val="16"/>
                <w:szCs w:val="16"/>
              </w:rPr>
            </w:pPr>
          </w:p>
        </w:tc>
      </w:tr>
      <w:tr w:rsidR="00DE7E70">
        <w:trPr>
          <w:trHeight w:val="585"/>
        </w:trPr>
        <w:tc>
          <w:tcPr>
            <w:tcW w:w="1980" w:type="dxa"/>
            <w:shd w:val="clear" w:color="auto" w:fill="CCCCCC"/>
            <w:vAlign w:val="center"/>
          </w:tcPr>
          <w:p w:rsidR="00DE7E70" w:rsidRDefault="00B85DCD">
            <w:pPr>
              <w:spacing w:before="60" w:after="60" w:line="200" w:lineRule="exact"/>
              <w:jc w:val="center"/>
              <w:rPr>
                <w:b/>
                <w:noProof/>
                <w:sz w:val="16"/>
                <w:szCs w:val="16"/>
              </w:rPr>
            </w:pPr>
            <w:r>
              <w:rPr>
                <w:b/>
                <w:noProof/>
                <w:sz w:val="16"/>
                <w:szCs w:val="16"/>
              </w:rPr>
              <w:t>Subtotal</w:t>
            </w:r>
            <w:r>
              <w:rPr>
                <w:b/>
                <w:noProof/>
                <w:sz w:val="16"/>
                <w:szCs w:val="16"/>
              </w:rPr>
              <w:br/>
              <w:t>uden for UDGIFTSOMRÅDE 5</w:t>
            </w:r>
            <w:r>
              <w:rPr>
                <w:noProof/>
                <w:sz w:val="16"/>
                <w:szCs w:val="16"/>
              </w:rPr>
              <w:t xml:space="preserve"> </w:t>
            </w:r>
            <w:r>
              <w:rPr>
                <w:noProof/>
                <w:sz w:val="16"/>
                <w:szCs w:val="16"/>
              </w:rPr>
              <w:br/>
              <w:t>i den flerårige finansielle ramme</w:t>
            </w:r>
            <w:r>
              <w:rPr>
                <w:b/>
                <w:noProof/>
                <w:sz w:val="16"/>
                <w:szCs w:val="16"/>
              </w:rPr>
              <w:t xml:space="preserve"> </w:t>
            </w: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noProof/>
                <w:sz w:val="16"/>
                <w:szCs w:val="16"/>
              </w:rPr>
            </w:pPr>
          </w:p>
        </w:tc>
        <w:tc>
          <w:tcPr>
            <w:tcW w:w="1080" w:type="dxa"/>
            <w:vAlign w:val="center"/>
          </w:tcPr>
          <w:p w:rsidR="00DE7E70" w:rsidRDefault="00DE7E70">
            <w:pPr>
              <w:spacing w:before="60" w:after="60" w:line="200" w:lineRule="exact"/>
              <w:jc w:val="right"/>
              <w:rPr>
                <w:b/>
                <w:noProof/>
                <w:sz w:val="16"/>
                <w:szCs w:val="16"/>
              </w:rPr>
            </w:pPr>
          </w:p>
        </w:tc>
        <w:tc>
          <w:tcPr>
            <w:tcW w:w="1080" w:type="dxa"/>
            <w:vAlign w:val="center"/>
          </w:tcPr>
          <w:p w:rsidR="00DE7E70" w:rsidRDefault="00DE7E70">
            <w:pPr>
              <w:spacing w:before="60" w:after="60" w:line="200" w:lineRule="exact"/>
              <w:jc w:val="right"/>
              <w:rPr>
                <w:b/>
                <w:noProof/>
                <w:sz w:val="16"/>
                <w:szCs w:val="16"/>
              </w:rPr>
            </w:pPr>
          </w:p>
        </w:tc>
      </w:tr>
    </w:tbl>
    <w:p w:rsidR="00DE7E70" w:rsidRDefault="00DE7E70">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E7E70">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DE7E70" w:rsidRDefault="00B85DCD">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rsidR="00DE7E70" w:rsidRDefault="00B85DCD">
            <w:pPr>
              <w:spacing w:before="60" w:after="60" w:line="200" w:lineRule="exact"/>
              <w:jc w:val="right"/>
              <w:rPr>
                <w:b/>
                <w:noProof/>
                <w:sz w:val="16"/>
                <w:szCs w:val="16"/>
              </w:rPr>
            </w:pPr>
            <w:r>
              <w:rPr>
                <w:b/>
                <w:noProof/>
                <w:sz w:val="16"/>
                <w:szCs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rsidR="00DE7E70" w:rsidRDefault="00B85DCD">
            <w:pPr>
              <w:spacing w:before="60" w:after="60" w:line="200" w:lineRule="exact"/>
              <w:jc w:val="right"/>
              <w:rPr>
                <w:b/>
                <w:noProof/>
                <w:sz w:val="16"/>
                <w:szCs w:val="16"/>
              </w:rPr>
            </w:pPr>
            <w:r>
              <w:rPr>
                <w:b/>
                <w:noProof/>
                <w:sz w:val="16"/>
                <w:szCs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rsidR="00DE7E70" w:rsidRDefault="00B85DCD">
            <w:pPr>
              <w:spacing w:before="60" w:after="60" w:line="200" w:lineRule="exact"/>
              <w:jc w:val="right"/>
              <w:rPr>
                <w:b/>
                <w:noProof/>
                <w:sz w:val="16"/>
                <w:szCs w:val="16"/>
              </w:rPr>
            </w:pPr>
            <w:r>
              <w:rPr>
                <w:b/>
                <w:noProof/>
                <w:sz w:val="16"/>
                <w:szCs w:val="16"/>
              </w:rPr>
              <w:t>0,621</w:t>
            </w:r>
          </w:p>
        </w:tc>
        <w:tc>
          <w:tcPr>
            <w:tcW w:w="1080" w:type="dxa"/>
            <w:tcBorders>
              <w:top w:val="single" w:sz="12" w:space="0" w:color="auto"/>
              <w:left w:val="single" w:sz="2" w:space="0" w:color="auto"/>
              <w:bottom w:val="single" w:sz="12" w:space="0" w:color="auto"/>
              <w:right w:val="single" w:sz="2" w:space="0" w:color="auto"/>
            </w:tcBorders>
            <w:vAlign w:val="center"/>
          </w:tcPr>
          <w:p w:rsidR="00DE7E70" w:rsidRDefault="00B85DCD">
            <w:pPr>
              <w:spacing w:before="60" w:after="60" w:line="200" w:lineRule="exact"/>
              <w:jc w:val="right"/>
              <w:rPr>
                <w:b/>
                <w:noProof/>
                <w:sz w:val="16"/>
                <w:szCs w:val="16"/>
              </w:rPr>
            </w:pPr>
            <w:r>
              <w:rPr>
                <w:b/>
                <w:noProof/>
                <w:sz w:val="16"/>
                <w:szCs w:val="16"/>
              </w:rPr>
              <w:t>0,621</w:t>
            </w:r>
          </w:p>
        </w:tc>
        <w:tc>
          <w:tcPr>
            <w:tcW w:w="1080" w:type="dxa"/>
            <w:tcBorders>
              <w:top w:val="single" w:sz="12" w:space="0" w:color="auto"/>
              <w:left w:val="single" w:sz="2" w:space="0" w:color="auto"/>
              <w:bottom w:val="single" w:sz="12" w:space="0" w:color="auto"/>
              <w:right w:val="single" w:sz="2" w:space="0" w:color="auto"/>
            </w:tcBorders>
            <w:vAlign w:val="center"/>
          </w:tcPr>
          <w:p w:rsidR="00DE7E70" w:rsidRDefault="00DE7E7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E7E70" w:rsidRDefault="00DE7E7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E7E70" w:rsidRDefault="00DE7E7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DE7E70" w:rsidRDefault="00B85DCD">
            <w:pPr>
              <w:spacing w:before="60" w:after="60" w:line="200" w:lineRule="exact"/>
              <w:jc w:val="right"/>
              <w:rPr>
                <w:b/>
                <w:noProof/>
                <w:sz w:val="16"/>
                <w:szCs w:val="16"/>
              </w:rPr>
            </w:pPr>
            <w:r>
              <w:rPr>
                <w:b/>
                <w:noProof/>
                <w:sz w:val="16"/>
                <w:szCs w:val="16"/>
              </w:rPr>
              <w:t>2,046</w:t>
            </w:r>
          </w:p>
        </w:tc>
      </w:tr>
    </w:tbl>
    <w:p w:rsidR="00DE7E70" w:rsidRDefault="00B85DCD">
      <w:pPr>
        <w:rPr>
          <w:noProof/>
          <w:sz w:val="18"/>
        </w:rPr>
        <w:sectPr w:rsidR="00DE7E70" w:rsidSect="00B85DCD">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De nødvendige bevillinger til menneskelige ressourcer og andre administrationsudgifter vil blive dækket ved hjælp af de bevillinger, der i forvejen er afsat til generaldirektoratets forvaltning af aktionen, og/eller ved intern omforde</w:t>
      </w:r>
      <w:r>
        <w:rPr>
          <w:noProof/>
          <w:sz w:val="18"/>
        </w:rPr>
        <w:t>ling i generaldirektoratet, eventuelt, hvis nødvendigt, suppleret med yderligere bevillinger, som tildeles det ansvarlige generaldirektorat i forbindelse med den årlige tildelingsprocedure under hensyntagen til de budgetmæssige begrænsninger</w:t>
      </w:r>
    </w:p>
    <w:p w:rsidR="00DE7E70" w:rsidRDefault="00B85DCD">
      <w:pPr>
        <w:pStyle w:val="ManualHeading4"/>
        <w:rPr>
          <w:bCs/>
          <w:noProof/>
          <w:szCs w:val="24"/>
        </w:rPr>
      </w:pPr>
      <w:r>
        <w:t>3.2.3.2.</w:t>
      </w:r>
      <w:r>
        <w:tab/>
      </w:r>
      <w:r>
        <w:rPr>
          <w:noProof/>
        </w:rPr>
        <w:t>Anslå</w:t>
      </w:r>
      <w:r>
        <w:rPr>
          <w:noProof/>
        </w:rPr>
        <w:t>et behov for menneskelige ressourcer</w:t>
      </w:r>
    </w:p>
    <w:p w:rsidR="00DE7E70" w:rsidRDefault="00B85DCD">
      <w:pPr>
        <w:pStyle w:val="ListDash1"/>
        <w:rPr>
          <w:noProof/>
        </w:rPr>
      </w:pPr>
      <w:r>
        <w:rPr>
          <w:noProof/>
        </w:rPr>
        <w:sym w:font="Wingdings" w:char="F0A8"/>
      </w:r>
      <w:r>
        <w:rPr>
          <w:noProof/>
        </w:rPr>
        <w:tab/>
        <w:t xml:space="preserve">Forslaget/initiativet medfører ikke anvendelse af menneskelige ressourcer </w:t>
      </w:r>
    </w:p>
    <w:p w:rsidR="00DE7E70" w:rsidRDefault="00B85DCD">
      <w:pPr>
        <w:pStyle w:val="ListDash1"/>
        <w:rPr>
          <w:noProof/>
        </w:rPr>
      </w:pPr>
      <w:r>
        <w:rPr>
          <w:noProof/>
        </w:rPr>
        <w:t>X Forslaget/initiativet medfører anvendelse af menneskelige ressourcer som anført herunder:</w:t>
      </w:r>
    </w:p>
    <w:p w:rsidR="00DE7E70" w:rsidRDefault="00B85DCD">
      <w:pPr>
        <w:spacing w:after="60"/>
        <w:jc w:val="right"/>
        <w:rPr>
          <w:i/>
          <w:noProof/>
          <w:sz w:val="20"/>
          <w:szCs w:val="20"/>
        </w:rPr>
      </w:pPr>
      <w:r>
        <w:rPr>
          <w:i/>
          <w:noProof/>
          <w:sz w:val="20"/>
          <w:szCs w:val="20"/>
        </w:rPr>
        <w:t>Overslag angives i årsværk</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2"/>
        <w:gridCol w:w="1954"/>
        <w:gridCol w:w="655"/>
        <w:gridCol w:w="655"/>
        <w:gridCol w:w="3785"/>
        <w:gridCol w:w="575"/>
        <w:gridCol w:w="237"/>
        <w:gridCol w:w="237"/>
        <w:gridCol w:w="236"/>
      </w:tblGrid>
      <w:tr w:rsidR="00DE7E70">
        <w:trPr>
          <w:gridBefore w:val="1"/>
          <w:wBefore w:w="6" w:type="pct"/>
          <w:trHeight w:val="289"/>
          <w:jc w:val="center"/>
        </w:trPr>
        <w:tc>
          <w:tcPr>
            <w:tcW w:w="1897" w:type="pct"/>
            <w:gridSpan w:val="2"/>
            <w:shd w:val="clear" w:color="auto" w:fill="auto"/>
          </w:tcPr>
          <w:p w:rsidR="00DE7E70" w:rsidRDefault="00DE7E70">
            <w:pPr>
              <w:pStyle w:val="Text1"/>
              <w:spacing w:before="40" w:after="40"/>
              <w:ind w:left="0"/>
              <w:jc w:val="center"/>
              <w:rPr>
                <w:i/>
                <w:noProof/>
                <w:sz w:val="16"/>
                <w:szCs w:val="16"/>
              </w:rPr>
            </w:pPr>
          </w:p>
        </w:tc>
        <w:tc>
          <w:tcPr>
            <w:tcW w:w="318" w:type="pct"/>
            <w:shd w:val="clear" w:color="auto" w:fill="auto"/>
            <w:vAlign w:val="center"/>
          </w:tcPr>
          <w:p w:rsidR="00DE7E70" w:rsidRDefault="00B85DCD">
            <w:pPr>
              <w:spacing w:before="20" w:after="20"/>
              <w:jc w:val="center"/>
              <w:rPr>
                <w:noProof/>
                <w:sz w:val="16"/>
                <w:szCs w:val="16"/>
              </w:rPr>
            </w:pPr>
            <w:r>
              <w:rPr>
                <w:noProof/>
                <w:sz w:val="16"/>
                <w:szCs w:val="16"/>
              </w:rPr>
              <w:t>Year</w:t>
            </w:r>
            <w:r>
              <w:rPr>
                <w:noProof/>
                <w:sz w:val="16"/>
                <w:szCs w:val="16"/>
              </w:rPr>
              <w:br/>
            </w:r>
            <w:r>
              <w:rPr>
                <w:b/>
                <w:noProof/>
                <w:sz w:val="16"/>
                <w:szCs w:val="16"/>
              </w:rPr>
              <w:t>2017</w:t>
            </w:r>
          </w:p>
        </w:tc>
        <w:tc>
          <w:tcPr>
            <w:tcW w:w="318" w:type="pct"/>
            <w:shd w:val="clear" w:color="auto" w:fill="auto"/>
            <w:vAlign w:val="center"/>
          </w:tcPr>
          <w:p w:rsidR="00DE7E70" w:rsidRDefault="00B85DCD">
            <w:pPr>
              <w:spacing w:before="20" w:after="20"/>
              <w:jc w:val="center"/>
              <w:rPr>
                <w:noProof/>
                <w:sz w:val="16"/>
                <w:szCs w:val="16"/>
              </w:rPr>
            </w:pPr>
            <w:r>
              <w:rPr>
                <w:noProof/>
                <w:sz w:val="16"/>
                <w:szCs w:val="16"/>
              </w:rPr>
              <w:t xml:space="preserve">År </w:t>
            </w:r>
            <w:r>
              <w:rPr>
                <w:noProof/>
                <w:sz w:val="16"/>
                <w:szCs w:val="16"/>
              </w:rPr>
              <w:br/>
            </w:r>
            <w:r>
              <w:rPr>
                <w:b/>
                <w:noProof/>
                <w:sz w:val="16"/>
                <w:szCs w:val="16"/>
              </w:rPr>
              <w:t>2018</w:t>
            </w:r>
          </w:p>
        </w:tc>
        <w:tc>
          <w:tcPr>
            <w:tcW w:w="1838" w:type="pct"/>
            <w:shd w:val="clear" w:color="auto" w:fill="auto"/>
            <w:vAlign w:val="center"/>
          </w:tcPr>
          <w:p w:rsidR="00DE7E70" w:rsidRDefault="00B85DCD">
            <w:pPr>
              <w:spacing w:before="20" w:after="20"/>
              <w:jc w:val="center"/>
              <w:rPr>
                <w:noProof/>
                <w:sz w:val="16"/>
                <w:szCs w:val="16"/>
              </w:rPr>
            </w:pPr>
            <w:r>
              <w:rPr>
                <w:noProof/>
                <w:sz w:val="16"/>
                <w:szCs w:val="16"/>
              </w:rPr>
              <w:t xml:space="preserve">År </w:t>
            </w:r>
            <w:r>
              <w:rPr>
                <w:noProof/>
                <w:sz w:val="16"/>
                <w:szCs w:val="16"/>
              </w:rPr>
              <w:t>2019</w:t>
            </w:r>
          </w:p>
        </w:tc>
        <w:tc>
          <w:tcPr>
            <w:tcW w:w="279" w:type="pct"/>
            <w:shd w:val="clear" w:color="auto" w:fill="auto"/>
            <w:vAlign w:val="center"/>
          </w:tcPr>
          <w:p w:rsidR="00DE7E70" w:rsidRDefault="00B85DCD">
            <w:pPr>
              <w:spacing w:before="20" w:after="20"/>
              <w:jc w:val="center"/>
              <w:rPr>
                <w:noProof/>
                <w:sz w:val="16"/>
                <w:szCs w:val="16"/>
              </w:rPr>
            </w:pPr>
            <w:r>
              <w:rPr>
                <w:noProof/>
                <w:sz w:val="16"/>
                <w:szCs w:val="16"/>
              </w:rPr>
              <w:t>År 2020</w:t>
            </w:r>
          </w:p>
        </w:tc>
        <w:tc>
          <w:tcPr>
            <w:tcW w:w="345" w:type="pct"/>
            <w:gridSpan w:val="3"/>
            <w:shd w:val="clear" w:color="auto" w:fill="auto"/>
            <w:vAlign w:val="center"/>
          </w:tcPr>
          <w:p w:rsidR="00DE7E70" w:rsidRDefault="00DE7E70">
            <w:pPr>
              <w:jc w:val="center"/>
              <w:rPr>
                <w:b/>
                <w:noProof/>
                <w:sz w:val="16"/>
                <w:szCs w:val="16"/>
                <w:highlight w:val="yellow"/>
              </w:rPr>
            </w:pPr>
          </w:p>
        </w:tc>
      </w:tr>
      <w:tr w:rsidR="00DE7E70">
        <w:trPr>
          <w:gridBefore w:val="1"/>
          <w:wBefore w:w="6" w:type="pct"/>
          <w:trHeight w:val="289"/>
          <w:jc w:val="center"/>
        </w:trPr>
        <w:tc>
          <w:tcPr>
            <w:tcW w:w="4371" w:type="pct"/>
            <w:gridSpan w:val="5"/>
            <w:shd w:val="clear" w:color="auto" w:fill="auto"/>
          </w:tcPr>
          <w:p w:rsidR="00DE7E70" w:rsidRDefault="00B85DCD">
            <w:pPr>
              <w:spacing w:before="20" w:after="20"/>
              <w:rPr>
                <w:noProof/>
                <w:sz w:val="16"/>
                <w:szCs w:val="16"/>
              </w:rPr>
            </w:pPr>
            <w:r>
              <w:rPr>
                <w:b/>
                <w:noProof/>
                <w:sz w:val="16"/>
                <w:szCs w:val="16"/>
              </w:rPr>
              <w:sym w:font="Wingdings" w:char="F09F"/>
            </w:r>
            <w:r>
              <w:rPr>
                <w:noProof/>
                <w:sz w:val="16"/>
                <w:szCs w:val="16"/>
              </w:rPr>
              <w:t xml:space="preserve"> </w:t>
            </w:r>
            <w:r>
              <w:rPr>
                <w:b/>
                <w:noProof/>
                <w:sz w:val="16"/>
                <w:szCs w:val="16"/>
              </w:rPr>
              <w:t>Normerede stillinger (tjenestemænd og midlertidigt ansatte)</w:t>
            </w:r>
          </w:p>
        </w:tc>
        <w:tc>
          <w:tcPr>
            <w:tcW w:w="279" w:type="pct"/>
            <w:shd w:val="clear" w:color="auto" w:fill="auto"/>
            <w:vAlign w:val="center"/>
          </w:tcPr>
          <w:p w:rsidR="00DE7E70" w:rsidRDefault="00DE7E70">
            <w:pPr>
              <w:spacing w:before="20" w:after="20"/>
              <w:jc w:val="center"/>
              <w:rPr>
                <w:noProof/>
                <w:sz w:val="16"/>
                <w:szCs w:val="16"/>
              </w:rPr>
            </w:pPr>
          </w:p>
        </w:tc>
        <w:tc>
          <w:tcPr>
            <w:tcW w:w="345" w:type="pct"/>
            <w:gridSpan w:val="3"/>
            <w:shd w:val="clear" w:color="auto" w:fill="auto"/>
            <w:vAlign w:val="center"/>
          </w:tcPr>
          <w:p w:rsidR="00DE7E70" w:rsidRDefault="00DE7E70">
            <w:pPr>
              <w:jc w:val="center"/>
              <w:rPr>
                <w:noProof/>
                <w:sz w:val="16"/>
                <w:szCs w:val="16"/>
              </w:rPr>
            </w:pPr>
          </w:p>
        </w:tc>
      </w:tr>
      <w:tr w:rsidR="00DE7E70">
        <w:trPr>
          <w:gridBefore w:val="1"/>
          <w:wBefore w:w="6" w:type="pct"/>
          <w:trHeight w:val="289"/>
          <w:jc w:val="center"/>
        </w:trPr>
        <w:tc>
          <w:tcPr>
            <w:tcW w:w="1897" w:type="pct"/>
            <w:gridSpan w:val="2"/>
            <w:shd w:val="clear" w:color="auto" w:fill="auto"/>
            <w:vAlign w:val="center"/>
          </w:tcPr>
          <w:p w:rsidR="00DE7E70" w:rsidRDefault="00B85DCD">
            <w:pPr>
              <w:pStyle w:val="Text1"/>
              <w:spacing w:beforeLines="20" w:before="48" w:afterLines="20" w:after="48"/>
              <w:ind w:left="134"/>
              <w:jc w:val="left"/>
              <w:rPr>
                <w:b/>
                <w:noProof/>
                <w:sz w:val="16"/>
                <w:szCs w:val="16"/>
              </w:rPr>
            </w:pPr>
            <w:r>
              <w:rPr>
                <w:noProof/>
                <w:sz w:val="16"/>
              </w:rPr>
              <w:t>34 01 01 01 (Hovedsædet og i Kommissionens repræsentationskontorer)</w:t>
            </w:r>
          </w:p>
        </w:tc>
        <w:tc>
          <w:tcPr>
            <w:tcW w:w="318" w:type="pct"/>
            <w:shd w:val="clear" w:color="auto" w:fill="auto"/>
            <w:vAlign w:val="center"/>
          </w:tcPr>
          <w:p w:rsidR="00DE7E70" w:rsidRDefault="00B85DCD">
            <w:pPr>
              <w:spacing w:beforeLines="20" w:before="48" w:afterLines="20" w:after="48"/>
              <w:jc w:val="center"/>
              <w:rPr>
                <w:noProof/>
                <w:sz w:val="16"/>
                <w:szCs w:val="16"/>
              </w:rPr>
            </w:pPr>
            <w:r>
              <w:rPr>
                <w:noProof/>
                <w:sz w:val="16"/>
                <w:szCs w:val="16"/>
              </w:rPr>
              <w:t>3</w:t>
            </w:r>
          </w:p>
        </w:tc>
        <w:tc>
          <w:tcPr>
            <w:tcW w:w="318" w:type="pct"/>
            <w:shd w:val="clear" w:color="auto" w:fill="auto"/>
            <w:vAlign w:val="center"/>
          </w:tcPr>
          <w:p w:rsidR="00DE7E70" w:rsidRDefault="00B85DCD">
            <w:pPr>
              <w:spacing w:beforeLines="20" w:before="48" w:afterLines="20" w:after="48"/>
              <w:jc w:val="center"/>
              <w:rPr>
                <w:noProof/>
                <w:sz w:val="16"/>
                <w:szCs w:val="16"/>
              </w:rPr>
            </w:pPr>
            <w:r>
              <w:rPr>
                <w:noProof/>
                <w:sz w:val="16"/>
                <w:szCs w:val="16"/>
              </w:rPr>
              <w:t>3</w:t>
            </w:r>
          </w:p>
        </w:tc>
        <w:tc>
          <w:tcPr>
            <w:tcW w:w="1838" w:type="pct"/>
            <w:shd w:val="clear" w:color="auto" w:fill="auto"/>
            <w:vAlign w:val="center"/>
          </w:tcPr>
          <w:p w:rsidR="00DE7E70" w:rsidRDefault="00B85DCD">
            <w:pPr>
              <w:spacing w:beforeLines="20" w:before="48" w:afterLines="20" w:after="48"/>
              <w:jc w:val="center"/>
              <w:rPr>
                <w:noProof/>
                <w:sz w:val="16"/>
                <w:szCs w:val="16"/>
              </w:rPr>
            </w:pPr>
            <w:r>
              <w:rPr>
                <w:noProof/>
                <w:sz w:val="16"/>
                <w:szCs w:val="16"/>
              </w:rPr>
              <w:t>4</w:t>
            </w:r>
          </w:p>
        </w:tc>
        <w:tc>
          <w:tcPr>
            <w:tcW w:w="279" w:type="pct"/>
            <w:shd w:val="clear" w:color="auto" w:fill="auto"/>
            <w:vAlign w:val="center"/>
          </w:tcPr>
          <w:p w:rsidR="00DE7E70" w:rsidRDefault="00B85DCD">
            <w:pPr>
              <w:spacing w:beforeLines="20" w:before="48" w:afterLines="20" w:after="48"/>
              <w:jc w:val="center"/>
              <w:rPr>
                <w:noProof/>
                <w:sz w:val="16"/>
                <w:szCs w:val="16"/>
              </w:rPr>
            </w:pPr>
            <w:r>
              <w:rPr>
                <w:noProof/>
                <w:sz w:val="16"/>
                <w:szCs w:val="16"/>
              </w:rPr>
              <w:t>4</w:t>
            </w: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r>
      <w:tr w:rsidR="00DE7E70">
        <w:trPr>
          <w:gridBefore w:val="1"/>
          <w:wBefore w:w="6" w:type="pct"/>
          <w:trHeight w:val="289"/>
          <w:jc w:val="center"/>
        </w:trPr>
        <w:tc>
          <w:tcPr>
            <w:tcW w:w="1897" w:type="pct"/>
            <w:gridSpan w:val="2"/>
            <w:shd w:val="clear" w:color="auto" w:fill="auto"/>
            <w:vAlign w:val="center"/>
          </w:tcPr>
          <w:p w:rsidR="00DE7E70" w:rsidRDefault="00B85DCD">
            <w:pPr>
              <w:pStyle w:val="Text1"/>
              <w:spacing w:beforeLines="20" w:before="48" w:afterLines="20" w:after="48"/>
              <w:ind w:left="134"/>
              <w:jc w:val="left"/>
              <w:rPr>
                <w:noProof/>
                <w:sz w:val="16"/>
                <w:szCs w:val="16"/>
              </w:rPr>
            </w:pPr>
            <w:r>
              <w:rPr>
                <w:noProof/>
                <w:sz w:val="16"/>
              </w:rPr>
              <w:t>XX 01 01 02 (Delegationer)</w:t>
            </w:r>
          </w:p>
        </w:tc>
        <w:tc>
          <w:tcPr>
            <w:tcW w:w="318" w:type="pct"/>
            <w:shd w:val="clear" w:color="auto" w:fill="auto"/>
            <w:vAlign w:val="center"/>
          </w:tcPr>
          <w:p w:rsidR="00DE7E70" w:rsidRDefault="00DE7E70">
            <w:pPr>
              <w:spacing w:beforeLines="20" w:before="48" w:afterLines="20" w:after="48"/>
              <w:jc w:val="center"/>
              <w:rPr>
                <w:noProof/>
                <w:sz w:val="16"/>
                <w:szCs w:val="16"/>
              </w:rPr>
            </w:pPr>
          </w:p>
        </w:tc>
        <w:tc>
          <w:tcPr>
            <w:tcW w:w="318" w:type="pct"/>
            <w:shd w:val="clear" w:color="auto" w:fill="auto"/>
            <w:vAlign w:val="center"/>
          </w:tcPr>
          <w:p w:rsidR="00DE7E70" w:rsidRDefault="00DE7E70">
            <w:pPr>
              <w:spacing w:beforeLines="20" w:before="48" w:afterLines="20" w:after="48"/>
              <w:jc w:val="center"/>
              <w:rPr>
                <w:noProof/>
                <w:sz w:val="16"/>
                <w:szCs w:val="16"/>
              </w:rPr>
            </w:pPr>
          </w:p>
        </w:tc>
        <w:tc>
          <w:tcPr>
            <w:tcW w:w="1838" w:type="pct"/>
            <w:shd w:val="clear" w:color="auto" w:fill="auto"/>
            <w:vAlign w:val="center"/>
          </w:tcPr>
          <w:p w:rsidR="00DE7E70" w:rsidRDefault="00DE7E70">
            <w:pPr>
              <w:spacing w:beforeLines="20" w:before="48" w:afterLines="20" w:after="48"/>
              <w:jc w:val="center"/>
              <w:rPr>
                <w:noProof/>
                <w:sz w:val="16"/>
                <w:szCs w:val="16"/>
              </w:rPr>
            </w:pPr>
          </w:p>
        </w:tc>
        <w:tc>
          <w:tcPr>
            <w:tcW w:w="279"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r>
      <w:tr w:rsidR="00DE7E70">
        <w:trPr>
          <w:gridBefore w:val="1"/>
          <w:wBefore w:w="6" w:type="pct"/>
          <w:trHeight w:val="289"/>
          <w:jc w:val="center"/>
        </w:trPr>
        <w:tc>
          <w:tcPr>
            <w:tcW w:w="1897" w:type="pct"/>
            <w:gridSpan w:val="2"/>
            <w:shd w:val="clear" w:color="auto" w:fill="auto"/>
            <w:vAlign w:val="center"/>
          </w:tcPr>
          <w:p w:rsidR="00DE7E70" w:rsidRDefault="00B85DCD">
            <w:pPr>
              <w:pStyle w:val="Text1"/>
              <w:spacing w:beforeLines="20" w:before="48" w:afterLines="20" w:after="48"/>
              <w:ind w:left="134"/>
              <w:jc w:val="left"/>
              <w:rPr>
                <w:noProof/>
                <w:sz w:val="16"/>
                <w:szCs w:val="16"/>
              </w:rPr>
            </w:pPr>
            <w:r>
              <w:rPr>
                <w:noProof/>
                <w:sz w:val="16"/>
              </w:rPr>
              <w:t>XX 01 05 01 (Indirekte forskning)</w:t>
            </w:r>
          </w:p>
        </w:tc>
        <w:tc>
          <w:tcPr>
            <w:tcW w:w="318" w:type="pct"/>
            <w:shd w:val="clear" w:color="auto" w:fill="auto"/>
            <w:vAlign w:val="center"/>
          </w:tcPr>
          <w:p w:rsidR="00DE7E70" w:rsidRDefault="00DE7E70">
            <w:pPr>
              <w:spacing w:beforeLines="20" w:before="48" w:afterLines="20" w:after="48"/>
              <w:jc w:val="center"/>
              <w:rPr>
                <w:noProof/>
                <w:sz w:val="16"/>
                <w:szCs w:val="16"/>
              </w:rPr>
            </w:pPr>
          </w:p>
        </w:tc>
        <w:tc>
          <w:tcPr>
            <w:tcW w:w="318" w:type="pct"/>
            <w:shd w:val="clear" w:color="auto" w:fill="auto"/>
            <w:vAlign w:val="center"/>
          </w:tcPr>
          <w:p w:rsidR="00DE7E70" w:rsidRDefault="00DE7E70">
            <w:pPr>
              <w:spacing w:beforeLines="20" w:before="48" w:afterLines="20" w:after="48"/>
              <w:jc w:val="center"/>
              <w:rPr>
                <w:noProof/>
                <w:sz w:val="16"/>
                <w:szCs w:val="16"/>
              </w:rPr>
            </w:pPr>
          </w:p>
        </w:tc>
        <w:tc>
          <w:tcPr>
            <w:tcW w:w="1838" w:type="pct"/>
            <w:shd w:val="clear" w:color="auto" w:fill="auto"/>
            <w:vAlign w:val="center"/>
          </w:tcPr>
          <w:p w:rsidR="00DE7E70" w:rsidRDefault="00DE7E70">
            <w:pPr>
              <w:spacing w:beforeLines="20" w:before="48" w:afterLines="20" w:after="48"/>
              <w:jc w:val="center"/>
              <w:rPr>
                <w:noProof/>
                <w:sz w:val="16"/>
                <w:szCs w:val="16"/>
              </w:rPr>
            </w:pPr>
          </w:p>
        </w:tc>
        <w:tc>
          <w:tcPr>
            <w:tcW w:w="279"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r>
      <w:tr w:rsidR="00DE7E70">
        <w:trPr>
          <w:gridBefore w:val="1"/>
          <w:wBefore w:w="6" w:type="pct"/>
          <w:trHeight w:val="289"/>
          <w:jc w:val="center"/>
        </w:trPr>
        <w:tc>
          <w:tcPr>
            <w:tcW w:w="1897" w:type="pct"/>
            <w:gridSpan w:val="2"/>
            <w:shd w:val="clear" w:color="auto" w:fill="auto"/>
            <w:vAlign w:val="center"/>
          </w:tcPr>
          <w:p w:rsidR="00DE7E70" w:rsidRDefault="00B85DCD">
            <w:pPr>
              <w:pStyle w:val="Text1"/>
              <w:spacing w:beforeLines="20" w:before="48" w:afterLines="20" w:after="48"/>
              <w:ind w:left="134"/>
              <w:jc w:val="left"/>
              <w:rPr>
                <w:noProof/>
                <w:sz w:val="16"/>
                <w:szCs w:val="16"/>
              </w:rPr>
            </w:pPr>
            <w:r>
              <w:rPr>
                <w:noProof/>
                <w:sz w:val="16"/>
              </w:rPr>
              <w:t xml:space="preserve">10 01 05 01 </w:t>
            </w:r>
            <w:r>
              <w:rPr>
                <w:noProof/>
                <w:sz w:val="16"/>
              </w:rPr>
              <w:t>(Direkte forskning)</w:t>
            </w:r>
          </w:p>
        </w:tc>
        <w:tc>
          <w:tcPr>
            <w:tcW w:w="318" w:type="pct"/>
            <w:shd w:val="clear" w:color="auto" w:fill="auto"/>
            <w:vAlign w:val="center"/>
          </w:tcPr>
          <w:p w:rsidR="00DE7E70" w:rsidRDefault="00DE7E70">
            <w:pPr>
              <w:spacing w:beforeLines="20" w:before="48" w:afterLines="20" w:after="48"/>
              <w:jc w:val="center"/>
              <w:rPr>
                <w:noProof/>
                <w:sz w:val="16"/>
                <w:szCs w:val="16"/>
              </w:rPr>
            </w:pPr>
          </w:p>
        </w:tc>
        <w:tc>
          <w:tcPr>
            <w:tcW w:w="318" w:type="pct"/>
            <w:shd w:val="clear" w:color="auto" w:fill="auto"/>
            <w:vAlign w:val="center"/>
          </w:tcPr>
          <w:p w:rsidR="00DE7E70" w:rsidRDefault="00DE7E70">
            <w:pPr>
              <w:spacing w:beforeLines="20" w:before="48" w:afterLines="20" w:after="48"/>
              <w:jc w:val="center"/>
              <w:rPr>
                <w:noProof/>
                <w:sz w:val="16"/>
                <w:szCs w:val="16"/>
              </w:rPr>
            </w:pPr>
          </w:p>
        </w:tc>
        <w:tc>
          <w:tcPr>
            <w:tcW w:w="1838" w:type="pct"/>
            <w:shd w:val="clear" w:color="auto" w:fill="auto"/>
            <w:vAlign w:val="center"/>
          </w:tcPr>
          <w:p w:rsidR="00DE7E70" w:rsidRDefault="00DE7E70">
            <w:pPr>
              <w:spacing w:beforeLines="20" w:before="48" w:afterLines="20" w:after="48"/>
              <w:jc w:val="center"/>
              <w:rPr>
                <w:noProof/>
                <w:sz w:val="16"/>
                <w:szCs w:val="16"/>
              </w:rPr>
            </w:pPr>
          </w:p>
        </w:tc>
        <w:tc>
          <w:tcPr>
            <w:tcW w:w="279"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r>
      <w:tr w:rsidR="00DE7E70">
        <w:trPr>
          <w:gridAfter w:val="4"/>
          <w:wAfter w:w="623" w:type="pct"/>
          <w:trHeight w:val="248"/>
          <w:jc w:val="center"/>
        </w:trPr>
        <w:tc>
          <w:tcPr>
            <w:tcW w:w="4377" w:type="pct"/>
            <w:gridSpan w:val="6"/>
            <w:shd w:val="clear" w:color="auto" w:fill="auto"/>
            <w:vAlign w:val="center"/>
          </w:tcPr>
          <w:p w:rsidR="00DE7E70" w:rsidRDefault="00B85DCD">
            <w:pPr>
              <w:pStyle w:val="Text1"/>
              <w:spacing w:before="60" w:after="60"/>
              <w:ind w:left="0"/>
              <w:jc w:val="left"/>
              <w:rPr>
                <w:b/>
                <w:noProof/>
                <w:sz w:val="16"/>
                <w:szCs w:val="16"/>
              </w:rPr>
            </w:pPr>
            <w:r>
              <w:rPr>
                <w:b/>
                <w:noProof/>
                <w:sz w:val="16"/>
              </w:rPr>
              <w:sym w:font="Wingdings" w:char="F09F"/>
            </w:r>
            <w:r>
              <w:rPr>
                <w:b/>
                <w:noProof/>
                <w:sz w:val="16"/>
              </w:rPr>
              <w:t xml:space="preserve"> Eksternt personale (i årsværk)</w:t>
            </w:r>
            <w:r>
              <w:rPr>
                <w:rStyle w:val="FootnoteReference"/>
                <w:b/>
                <w:noProof/>
                <w:sz w:val="16"/>
                <w:szCs w:val="20"/>
              </w:rPr>
              <w:footnoteReference w:id="34"/>
            </w:r>
          </w:p>
          <w:p w:rsidR="00DE7E70" w:rsidRDefault="00DE7E70">
            <w:pPr>
              <w:pStyle w:val="Text1"/>
              <w:spacing w:before="0" w:after="0"/>
              <w:ind w:left="0"/>
              <w:jc w:val="left"/>
              <w:rPr>
                <w:noProof/>
                <w:sz w:val="16"/>
                <w:szCs w:val="16"/>
              </w:rPr>
            </w:pPr>
          </w:p>
        </w:tc>
      </w:tr>
      <w:tr w:rsidR="00DE7E70">
        <w:trPr>
          <w:gridBefore w:val="1"/>
          <w:wBefore w:w="6" w:type="pct"/>
          <w:trHeight w:val="289"/>
          <w:jc w:val="center"/>
        </w:trPr>
        <w:tc>
          <w:tcPr>
            <w:tcW w:w="1897" w:type="pct"/>
            <w:gridSpan w:val="2"/>
            <w:shd w:val="clear" w:color="auto" w:fill="auto"/>
            <w:vAlign w:val="center"/>
          </w:tcPr>
          <w:p w:rsidR="00DE7E70" w:rsidRDefault="00B85DCD">
            <w:pPr>
              <w:pStyle w:val="Text1"/>
              <w:spacing w:beforeLines="20" w:before="48" w:afterLines="20" w:after="48"/>
              <w:ind w:left="136"/>
              <w:jc w:val="left"/>
              <w:rPr>
                <w:b/>
                <w:noProof/>
                <w:sz w:val="16"/>
                <w:szCs w:val="16"/>
              </w:rPr>
            </w:pPr>
            <w:r>
              <w:rPr>
                <w:noProof/>
                <w:sz w:val="16"/>
              </w:rPr>
              <w:t xml:space="preserve">34 01 02 01 </w:t>
            </w:r>
            <w:r>
              <w:rPr>
                <w:noProof/>
                <w:sz w:val="16"/>
                <w:szCs w:val="16"/>
              </w:rPr>
              <w:t>(KA, UNE, V under den samlede bevillingsramme)</w:t>
            </w:r>
          </w:p>
        </w:tc>
        <w:tc>
          <w:tcPr>
            <w:tcW w:w="318" w:type="pct"/>
            <w:shd w:val="clear" w:color="auto" w:fill="auto"/>
            <w:vAlign w:val="center"/>
          </w:tcPr>
          <w:p w:rsidR="00DE7E70" w:rsidRDefault="00DE7E70">
            <w:pPr>
              <w:spacing w:beforeLines="20" w:before="48" w:afterLines="20" w:after="48"/>
              <w:jc w:val="center"/>
              <w:rPr>
                <w:noProof/>
                <w:sz w:val="16"/>
                <w:szCs w:val="16"/>
              </w:rPr>
            </w:pPr>
          </w:p>
        </w:tc>
        <w:tc>
          <w:tcPr>
            <w:tcW w:w="318" w:type="pct"/>
            <w:shd w:val="clear" w:color="auto" w:fill="auto"/>
            <w:vAlign w:val="center"/>
          </w:tcPr>
          <w:p w:rsidR="00DE7E70" w:rsidRDefault="00DE7E70">
            <w:pPr>
              <w:spacing w:beforeLines="20" w:before="48" w:afterLines="20" w:after="48"/>
              <w:jc w:val="center"/>
              <w:rPr>
                <w:noProof/>
                <w:sz w:val="16"/>
                <w:szCs w:val="16"/>
              </w:rPr>
            </w:pPr>
          </w:p>
        </w:tc>
        <w:tc>
          <w:tcPr>
            <w:tcW w:w="1838" w:type="pct"/>
            <w:shd w:val="clear" w:color="auto" w:fill="auto"/>
            <w:vAlign w:val="center"/>
          </w:tcPr>
          <w:p w:rsidR="00DE7E70" w:rsidRDefault="00B85DCD">
            <w:pPr>
              <w:spacing w:beforeLines="20" w:before="48" w:afterLines="20" w:after="48"/>
              <w:jc w:val="center"/>
              <w:rPr>
                <w:noProof/>
                <w:sz w:val="16"/>
                <w:szCs w:val="16"/>
              </w:rPr>
            </w:pPr>
            <w:r>
              <w:rPr>
                <w:noProof/>
                <w:sz w:val="16"/>
                <w:szCs w:val="16"/>
              </w:rPr>
              <w:t>1</w:t>
            </w:r>
          </w:p>
        </w:tc>
        <w:tc>
          <w:tcPr>
            <w:tcW w:w="279" w:type="pct"/>
            <w:shd w:val="clear" w:color="auto" w:fill="auto"/>
            <w:vAlign w:val="center"/>
          </w:tcPr>
          <w:p w:rsidR="00DE7E70" w:rsidRDefault="00B85DCD">
            <w:pPr>
              <w:spacing w:beforeLines="20" w:before="48" w:afterLines="20" w:after="48"/>
              <w:jc w:val="center"/>
              <w:rPr>
                <w:noProof/>
                <w:sz w:val="16"/>
                <w:szCs w:val="16"/>
              </w:rPr>
            </w:pPr>
            <w:r>
              <w:rPr>
                <w:noProof/>
                <w:sz w:val="16"/>
                <w:szCs w:val="16"/>
              </w:rPr>
              <w:t>1</w:t>
            </w: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r>
      <w:tr w:rsidR="00DE7E70">
        <w:trPr>
          <w:gridBefore w:val="1"/>
          <w:wBefore w:w="6" w:type="pct"/>
          <w:trHeight w:val="289"/>
          <w:jc w:val="center"/>
        </w:trPr>
        <w:tc>
          <w:tcPr>
            <w:tcW w:w="1897" w:type="pct"/>
            <w:gridSpan w:val="2"/>
            <w:shd w:val="clear" w:color="auto" w:fill="auto"/>
            <w:vAlign w:val="center"/>
          </w:tcPr>
          <w:p w:rsidR="00DE7E70" w:rsidRDefault="00B85DCD">
            <w:pPr>
              <w:pStyle w:val="Text1"/>
              <w:spacing w:beforeLines="20" w:before="48" w:afterLines="20" w:after="48"/>
              <w:ind w:left="136"/>
              <w:jc w:val="left"/>
              <w:rPr>
                <w:noProof/>
                <w:sz w:val="16"/>
                <w:szCs w:val="16"/>
              </w:rPr>
            </w:pPr>
            <w:r>
              <w:rPr>
                <w:noProof/>
                <w:sz w:val="16"/>
              </w:rPr>
              <w:t xml:space="preserve">XX 01 02 02 </w:t>
            </w:r>
            <w:r>
              <w:rPr>
                <w:noProof/>
                <w:sz w:val="16"/>
                <w:szCs w:val="16"/>
              </w:rPr>
              <w:t>KA, LA, UNE, V og JED i delegationerne)</w:t>
            </w:r>
          </w:p>
        </w:tc>
        <w:tc>
          <w:tcPr>
            <w:tcW w:w="318" w:type="pct"/>
            <w:shd w:val="clear" w:color="auto" w:fill="auto"/>
            <w:vAlign w:val="center"/>
          </w:tcPr>
          <w:p w:rsidR="00DE7E70" w:rsidRDefault="00DE7E70">
            <w:pPr>
              <w:spacing w:beforeLines="20" w:before="48" w:afterLines="20" w:after="48"/>
              <w:jc w:val="center"/>
              <w:rPr>
                <w:noProof/>
                <w:sz w:val="16"/>
                <w:szCs w:val="16"/>
              </w:rPr>
            </w:pPr>
          </w:p>
        </w:tc>
        <w:tc>
          <w:tcPr>
            <w:tcW w:w="318" w:type="pct"/>
            <w:shd w:val="clear" w:color="auto" w:fill="auto"/>
            <w:vAlign w:val="center"/>
          </w:tcPr>
          <w:p w:rsidR="00DE7E70" w:rsidRDefault="00DE7E70">
            <w:pPr>
              <w:spacing w:beforeLines="20" w:before="48" w:afterLines="20" w:after="48"/>
              <w:jc w:val="center"/>
              <w:rPr>
                <w:noProof/>
                <w:sz w:val="16"/>
                <w:szCs w:val="16"/>
              </w:rPr>
            </w:pPr>
          </w:p>
        </w:tc>
        <w:tc>
          <w:tcPr>
            <w:tcW w:w="1838" w:type="pct"/>
            <w:shd w:val="clear" w:color="auto" w:fill="auto"/>
            <w:vAlign w:val="center"/>
          </w:tcPr>
          <w:p w:rsidR="00DE7E70" w:rsidRDefault="00DE7E70">
            <w:pPr>
              <w:spacing w:beforeLines="20" w:before="48" w:afterLines="20" w:after="48"/>
              <w:jc w:val="center"/>
              <w:rPr>
                <w:noProof/>
                <w:sz w:val="16"/>
                <w:szCs w:val="16"/>
              </w:rPr>
            </w:pPr>
          </w:p>
        </w:tc>
        <w:tc>
          <w:tcPr>
            <w:tcW w:w="279"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r>
      <w:tr w:rsidR="00DE7E70">
        <w:trPr>
          <w:gridBefore w:val="1"/>
          <w:wBefore w:w="6" w:type="pct"/>
          <w:trHeight w:val="289"/>
          <w:jc w:val="center"/>
        </w:trPr>
        <w:tc>
          <w:tcPr>
            <w:tcW w:w="948" w:type="pct"/>
            <w:vMerge w:val="restart"/>
            <w:shd w:val="clear" w:color="auto" w:fill="auto"/>
            <w:vAlign w:val="center"/>
          </w:tcPr>
          <w:p w:rsidR="00DE7E70" w:rsidRDefault="00B85DCD">
            <w:pPr>
              <w:pStyle w:val="Text1"/>
              <w:spacing w:beforeLines="20" w:before="48" w:afterLines="20" w:after="48"/>
              <w:ind w:left="136"/>
              <w:jc w:val="left"/>
              <w:rPr>
                <w:b/>
                <w:noProof/>
                <w:sz w:val="16"/>
                <w:szCs w:val="16"/>
              </w:rPr>
            </w:pPr>
            <w:r>
              <w:rPr>
                <w:b/>
                <w:noProof/>
                <w:sz w:val="16"/>
                <w:szCs w:val="16"/>
              </w:rPr>
              <w:t>XX 01 04 yy</w:t>
            </w:r>
            <w:r>
              <w:rPr>
                <w:rStyle w:val="FootnoteReference"/>
                <w:b/>
                <w:noProof/>
                <w:sz w:val="16"/>
                <w:szCs w:val="20"/>
              </w:rPr>
              <w:footnoteReference w:id="35"/>
            </w:r>
          </w:p>
          <w:p w:rsidR="00DE7E70" w:rsidRDefault="00DE7E70">
            <w:pPr>
              <w:pStyle w:val="Text1"/>
              <w:spacing w:beforeLines="20" w:before="48" w:afterLines="20" w:after="48"/>
              <w:ind w:left="136"/>
              <w:jc w:val="left"/>
              <w:rPr>
                <w:b/>
                <w:noProof/>
                <w:sz w:val="16"/>
                <w:szCs w:val="16"/>
              </w:rPr>
            </w:pPr>
          </w:p>
        </w:tc>
        <w:tc>
          <w:tcPr>
            <w:tcW w:w="949" w:type="pct"/>
            <w:shd w:val="clear" w:color="auto" w:fill="auto"/>
            <w:vAlign w:val="center"/>
          </w:tcPr>
          <w:p w:rsidR="00DE7E70" w:rsidRDefault="00B85DCD">
            <w:pPr>
              <w:pStyle w:val="Text1"/>
              <w:spacing w:beforeLines="20" w:before="48" w:afterLines="20" w:after="48"/>
              <w:ind w:left="136"/>
              <w:jc w:val="left"/>
              <w:rPr>
                <w:b/>
                <w:noProof/>
                <w:sz w:val="16"/>
                <w:szCs w:val="16"/>
              </w:rPr>
            </w:pPr>
            <w:r>
              <w:rPr>
                <w:noProof/>
                <w:sz w:val="16"/>
              </w:rPr>
              <w:t>- i hovedsædet</w:t>
            </w:r>
          </w:p>
          <w:p w:rsidR="00DE7E70" w:rsidRDefault="00DE7E70">
            <w:pPr>
              <w:pStyle w:val="Text1"/>
              <w:spacing w:beforeLines="20" w:before="48" w:afterLines="20" w:after="48"/>
              <w:ind w:left="136"/>
              <w:jc w:val="left"/>
              <w:rPr>
                <w:b/>
                <w:noProof/>
                <w:sz w:val="16"/>
                <w:szCs w:val="16"/>
              </w:rPr>
            </w:pPr>
          </w:p>
        </w:tc>
        <w:tc>
          <w:tcPr>
            <w:tcW w:w="318" w:type="pct"/>
            <w:shd w:val="clear" w:color="auto" w:fill="auto"/>
            <w:vAlign w:val="center"/>
          </w:tcPr>
          <w:p w:rsidR="00DE7E70" w:rsidRDefault="00DE7E70">
            <w:pPr>
              <w:pStyle w:val="Text1"/>
              <w:spacing w:beforeLines="20" w:before="48" w:afterLines="20" w:after="48"/>
              <w:ind w:left="0"/>
              <w:rPr>
                <w:noProof/>
                <w:sz w:val="16"/>
                <w:szCs w:val="16"/>
              </w:rPr>
            </w:pPr>
          </w:p>
        </w:tc>
        <w:tc>
          <w:tcPr>
            <w:tcW w:w="318" w:type="pct"/>
            <w:shd w:val="clear" w:color="auto" w:fill="auto"/>
            <w:vAlign w:val="center"/>
          </w:tcPr>
          <w:p w:rsidR="00DE7E70" w:rsidRDefault="00DE7E70">
            <w:pPr>
              <w:spacing w:beforeLines="20" w:before="48" w:afterLines="20" w:after="48"/>
              <w:jc w:val="center"/>
              <w:rPr>
                <w:noProof/>
                <w:sz w:val="16"/>
                <w:szCs w:val="16"/>
              </w:rPr>
            </w:pPr>
          </w:p>
        </w:tc>
        <w:tc>
          <w:tcPr>
            <w:tcW w:w="1838" w:type="pct"/>
            <w:shd w:val="clear" w:color="auto" w:fill="auto"/>
            <w:vAlign w:val="center"/>
          </w:tcPr>
          <w:p w:rsidR="00DE7E70" w:rsidRDefault="00DE7E70">
            <w:pPr>
              <w:spacing w:beforeLines="20" w:before="48" w:afterLines="20" w:after="48"/>
              <w:jc w:val="center"/>
              <w:rPr>
                <w:noProof/>
                <w:sz w:val="16"/>
                <w:szCs w:val="16"/>
              </w:rPr>
            </w:pPr>
          </w:p>
        </w:tc>
        <w:tc>
          <w:tcPr>
            <w:tcW w:w="279"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r>
      <w:tr w:rsidR="00DE7E70">
        <w:trPr>
          <w:gridBefore w:val="1"/>
          <w:wBefore w:w="6" w:type="pct"/>
          <w:trHeight w:val="289"/>
          <w:jc w:val="center"/>
        </w:trPr>
        <w:tc>
          <w:tcPr>
            <w:tcW w:w="948" w:type="pct"/>
            <w:vMerge/>
            <w:shd w:val="clear" w:color="auto" w:fill="auto"/>
            <w:vAlign w:val="center"/>
          </w:tcPr>
          <w:p w:rsidR="00DE7E70" w:rsidRDefault="00DE7E70">
            <w:pPr>
              <w:pStyle w:val="Text1"/>
              <w:spacing w:beforeLines="20" w:before="48" w:afterLines="20" w:after="48"/>
              <w:ind w:left="136"/>
              <w:jc w:val="left"/>
              <w:rPr>
                <w:b/>
                <w:noProof/>
                <w:sz w:val="16"/>
                <w:szCs w:val="16"/>
              </w:rPr>
            </w:pPr>
          </w:p>
        </w:tc>
        <w:tc>
          <w:tcPr>
            <w:tcW w:w="949" w:type="pct"/>
            <w:shd w:val="clear" w:color="auto" w:fill="auto"/>
            <w:vAlign w:val="center"/>
          </w:tcPr>
          <w:p w:rsidR="00DE7E70" w:rsidRDefault="00B85DCD">
            <w:pPr>
              <w:pStyle w:val="Text1"/>
              <w:spacing w:beforeLines="20" w:before="48" w:afterLines="20" w:after="48"/>
              <w:ind w:left="136"/>
              <w:jc w:val="left"/>
              <w:rPr>
                <w:b/>
                <w:noProof/>
                <w:sz w:val="16"/>
                <w:szCs w:val="16"/>
              </w:rPr>
            </w:pPr>
            <w:r>
              <w:rPr>
                <w:noProof/>
                <w:sz w:val="16"/>
              </w:rPr>
              <w:t xml:space="preserve">- i delegationer </w:t>
            </w:r>
          </w:p>
        </w:tc>
        <w:tc>
          <w:tcPr>
            <w:tcW w:w="318" w:type="pct"/>
            <w:shd w:val="clear" w:color="auto" w:fill="auto"/>
            <w:vAlign w:val="center"/>
          </w:tcPr>
          <w:p w:rsidR="00DE7E70" w:rsidRDefault="00DE7E70">
            <w:pPr>
              <w:pStyle w:val="Text1"/>
              <w:spacing w:beforeLines="20" w:before="48" w:afterLines="20" w:after="48"/>
              <w:ind w:left="0"/>
              <w:rPr>
                <w:noProof/>
                <w:sz w:val="16"/>
                <w:szCs w:val="16"/>
              </w:rPr>
            </w:pPr>
          </w:p>
        </w:tc>
        <w:tc>
          <w:tcPr>
            <w:tcW w:w="318" w:type="pct"/>
            <w:shd w:val="clear" w:color="auto" w:fill="auto"/>
            <w:vAlign w:val="center"/>
          </w:tcPr>
          <w:p w:rsidR="00DE7E70" w:rsidRDefault="00DE7E70">
            <w:pPr>
              <w:spacing w:beforeLines="20" w:before="48" w:afterLines="20" w:after="48"/>
              <w:jc w:val="center"/>
              <w:rPr>
                <w:noProof/>
                <w:sz w:val="16"/>
                <w:szCs w:val="16"/>
              </w:rPr>
            </w:pPr>
          </w:p>
        </w:tc>
        <w:tc>
          <w:tcPr>
            <w:tcW w:w="1838" w:type="pct"/>
            <w:shd w:val="clear" w:color="auto" w:fill="auto"/>
            <w:vAlign w:val="center"/>
          </w:tcPr>
          <w:p w:rsidR="00DE7E70" w:rsidRDefault="00DE7E70">
            <w:pPr>
              <w:spacing w:beforeLines="20" w:before="48" w:afterLines="20" w:after="48"/>
              <w:jc w:val="center"/>
              <w:rPr>
                <w:noProof/>
                <w:sz w:val="16"/>
                <w:szCs w:val="16"/>
              </w:rPr>
            </w:pPr>
          </w:p>
        </w:tc>
        <w:tc>
          <w:tcPr>
            <w:tcW w:w="279"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r>
      <w:tr w:rsidR="00DE7E70">
        <w:trPr>
          <w:gridBefore w:val="1"/>
          <w:wBefore w:w="6" w:type="pct"/>
          <w:trHeight w:val="289"/>
          <w:jc w:val="center"/>
        </w:trPr>
        <w:tc>
          <w:tcPr>
            <w:tcW w:w="1897" w:type="pct"/>
            <w:gridSpan w:val="2"/>
            <w:shd w:val="clear" w:color="auto" w:fill="auto"/>
            <w:vAlign w:val="center"/>
          </w:tcPr>
          <w:p w:rsidR="00DE7E70" w:rsidRDefault="00B85DCD">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(KA, UNE, V – indirekte forskning)</w:t>
            </w:r>
          </w:p>
        </w:tc>
        <w:tc>
          <w:tcPr>
            <w:tcW w:w="318" w:type="pct"/>
            <w:shd w:val="clear" w:color="auto" w:fill="auto"/>
            <w:vAlign w:val="center"/>
          </w:tcPr>
          <w:p w:rsidR="00DE7E70" w:rsidRDefault="00DE7E70">
            <w:pPr>
              <w:spacing w:beforeLines="20" w:before="48" w:afterLines="20" w:after="48"/>
              <w:jc w:val="center"/>
              <w:rPr>
                <w:noProof/>
                <w:sz w:val="16"/>
                <w:szCs w:val="16"/>
              </w:rPr>
            </w:pPr>
          </w:p>
        </w:tc>
        <w:tc>
          <w:tcPr>
            <w:tcW w:w="318" w:type="pct"/>
            <w:shd w:val="clear" w:color="auto" w:fill="auto"/>
            <w:vAlign w:val="center"/>
          </w:tcPr>
          <w:p w:rsidR="00DE7E70" w:rsidRDefault="00DE7E70">
            <w:pPr>
              <w:spacing w:beforeLines="20" w:before="48" w:afterLines="20" w:after="48"/>
              <w:jc w:val="center"/>
              <w:rPr>
                <w:noProof/>
                <w:sz w:val="16"/>
                <w:szCs w:val="16"/>
              </w:rPr>
            </w:pPr>
          </w:p>
        </w:tc>
        <w:tc>
          <w:tcPr>
            <w:tcW w:w="1838" w:type="pct"/>
            <w:shd w:val="clear" w:color="auto" w:fill="auto"/>
            <w:vAlign w:val="center"/>
          </w:tcPr>
          <w:p w:rsidR="00DE7E70" w:rsidRDefault="00DE7E70">
            <w:pPr>
              <w:spacing w:beforeLines="20" w:before="48" w:afterLines="20" w:after="48"/>
              <w:jc w:val="center"/>
              <w:rPr>
                <w:noProof/>
                <w:sz w:val="16"/>
                <w:szCs w:val="16"/>
              </w:rPr>
            </w:pPr>
          </w:p>
        </w:tc>
        <w:tc>
          <w:tcPr>
            <w:tcW w:w="279"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c>
          <w:tcPr>
            <w:tcW w:w="115" w:type="pct"/>
            <w:shd w:val="clear" w:color="auto" w:fill="auto"/>
            <w:vAlign w:val="center"/>
          </w:tcPr>
          <w:p w:rsidR="00DE7E70" w:rsidRDefault="00DE7E70">
            <w:pPr>
              <w:spacing w:beforeLines="20" w:before="48" w:afterLines="20" w:after="48"/>
              <w:jc w:val="center"/>
              <w:rPr>
                <w:noProof/>
                <w:sz w:val="16"/>
                <w:szCs w:val="16"/>
              </w:rPr>
            </w:pPr>
          </w:p>
        </w:tc>
      </w:tr>
      <w:tr w:rsidR="00DE7E70">
        <w:trPr>
          <w:gridBefore w:val="1"/>
          <w:wBefore w:w="6" w:type="pct"/>
          <w:trHeight w:val="289"/>
          <w:jc w:val="center"/>
        </w:trPr>
        <w:tc>
          <w:tcPr>
            <w:tcW w:w="1897" w:type="pct"/>
            <w:gridSpan w:val="2"/>
            <w:shd w:val="clear" w:color="auto" w:fill="auto"/>
            <w:vAlign w:val="center"/>
          </w:tcPr>
          <w:p w:rsidR="00DE7E70" w:rsidRDefault="00B85DCD">
            <w:pPr>
              <w:pStyle w:val="Text1"/>
              <w:spacing w:beforeLines="20" w:before="48" w:afterLines="20" w:after="48"/>
              <w:ind w:left="136"/>
              <w:jc w:val="left"/>
              <w:rPr>
                <w:noProof/>
                <w:sz w:val="16"/>
                <w:szCs w:val="16"/>
                <w:lang w:val="nb-NO"/>
              </w:rPr>
            </w:pPr>
            <w:r>
              <w:rPr>
                <w:noProof/>
                <w:sz w:val="16"/>
                <w:lang w:val="nb-NO"/>
              </w:rPr>
              <w:t xml:space="preserve">10 01 05 02 </w:t>
            </w:r>
            <w:r>
              <w:rPr>
                <w:noProof/>
                <w:sz w:val="16"/>
                <w:szCs w:val="16"/>
                <w:lang w:val="nb-NO"/>
              </w:rPr>
              <w:t>(KA, UNE, V – direkte forskning)</w:t>
            </w:r>
          </w:p>
        </w:tc>
        <w:tc>
          <w:tcPr>
            <w:tcW w:w="318" w:type="pct"/>
            <w:shd w:val="clear" w:color="auto" w:fill="auto"/>
            <w:vAlign w:val="center"/>
          </w:tcPr>
          <w:p w:rsidR="00DE7E70" w:rsidRDefault="00DE7E70">
            <w:pPr>
              <w:spacing w:beforeLines="20" w:before="48" w:afterLines="20" w:after="48"/>
              <w:jc w:val="center"/>
              <w:rPr>
                <w:noProof/>
                <w:sz w:val="16"/>
                <w:szCs w:val="16"/>
                <w:lang w:val="nb-NO"/>
              </w:rPr>
            </w:pPr>
          </w:p>
        </w:tc>
        <w:tc>
          <w:tcPr>
            <w:tcW w:w="318" w:type="pct"/>
            <w:shd w:val="clear" w:color="auto" w:fill="auto"/>
            <w:vAlign w:val="center"/>
          </w:tcPr>
          <w:p w:rsidR="00DE7E70" w:rsidRDefault="00DE7E70">
            <w:pPr>
              <w:spacing w:beforeLines="20" w:before="48" w:afterLines="20" w:after="48"/>
              <w:jc w:val="center"/>
              <w:rPr>
                <w:noProof/>
                <w:sz w:val="16"/>
                <w:szCs w:val="16"/>
                <w:lang w:val="nb-NO"/>
              </w:rPr>
            </w:pPr>
          </w:p>
        </w:tc>
        <w:tc>
          <w:tcPr>
            <w:tcW w:w="1838" w:type="pct"/>
            <w:shd w:val="clear" w:color="auto" w:fill="auto"/>
            <w:vAlign w:val="center"/>
          </w:tcPr>
          <w:p w:rsidR="00DE7E70" w:rsidRDefault="00DE7E70">
            <w:pPr>
              <w:spacing w:beforeLines="20" w:before="48" w:afterLines="20" w:after="48"/>
              <w:jc w:val="center"/>
              <w:rPr>
                <w:noProof/>
                <w:sz w:val="16"/>
                <w:szCs w:val="16"/>
                <w:lang w:val="nb-NO"/>
              </w:rPr>
            </w:pPr>
          </w:p>
        </w:tc>
        <w:tc>
          <w:tcPr>
            <w:tcW w:w="279" w:type="pct"/>
            <w:shd w:val="clear" w:color="auto" w:fill="auto"/>
            <w:vAlign w:val="center"/>
          </w:tcPr>
          <w:p w:rsidR="00DE7E70" w:rsidRDefault="00DE7E70">
            <w:pPr>
              <w:spacing w:beforeLines="20" w:before="48" w:afterLines="20" w:after="48"/>
              <w:jc w:val="center"/>
              <w:rPr>
                <w:noProof/>
                <w:sz w:val="16"/>
                <w:szCs w:val="16"/>
                <w:lang w:val="nb-NO"/>
              </w:rPr>
            </w:pPr>
          </w:p>
        </w:tc>
        <w:tc>
          <w:tcPr>
            <w:tcW w:w="115" w:type="pct"/>
            <w:shd w:val="clear" w:color="auto" w:fill="auto"/>
            <w:vAlign w:val="center"/>
          </w:tcPr>
          <w:p w:rsidR="00DE7E70" w:rsidRDefault="00DE7E70">
            <w:pPr>
              <w:spacing w:beforeLines="20" w:before="48" w:afterLines="20" w:after="48"/>
              <w:jc w:val="center"/>
              <w:rPr>
                <w:noProof/>
                <w:sz w:val="16"/>
                <w:szCs w:val="16"/>
                <w:lang w:val="nb-NO"/>
              </w:rPr>
            </w:pPr>
          </w:p>
        </w:tc>
        <w:tc>
          <w:tcPr>
            <w:tcW w:w="115" w:type="pct"/>
            <w:shd w:val="clear" w:color="auto" w:fill="auto"/>
            <w:vAlign w:val="center"/>
          </w:tcPr>
          <w:p w:rsidR="00DE7E70" w:rsidRDefault="00DE7E70">
            <w:pPr>
              <w:spacing w:beforeLines="20" w:before="48" w:afterLines="20" w:after="48"/>
              <w:jc w:val="center"/>
              <w:rPr>
                <w:noProof/>
                <w:sz w:val="16"/>
                <w:szCs w:val="16"/>
                <w:lang w:val="nb-NO"/>
              </w:rPr>
            </w:pPr>
          </w:p>
        </w:tc>
        <w:tc>
          <w:tcPr>
            <w:tcW w:w="115" w:type="pct"/>
            <w:shd w:val="clear" w:color="auto" w:fill="auto"/>
            <w:vAlign w:val="center"/>
          </w:tcPr>
          <w:p w:rsidR="00DE7E70" w:rsidRDefault="00DE7E70">
            <w:pPr>
              <w:spacing w:beforeLines="20" w:before="48" w:afterLines="20" w:after="48"/>
              <w:jc w:val="center"/>
              <w:rPr>
                <w:noProof/>
                <w:sz w:val="16"/>
                <w:szCs w:val="16"/>
                <w:lang w:val="nb-NO"/>
              </w:rPr>
            </w:pPr>
          </w:p>
        </w:tc>
      </w:tr>
      <w:tr w:rsidR="00DE7E70">
        <w:trPr>
          <w:gridBefore w:val="1"/>
          <w:wBefore w:w="6" w:type="pct"/>
          <w:trHeight w:val="289"/>
          <w:jc w:val="center"/>
        </w:trPr>
        <w:tc>
          <w:tcPr>
            <w:tcW w:w="1897" w:type="pct"/>
            <w:gridSpan w:val="2"/>
            <w:tcBorders>
              <w:bottom w:val="double" w:sz="4" w:space="0" w:color="auto"/>
            </w:tcBorders>
            <w:shd w:val="clear" w:color="auto" w:fill="auto"/>
            <w:vAlign w:val="center"/>
          </w:tcPr>
          <w:p w:rsidR="00DE7E70" w:rsidRDefault="00B85DCD">
            <w:pPr>
              <w:pStyle w:val="Text1"/>
              <w:spacing w:beforeLines="20" w:before="48" w:afterLines="20" w:after="48"/>
              <w:ind w:left="134"/>
              <w:jc w:val="left"/>
              <w:rPr>
                <w:noProof/>
                <w:sz w:val="16"/>
                <w:szCs w:val="16"/>
              </w:rPr>
            </w:pPr>
            <w:r>
              <w:rPr>
                <w:noProof/>
                <w:sz w:val="16"/>
              </w:rPr>
              <w:t>Andre budgetposter (skal angives)</w:t>
            </w:r>
          </w:p>
        </w:tc>
        <w:tc>
          <w:tcPr>
            <w:tcW w:w="318" w:type="pct"/>
            <w:tcBorders>
              <w:bottom w:val="double" w:sz="4" w:space="0" w:color="auto"/>
            </w:tcBorders>
            <w:shd w:val="clear" w:color="auto" w:fill="auto"/>
            <w:vAlign w:val="center"/>
          </w:tcPr>
          <w:p w:rsidR="00DE7E70" w:rsidRDefault="00DE7E70">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DE7E70" w:rsidRDefault="00DE7E70">
            <w:pPr>
              <w:spacing w:beforeLines="20" w:before="48" w:afterLines="20" w:after="48"/>
              <w:jc w:val="center"/>
              <w:rPr>
                <w:noProof/>
                <w:sz w:val="16"/>
                <w:szCs w:val="16"/>
              </w:rPr>
            </w:pPr>
          </w:p>
        </w:tc>
        <w:tc>
          <w:tcPr>
            <w:tcW w:w="1838" w:type="pct"/>
            <w:tcBorders>
              <w:bottom w:val="double" w:sz="4" w:space="0" w:color="auto"/>
            </w:tcBorders>
            <w:shd w:val="clear" w:color="auto" w:fill="auto"/>
            <w:vAlign w:val="center"/>
          </w:tcPr>
          <w:p w:rsidR="00DE7E70" w:rsidRDefault="00DE7E70">
            <w:pPr>
              <w:spacing w:beforeLines="20" w:before="48" w:afterLines="20" w:after="48"/>
              <w:jc w:val="center"/>
              <w:rPr>
                <w:noProof/>
                <w:sz w:val="16"/>
                <w:szCs w:val="16"/>
              </w:rPr>
            </w:pPr>
          </w:p>
        </w:tc>
        <w:tc>
          <w:tcPr>
            <w:tcW w:w="279" w:type="pct"/>
            <w:tcBorders>
              <w:bottom w:val="double" w:sz="4" w:space="0" w:color="auto"/>
            </w:tcBorders>
            <w:shd w:val="clear" w:color="auto" w:fill="auto"/>
            <w:vAlign w:val="center"/>
          </w:tcPr>
          <w:p w:rsidR="00DE7E70" w:rsidRDefault="00DE7E7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DE7E70" w:rsidRDefault="00DE7E7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DE7E70" w:rsidRDefault="00DE7E7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DE7E70" w:rsidRDefault="00DE7E70">
            <w:pPr>
              <w:spacing w:beforeLines="20" w:before="48" w:afterLines="20" w:after="48"/>
              <w:jc w:val="center"/>
              <w:rPr>
                <w:noProof/>
                <w:sz w:val="16"/>
                <w:szCs w:val="16"/>
              </w:rPr>
            </w:pPr>
          </w:p>
        </w:tc>
      </w:tr>
      <w:tr w:rsidR="00DE7E70">
        <w:trPr>
          <w:gridBefore w:val="1"/>
          <w:wBefore w:w="6" w:type="pct"/>
          <w:trHeight w:val="289"/>
          <w:jc w:val="center"/>
        </w:trPr>
        <w:tc>
          <w:tcPr>
            <w:tcW w:w="1897" w:type="pct"/>
            <w:gridSpan w:val="2"/>
            <w:tcBorders>
              <w:top w:val="double" w:sz="4" w:space="0" w:color="auto"/>
            </w:tcBorders>
            <w:shd w:val="clear" w:color="auto" w:fill="auto"/>
            <w:vAlign w:val="center"/>
          </w:tcPr>
          <w:p w:rsidR="00DE7E70" w:rsidRDefault="00B85DCD">
            <w:pPr>
              <w:pStyle w:val="Text1"/>
              <w:spacing w:beforeLines="20" w:before="48" w:afterLines="20" w:after="48"/>
              <w:ind w:left="136"/>
              <w:jc w:val="left"/>
              <w:rPr>
                <w:noProof/>
                <w:sz w:val="16"/>
                <w:szCs w:val="16"/>
              </w:rPr>
            </w:pPr>
            <w:r>
              <w:rPr>
                <w:b/>
                <w:noProof/>
                <w:sz w:val="16"/>
              </w:rPr>
              <w:t>I ALT</w:t>
            </w:r>
          </w:p>
        </w:tc>
        <w:tc>
          <w:tcPr>
            <w:tcW w:w="318" w:type="pct"/>
            <w:tcBorders>
              <w:top w:val="double" w:sz="4" w:space="0" w:color="auto"/>
            </w:tcBorders>
            <w:shd w:val="clear" w:color="auto" w:fill="auto"/>
            <w:vAlign w:val="center"/>
          </w:tcPr>
          <w:p w:rsidR="00DE7E70" w:rsidRDefault="00B85DCD">
            <w:pPr>
              <w:spacing w:beforeLines="20" w:before="48" w:afterLines="20" w:after="48"/>
              <w:jc w:val="center"/>
              <w:rPr>
                <w:b/>
                <w:noProof/>
                <w:sz w:val="16"/>
                <w:szCs w:val="16"/>
              </w:rPr>
            </w:pPr>
            <w:r>
              <w:rPr>
                <w:b/>
                <w:noProof/>
                <w:sz w:val="16"/>
                <w:szCs w:val="16"/>
              </w:rPr>
              <w:t>3</w:t>
            </w:r>
          </w:p>
        </w:tc>
        <w:tc>
          <w:tcPr>
            <w:tcW w:w="318" w:type="pct"/>
            <w:tcBorders>
              <w:top w:val="double" w:sz="4" w:space="0" w:color="auto"/>
            </w:tcBorders>
            <w:shd w:val="clear" w:color="auto" w:fill="auto"/>
            <w:vAlign w:val="center"/>
          </w:tcPr>
          <w:p w:rsidR="00DE7E70" w:rsidRDefault="00B85DCD">
            <w:pPr>
              <w:spacing w:beforeLines="20" w:before="48" w:afterLines="20" w:after="48"/>
              <w:jc w:val="center"/>
              <w:rPr>
                <w:b/>
                <w:noProof/>
                <w:sz w:val="16"/>
                <w:szCs w:val="16"/>
              </w:rPr>
            </w:pPr>
            <w:r>
              <w:rPr>
                <w:b/>
                <w:noProof/>
                <w:sz w:val="16"/>
                <w:szCs w:val="16"/>
              </w:rPr>
              <w:t>3</w:t>
            </w:r>
          </w:p>
        </w:tc>
        <w:tc>
          <w:tcPr>
            <w:tcW w:w="1838" w:type="pct"/>
            <w:tcBorders>
              <w:top w:val="double" w:sz="4" w:space="0" w:color="auto"/>
            </w:tcBorders>
            <w:shd w:val="clear" w:color="auto" w:fill="auto"/>
            <w:vAlign w:val="center"/>
          </w:tcPr>
          <w:p w:rsidR="00DE7E70" w:rsidRDefault="00B85DCD">
            <w:pPr>
              <w:spacing w:beforeLines="20" w:before="48" w:afterLines="20" w:after="48"/>
              <w:jc w:val="center"/>
              <w:rPr>
                <w:b/>
                <w:noProof/>
                <w:sz w:val="16"/>
                <w:szCs w:val="16"/>
              </w:rPr>
            </w:pPr>
            <w:r>
              <w:rPr>
                <w:b/>
                <w:noProof/>
                <w:sz w:val="16"/>
                <w:szCs w:val="16"/>
              </w:rPr>
              <w:t>5</w:t>
            </w:r>
          </w:p>
        </w:tc>
        <w:tc>
          <w:tcPr>
            <w:tcW w:w="279" w:type="pct"/>
            <w:tcBorders>
              <w:top w:val="double" w:sz="4" w:space="0" w:color="auto"/>
            </w:tcBorders>
            <w:shd w:val="clear" w:color="auto" w:fill="auto"/>
            <w:vAlign w:val="center"/>
          </w:tcPr>
          <w:p w:rsidR="00DE7E70" w:rsidRDefault="00B85DCD">
            <w:pPr>
              <w:spacing w:beforeLines="20" w:before="48" w:afterLines="20" w:after="48"/>
              <w:jc w:val="center"/>
              <w:rPr>
                <w:b/>
                <w:noProof/>
                <w:sz w:val="16"/>
                <w:szCs w:val="16"/>
              </w:rPr>
            </w:pPr>
            <w:r>
              <w:rPr>
                <w:b/>
                <w:noProof/>
                <w:sz w:val="16"/>
                <w:szCs w:val="16"/>
              </w:rPr>
              <w:t>5</w:t>
            </w:r>
          </w:p>
        </w:tc>
        <w:tc>
          <w:tcPr>
            <w:tcW w:w="115" w:type="pct"/>
            <w:tcBorders>
              <w:top w:val="double" w:sz="4" w:space="0" w:color="auto"/>
            </w:tcBorders>
            <w:shd w:val="clear" w:color="auto" w:fill="auto"/>
            <w:vAlign w:val="center"/>
          </w:tcPr>
          <w:p w:rsidR="00DE7E70" w:rsidRDefault="00DE7E70">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DE7E70" w:rsidRDefault="00DE7E70">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DE7E70" w:rsidRDefault="00DE7E70">
            <w:pPr>
              <w:spacing w:beforeLines="20" w:before="48" w:afterLines="20" w:after="48"/>
              <w:jc w:val="center"/>
              <w:rPr>
                <w:b/>
                <w:noProof/>
                <w:sz w:val="16"/>
                <w:szCs w:val="16"/>
              </w:rPr>
            </w:pPr>
          </w:p>
        </w:tc>
      </w:tr>
    </w:tbl>
    <w:p w:rsidR="00DE7E70" w:rsidRDefault="00B85DCD">
      <w:pPr>
        <w:pStyle w:val="Text1"/>
        <w:spacing w:before="60" w:after="60"/>
        <w:ind w:left="851"/>
        <w:rPr>
          <w:noProof/>
          <w:sz w:val="18"/>
          <w:szCs w:val="18"/>
        </w:rPr>
      </w:pPr>
      <w:r>
        <w:rPr>
          <w:b/>
          <w:noProof/>
          <w:sz w:val="18"/>
          <w:szCs w:val="18"/>
        </w:rPr>
        <w:t>34</w:t>
      </w:r>
      <w:r>
        <w:rPr>
          <w:noProof/>
          <w:sz w:val="18"/>
          <w:szCs w:val="18"/>
        </w:rPr>
        <w:t xml:space="preserve"> angiver det berørte politikområde eller budgetafsnit.</w:t>
      </w:r>
    </w:p>
    <w:p w:rsidR="00DE7E70" w:rsidRDefault="00B85DCD">
      <w:pPr>
        <w:pStyle w:val="Text1"/>
        <w:rPr>
          <w:noProof/>
          <w:sz w:val="18"/>
          <w:szCs w:val="18"/>
        </w:rPr>
      </w:pPr>
      <w:r>
        <w:rPr>
          <w:noProof/>
          <w:sz w:val="18"/>
        </w:rPr>
        <w:t xml:space="preserve">Personalebehovet vil blive </w:t>
      </w:r>
      <w:r>
        <w:rPr>
          <w:noProof/>
          <w:sz w:val="18"/>
        </w:rPr>
        <w:t xml:space="preserve">dækket ved hjælp af det personale, som generaldirektoratet allerede har afsat til aktionen, og/eller interne rokader i generaldirektoratet, eventuelt suppleret med yderligere bevillinger, som tildeles det ansvarlige generaldirektorat i forbindelse med den </w:t>
      </w:r>
      <w:r>
        <w:rPr>
          <w:noProof/>
          <w:sz w:val="18"/>
        </w:rPr>
        <w:t>årlige tildelingsprocedure under hensyntagen til de budgetmæssige begrænsninger.</w:t>
      </w:r>
    </w:p>
    <w:p w:rsidR="00DE7E70" w:rsidRDefault="00B85DCD">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DE7E70">
        <w:tc>
          <w:tcPr>
            <w:tcW w:w="3240" w:type="dxa"/>
          </w:tcPr>
          <w:p w:rsidR="00DE7E70" w:rsidRDefault="00B85DCD">
            <w:pPr>
              <w:rPr>
                <w:noProof/>
                <w:sz w:val="20"/>
              </w:rPr>
            </w:pPr>
            <w:r>
              <w:rPr>
                <w:noProof/>
                <w:sz w:val="20"/>
              </w:rPr>
              <w:t>Tjenestemænd og midlertidigt ansatte</w:t>
            </w:r>
          </w:p>
        </w:tc>
        <w:tc>
          <w:tcPr>
            <w:tcW w:w="7200" w:type="dxa"/>
          </w:tcPr>
          <w:p w:rsidR="00DE7E70" w:rsidRDefault="00B85DCD">
            <w:pPr>
              <w:rPr>
                <w:noProof/>
                <w:sz w:val="20"/>
              </w:rPr>
            </w:pPr>
            <w:r>
              <w:rPr>
                <w:noProof/>
                <w:sz w:val="20"/>
              </w:rPr>
              <w:t xml:space="preserve">Da forslaget fortsætter den nuværende beslutning om byrdefordeling, vil det nuværende AD-hold i CLIMA fortsætte </w:t>
            </w:r>
            <w:r>
              <w:rPr>
                <w:noProof/>
                <w:sz w:val="20"/>
              </w:rPr>
              <w:t>administrationen. En yderligere AD-tjenestemand fra 2019 for at yde kundesupport til medlemsstaternes repræsentanter og til at udvikle og styre ESD-delen af det eksisterende EU-register, et komplekst og kritisk system.</w:t>
            </w:r>
          </w:p>
        </w:tc>
      </w:tr>
      <w:tr w:rsidR="00DE7E70">
        <w:tc>
          <w:tcPr>
            <w:tcW w:w="3240" w:type="dxa"/>
          </w:tcPr>
          <w:p w:rsidR="00DE7E70" w:rsidRDefault="00B85DCD">
            <w:pPr>
              <w:spacing w:before="60" w:after="60"/>
              <w:rPr>
                <w:noProof/>
                <w:sz w:val="20"/>
              </w:rPr>
            </w:pPr>
            <w:r>
              <w:rPr>
                <w:noProof/>
                <w:sz w:val="20"/>
              </w:rPr>
              <w:t>Eksternt personale</w:t>
            </w:r>
          </w:p>
        </w:tc>
        <w:tc>
          <w:tcPr>
            <w:tcW w:w="7200" w:type="dxa"/>
          </w:tcPr>
          <w:p w:rsidR="00DE7E70" w:rsidRDefault="00B85DCD">
            <w:pPr>
              <w:rPr>
                <w:noProof/>
                <w:sz w:val="20"/>
              </w:rPr>
            </w:pPr>
            <w:r>
              <w:rPr>
                <w:noProof/>
                <w:sz w:val="20"/>
              </w:rPr>
              <w:t xml:space="preserve">En kontraktansat </w:t>
            </w:r>
            <w:r>
              <w:rPr>
                <w:noProof/>
                <w:sz w:val="20"/>
              </w:rPr>
              <w:t>(KA) vil være nødvendig for at støtte under overgangs- og overlapningsfasen mellem den nuværende og den nye beslutning om byrdefordeling i årene 2019-2020 samt assistere i det nye initiativs startfase.</w:t>
            </w:r>
          </w:p>
        </w:tc>
      </w:tr>
    </w:tbl>
    <w:p w:rsidR="00DE7E70" w:rsidRDefault="00DE7E70">
      <w:pPr>
        <w:rPr>
          <w:noProof/>
        </w:rPr>
        <w:sectPr w:rsidR="00DE7E70" w:rsidSect="00B85DCD">
          <w:pgSz w:w="11907" w:h="16840"/>
          <w:pgMar w:top="1134" w:right="1418" w:bottom="1134" w:left="1418" w:header="709" w:footer="709" w:gutter="0"/>
          <w:cols w:space="708"/>
          <w:docGrid w:linePitch="360"/>
        </w:sectPr>
      </w:pPr>
    </w:p>
    <w:p w:rsidR="00DE7E70" w:rsidRDefault="00B85DCD">
      <w:pPr>
        <w:pStyle w:val="ManualHeading3"/>
        <w:rPr>
          <w:bCs/>
          <w:noProof/>
          <w:szCs w:val="24"/>
        </w:rPr>
      </w:pPr>
      <w:r>
        <w:t>3.2.4.</w:t>
      </w:r>
      <w:r>
        <w:tab/>
      </w:r>
      <w:r>
        <w:rPr>
          <w:noProof/>
        </w:rPr>
        <w:t>Forenelighed med indevær</w:t>
      </w:r>
      <w:r>
        <w:rPr>
          <w:noProof/>
        </w:rPr>
        <w:t xml:space="preserve">ende, flerårige, finansielle ramme </w:t>
      </w:r>
    </w:p>
    <w:p w:rsidR="00DE7E70" w:rsidRDefault="00B85DCD">
      <w:pPr>
        <w:pStyle w:val="ListDash1"/>
        <w:rPr>
          <w:noProof/>
        </w:rPr>
      </w:pPr>
      <w:r>
        <w:rPr>
          <w:noProof/>
        </w:rPr>
        <w:t>X  Forslaget/initiativet er foreneligt med indeværende flerårige, finansielle ramme</w:t>
      </w:r>
    </w:p>
    <w:p w:rsidR="00DE7E70" w:rsidRDefault="00B85DCD">
      <w:pPr>
        <w:pStyle w:val="ListDash1"/>
        <w:rPr>
          <w:noProof/>
        </w:rPr>
      </w:pPr>
      <w:r>
        <w:rPr>
          <w:noProof/>
        </w:rPr>
        <w:sym w:font="Wingdings" w:char="F0A8"/>
      </w:r>
      <w:r>
        <w:rPr>
          <w:noProof/>
        </w:rPr>
        <w:tab/>
        <w:t>Forslaget/initiativet kræver omlægning af det relevante udgiftsområde i den flerårige finansielle ramme.</w:t>
      </w:r>
    </w:p>
    <w:p w:rsidR="00DE7E70" w:rsidRDefault="00B85DCD">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omlægningen</w:t>
      </w:r>
      <w:r>
        <w:rPr>
          <w:noProof/>
          <w:sz w:val="20"/>
        </w:rPr>
        <w:t xml:space="preserve"> med angivelse af de berørte budgetposter og beløbenes størrelse</w:t>
      </w:r>
    </w:p>
    <w:p w:rsidR="00DE7E70" w:rsidRDefault="00DE7E70">
      <w:pPr>
        <w:pStyle w:val="Text1"/>
        <w:pBdr>
          <w:top w:val="single" w:sz="4" w:space="1" w:color="auto"/>
          <w:left w:val="single" w:sz="4" w:space="4" w:color="auto"/>
          <w:bottom w:val="single" w:sz="4" w:space="1" w:color="auto"/>
          <w:right w:val="single" w:sz="4" w:space="4" w:color="auto"/>
        </w:pBdr>
        <w:rPr>
          <w:noProof/>
        </w:rPr>
      </w:pPr>
    </w:p>
    <w:p w:rsidR="00DE7E70" w:rsidRDefault="00B85DCD">
      <w:pPr>
        <w:pStyle w:val="ListDash1"/>
        <w:rPr>
          <w:noProof/>
        </w:rPr>
      </w:pPr>
      <w:r>
        <w:rPr>
          <w:noProof/>
        </w:rPr>
        <w:sym w:font="Wingdings" w:char="F0A8"/>
      </w:r>
      <w:r>
        <w:rPr>
          <w:noProof/>
        </w:rPr>
        <w:tab/>
        <w:t>Forslaget/initiativet kræver, at fleksibilitetsinstrumentet anvendes, eller at den flerårige finansielle ramme revideres.</w:t>
      </w:r>
    </w:p>
    <w:p w:rsidR="00DE7E70" w:rsidRDefault="00B85DCD">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w:t>
      </w:r>
      <w:r>
        <w:rPr>
          <w:noProof/>
          <w:sz w:val="20"/>
        </w:rPr>
        <w:t>er og budgetposter og beløbenes størrelse.</w:t>
      </w:r>
    </w:p>
    <w:p w:rsidR="00DE7E70" w:rsidRDefault="00DE7E70">
      <w:pPr>
        <w:pStyle w:val="Text1"/>
        <w:pBdr>
          <w:top w:val="single" w:sz="4" w:space="1" w:color="auto"/>
          <w:left w:val="single" w:sz="4" w:space="4" w:color="auto"/>
          <w:bottom w:val="single" w:sz="4" w:space="1" w:color="auto"/>
          <w:right w:val="single" w:sz="4" w:space="4" w:color="auto"/>
        </w:pBdr>
        <w:rPr>
          <w:noProof/>
        </w:rPr>
      </w:pPr>
    </w:p>
    <w:p w:rsidR="00DE7E70" w:rsidRDefault="00B85DCD">
      <w:pPr>
        <w:pStyle w:val="ManualHeading3"/>
        <w:rPr>
          <w:bCs/>
          <w:noProof/>
          <w:szCs w:val="24"/>
        </w:rPr>
      </w:pPr>
      <w:r>
        <w:t>3.2.5.</w:t>
      </w:r>
      <w:r>
        <w:tab/>
      </w:r>
      <w:r>
        <w:rPr>
          <w:noProof/>
        </w:rPr>
        <w:t xml:space="preserve">Bidrag fra tredjepart: </w:t>
      </w:r>
    </w:p>
    <w:p w:rsidR="00DE7E70" w:rsidRDefault="00B85DCD">
      <w:pPr>
        <w:pStyle w:val="ListDash1"/>
        <w:rPr>
          <w:noProof/>
        </w:rPr>
      </w:pPr>
      <w:r>
        <w:rPr>
          <w:noProof/>
        </w:rPr>
        <w:t xml:space="preserve">Forslaget/initiativet indeholder ikke bestemmelser om samfinansiering med tredjemand </w:t>
      </w:r>
    </w:p>
    <w:p w:rsidR="00DE7E70" w:rsidRDefault="00B85DCD">
      <w:pPr>
        <w:pStyle w:val="ListDash1"/>
        <w:rPr>
          <w:noProof/>
        </w:rPr>
      </w:pPr>
      <w:r>
        <w:rPr>
          <w:noProof/>
        </w:rPr>
        <w:t>Forslaget/initiativet indeholder bestemmelser om samfinansiering, jf. følgende overslag:</w:t>
      </w:r>
    </w:p>
    <w:p w:rsidR="00DE7E70" w:rsidRDefault="00B85DCD">
      <w:pPr>
        <w:jc w:val="right"/>
        <w:rPr>
          <w:noProof/>
          <w:sz w:val="20"/>
        </w:rPr>
      </w:pPr>
      <w:r>
        <w:rPr>
          <w:noProof/>
          <w:sz w:val="20"/>
        </w:rPr>
        <w:t>Bevillinger i millioner EURO (op til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DE7E70">
        <w:trPr>
          <w:cantSplit/>
        </w:trPr>
        <w:tc>
          <w:tcPr>
            <w:tcW w:w="2340" w:type="dxa"/>
          </w:tcPr>
          <w:p w:rsidR="00DE7E70" w:rsidRDefault="00DE7E70">
            <w:pPr>
              <w:spacing w:before="60" w:after="60"/>
              <w:rPr>
                <w:noProof/>
                <w:sz w:val="20"/>
              </w:rPr>
            </w:pPr>
          </w:p>
        </w:tc>
        <w:tc>
          <w:tcPr>
            <w:tcW w:w="964" w:type="dxa"/>
            <w:vAlign w:val="center"/>
          </w:tcPr>
          <w:p w:rsidR="00DE7E70" w:rsidRDefault="00B85DCD">
            <w:pPr>
              <w:jc w:val="center"/>
              <w:rPr>
                <w:noProof/>
                <w:sz w:val="20"/>
              </w:rPr>
            </w:pPr>
            <w:r>
              <w:rPr>
                <w:noProof/>
                <w:sz w:val="20"/>
              </w:rPr>
              <w:t xml:space="preserve">År </w:t>
            </w:r>
            <w:r>
              <w:rPr>
                <w:noProof/>
                <w:sz w:val="20"/>
              </w:rPr>
              <w:br/>
            </w:r>
            <w:r>
              <w:rPr>
                <w:b/>
                <w:noProof/>
                <w:sz w:val="20"/>
              </w:rPr>
              <w:t>N</w:t>
            </w:r>
          </w:p>
        </w:tc>
        <w:tc>
          <w:tcPr>
            <w:tcW w:w="964" w:type="dxa"/>
            <w:vAlign w:val="center"/>
          </w:tcPr>
          <w:p w:rsidR="00DE7E70" w:rsidRDefault="00B85DCD">
            <w:pPr>
              <w:jc w:val="center"/>
              <w:rPr>
                <w:noProof/>
                <w:sz w:val="20"/>
              </w:rPr>
            </w:pPr>
            <w:r>
              <w:rPr>
                <w:noProof/>
                <w:sz w:val="20"/>
              </w:rPr>
              <w:t xml:space="preserve">År </w:t>
            </w:r>
            <w:r>
              <w:rPr>
                <w:noProof/>
                <w:sz w:val="20"/>
              </w:rPr>
              <w:br/>
            </w:r>
            <w:r>
              <w:rPr>
                <w:b/>
                <w:noProof/>
                <w:sz w:val="20"/>
              </w:rPr>
              <w:t>N+1</w:t>
            </w:r>
          </w:p>
        </w:tc>
        <w:tc>
          <w:tcPr>
            <w:tcW w:w="964" w:type="dxa"/>
            <w:vAlign w:val="center"/>
          </w:tcPr>
          <w:p w:rsidR="00DE7E70" w:rsidRDefault="00B85DCD">
            <w:pPr>
              <w:jc w:val="center"/>
              <w:rPr>
                <w:noProof/>
                <w:sz w:val="20"/>
              </w:rPr>
            </w:pPr>
            <w:r>
              <w:rPr>
                <w:noProof/>
                <w:sz w:val="20"/>
              </w:rPr>
              <w:t xml:space="preserve">År </w:t>
            </w:r>
            <w:r>
              <w:rPr>
                <w:noProof/>
                <w:sz w:val="20"/>
              </w:rPr>
              <w:br/>
            </w:r>
            <w:r>
              <w:rPr>
                <w:b/>
                <w:noProof/>
                <w:sz w:val="20"/>
              </w:rPr>
              <w:t>N+2</w:t>
            </w:r>
          </w:p>
        </w:tc>
        <w:tc>
          <w:tcPr>
            <w:tcW w:w="964" w:type="dxa"/>
            <w:vAlign w:val="center"/>
          </w:tcPr>
          <w:p w:rsidR="00DE7E70" w:rsidRDefault="00B85DCD">
            <w:pPr>
              <w:jc w:val="center"/>
              <w:rPr>
                <w:noProof/>
                <w:sz w:val="20"/>
              </w:rPr>
            </w:pPr>
            <w:r>
              <w:rPr>
                <w:noProof/>
                <w:sz w:val="20"/>
              </w:rPr>
              <w:t xml:space="preserve">År </w:t>
            </w:r>
            <w:r>
              <w:rPr>
                <w:noProof/>
                <w:sz w:val="20"/>
              </w:rPr>
              <w:br/>
            </w:r>
            <w:r>
              <w:rPr>
                <w:b/>
                <w:noProof/>
                <w:sz w:val="20"/>
              </w:rPr>
              <w:t>N+3</w:t>
            </w:r>
          </w:p>
        </w:tc>
        <w:tc>
          <w:tcPr>
            <w:tcW w:w="2892" w:type="dxa"/>
            <w:gridSpan w:val="3"/>
            <w:vAlign w:val="center"/>
          </w:tcPr>
          <w:p w:rsidR="00DE7E70" w:rsidRDefault="00B85DCD">
            <w:pPr>
              <w:jc w:val="center"/>
              <w:rPr>
                <w:b/>
                <w:noProof/>
                <w:sz w:val="20"/>
              </w:rPr>
            </w:pPr>
            <w:r>
              <w:rPr>
                <w:noProof/>
                <w:sz w:val="20"/>
              </w:rPr>
              <w:t>Indsæt så mange år som nødvendigt for at vise varigheden af virkningerne</w:t>
            </w:r>
            <w:r>
              <w:rPr>
                <w:noProof/>
                <w:sz w:val="20"/>
              </w:rPr>
              <w:br/>
              <w:t>(jf. punkt 1.6)</w:t>
            </w:r>
          </w:p>
        </w:tc>
        <w:tc>
          <w:tcPr>
            <w:tcW w:w="1158" w:type="dxa"/>
            <w:vAlign w:val="center"/>
          </w:tcPr>
          <w:p w:rsidR="00DE7E70" w:rsidRDefault="00B85DCD">
            <w:pPr>
              <w:spacing w:before="60" w:after="60"/>
              <w:jc w:val="center"/>
              <w:rPr>
                <w:noProof/>
                <w:sz w:val="20"/>
              </w:rPr>
            </w:pPr>
            <w:r>
              <w:rPr>
                <w:noProof/>
                <w:sz w:val="20"/>
              </w:rPr>
              <w:t>I alt</w:t>
            </w:r>
          </w:p>
        </w:tc>
      </w:tr>
      <w:tr w:rsidR="00DE7E70">
        <w:trPr>
          <w:cantSplit/>
        </w:trPr>
        <w:tc>
          <w:tcPr>
            <w:tcW w:w="2340" w:type="dxa"/>
          </w:tcPr>
          <w:p w:rsidR="00DE7E70" w:rsidRDefault="00B85DCD">
            <w:pPr>
              <w:rPr>
                <w:noProof/>
                <w:sz w:val="22"/>
              </w:rPr>
            </w:pPr>
            <w:r>
              <w:rPr>
                <w:noProof/>
                <w:sz w:val="20"/>
              </w:rPr>
              <w:t>Angiv organ, som deltager i samfinansieringen</w:t>
            </w:r>
            <w:r>
              <w:rPr>
                <w:i/>
                <w:noProof/>
                <w:sz w:val="20"/>
              </w:rPr>
              <w:t xml:space="preserve"> </w:t>
            </w:r>
          </w:p>
        </w:tc>
        <w:tc>
          <w:tcPr>
            <w:tcW w:w="964" w:type="dxa"/>
            <w:vAlign w:val="center"/>
          </w:tcPr>
          <w:p w:rsidR="00DE7E70" w:rsidRDefault="00DE7E70">
            <w:pPr>
              <w:spacing w:before="60" w:after="60"/>
              <w:jc w:val="center"/>
              <w:rPr>
                <w:noProof/>
                <w:sz w:val="20"/>
              </w:rPr>
            </w:pPr>
          </w:p>
        </w:tc>
        <w:tc>
          <w:tcPr>
            <w:tcW w:w="964" w:type="dxa"/>
            <w:vAlign w:val="center"/>
          </w:tcPr>
          <w:p w:rsidR="00DE7E70" w:rsidRDefault="00DE7E70">
            <w:pPr>
              <w:spacing w:before="60" w:after="60"/>
              <w:jc w:val="center"/>
              <w:rPr>
                <w:noProof/>
                <w:sz w:val="20"/>
              </w:rPr>
            </w:pPr>
          </w:p>
        </w:tc>
        <w:tc>
          <w:tcPr>
            <w:tcW w:w="964" w:type="dxa"/>
            <w:vAlign w:val="center"/>
          </w:tcPr>
          <w:p w:rsidR="00DE7E70" w:rsidRDefault="00DE7E70">
            <w:pPr>
              <w:spacing w:before="60" w:after="60"/>
              <w:jc w:val="center"/>
              <w:rPr>
                <w:noProof/>
                <w:sz w:val="20"/>
              </w:rPr>
            </w:pPr>
          </w:p>
        </w:tc>
        <w:tc>
          <w:tcPr>
            <w:tcW w:w="964" w:type="dxa"/>
            <w:vAlign w:val="center"/>
          </w:tcPr>
          <w:p w:rsidR="00DE7E70" w:rsidRDefault="00DE7E70">
            <w:pPr>
              <w:spacing w:before="60" w:after="60"/>
              <w:jc w:val="center"/>
              <w:rPr>
                <w:noProof/>
                <w:sz w:val="20"/>
              </w:rPr>
            </w:pPr>
          </w:p>
        </w:tc>
        <w:tc>
          <w:tcPr>
            <w:tcW w:w="964" w:type="dxa"/>
            <w:vAlign w:val="center"/>
          </w:tcPr>
          <w:p w:rsidR="00DE7E70" w:rsidRDefault="00DE7E70">
            <w:pPr>
              <w:spacing w:before="60" w:after="60"/>
              <w:jc w:val="center"/>
              <w:rPr>
                <w:noProof/>
                <w:sz w:val="20"/>
              </w:rPr>
            </w:pPr>
          </w:p>
        </w:tc>
        <w:tc>
          <w:tcPr>
            <w:tcW w:w="964" w:type="dxa"/>
            <w:vAlign w:val="center"/>
          </w:tcPr>
          <w:p w:rsidR="00DE7E70" w:rsidRDefault="00DE7E70">
            <w:pPr>
              <w:spacing w:before="60" w:after="60"/>
              <w:jc w:val="center"/>
              <w:rPr>
                <w:noProof/>
                <w:sz w:val="20"/>
              </w:rPr>
            </w:pPr>
          </w:p>
        </w:tc>
        <w:tc>
          <w:tcPr>
            <w:tcW w:w="964" w:type="dxa"/>
            <w:vAlign w:val="center"/>
          </w:tcPr>
          <w:p w:rsidR="00DE7E70" w:rsidRDefault="00DE7E70">
            <w:pPr>
              <w:spacing w:before="60" w:after="60"/>
              <w:jc w:val="center"/>
              <w:rPr>
                <w:noProof/>
                <w:sz w:val="20"/>
              </w:rPr>
            </w:pPr>
          </w:p>
        </w:tc>
        <w:tc>
          <w:tcPr>
            <w:tcW w:w="1158" w:type="dxa"/>
            <w:vAlign w:val="center"/>
          </w:tcPr>
          <w:p w:rsidR="00DE7E70" w:rsidRDefault="00DE7E70">
            <w:pPr>
              <w:spacing w:before="60" w:after="60"/>
              <w:jc w:val="center"/>
              <w:rPr>
                <w:noProof/>
                <w:sz w:val="20"/>
              </w:rPr>
            </w:pPr>
          </w:p>
        </w:tc>
      </w:tr>
      <w:tr w:rsidR="00DE7E70">
        <w:trPr>
          <w:cantSplit/>
        </w:trPr>
        <w:tc>
          <w:tcPr>
            <w:tcW w:w="2340" w:type="dxa"/>
          </w:tcPr>
          <w:p w:rsidR="00DE7E70" w:rsidRDefault="00B85DCD">
            <w:pPr>
              <w:spacing w:before="60" w:after="60"/>
              <w:jc w:val="left"/>
              <w:rPr>
                <w:noProof/>
                <w:sz w:val="20"/>
              </w:rPr>
            </w:pPr>
            <w:r>
              <w:rPr>
                <w:noProof/>
                <w:sz w:val="20"/>
              </w:rPr>
              <w:t xml:space="preserve">Samfinansierede bevillinger I ALT </w:t>
            </w:r>
          </w:p>
        </w:tc>
        <w:tc>
          <w:tcPr>
            <w:tcW w:w="964" w:type="dxa"/>
            <w:vAlign w:val="center"/>
          </w:tcPr>
          <w:p w:rsidR="00DE7E70" w:rsidRDefault="00DE7E70">
            <w:pPr>
              <w:spacing w:before="60" w:after="60"/>
              <w:jc w:val="center"/>
              <w:rPr>
                <w:noProof/>
                <w:sz w:val="20"/>
              </w:rPr>
            </w:pPr>
          </w:p>
        </w:tc>
        <w:tc>
          <w:tcPr>
            <w:tcW w:w="964" w:type="dxa"/>
            <w:vAlign w:val="center"/>
          </w:tcPr>
          <w:p w:rsidR="00DE7E70" w:rsidRDefault="00DE7E70">
            <w:pPr>
              <w:spacing w:before="60" w:after="60"/>
              <w:jc w:val="center"/>
              <w:rPr>
                <w:noProof/>
                <w:sz w:val="20"/>
              </w:rPr>
            </w:pPr>
          </w:p>
        </w:tc>
        <w:tc>
          <w:tcPr>
            <w:tcW w:w="964" w:type="dxa"/>
            <w:vAlign w:val="center"/>
          </w:tcPr>
          <w:p w:rsidR="00DE7E70" w:rsidRDefault="00DE7E70">
            <w:pPr>
              <w:spacing w:before="60" w:after="60"/>
              <w:jc w:val="center"/>
              <w:rPr>
                <w:noProof/>
                <w:sz w:val="20"/>
              </w:rPr>
            </w:pPr>
          </w:p>
        </w:tc>
        <w:tc>
          <w:tcPr>
            <w:tcW w:w="964" w:type="dxa"/>
            <w:vAlign w:val="center"/>
          </w:tcPr>
          <w:p w:rsidR="00DE7E70" w:rsidRDefault="00DE7E70">
            <w:pPr>
              <w:spacing w:before="60" w:after="60"/>
              <w:jc w:val="center"/>
              <w:rPr>
                <w:noProof/>
                <w:sz w:val="20"/>
              </w:rPr>
            </w:pPr>
          </w:p>
        </w:tc>
        <w:tc>
          <w:tcPr>
            <w:tcW w:w="964" w:type="dxa"/>
            <w:vAlign w:val="center"/>
          </w:tcPr>
          <w:p w:rsidR="00DE7E70" w:rsidRDefault="00DE7E70">
            <w:pPr>
              <w:spacing w:before="60" w:after="60"/>
              <w:jc w:val="center"/>
              <w:rPr>
                <w:noProof/>
                <w:sz w:val="20"/>
              </w:rPr>
            </w:pPr>
          </w:p>
        </w:tc>
        <w:tc>
          <w:tcPr>
            <w:tcW w:w="964" w:type="dxa"/>
            <w:vAlign w:val="center"/>
          </w:tcPr>
          <w:p w:rsidR="00DE7E70" w:rsidRDefault="00DE7E70">
            <w:pPr>
              <w:spacing w:before="60" w:after="60"/>
              <w:jc w:val="center"/>
              <w:rPr>
                <w:noProof/>
                <w:sz w:val="20"/>
              </w:rPr>
            </w:pPr>
          </w:p>
        </w:tc>
        <w:tc>
          <w:tcPr>
            <w:tcW w:w="964" w:type="dxa"/>
            <w:vAlign w:val="center"/>
          </w:tcPr>
          <w:p w:rsidR="00DE7E70" w:rsidRDefault="00DE7E70">
            <w:pPr>
              <w:spacing w:before="60" w:after="60"/>
              <w:jc w:val="center"/>
              <w:rPr>
                <w:noProof/>
                <w:sz w:val="20"/>
              </w:rPr>
            </w:pPr>
          </w:p>
        </w:tc>
        <w:tc>
          <w:tcPr>
            <w:tcW w:w="1158" w:type="dxa"/>
            <w:vAlign w:val="center"/>
          </w:tcPr>
          <w:p w:rsidR="00DE7E70" w:rsidRDefault="00DE7E70">
            <w:pPr>
              <w:spacing w:before="60" w:after="60"/>
              <w:jc w:val="center"/>
              <w:rPr>
                <w:noProof/>
                <w:sz w:val="20"/>
              </w:rPr>
            </w:pPr>
          </w:p>
        </w:tc>
      </w:tr>
    </w:tbl>
    <w:p w:rsidR="00DE7E70" w:rsidRDefault="00B85DCD">
      <w:pPr>
        <w:rPr>
          <w:noProof/>
        </w:rPr>
      </w:pPr>
      <w:r>
        <w:rPr>
          <w:noProof/>
        </w:rPr>
        <w:br/>
      </w:r>
    </w:p>
    <w:p w:rsidR="00DE7E70" w:rsidRDefault="00B85DCD">
      <w:pPr>
        <w:pStyle w:val="ManualHeading2"/>
        <w:rPr>
          <w:bCs/>
          <w:noProof/>
          <w:szCs w:val="24"/>
        </w:rPr>
      </w:pPr>
      <w:r>
        <w:rPr>
          <w:noProof/>
        </w:rPr>
        <w:br w:type="page"/>
      </w:r>
      <w:r>
        <w:t>3.3.</w:t>
      </w:r>
      <w:r>
        <w:tab/>
      </w:r>
      <w:r>
        <w:rPr>
          <w:noProof/>
        </w:rPr>
        <w:t xml:space="preserve">Anslåede virkninger for indtægterne </w:t>
      </w:r>
    </w:p>
    <w:p w:rsidR="00DE7E70" w:rsidRDefault="00B85DCD">
      <w:pPr>
        <w:pStyle w:val="ListDash1"/>
        <w:rPr>
          <w:noProof/>
        </w:rPr>
      </w:pPr>
      <w:r>
        <w:rPr>
          <w:noProof/>
        </w:rPr>
        <w:t>X Forslaget/initiativet har ingen finansielle virkninger for indtægterne</w:t>
      </w:r>
    </w:p>
    <w:p w:rsidR="00DE7E70" w:rsidRDefault="00B85DCD">
      <w:pPr>
        <w:pStyle w:val="ListDash1"/>
        <w:rPr>
          <w:noProof/>
        </w:rPr>
      </w:pPr>
      <w:r>
        <w:rPr>
          <w:noProof/>
        </w:rPr>
        <w:sym w:font="Wingdings" w:char="F0A8"/>
      </w:r>
      <w:r>
        <w:rPr>
          <w:noProof/>
        </w:rPr>
        <w:tab/>
        <w:t>Forslaget/initiativet har følgende finansielle virkninger:</w:t>
      </w:r>
    </w:p>
    <w:p w:rsidR="00DE7E70" w:rsidRDefault="00B85DCD">
      <w:pPr>
        <w:pStyle w:val="ListNumberLevel3"/>
        <w:rPr>
          <w:noProof/>
        </w:rPr>
      </w:pPr>
      <w:r>
        <w:rPr>
          <w:noProof/>
        </w:rPr>
        <w:sym w:font="Wingdings" w:char="F0A8"/>
      </w:r>
      <w:r>
        <w:rPr>
          <w:noProof/>
        </w:rPr>
        <w:tab/>
        <w:t xml:space="preserve">for egne indtægter </w:t>
      </w:r>
    </w:p>
    <w:p w:rsidR="00DE7E70" w:rsidRDefault="00B85DCD">
      <w:pPr>
        <w:pStyle w:val="ListNumberLevel3"/>
        <w:rPr>
          <w:noProof/>
        </w:rPr>
      </w:pPr>
      <w:r>
        <w:rPr>
          <w:noProof/>
        </w:rPr>
        <w:sym w:font="Wingdings" w:char="F0A8"/>
      </w:r>
      <w:r>
        <w:rPr>
          <w:noProof/>
        </w:rPr>
        <w:tab/>
      </w:r>
      <w:r>
        <w:rPr>
          <w:noProof/>
        </w:rPr>
        <w:t xml:space="preserve">for diverse indtægter </w:t>
      </w:r>
    </w:p>
    <w:p w:rsidR="00DE7E70" w:rsidRDefault="00B85DCD">
      <w:pPr>
        <w:jc w:val="right"/>
        <w:rPr>
          <w:i/>
          <w:noProof/>
          <w:sz w:val="20"/>
        </w:rPr>
      </w:pPr>
      <w:r>
        <w:rPr>
          <w:noProof/>
        </w:rPr>
        <w:t>i mio. EUR (op til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DE7E70">
        <w:trPr>
          <w:trHeight w:val="388"/>
        </w:trPr>
        <w:tc>
          <w:tcPr>
            <w:tcW w:w="2144" w:type="dxa"/>
            <w:vMerge w:val="restart"/>
            <w:vAlign w:val="center"/>
          </w:tcPr>
          <w:p w:rsidR="00DE7E70" w:rsidRDefault="00B85DCD">
            <w:pPr>
              <w:spacing w:before="40" w:after="40"/>
              <w:rPr>
                <w:noProof/>
                <w:sz w:val="18"/>
              </w:rPr>
            </w:pPr>
            <w:r>
              <w:rPr>
                <w:noProof/>
                <w:sz w:val="18"/>
              </w:rPr>
              <w:t>Indtægtspost på budgettet:</w:t>
            </w:r>
          </w:p>
        </w:tc>
        <w:tc>
          <w:tcPr>
            <w:tcW w:w="1276" w:type="dxa"/>
            <w:vMerge w:val="restart"/>
            <w:vAlign w:val="center"/>
          </w:tcPr>
          <w:p w:rsidR="00DE7E70" w:rsidRDefault="00B85DCD">
            <w:pPr>
              <w:jc w:val="center"/>
              <w:rPr>
                <w:noProof/>
                <w:sz w:val="18"/>
              </w:rPr>
            </w:pPr>
            <w:r>
              <w:rPr>
                <w:noProof/>
                <w:sz w:val="18"/>
              </w:rPr>
              <w:t>Bevillinger til rådighed i indeværende regnskabsår</w:t>
            </w:r>
          </w:p>
        </w:tc>
        <w:tc>
          <w:tcPr>
            <w:tcW w:w="7200" w:type="dxa"/>
            <w:gridSpan w:val="7"/>
            <w:vAlign w:val="center"/>
          </w:tcPr>
          <w:p w:rsidR="00DE7E70" w:rsidRDefault="00B85DCD">
            <w:pPr>
              <w:jc w:val="center"/>
              <w:rPr>
                <w:noProof/>
                <w:sz w:val="18"/>
              </w:rPr>
            </w:pPr>
            <w:r>
              <w:rPr>
                <w:noProof/>
                <w:sz w:val="18"/>
              </w:rPr>
              <w:t>Forslagets/initiativets virkninger</w:t>
            </w:r>
            <w:r>
              <w:rPr>
                <w:rStyle w:val="FootnoteReference"/>
                <w:noProof/>
              </w:rPr>
              <w:footnoteReference w:id="36"/>
            </w:r>
          </w:p>
        </w:tc>
      </w:tr>
      <w:tr w:rsidR="00DE7E70">
        <w:trPr>
          <w:trHeight w:val="388"/>
        </w:trPr>
        <w:tc>
          <w:tcPr>
            <w:tcW w:w="2144" w:type="dxa"/>
            <w:vMerge/>
          </w:tcPr>
          <w:p w:rsidR="00DE7E70" w:rsidRDefault="00DE7E70">
            <w:pPr>
              <w:spacing w:before="40" w:after="40"/>
              <w:rPr>
                <w:noProof/>
                <w:sz w:val="18"/>
              </w:rPr>
            </w:pPr>
          </w:p>
        </w:tc>
        <w:tc>
          <w:tcPr>
            <w:tcW w:w="1276" w:type="dxa"/>
            <w:vMerge/>
          </w:tcPr>
          <w:p w:rsidR="00DE7E70" w:rsidRDefault="00DE7E70">
            <w:pPr>
              <w:spacing w:beforeLines="40" w:before="96" w:afterLines="40" w:after="96"/>
              <w:rPr>
                <w:i/>
                <w:noProof/>
                <w:sz w:val="18"/>
              </w:rPr>
            </w:pPr>
          </w:p>
        </w:tc>
        <w:tc>
          <w:tcPr>
            <w:tcW w:w="1080" w:type="dxa"/>
            <w:vAlign w:val="center"/>
          </w:tcPr>
          <w:p w:rsidR="00DE7E70" w:rsidRDefault="00B85DCD">
            <w:pPr>
              <w:jc w:val="center"/>
              <w:rPr>
                <w:noProof/>
                <w:sz w:val="18"/>
              </w:rPr>
            </w:pPr>
            <w:r>
              <w:rPr>
                <w:noProof/>
                <w:sz w:val="18"/>
              </w:rPr>
              <w:t xml:space="preserve">År </w:t>
            </w:r>
            <w:r>
              <w:rPr>
                <w:noProof/>
                <w:sz w:val="18"/>
              </w:rPr>
              <w:br/>
            </w:r>
            <w:r>
              <w:rPr>
                <w:b/>
                <w:noProof/>
                <w:sz w:val="18"/>
              </w:rPr>
              <w:t>N</w:t>
            </w:r>
          </w:p>
        </w:tc>
        <w:tc>
          <w:tcPr>
            <w:tcW w:w="900" w:type="dxa"/>
            <w:vAlign w:val="center"/>
          </w:tcPr>
          <w:p w:rsidR="00DE7E70" w:rsidRDefault="00B85DCD">
            <w:pPr>
              <w:jc w:val="center"/>
              <w:rPr>
                <w:noProof/>
                <w:sz w:val="18"/>
              </w:rPr>
            </w:pPr>
            <w:r>
              <w:rPr>
                <w:noProof/>
                <w:sz w:val="18"/>
              </w:rPr>
              <w:t xml:space="preserve">År </w:t>
            </w:r>
            <w:r>
              <w:rPr>
                <w:noProof/>
                <w:sz w:val="18"/>
              </w:rPr>
              <w:br/>
            </w:r>
            <w:r>
              <w:rPr>
                <w:b/>
                <w:noProof/>
                <w:sz w:val="18"/>
              </w:rPr>
              <w:t>N+1</w:t>
            </w:r>
          </w:p>
        </w:tc>
        <w:tc>
          <w:tcPr>
            <w:tcW w:w="900" w:type="dxa"/>
            <w:vAlign w:val="center"/>
          </w:tcPr>
          <w:p w:rsidR="00DE7E70" w:rsidRDefault="00B85DCD">
            <w:pPr>
              <w:jc w:val="center"/>
              <w:rPr>
                <w:noProof/>
                <w:sz w:val="18"/>
              </w:rPr>
            </w:pPr>
            <w:r>
              <w:rPr>
                <w:noProof/>
                <w:sz w:val="18"/>
              </w:rPr>
              <w:t xml:space="preserve">År </w:t>
            </w:r>
            <w:r>
              <w:rPr>
                <w:noProof/>
                <w:sz w:val="18"/>
              </w:rPr>
              <w:br/>
            </w:r>
            <w:r>
              <w:rPr>
                <w:b/>
                <w:noProof/>
                <w:sz w:val="18"/>
              </w:rPr>
              <w:t>N+2</w:t>
            </w:r>
          </w:p>
        </w:tc>
        <w:tc>
          <w:tcPr>
            <w:tcW w:w="1080" w:type="dxa"/>
            <w:vAlign w:val="center"/>
          </w:tcPr>
          <w:p w:rsidR="00DE7E70" w:rsidRDefault="00B85DCD">
            <w:pPr>
              <w:jc w:val="center"/>
              <w:rPr>
                <w:noProof/>
                <w:sz w:val="18"/>
              </w:rPr>
            </w:pPr>
            <w:r>
              <w:rPr>
                <w:noProof/>
                <w:sz w:val="18"/>
              </w:rPr>
              <w:t xml:space="preserve">År </w:t>
            </w:r>
            <w:r>
              <w:rPr>
                <w:noProof/>
                <w:sz w:val="18"/>
              </w:rPr>
              <w:br/>
            </w:r>
            <w:r>
              <w:rPr>
                <w:b/>
                <w:noProof/>
                <w:sz w:val="18"/>
              </w:rPr>
              <w:t>N+3</w:t>
            </w:r>
          </w:p>
        </w:tc>
        <w:tc>
          <w:tcPr>
            <w:tcW w:w="3240" w:type="dxa"/>
            <w:gridSpan w:val="3"/>
            <w:vAlign w:val="center"/>
          </w:tcPr>
          <w:p w:rsidR="00DE7E70" w:rsidRDefault="00B85DCD">
            <w:pPr>
              <w:jc w:val="center"/>
              <w:rPr>
                <w:b/>
                <w:noProof/>
                <w:sz w:val="18"/>
              </w:rPr>
            </w:pPr>
            <w:r>
              <w:rPr>
                <w:noProof/>
                <w:sz w:val="18"/>
              </w:rPr>
              <w:t xml:space="preserve">Indsæt så mange år som nødvendigt for at vise varigheden af virkningerne </w:t>
            </w:r>
            <w:r>
              <w:rPr>
                <w:noProof/>
                <w:sz w:val="18"/>
              </w:rPr>
              <w:br/>
              <w:t>(jf. punkt 1.6)</w:t>
            </w:r>
          </w:p>
        </w:tc>
      </w:tr>
      <w:tr w:rsidR="00DE7E70">
        <w:trPr>
          <w:trHeight w:val="388"/>
        </w:trPr>
        <w:tc>
          <w:tcPr>
            <w:tcW w:w="2144" w:type="dxa"/>
            <w:vAlign w:val="center"/>
          </w:tcPr>
          <w:p w:rsidR="00DE7E70" w:rsidRDefault="00B85DCD">
            <w:pPr>
              <w:spacing w:before="40" w:after="40"/>
              <w:rPr>
                <w:noProof/>
                <w:sz w:val="18"/>
              </w:rPr>
            </w:pPr>
            <w:r>
              <w:rPr>
                <w:noProof/>
                <w:sz w:val="18"/>
              </w:rPr>
              <w:t>Artikel ………………….</w:t>
            </w:r>
          </w:p>
        </w:tc>
        <w:tc>
          <w:tcPr>
            <w:tcW w:w="1276" w:type="dxa"/>
          </w:tcPr>
          <w:p w:rsidR="00DE7E70" w:rsidRDefault="00DE7E70">
            <w:pPr>
              <w:spacing w:beforeLines="40" w:before="96" w:afterLines="40" w:after="96"/>
              <w:jc w:val="center"/>
              <w:rPr>
                <w:i/>
                <w:noProof/>
                <w:sz w:val="18"/>
              </w:rPr>
            </w:pPr>
          </w:p>
        </w:tc>
        <w:tc>
          <w:tcPr>
            <w:tcW w:w="1080" w:type="dxa"/>
          </w:tcPr>
          <w:p w:rsidR="00DE7E70" w:rsidRDefault="00DE7E70">
            <w:pPr>
              <w:spacing w:beforeLines="40" w:before="96" w:afterLines="40" w:after="96"/>
              <w:jc w:val="center"/>
              <w:rPr>
                <w:noProof/>
                <w:sz w:val="18"/>
              </w:rPr>
            </w:pPr>
          </w:p>
        </w:tc>
        <w:tc>
          <w:tcPr>
            <w:tcW w:w="900" w:type="dxa"/>
          </w:tcPr>
          <w:p w:rsidR="00DE7E70" w:rsidRDefault="00DE7E70">
            <w:pPr>
              <w:spacing w:beforeLines="40" w:before="96" w:afterLines="40" w:after="96"/>
              <w:jc w:val="center"/>
              <w:rPr>
                <w:noProof/>
                <w:sz w:val="18"/>
              </w:rPr>
            </w:pPr>
          </w:p>
        </w:tc>
        <w:tc>
          <w:tcPr>
            <w:tcW w:w="900" w:type="dxa"/>
          </w:tcPr>
          <w:p w:rsidR="00DE7E70" w:rsidRDefault="00DE7E70">
            <w:pPr>
              <w:spacing w:beforeLines="40" w:before="96" w:afterLines="40" w:after="96"/>
              <w:jc w:val="center"/>
              <w:rPr>
                <w:noProof/>
                <w:sz w:val="18"/>
              </w:rPr>
            </w:pPr>
          </w:p>
        </w:tc>
        <w:tc>
          <w:tcPr>
            <w:tcW w:w="1080" w:type="dxa"/>
          </w:tcPr>
          <w:p w:rsidR="00DE7E70" w:rsidRDefault="00DE7E70">
            <w:pPr>
              <w:spacing w:beforeLines="40" w:before="96" w:afterLines="40" w:after="96"/>
              <w:jc w:val="center"/>
              <w:rPr>
                <w:noProof/>
                <w:sz w:val="18"/>
              </w:rPr>
            </w:pPr>
          </w:p>
        </w:tc>
        <w:tc>
          <w:tcPr>
            <w:tcW w:w="1080" w:type="dxa"/>
          </w:tcPr>
          <w:p w:rsidR="00DE7E70" w:rsidRDefault="00DE7E70">
            <w:pPr>
              <w:spacing w:beforeLines="40" w:before="96" w:afterLines="40" w:after="96"/>
              <w:jc w:val="center"/>
              <w:rPr>
                <w:noProof/>
                <w:sz w:val="18"/>
              </w:rPr>
            </w:pPr>
          </w:p>
        </w:tc>
        <w:tc>
          <w:tcPr>
            <w:tcW w:w="1080" w:type="dxa"/>
          </w:tcPr>
          <w:p w:rsidR="00DE7E70" w:rsidRDefault="00DE7E70">
            <w:pPr>
              <w:spacing w:beforeLines="40" w:before="96" w:afterLines="40" w:after="96"/>
              <w:jc w:val="center"/>
              <w:rPr>
                <w:noProof/>
                <w:sz w:val="18"/>
              </w:rPr>
            </w:pPr>
          </w:p>
        </w:tc>
        <w:tc>
          <w:tcPr>
            <w:tcW w:w="1080" w:type="dxa"/>
          </w:tcPr>
          <w:p w:rsidR="00DE7E70" w:rsidRDefault="00DE7E70">
            <w:pPr>
              <w:spacing w:beforeLines="40" w:before="96" w:afterLines="40" w:after="96"/>
              <w:jc w:val="center"/>
              <w:rPr>
                <w:noProof/>
                <w:sz w:val="18"/>
              </w:rPr>
            </w:pPr>
          </w:p>
        </w:tc>
      </w:tr>
    </w:tbl>
    <w:p w:rsidR="00DE7E70" w:rsidRDefault="00B85DCD">
      <w:pPr>
        <w:pStyle w:val="Text1"/>
        <w:rPr>
          <w:noProof/>
          <w:sz w:val="20"/>
        </w:rPr>
      </w:pPr>
      <w:r>
        <w:rPr>
          <w:noProof/>
          <w:sz w:val="20"/>
        </w:rPr>
        <w:t>For diverse indtægter, der er formålsbestemte, angives det, hvilke af budgettets udgiftsposter, der påvirkes.</w:t>
      </w:r>
    </w:p>
    <w:p w:rsidR="00DE7E70" w:rsidRDefault="00DE7E70">
      <w:pPr>
        <w:pStyle w:val="Text1"/>
        <w:pBdr>
          <w:top w:val="single" w:sz="4" w:space="1" w:color="auto"/>
          <w:left w:val="single" w:sz="4" w:space="4" w:color="auto"/>
          <w:bottom w:val="single" w:sz="4" w:space="1" w:color="auto"/>
          <w:right w:val="single" w:sz="4" w:space="4" w:color="auto"/>
        </w:pBdr>
        <w:rPr>
          <w:noProof/>
        </w:rPr>
      </w:pPr>
    </w:p>
    <w:p w:rsidR="00DE7E70" w:rsidRDefault="00B85DCD">
      <w:pPr>
        <w:pStyle w:val="Text1"/>
        <w:rPr>
          <w:noProof/>
          <w:sz w:val="20"/>
        </w:rPr>
      </w:pPr>
      <w:r>
        <w:rPr>
          <w:noProof/>
          <w:sz w:val="20"/>
        </w:rPr>
        <w:t xml:space="preserve">Oplys hvilken metode, der </w:t>
      </w:r>
      <w:r>
        <w:rPr>
          <w:noProof/>
          <w:sz w:val="20"/>
        </w:rPr>
        <w:t>benyttes til at beregne virkningerne for indtægterne.</w:t>
      </w:r>
    </w:p>
    <w:p w:rsidR="00DE7E70" w:rsidRDefault="00DE7E70">
      <w:pPr>
        <w:pStyle w:val="Text1"/>
        <w:pBdr>
          <w:top w:val="single" w:sz="4" w:space="1" w:color="auto"/>
          <w:left w:val="single" w:sz="4" w:space="4" w:color="auto"/>
          <w:bottom w:val="single" w:sz="4" w:space="1" w:color="auto"/>
          <w:right w:val="single" w:sz="4" w:space="4" w:color="auto"/>
        </w:pBdr>
        <w:rPr>
          <w:noProof/>
        </w:rPr>
      </w:pPr>
    </w:p>
    <w:sectPr w:rsidR="00DE7E70" w:rsidSect="00B85DCD">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E70" w:rsidRDefault="00B85DCD">
      <w:pPr>
        <w:spacing w:before="0" w:after="0"/>
      </w:pPr>
      <w:r>
        <w:separator/>
      </w:r>
    </w:p>
  </w:endnote>
  <w:endnote w:type="continuationSeparator" w:id="0">
    <w:p w:rsidR="00DE7E70" w:rsidRDefault="00B85D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CD" w:rsidRPr="00B85DCD" w:rsidRDefault="00B85DCD" w:rsidP="00B85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70" w:rsidRPr="00B85DCD" w:rsidRDefault="00B85DCD" w:rsidP="00B85DCD">
    <w:pPr>
      <w:pStyle w:val="Footer"/>
      <w:rPr>
        <w:rFonts w:ascii="Arial" w:hAnsi="Arial" w:cs="Arial"/>
        <w:b/>
        <w:sz w:val="48"/>
      </w:rPr>
    </w:pPr>
    <w:r w:rsidRPr="00B85DCD">
      <w:rPr>
        <w:rFonts w:ascii="Arial" w:hAnsi="Arial" w:cs="Arial"/>
        <w:b/>
        <w:sz w:val="48"/>
      </w:rPr>
      <w:t>DA</w:t>
    </w:r>
    <w:r w:rsidRPr="00B85DCD">
      <w:rPr>
        <w:rFonts w:ascii="Arial" w:hAnsi="Arial" w:cs="Arial"/>
        <w:b/>
        <w:sz w:val="48"/>
      </w:rPr>
      <w:tab/>
    </w:r>
    <w:r w:rsidRPr="00B85DCD">
      <w:rPr>
        <w:rFonts w:ascii="Arial" w:hAnsi="Arial" w:cs="Arial"/>
        <w:b/>
        <w:sz w:val="48"/>
      </w:rPr>
      <w:tab/>
    </w:r>
    <w:fldSimple w:instr=" DOCVARIABLE &quot;LW_Confidence&quot; \* MERGEFORMAT ">
      <w:r>
        <w:t xml:space="preserve"> </w:t>
      </w:r>
    </w:fldSimple>
    <w:r w:rsidRPr="00B85DCD">
      <w:tab/>
    </w:r>
    <w:proofErr w:type="spellStart"/>
    <w:r w:rsidRPr="00B85DCD">
      <w:rPr>
        <w:rFonts w:ascii="Arial" w:hAnsi="Arial" w:cs="Arial"/>
        <w:b/>
        <w:sz w:val="48"/>
      </w:rPr>
      <w:t>DA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CD" w:rsidRPr="00B85DCD" w:rsidRDefault="00B85DCD" w:rsidP="00B85D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CD" w:rsidRPr="00B85DCD" w:rsidRDefault="00B85DCD" w:rsidP="00B85DCD">
    <w:pPr>
      <w:pStyle w:val="Footer"/>
      <w:rPr>
        <w:rFonts w:ascii="Arial" w:hAnsi="Arial" w:cs="Arial"/>
        <w:b/>
        <w:sz w:val="48"/>
      </w:rPr>
    </w:pPr>
    <w:r w:rsidRPr="00B85DCD">
      <w:rPr>
        <w:rFonts w:ascii="Arial" w:hAnsi="Arial" w:cs="Arial"/>
        <w:b/>
        <w:sz w:val="48"/>
      </w:rPr>
      <w:t>DA</w:t>
    </w:r>
    <w:r w:rsidRPr="00B85DCD">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B85DCD">
      <w:tab/>
    </w:r>
    <w:r w:rsidRPr="00B85DCD">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CD" w:rsidRPr="00B85DCD" w:rsidRDefault="00B85DCD" w:rsidP="00B85DC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CD" w:rsidRPr="00B85DCD" w:rsidRDefault="00B85DCD" w:rsidP="00B85DCD">
    <w:pPr>
      <w:pStyle w:val="FooterLandscape"/>
      <w:rPr>
        <w:rFonts w:ascii="Arial" w:hAnsi="Arial" w:cs="Arial"/>
        <w:b/>
        <w:sz w:val="48"/>
      </w:rPr>
    </w:pPr>
    <w:r w:rsidRPr="00B85DCD">
      <w:rPr>
        <w:rFonts w:ascii="Arial" w:hAnsi="Arial" w:cs="Arial"/>
        <w:b/>
        <w:sz w:val="48"/>
      </w:rPr>
      <w:t>DA</w:t>
    </w:r>
    <w:r w:rsidRPr="00B85DCD">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B85DCD">
      <w:tab/>
    </w:r>
    <w:r w:rsidRPr="00B85DCD">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CD" w:rsidRPr="00B85DCD" w:rsidRDefault="00B85DCD" w:rsidP="00B85DCD">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CD" w:rsidRPr="00B85DCD" w:rsidRDefault="00B85DCD" w:rsidP="00B85DCD">
    <w:pPr>
      <w:pStyle w:val="Footer"/>
      <w:rPr>
        <w:rFonts w:ascii="Arial" w:hAnsi="Arial" w:cs="Arial"/>
        <w:b/>
        <w:sz w:val="48"/>
      </w:rPr>
    </w:pPr>
    <w:r w:rsidRPr="00B85DCD">
      <w:rPr>
        <w:rFonts w:ascii="Arial" w:hAnsi="Arial" w:cs="Arial"/>
        <w:b/>
        <w:sz w:val="48"/>
      </w:rPr>
      <w:t>DA</w:t>
    </w:r>
    <w:r w:rsidRPr="00B85DCD">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B85DCD">
      <w:tab/>
    </w:r>
    <w:r w:rsidRPr="00B85DCD">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CD" w:rsidRPr="00B85DCD" w:rsidRDefault="00B85DCD" w:rsidP="00B85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E70" w:rsidRDefault="00B85DCD">
      <w:pPr>
        <w:spacing w:before="0" w:after="0"/>
      </w:pPr>
      <w:r>
        <w:separator/>
      </w:r>
    </w:p>
  </w:footnote>
  <w:footnote w:type="continuationSeparator" w:id="0">
    <w:p w:rsidR="00DE7E70" w:rsidRDefault="00B85DCD">
      <w:pPr>
        <w:spacing w:before="0" w:after="0"/>
      </w:pPr>
      <w:r>
        <w:continuationSeparator/>
      </w:r>
    </w:p>
  </w:footnote>
  <w:footnote w:id="1">
    <w:p w:rsidR="00DE7E70" w:rsidRDefault="00B85DCD">
      <w:pPr>
        <w:pStyle w:val="FootnoteText"/>
      </w:pPr>
      <w:r>
        <w:rPr>
          <w:rStyle w:val="FootnoteReference"/>
        </w:rPr>
        <w:footnoteRef/>
      </w:r>
      <w:r>
        <w:tab/>
        <w:t xml:space="preserve">Europa-Parlamentet og Rådets beslutning nr. 406/2009/EF af 23. april 2009 om medlemsstaternes indsats for at nedbringe deres drivhusgasemissioner med henblik på at opfylde Fællesskabets </w:t>
      </w:r>
      <w:r>
        <w:t>forpligtelser til at nedbringe drivhusgasemissionerne frem til 2020 (OJ L 140, 5.6.2009, s. 136).</w:t>
      </w:r>
    </w:p>
  </w:footnote>
  <w:footnote w:id="2">
    <w:p w:rsidR="00DE7E70" w:rsidRDefault="00B85DCD">
      <w:pPr>
        <w:pStyle w:val="FootnoteText"/>
      </w:pPr>
      <w:r>
        <w:rPr>
          <w:rStyle w:val="FootnoteReference"/>
        </w:rPr>
        <w:footnoteRef/>
      </w:r>
      <w:r>
        <w:tab/>
        <w:t>KOM(2016) 0395 endelig.</w:t>
      </w:r>
    </w:p>
  </w:footnote>
  <w:footnote w:id="3">
    <w:p w:rsidR="00DE7E70" w:rsidRDefault="00B85DCD">
      <w:pPr>
        <w:pStyle w:val="FootnoteText"/>
      </w:pPr>
      <w:r>
        <w:rPr>
          <w:rStyle w:val="FootnoteReference"/>
        </w:rPr>
        <w:footnoteRef/>
      </w:r>
      <w:r>
        <w:tab/>
        <w:t>KOM(2016) 0110 endelig.</w:t>
      </w:r>
    </w:p>
  </w:footnote>
  <w:footnote w:id="4">
    <w:p w:rsidR="00DE7E70" w:rsidRDefault="00B85DCD">
      <w:pPr>
        <w:pStyle w:val="FootnoteText"/>
      </w:pPr>
      <w:r>
        <w:rPr>
          <w:rStyle w:val="FootnoteReference"/>
        </w:rPr>
        <w:footnoteRef/>
      </w:r>
      <w:r>
        <w:tab/>
        <w:t>Europa-Parlamentet og Rådets forordning (EU) 525/2013 af 21. maj 2013 om en mekanisme for overvågning og</w:t>
      </w:r>
      <w:r>
        <w:t xml:space="preserve"> indberetning af drivhusgasemissioner og rapportering af andre oplysninger vedrørende klimaændringer på nationalt plan og EU-niveau og ophævelse af beslutning nr. 280/2004/EF (OJ L 165, 18.6.2013, s. 13).</w:t>
      </w:r>
    </w:p>
  </w:footnote>
  <w:footnote w:id="5">
    <w:p w:rsidR="00DE7E70" w:rsidRDefault="00B85DCD">
      <w:pPr>
        <w:pStyle w:val="FootnoteText"/>
        <w:ind w:left="709" w:hanging="709"/>
        <w:contextualSpacing/>
      </w:pPr>
      <w:r>
        <w:rPr>
          <w:rStyle w:val="FootnoteReference"/>
        </w:rPr>
        <w:footnoteRef/>
      </w:r>
      <w:r>
        <w:tab/>
        <w:t>COM(2016)483 Rapport fra Kommissionen til Europa-</w:t>
      </w:r>
      <w:r>
        <w:t>Parlamentet og Rådet om evalueringen af gennemførelsen af beslutning nr. 406/2009/EF i henhold til artikel 14.</w:t>
      </w:r>
    </w:p>
  </w:footnote>
  <w:footnote w:id="6">
    <w:p w:rsidR="00DE7E70" w:rsidRDefault="00B85DCD">
      <w:pPr>
        <w:pStyle w:val="FootnoteText"/>
      </w:pPr>
      <w:r>
        <w:rPr>
          <w:rStyle w:val="FootnoteReference"/>
        </w:rPr>
        <w:footnoteRef/>
      </w:r>
      <w:r>
        <w:tab/>
        <w:t xml:space="preserve">Den offentlige høring blev afholdt fra 26. marts til 18. juni 2015 og er tilgængelig på EU’s undersøgelses website: </w:t>
      </w:r>
      <w:hyperlink r:id="rId1" w:history="1">
        <w:r>
          <w:rPr>
            <w:rStyle w:val="Hyperlink"/>
          </w:rPr>
          <w:t>http://ec.europa.eu/clima/consultations/articles/0025_en.htm</w:t>
        </w:r>
      </w:hyperlink>
      <w:r>
        <w:t>.</w:t>
      </w:r>
    </w:p>
  </w:footnote>
  <w:footnote w:id="7">
    <w:p w:rsidR="00DE7E70" w:rsidRDefault="00B85DCD">
      <w:pPr>
        <w:pStyle w:val="FootnoteText"/>
      </w:pPr>
      <w:r>
        <w:rPr>
          <w:rStyle w:val="FootnoteReference"/>
        </w:rPr>
        <w:footnoteRef/>
      </w:r>
      <w:r>
        <w:tab/>
        <w:t>Se SWD(2016) 247, bilag 8.2.</w:t>
      </w:r>
    </w:p>
  </w:footnote>
  <w:footnote w:id="8">
    <w:p w:rsidR="00DE7E70" w:rsidRDefault="00B85DCD">
      <w:pPr>
        <w:pStyle w:val="FootnoteText"/>
      </w:pPr>
      <w:r>
        <w:rPr>
          <w:rStyle w:val="FootnoteReference"/>
        </w:rPr>
        <w:footnoteRef/>
      </w:r>
      <w:r>
        <w:rPr>
          <w:vertAlign w:val="superscript"/>
        </w:rPr>
        <w:tab/>
      </w:r>
      <w:r>
        <w:t>Europa-Kommissionen: EU-referencescenario 2016: Energi, transport og drivhusgasemissio</w:t>
      </w:r>
      <w:r>
        <w:t>ner – tendenser frem mod 2050.</w:t>
      </w:r>
    </w:p>
  </w:footnote>
  <w:footnote w:id="9">
    <w:p w:rsidR="00DE7E70" w:rsidRDefault="00B85DCD">
      <w:pPr>
        <w:pStyle w:val="FootnoteText"/>
        <w:ind w:left="709" w:hanging="709"/>
      </w:pPr>
      <w:r>
        <w:rPr>
          <w:rStyle w:val="FootnoteReference"/>
        </w:rPr>
        <w:footnoteRef/>
      </w:r>
      <w:r>
        <w:rPr>
          <w:vertAlign w:val="superscript"/>
        </w:rPr>
        <w:tab/>
      </w:r>
      <w:r>
        <w:t xml:space="preserve">Understøttende undersøgelse til evalueringen af beslutning nr. 406/2009/EF (beslutningen om byrdefordeling), Ricardo Energy and Environment with </w:t>
      </w:r>
      <w:proofErr w:type="spellStart"/>
      <w:r>
        <w:t>Trinomic</w:t>
      </w:r>
      <w:proofErr w:type="spellEnd"/>
      <w:r>
        <w:t xml:space="preserve"> and Vito.</w:t>
      </w:r>
    </w:p>
  </w:footnote>
  <w:footnote w:id="10">
    <w:p w:rsidR="00DE7E70" w:rsidRDefault="00B85DCD">
      <w:pPr>
        <w:spacing w:before="0" w:after="0"/>
        <w:rPr>
          <w:sz w:val="20"/>
          <w:szCs w:val="20"/>
        </w:rPr>
      </w:pPr>
      <w:r>
        <w:rPr>
          <w:rStyle w:val="FootnoteReference"/>
        </w:rPr>
        <w:footnoteRef/>
      </w:r>
      <w:r>
        <w:rPr>
          <w:sz w:val="20"/>
          <w:szCs w:val="20"/>
          <w:vertAlign w:val="superscript"/>
        </w:rPr>
        <w:tab/>
      </w:r>
      <w:r>
        <w:rPr>
          <w:sz w:val="20"/>
          <w:szCs w:val="20"/>
        </w:rPr>
        <w:t xml:space="preserve">SWD(2016) 247 og SWD(2016) 248. Udvalget for </w:t>
      </w:r>
      <w:proofErr w:type="spellStart"/>
      <w:r>
        <w:rPr>
          <w:sz w:val="20"/>
          <w:szCs w:val="20"/>
        </w:rPr>
        <w:t>Forskriftsko</w:t>
      </w:r>
      <w:r>
        <w:rPr>
          <w:sz w:val="20"/>
          <w:szCs w:val="20"/>
        </w:rPr>
        <w:t>ntrol</w:t>
      </w:r>
      <w:proofErr w:type="spellEnd"/>
      <w:r>
        <w:rPr>
          <w:sz w:val="20"/>
          <w:szCs w:val="20"/>
        </w:rPr>
        <w:t xml:space="preserve"> afgav en positiv udtalelse om udkastet </w:t>
      </w:r>
      <w:r>
        <w:rPr>
          <w:sz w:val="20"/>
          <w:szCs w:val="20"/>
        </w:rPr>
        <w:tab/>
        <w:t>til konsekvensanalyserapport, jf. SEC(2016) 339.</w:t>
      </w:r>
    </w:p>
  </w:footnote>
  <w:footnote w:id="11">
    <w:p w:rsidR="00DE7E70" w:rsidRDefault="00B85DCD">
      <w:pPr>
        <w:pStyle w:val="FootnoteText"/>
        <w:ind w:left="0" w:firstLine="0"/>
        <w:contextualSpacing/>
      </w:pPr>
      <w:r>
        <w:rPr>
          <w:rStyle w:val="FootnoteReference"/>
        </w:rPr>
        <w:footnoteRef/>
      </w:r>
      <w:r>
        <w:tab/>
        <w:t xml:space="preserve">SWD(2014)15, SWD(2014)255 endelig </w:t>
      </w:r>
    </w:p>
  </w:footnote>
  <w:footnote w:id="12">
    <w:p w:rsidR="00DE7E70" w:rsidRDefault="00B85DCD">
      <w:pPr>
        <w:spacing w:after="0"/>
        <w:contextualSpacing/>
        <w:rPr>
          <w:sz w:val="20"/>
          <w:szCs w:val="20"/>
        </w:rPr>
      </w:pPr>
      <w:r>
        <w:rPr>
          <w:rStyle w:val="FootnoteReference"/>
        </w:rPr>
        <w:footnoteRef/>
      </w:r>
      <w:r>
        <w:rPr>
          <w:sz w:val="20"/>
          <w:szCs w:val="20"/>
        </w:rPr>
        <w:tab/>
        <w:t xml:space="preserve">I rapporten fremlægges medlemsstaternes fremskridt med at overholde deres forpligtelser i henhold til </w:t>
      </w:r>
      <w:r>
        <w:rPr>
          <w:sz w:val="20"/>
          <w:szCs w:val="20"/>
        </w:rPr>
        <w:tab/>
        <w:t>energiunionen og de</w:t>
      </w:r>
      <w:r>
        <w:rPr>
          <w:sz w:val="20"/>
          <w:szCs w:val="20"/>
        </w:rPr>
        <w:t xml:space="preserve">ns forvaltningssystem.  </w:t>
      </w:r>
    </w:p>
  </w:footnote>
  <w:footnote w:id="13">
    <w:p w:rsidR="00DE7E70" w:rsidRDefault="00B85DCD">
      <w:pPr>
        <w:pStyle w:val="FootnoteText"/>
      </w:pPr>
      <w:r>
        <w:rPr>
          <w:rStyle w:val="FootnoteReference"/>
        </w:rPr>
        <w:footnoteRef/>
      </w:r>
      <w:r>
        <w:tab/>
        <w:t>EUT C  af , s. .</w:t>
      </w:r>
    </w:p>
  </w:footnote>
  <w:footnote w:id="14">
    <w:p w:rsidR="00DE7E70" w:rsidRDefault="00B85DCD">
      <w:pPr>
        <w:pStyle w:val="FootnoteText"/>
      </w:pPr>
      <w:r>
        <w:rPr>
          <w:rStyle w:val="FootnoteReference"/>
        </w:rPr>
        <w:footnoteRef/>
      </w:r>
      <w:r>
        <w:tab/>
        <w:t>EUT C  af , s. .</w:t>
      </w:r>
    </w:p>
  </w:footnote>
  <w:footnote w:id="15">
    <w:p w:rsidR="00DE7E70" w:rsidRDefault="00B85DCD">
      <w:pPr>
        <w:pStyle w:val="FootnoteText"/>
      </w:pPr>
      <w:r>
        <w:rPr>
          <w:rStyle w:val="FootnoteReference"/>
        </w:rPr>
        <w:footnoteRef/>
      </w:r>
      <w:r>
        <w:tab/>
        <w:t>EUT C  af , s. .</w:t>
      </w:r>
    </w:p>
  </w:footnote>
  <w:footnote w:id="16">
    <w:p w:rsidR="00DE7E70" w:rsidRDefault="00B85DCD">
      <w:pPr>
        <w:pStyle w:val="FootnoteText"/>
      </w:pPr>
      <w:r>
        <w:rPr>
          <w:rStyle w:val="FootnoteReference"/>
        </w:rPr>
        <w:footnoteRef/>
      </w:r>
      <w:r>
        <w:tab/>
        <w:t>COM(2015)80.</w:t>
      </w:r>
    </w:p>
  </w:footnote>
  <w:footnote w:id="17">
    <w:p w:rsidR="00DE7E70" w:rsidRDefault="00B85DCD">
      <w:pPr>
        <w:pStyle w:val="FootnoteText"/>
      </w:pPr>
      <w:r>
        <w:rPr>
          <w:rStyle w:val="FootnoteReference"/>
        </w:rPr>
        <w:footnoteRef/>
      </w:r>
      <w:r>
        <w:tab/>
        <w:t>Europa-Parlamentets og Rådets forordning (EU) nr. 525/2013 af 21. maj 2013 om en mekanisme til overvågning og rapportering af drivhusgasemissioner og rapport</w:t>
      </w:r>
      <w:r>
        <w:t xml:space="preserve">ering af andre oplysninger vedrørende klimaændringer på nationalt plan og EU-plan og om ophævelse af beslutning nr. 280/2004/EF </w:t>
      </w:r>
      <w:r>
        <w:br/>
        <w:t>(EUT L 165 af 18.6.2013, s. 13).</w:t>
      </w:r>
    </w:p>
  </w:footnote>
  <w:footnote w:id="18">
    <w:p w:rsidR="00DE7E70" w:rsidRDefault="00B85DCD">
      <w:pPr>
        <w:pStyle w:val="FootnoteText"/>
      </w:pPr>
      <w:r>
        <w:rPr>
          <w:rStyle w:val="FootnoteReference"/>
        </w:rPr>
        <w:footnoteRef/>
      </w:r>
      <w:r>
        <w:tab/>
        <w:t>Europa-Parlamentets og Rådets direktiv 2003/87/EF af 13. oktober 2003 om en ordning for hand</w:t>
      </w:r>
      <w:r>
        <w:t xml:space="preserve">el med kvoter for drivhusgasemissioner i Fællesskabet og om ændring af Rådets direktiv 96/61/EF </w:t>
      </w:r>
      <w:r>
        <w:br/>
        <w:t>(EUT L 275 af 25.10.2003, s. 32).</w:t>
      </w:r>
    </w:p>
  </w:footnote>
  <w:footnote w:id="19">
    <w:p w:rsidR="00DE7E70" w:rsidRDefault="00B85DCD">
      <w:pPr>
        <w:pStyle w:val="FootnoteText"/>
      </w:pPr>
      <w:r>
        <w:rPr>
          <w:rStyle w:val="FootnoteReference"/>
        </w:rPr>
        <w:footnoteRef/>
      </w:r>
      <w:r>
        <w:tab/>
        <w:t>Europa-Parlamentets og Rådets beslutning nr. 406/2009/EF af 23. april 2009 om medlemsstaternes indsats for at reducere dere</w:t>
      </w:r>
      <w:r>
        <w:t>s drivhusgasemissioner med henblik på at opfylde Fællesskabets forpligtelser til at reducere drivhusgasemissionerne frem til 2020 (EUT L 140 af 5.6.2009, s. 136-148).</w:t>
      </w:r>
    </w:p>
  </w:footnote>
  <w:footnote w:id="20">
    <w:p w:rsidR="00DE7E70" w:rsidRDefault="00B85DCD">
      <w:pPr>
        <w:pStyle w:val="FootnoteText"/>
      </w:pPr>
      <w:r>
        <w:rPr>
          <w:rStyle w:val="FootnoteReference"/>
        </w:rPr>
        <w:footnoteRef/>
      </w:r>
      <w:r>
        <w:tab/>
        <w:t>SWD(2016) 247.</w:t>
      </w:r>
    </w:p>
  </w:footnote>
  <w:footnote w:id="21">
    <w:p w:rsidR="00DE7E70" w:rsidRDefault="00B85DCD">
      <w:pPr>
        <w:pStyle w:val="FootnoteText"/>
      </w:pPr>
      <w:r>
        <w:rPr>
          <w:rStyle w:val="FootnoteReference"/>
        </w:rPr>
        <w:footnoteRef/>
      </w:r>
      <w:r>
        <w:tab/>
        <w:t>Europa-Parlamentets og Rådets forordning (EU) nr. 182/2011 af 16. febr</w:t>
      </w:r>
      <w:r>
        <w:t>uar 2011 om reglerne og de generelle principper for, hvordan medlemsstaterne skal kontrollere Kommissionens udøvelse af gennemførelsesbeføjelser (EUT L 55 af 28.2.2011, s. 13).</w:t>
      </w:r>
    </w:p>
  </w:footnote>
  <w:footnote w:id="22">
    <w:p w:rsidR="00DE7E70" w:rsidRDefault="00B85DCD">
      <w:pPr>
        <w:pStyle w:val="FootnoteText"/>
      </w:pPr>
      <w:r>
        <w:rPr>
          <w:rStyle w:val="FootnoteReference"/>
        </w:rPr>
        <w:footnoteRef/>
      </w:r>
      <w:r>
        <w:tab/>
        <w:t>Europa-Parlamentets og Rådets direktiv 2003/87/EF af 13. oktober 2003 om en o</w:t>
      </w:r>
      <w:r>
        <w:t>rdning for handel med kvoter for drivhusgasemissioner i Fællesskabet og om ændring af Rådets direktiv 96/61/EF (EUT L 275 af 25.10.2003 s. 32).</w:t>
      </w:r>
    </w:p>
  </w:footnote>
  <w:footnote w:id="23">
    <w:p w:rsidR="00DE7E70" w:rsidRDefault="00B85DCD">
      <w:pPr>
        <w:pStyle w:val="FootnoteText"/>
      </w:pPr>
      <w:r>
        <w:rPr>
          <w:rStyle w:val="FootnoteReference"/>
        </w:rPr>
        <w:footnoteRef/>
      </w:r>
      <w:r>
        <w:tab/>
        <w:t xml:space="preserve">ABM: Activity </w:t>
      </w:r>
      <w:proofErr w:type="spellStart"/>
      <w:r>
        <w:t>Based</w:t>
      </w:r>
      <w:proofErr w:type="spellEnd"/>
      <w:r>
        <w:t xml:space="preserve"> Management (aktivitetsbaseret ledelse) – ABB: Activity </w:t>
      </w:r>
      <w:proofErr w:type="spellStart"/>
      <w:r>
        <w:t>Based</w:t>
      </w:r>
      <w:proofErr w:type="spellEnd"/>
      <w:r>
        <w:t xml:space="preserve"> </w:t>
      </w:r>
      <w:proofErr w:type="spellStart"/>
      <w:r>
        <w:t>Budgeting</w:t>
      </w:r>
      <w:proofErr w:type="spellEnd"/>
      <w:r>
        <w:t xml:space="preserve"> (aktivitetsbaseret </w:t>
      </w:r>
      <w:r>
        <w:t>budgetlægning).</w:t>
      </w:r>
    </w:p>
  </w:footnote>
  <w:footnote w:id="24">
    <w:p w:rsidR="00DE7E70" w:rsidRDefault="00B85DCD">
      <w:pPr>
        <w:pStyle w:val="FootnoteText"/>
      </w:pPr>
      <w:r>
        <w:rPr>
          <w:rStyle w:val="FootnoteReference"/>
        </w:rPr>
        <w:footnoteRef/>
      </w:r>
      <w:r>
        <w:tab/>
        <w:t>Jf. finansforordningens artikel 54, stk. 2, litra a) hhv. b).</w:t>
      </w:r>
    </w:p>
  </w:footnote>
  <w:footnote w:id="25">
    <w:p w:rsidR="00DE7E70" w:rsidRDefault="00B85DCD">
      <w:pPr>
        <w:pStyle w:val="FootnoteText"/>
      </w:pPr>
      <w:r>
        <w:rPr>
          <w:rStyle w:val="FootnoteReference"/>
        </w:rPr>
        <w:footnoteRef/>
      </w:r>
      <w:r>
        <w:tab/>
        <w:t xml:space="preserve">Forklaringer vedrørende forvaltningsmetoder og henvisninger til finansforordningen findes på webstedet </w:t>
      </w:r>
      <w:proofErr w:type="spellStart"/>
      <w:r>
        <w:t>BudgWeb</w:t>
      </w:r>
      <w:proofErr w:type="spellEnd"/>
      <w:r>
        <w:t xml:space="preserve">: </w:t>
      </w:r>
      <w:hyperlink r:id="rId2" w:history="1">
        <w:r>
          <w:rPr>
            <w:rStyle w:val="Hyperlink"/>
          </w:rPr>
          <w:t>http://www.cc.cec/budg/man/budgmanag/budgmanag_en.html</w:t>
        </w:r>
      </w:hyperlink>
      <w:r>
        <w:rPr>
          <w:rStyle w:val="Hyperlink"/>
          <w:u w:val="none"/>
        </w:rPr>
        <w:t>.</w:t>
      </w:r>
    </w:p>
  </w:footnote>
  <w:footnote w:id="26">
    <w:p w:rsidR="00DE7E70" w:rsidRDefault="00B85DCD">
      <w:pPr>
        <w:pStyle w:val="FootnoteText"/>
      </w:pPr>
      <w:r>
        <w:rPr>
          <w:rStyle w:val="FootnoteReference"/>
        </w:rPr>
        <w:footnoteRef/>
      </w:r>
      <w:r>
        <w:tab/>
        <w:t>OB. = opdelte bevillinger/IOB. = ikke-opdelte bevillinger.</w:t>
      </w:r>
    </w:p>
  </w:footnote>
  <w:footnote w:id="27">
    <w:p w:rsidR="00DE7E70" w:rsidRDefault="00B85DCD">
      <w:pPr>
        <w:pStyle w:val="FootnoteText"/>
      </w:pPr>
      <w:r>
        <w:rPr>
          <w:rStyle w:val="FootnoteReference"/>
        </w:rPr>
        <w:footnoteRef/>
      </w:r>
      <w:r>
        <w:tab/>
        <w:t xml:space="preserve">EFTA: Den Europæiske Frihandelssammenslutning. </w:t>
      </w:r>
    </w:p>
  </w:footnote>
  <w:footnote w:id="28">
    <w:p w:rsidR="00DE7E70" w:rsidRDefault="00B85DCD">
      <w:pPr>
        <w:pStyle w:val="FootnoteText"/>
      </w:pPr>
      <w:r>
        <w:rPr>
          <w:rStyle w:val="FootnoteReference"/>
        </w:rPr>
        <w:footnoteRef/>
      </w:r>
      <w:r>
        <w:tab/>
        <w:t xml:space="preserve">Kandidatlande og, </w:t>
      </w:r>
      <w:r>
        <w:t>efter omstændighederne, potentielle kandidatlande på Vestbalkan.</w:t>
      </w:r>
    </w:p>
  </w:footnote>
  <w:footnote w:id="29">
    <w:p w:rsidR="00DE7E70" w:rsidRDefault="00B85DCD">
      <w:pPr>
        <w:pStyle w:val="FootnoteText"/>
      </w:pPr>
      <w:r>
        <w:rPr>
          <w:rStyle w:val="FootnoteReference"/>
        </w:rPr>
        <w:footnoteRef/>
      </w:r>
      <w:r>
        <w:tab/>
        <w:t>Reduktion af drivhusgasemissioner (modvirkning).</w:t>
      </w:r>
    </w:p>
  </w:footnote>
  <w:footnote w:id="30">
    <w:p w:rsidR="00DE7E70" w:rsidRDefault="00B85DCD">
      <w:pPr>
        <w:pStyle w:val="FootnoteText"/>
      </w:pPr>
      <w:r>
        <w:rPr>
          <w:rStyle w:val="FootnoteReference"/>
        </w:rPr>
        <w:footnoteRef/>
      </w:r>
      <w:r>
        <w:tab/>
        <w:t>Tilskud til Det Europæiske Miljøagentur.</w:t>
      </w:r>
    </w:p>
  </w:footnote>
  <w:footnote w:id="31">
    <w:p w:rsidR="00DE7E70" w:rsidRDefault="00B85DCD">
      <w:pPr>
        <w:pStyle w:val="FootnoteText"/>
      </w:pPr>
      <w:r>
        <w:rPr>
          <w:rStyle w:val="FootnoteReference"/>
        </w:rPr>
        <w:footnoteRef/>
      </w:r>
      <w:r>
        <w:tab/>
        <w:t xml:space="preserve">Teknisk og/eller administrativ bistand og udgifter til støtte for gennemførelsen af EU's </w:t>
      </w:r>
      <w:r>
        <w:t>programmer og/eller aktioner (tidligere BA-poster), indirekte forskning, direkte forskning.</w:t>
      </w:r>
    </w:p>
  </w:footnote>
  <w:footnote w:id="32">
    <w:p w:rsidR="00DE7E70" w:rsidRDefault="00B85DCD">
      <w:pPr>
        <w:pStyle w:val="FootnoteText"/>
      </w:pPr>
      <w:r>
        <w:rPr>
          <w:rStyle w:val="FootnoteReference"/>
        </w:rPr>
        <w:footnoteRef/>
      </w:r>
      <w:r>
        <w:tab/>
        <w:t>Resultater er de produkter og tjenesteydelser, der skal leveres (f.eks. antal finansierede studenterudvekslinger, antal km bygget vej osv.).</w:t>
      </w:r>
    </w:p>
  </w:footnote>
  <w:footnote w:id="33">
    <w:p w:rsidR="00DE7E70" w:rsidRDefault="00B85DCD">
      <w:pPr>
        <w:pStyle w:val="FootnoteText"/>
      </w:pPr>
      <w:r>
        <w:rPr>
          <w:rStyle w:val="FootnoteReference"/>
        </w:rPr>
        <w:footnoteRef/>
      </w:r>
      <w:r>
        <w:tab/>
      </w:r>
      <w:r>
        <w:rPr>
          <w:sz w:val="19"/>
          <w:szCs w:val="19"/>
        </w:rPr>
        <w:t>Teknisk og/eller ad</w:t>
      </w:r>
      <w:r>
        <w:rPr>
          <w:sz w:val="19"/>
          <w:szCs w:val="19"/>
        </w:rPr>
        <w:t>ministrativ bistand og udgifter til støtte for gennemførelsen af EU's programmer og/eller aktioner (tidligere BA-poster), indirekte forskning, direkte forskning</w:t>
      </w:r>
      <w:r>
        <w:rPr>
          <w:color w:val="222222"/>
          <w:shd w:val="clear" w:color="auto" w:fill="FFFFFF"/>
        </w:rPr>
        <w:t>.</w:t>
      </w:r>
    </w:p>
  </w:footnote>
  <w:footnote w:id="34">
    <w:p w:rsidR="00DE7E70" w:rsidRDefault="00B85DCD">
      <w:pPr>
        <w:pStyle w:val="FootnoteText"/>
      </w:pPr>
      <w:r>
        <w:rPr>
          <w:rStyle w:val="FootnoteReference"/>
        </w:rPr>
        <w:footnoteRef/>
      </w:r>
      <w:r>
        <w:tab/>
        <w:t>KA= kontraktansatte, LA= lokalt ansatte, UNE= udstationerede nationale eksperter, V= vikarer</w:t>
      </w:r>
      <w:r>
        <w:t>, JED= junioreksperter ved delegationerne.</w:t>
      </w:r>
    </w:p>
  </w:footnote>
  <w:footnote w:id="35">
    <w:p w:rsidR="00DE7E70" w:rsidRDefault="00B85DCD">
      <w:pPr>
        <w:pStyle w:val="FootnoteText"/>
      </w:pPr>
      <w:r>
        <w:rPr>
          <w:rStyle w:val="FootnoteReference"/>
        </w:rPr>
        <w:footnoteRef/>
      </w:r>
      <w:r>
        <w:tab/>
        <w:t>Delloft for eksternt personale under aktionsbevillingerne (tidligere BA-poster).</w:t>
      </w:r>
    </w:p>
  </w:footnote>
  <w:footnote w:id="36">
    <w:p w:rsidR="00DE7E70" w:rsidRDefault="00B85DCD">
      <w:pPr>
        <w:pStyle w:val="FootnoteText"/>
      </w:pPr>
      <w:r>
        <w:rPr>
          <w:rStyle w:val="FootnoteReference"/>
        </w:rPr>
        <w:footnoteRef/>
      </w:r>
      <w:r>
        <w:tab/>
        <w:t>Med hensyn til EU's traditionelle egne indtægter (told- og sukkerafgifter) opgives beløbene netto, dvs. bruttobeløb, hvorfra der</w:t>
      </w:r>
      <w:r>
        <w:t xml:space="preserve">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CD" w:rsidRPr="00B85DCD" w:rsidRDefault="00B85DCD" w:rsidP="00B85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CD" w:rsidRPr="00B85DCD" w:rsidRDefault="00B85DCD" w:rsidP="00B85D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CD" w:rsidRPr="00B85DCD" w:rsidRDefault="00B85DCD" w:rsidP="00B85D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CD" w:rsidRPr="00B85DCD" w:rsidRDefault="00B85DCD" w:rsidP="00B85DCD">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CD" w:rsidRPr="00B85DCD" w:rsidRDefault="00B85DCD" w:rsidP="00B85DCD">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CD" w:rsidRPr="00B85DCD" w:rsidRDefault="00B85DCD" w:rsidP="00B85D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CD" w:rsidRPr="00B85DCD" w:rsidRDefault="00B85DCD" w:rsidP="00B85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4623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761CB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57AC1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37A04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CB5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3"/>
  </w:num>
  <w:num w:numId="3">
    <w:abstractNumId w:val="21"/>
  </w:num>
  <w:num w:numId="4">
    <w:abstractNumId w:val="18"/>
  </w:num>
  <w:num w:numId="5">
    <w:abstractNumId w:val="22"/>
  </w:num>
  <w:num w:numId="6">
    <w:abstractNumId w:val="4"/>
  </w:num>
  <w:num w:numId="7">
    <w:abstractNumId w:val="3"/>
  </w:num>
  <w:num w:numId="8">
    <w:abstractNumId w:val="2"/>
  </w:num>
  <w:num w:numId="9">
    <w:abstractNumId w:val="1"/>
  </w:num>
  <w:num w:numId="10">
    <w:abstractNumId w:val="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num>
  <w:num w:numId="13">
    <w:abstractNumId w:val="17"/>
  </w:num>
  <w:num w:numId="14">
    <w:abstractNumId w:val="10"/>
  </w:num>
  <w:num w:numId="15">
    <w:abstractNumId w:val="20"/>
  </w:num>
  <w:num w:numId="16">
    <w:abstractNumId w:val="9"/>
  </w:num>
  <w:num w:numId="17">
    <w:abstractNumId w:val="11"/>
  </w:num>
  <w:num w:numId="18">
    <w:abstractNumId w:val="7"/>
  </w:num>
  <w:num w:numId="19">
    <w:abstractNumId w:val="19"/>
  </w:num>
  <w:num w:numId="20">
    <w:abstractNumId w:val="6"/>
  </w:num>
  <w:num w:numId="21">
    <w:abstractNumId w:val="12"/>
  </w:num>
  <w:num w:numId="22">
    <w:abstractNumId w:val="15"/>
  </w:num>
  <w:num w:numId="23">
    <w:abstractNumId w:val="16"/>
  </w:num>
  <w:num w:numId="24">
    <w:abstractNumId w:val="8"/>
  </w:num>
  <w:num w:numId="25">
    <w:abstractNumId w:val="14"/>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proofState w:spelling="clean"/>
  <w:attachedTemplate r:id="rId1"/>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29 10:17:3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7"/>
    <w:docVar w:name="DQCResult_ModifiedMarkers" w:val="0;0"/>
    <w:docVar w:name="DQCResult_ModifiedNumbering" w:val="0;0"/>
    <w:docVar w:name="DQCResult_Objects" w:val="0;0"/>
    <w:docVar w:name="DQCResult_Sections" w:val="0;0"/>
    <w:docVar w:name="DQCResult_StructureCheck" w:val="0;0"/>
    <w:docVar w:name="DQCResult_SuperfluousWhitespace" w:val="0;51"/>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lt;UNUSED&gt;"/>
    <w:docVar w:name="LW_COVERPAGE_GUID" w:val="BAFE320B8CAF4E0EB46583BB91A6581F"/>
    <w:docVar w:name="LW_CROSSREFERENCE" w:val="{SWD(2016) 247 final}_x000b_{SWD(2016) 248 final}"/>
    <w:docVar w:name="LW_DocType" w:val="COM"/>
    <w:docVar w:name="LW_EMISSION" w:val="20.7.2016"/>
    <w:docVar w:name="LW_EMISSION_ISODATE" w:val="2016-07-20"/>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STATUT" w:val="SJ-023"/>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231"/>
    <w:docVar w:name="LW_REF.II.NEW.CP_YEAR" w:val="2016"/>
    <w:docVar w:name="LW_REF.INST.NEW" w:val="COM"/>
    <w:docVar w:name="LW_REF.INST.NEW_ADOPTED" w:val="final/2"/>
    <w:docVar w:name="LW_REF.INST.NEW_TEXT" w:val="(2016) 482"/>
    <w:docVar w:name="LW_REF.INTERNE" w:val="&lt;UNUSED&gt;"/>
    <w:docVar w:name="LW_SOUS.TITRE.OBJ.CP" w:val="&lt;UNUSED&gt;"/>
    <w:docVar w:name="LW_STATUT.CP" w:val="Forslag til"/>
    <w:docVar w:name="LW_SUPERTITRE" w:val="&lt;UNUSED&gt;"/>
    <w:docVar w:name="LW_TITRE.OBJ.CP" w:val="om bindende årlige reduktioner af drivhusgasemissionerne fra medlemsstaterne fra 2021 til 2030 for en modstandsdygtig energiunion og for at opfylde forpligtelserne i henhold til Parisaftalen og om ændring af Europa-Parlamentets og Rådets forordning nr. 525/2013 om en mekanisme til overvågning og rapportering af drivhusgasemissioner og rapportering af andre oplysninger vedrørende klimaændringer"/>
    <w:docVar w:name="LW_TYPE.DOC.CP" w:val="EUROPA-PARLAMENTETS OG RÅDETS FORORDNING"/>
  </w:docVars>
  <w:rsids>
    <w:rsidRoot w:val="00DE7E70"/>
    <w:rsid w:val="00B85DCD"/>
    <w:rsid w:val="00DE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rPr>
      <w:rFonts w:eastAsia="Times New Roman"/>
      <w:lang w:eastAsia="de-DE"/>
    </w:rPr>
  </w:style>
  <w:style w:type="paragraph" w:customStyle="1" w:styleId="ListDash2">
    <w:name w:val="List Dash 2"/>
    <w:basedOn w:val="Normal"/>
    <w:pPr>
      <w:numPr>
        <w:numId w:val="2"/>
      </w:numPr>
    </w:pPr>
    <w:rPr>
      <w:rFonts w:eastAsia="Times New Roman"/>
      <w:lang w:eastAsia="de-DE"/>
    </w:rPr>
  </w:style>
  <w:style w:type="paragraph" w:customStyle="1" w:styleId="ListNumberLevel2">
    <w:name w:val="List Number (Level 2)"/>
    <w:basedOn w:val="Normal"/>
    <w:pPr>
      <w:numPr>
        <w:ilvl w:val="1"/>
        <w:numId w:val="3"/>
      </w:numPr>
    </w:pPr>
    <w:rPr>
      <w:rFonts w:eastAsia="Times New Roman"/>
      <w:lang w:eastAsia="de-DE"/>
    </w:rPr>
  </w:style>
  <w:style w:type="paragraph" w:customStyle="1" w:styleId="ListNumberLevel3">
    <w:name w:val="List Number (Level 3)"/>
    <w:basedOn w:val="Normal"/>
    <w:pPr>
      <w:numPr>
        <w:ilvl w:val="2"/>
        <w:numId w:val="3"/>
      </w:numPr>
    </w:pPr>
    <w:rPr>
      <w:rFonts w:eastAsia="Times New Roman"/>
      <w:lang w:eastAsia="de-DE"/>
    </w:rPr>
  </w:style>
  <w:style w:type="paragraph" w:customStyle="1" w:styleId="ListNumberLevel4">
    <w:name w:val="List Number (Level 4)"/>
    <w:basedOn w:val="Normal"/>
    <w:pPr>
      <w:numPr>
        <w:ilvl w:val="3"/>
        <w:numId w:val="3"/>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4"/>
      </w:numPr>
    </w:pPr>
    <w:rPr>
      <w:rFonts w:eastAsia="Times New Roman"/>
      <w:lang w:val="fr-FR" w:eastAsia="en-GB"/>
    </w:rPr>
  </w:style>
  <w:style w:type="paragraph" w:styleId="ListBullet2">
    <w:name w:val="List Bullet 2"/>
    <w:basedOn w:val="Normal"/>
    <w:uiPriority w:val="99"/>
    <w:pPr>
      <w:numPr>
        <w:numId w:val="5"/>
      </w:numPr>
    </w:pPr>
    <w:rPr>
      <w:rFonts w:eastAsia="Times New Roman"/>
      <w:lang w:val="fr-FR"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rPr>
      <w:rFonts w:eastAsia="Times New Roman"/>
      <w:b/>
      <w:bCs/>
      <w:szCs w:val="22"/>
      <w:lang w:eastAsia="en-GB"/>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en-GB"/>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customStyle="1" w:styleId="s4">
    <w:name w:val="s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orpsdutexte6">
    <w:name w:val="Corps du texte (6)"/>
    <w:basedOn w:val="DefaultParagraphFont"/>
    <w:uiPriority w:val="99"/>
    <w:rPr>
      <w:color w:val="1A171C"/>
      <w:sz w:val="13"/>
      <w:szCs w:val="13"/>
      <w:shd w:val="clear" w:color="auto" w:fill="FFFFFF"/>
    </w:rPr>
  </w:style>
  <w:style w:type="character" w:customStyle="1" w:styleId="Corpsdutexte3">
    <w:name w:val="Corps du texte3"/>
    <w:basedOn w:val="DefaultParagraphFont"/>
    <w:uiPriority w:val="99"/>
    <w:rPr>
      <w:color w:val="1A171C"/>
      <w:sz w:val="16"/>
      <w:szCs w:val="16"/>
      <w:shd w:val="clear" w:color="auto" w:fill="FFFFFF"/>
    </w:rPr>
  </w:style>
  <w:style w:type="paragraph" w:customStyle="1" w:styleId="Corpsdutexte1">
    <w:name w:val="Corps du texte1"/>
    <w:basedOn w:val="Normal"/>
    <w:uiPriority w:val="99"/>
    <w:pPr>
      <w:widowControl w:val="0"/>
      <w:shd w:val="clear" w:color="auto" w:fill="FFFFFF"/>
      <w:spacing w:before="0" w:after="480" w:line="192" w:lineRule="exact"/>
      <w:ind w:hanging="500"/>
    </w:pPr>
    <w:rPr>
      <w:rFonts w:asciiTheme="minorHAnsi" w:hAnsiTheme="minorHAnsi" w:cstheme="minorBidi"/>
      <w:sz w:val="16"/>
      <w:szCs w:val="16"/>
      <w:lang w:val="en-US"/>
    </w:rPr>
  </w:style>
  <w:style w:type="paragraph" w:customStyle="1" w:styleId="Corpsdutexte61">
    <w:name w:val="Corps du texte (6)1"/>
    <w:basedOn w:val="Normal"/>
    <w:uiPriority w:val="99"/>
    <w:pPr>
      <w:widowControl w:val="0"/>
      <w:shd w:val="clear" w:color="auto" w:fill="FFFFFF"/>
      <w:spacing w:before="0" w:after="0" w:line="168" w:lineRule="exact"/>
      <w:jc w:val="center"/>
    </w:pPr>
    <w:rPr>
      <w:rFonts w:asciiTheme="minorHAnsi" w:hAnsiTheme="minorHAnsi" w:cstheme="minorBidi"/>
      <w:sz w:val="13"/>
      <w:szCs w:val="13"/>
      <w:lang w:val="en-US"/>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Normal"/>
    <w:qFormat/>
  </w:style>
  <w:style w:type="paragraph" w:customStyle="1" w:styleId="Style2">
    <w:name w:val="Style2"/>
    <w:basedOn w:val="Considrant"/>
    <w:qForma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rsid w:val="00B85DCD"/>
    <w:pPr>
      <w:tabs>
        <w:tab w:val="center" w:pos="4535"/>
        <w:tab w:val="right" w:pos="9071"/>
      </w:tabs>
      <w:spacing w:before="0"/>
    </w:pPr>
  </w:style>
  <w:style w:type="character" w:customStyle="1" w:styleId="HeaderChar">
    <w:name w:val="Header Char"/>
    <w:basedOn w:val="DefaultParagraphFont"/>
    <w:link w:val="Header"/>
    <w:uiPriority w:val="99"/>
    <w:rsid w:val="00B85DCD"/>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85DCD"/>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rPr>
      <w:rFonts w:eastAsia="Times New Roman"/>
      <w:lang w:eastAsia="de-DE"/>
    </w:rPr>
  </w:style>
  <w:style w:type="paragraph" w:customStyle="1" w:styleId="ListDash2">
    <w:name w:val="List Dash 2"/>
    <w:basedOn w:val="Normal"/>
    <w:pPr>
      <w:numPr>
        <w:numId w:val="2"/>
      </w:numPr>
    </w:pPr>
    <w:rPr>
      <w:rFonts w:eastAsia="Times New Roman"/>
      <w:lang w:eastAsia="de-DE"/>
    </w:rPr>
  </w:style>
  <w:style w:type="paragraph" w:customStyle="1" w:styleId="ListNumberLevel2">
    <w:name w:val="List Number (Level 2)"/>
    <w:basedOn w:val="Normal"/>
    <w:pPr>
      <w:numPr>
        <w:ilvl w:val="1"/>
        <w:numId w:val="3"/>
      </w:numPr>
    </w:pPr>
    <w:rPr>
      <w:rFonts w:eastAsia="Times New Roman"/>
      <w:lang w:eastAsia="de-DE"/>
    </w:rPr>
  </w:style>
  <w:style w:type="paragraph" w:customStyle="1" w:styleId="ListNumberLevel3">
    <w:name w:val="List Number (Level 3)"/>
    <w:basedOn w:val="Normal"/>
    <w:pPr>
      <w:numPr>
        <w:ilvl w:val="2"/>
        <w:numId w:val="3"/>
      </w:numPr>
    </w:pPr>
    <w:rPr>
      <w:rFonts w:eastAsia="Times New Roman"/>
      <w:lang w:eastAsia="de-DE"/>
    </w:rPr>
  </w:style>
  <w:style w:type="paragraph" w:customStyle="1" w:styleId="ListNumberLevel4">
    <w:name w:val="List Number (Level 4)"/>
    <w:basedOn w:val="Normal"/>
    <w:pPr>
      <w:numPr>
        <w:ilvl w:val="3"/>
        <w:numId w:val="3"/>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4"/>
      </w:numPr>
    </w:pPr>
    <w:rPr>
      <w:rFonts w:eastAsia="Times New Roman"/>
      <w:lang w:val="fr-FR" w:eastAsia="en-GB"/>
    </w:rPr>
  </w:style>
  <w:style w:type="paragraph" w:styleId="ListBullet2">
    <w:name w:val="List Bullet 2"/>
    <w:basedOn w:val="Normal"/>
    <w:uiPriority w:val="99"/>
    <w:pPr>
      <w:numPr>
        <w:numId w:val="5"/>
      </w:numPr>
    </w:pPr>
    <w:rPr>
      <w:rFonts w:eastAsia="Times New Roman"/>
      <w:lang w:val="fr-FR"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rPr>
      <w:rFonts w:eastAsia="Times New Roman"/>
      <w:b/>
      <w:bCs/>
      <w:szCs w:val="22"/>
      <w:lang w:eastAsia="en-GB"/>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en-GB"/>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customStyle="1" w:styleId="s4">
    <w:name w:val="s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orpsdutexte6">
    <w:name w:val="Corps du texte (6)"/>
    <w:basedOn w:val="DefaultParagraphFont"/>
    <w:uiPriority w:val="99"/>
    <w:rPr>
      <w:color w:val="1A171C"/>
      <w:sz w:val="13"/>
      <w:szCs w:val="13"/>
      <w:shd w:val="clear" w:color="auto" w:fill="FFFFFF"/>
    </w:rPr>
  </w:style>
  <w:style w:type="character" w:customStyle="1" w:styleId="Corpsdutexte3">
    <w:name w:val="Corps du texte3"/>
    <w:basedOn w:val="DefaultParagraphFont"/>
    <w:uiPriority w:val="99"/>
    <w:rPr>
      <w:color w:val="1A171C"/>
      <w:sz w:val="16"/>
      <w:szCs w:val="16"/>
      <w:shd w:val="clear" w:color="auto" w:fill="FFFFFF"/>
    </w:rPr>
  </w:style>
  <w:style w:type="paragraph" w:customStyle="1" w:styleId="Corpsdutexte1">
    <w:name w:val="Corps du texte1"/>
    <w:basedOn w:val="Normal"/>
    <w:uiPriority w:val="99"/>
    <w:pPr>
      <w:widowControl w:val="0"/>
      <w:shd w:val="clear" w:color="auto" w:fill="FFFFFF"/>
      <w:spacing w:before="0" w:after="480" w:line="192" w:lineRule="exact"/>
      <w:ind w:hanging="500"/>
    </w:pPr>
    <w:rPr>
      <w:rFonts w:asciiTheme="minorHAnsi" w:hAnsiTheme="minorHAnsi" w:cstheme="minorBidi"/>
      <w:sz w:val="16"/>
      <w:szCs w:val="16"/>
      <w:lang w:val="en-US"/>
    </w:rPr>
  </w:style>
  <w:style w:type="paragraph" w:customStyle="1" w:styleId="Corpsdutexte61">
    <w:name w:val="Corps du texte (6)1"/>
    <w:basedOn w:val="Normal"/>
    <w:uiPriority w:val="99"/>
    <w:pPr>
      <w:widowControl w:val="0"/>
      <w:shd w:val="clear" w:color="auto" w:fill="FFFFFF"/>
      <w:spacing w:before="0" w:after="0" w:line="168" w:lineRule="exact"/>
      <w:jc w:val="center"/>
    </w:pPr>
    <w:rPr>
      <w:rFonts w:asciiTheme="minorHAnsi" w:hAnsiTheme="minorHAnsi" w:cstheme="minorBidi"/>
      <w:sz w:val="13"/>
      <w:szCs w:val="13"/>
      <w:lang w:val="en-US"/>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Normal"/>
    <w:qFormat/>
  </w:style>
  <w:style w:type="paragraph" w:customStyle="1" w:styleId="Style2">
    <w:name w:val="Style2"/>
    <w:basedOn w:val="Considrant"/>
    <w:qForma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rsid w:val="00B85DCD"/>
    <w:pPr>
      <w:tabs>
        <w:tab w:val="center" w:pos="4535"/>
        <w:tab w:val="right" w:pos="9071"/>
      </w:tabs>
      <w:spacing w:before="0"/>
    </w:pPr>
  </w:style>
  <w:style w:type="character" w:customStyle="1" w:styleId="HeaderChar">
    <w:name w:val="Header Char"/>
    <w:basedOn w:val="DefaultParagraphFont"/>
    <w:link w:val="Header"/>
    <w:uiPriority w:val="99"/>
    <w:rsid w:val="00B85DCD"/>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85DCD"/>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clima/consultations/articles/0025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7E0A4-9E55-4D7B-B851-DBDFD005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11785</Words>
  <Characters>73191</Characters>
  <Application>Microsoft Office Word</Application>
  <DocSecurity>0</DocSecurity>
  <Lines>2152</Lines>
  <Paragraphs>833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2016-07-27T16:15:00Z</dcterms:created>
  <dcterms:modified xsi:type="dcterms:W3CDTF">2016-08-17T13:35:00Z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Yellow (DQC version 03)</vt:lpwstr>
  </property>
</Properties>
</file>