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1CF52B7273A4E97B73A47B0A74EFD0F" style="width:450.35pt;height:352.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Propunerea are drept obiectiv revizuirea regulamentului de instituire a Agenției Europene pentru Securitate și Sănătate în Muncă (EU-OSHA) datând din 1994. Motivele pentru revizuire sunt duble.</w:t>
      </w:r>
    </w:p>
    <w:p>
      <w:pPr>
        <w:pBdr>
          <w:top w:val="nil"/>
          <w:left w:val="nil"/>
          <w:bottom w:val="nil"/>
          <w:right w:val="nil"/>
          <w:between w:val="nil"/>
          <w:bar w:val="nil"/>
        </w:pBdr>
        <w:spacing w:before="0" w:after="240"/>
        <w:rPr>
          <w:noProof/>
        </w:rPr>
      </w:pPr>
      <w:r>
        <w:rPr>
          <w:noProof/>
        </w:rPr>
        <w:t>Revizuirea regulamentului de instituire a EU-OSHA va alinia anumite dispoziții ale regulamentului existent care reglementează EU-OSHA cu abordarea comună privind agențiile descentralizate. De asemenea, revizuirea oferă posibilitatea de a actualiza obiectivele și atribuțiile EU-OSHA. Noile obiective și atribuții vor fi adaptate pentru a reflecta mai bine evoluțiile din acest domeniu, precum și noile necesități.</w:t>
      </w:r>
    </w:p>
    <w:p>
      <w:pPr>
        <w:pBdr>
          <w:top w:val="nil"/>
          <w:left w:val="nil"/>
          <w:bottom w:val="nil"/>
          <w:right w:val="nil"/>
          <w:between w:val="nil"/>
          <w:bar w:val="nil"/>
        </w:pBdr>
        <w:spacing w:before="0" w:after="240"/>
        <w:rPr>
          <w:noProof/>
        </w:rPr>
      </w:pPr>
      <w:r>
        <w:rPr>
          <w:noProof/>
        </w:rPr>
        <w:t>Revizuirea nu este o inițiativă în cadrul Programului privind o reglementare adecvată și funcțională (REFIT).</w:t>
      </w:r>
    </w:p>
    <w:p>
      <w:pPr>
        <w:pBdr>
          <w:top w:val="nil"/>
          <w:left w:val="nil"/>
          <w:bottom w:val="nil"/>
          <w:right w:val="nil"/>
          <w:between w:val="nil"/>
          <w:bar w:val="nil"/>
        </w:pBdr>
        <w:spacing w:before="0" w:after="240"/>
        <w:rPr>
          <w:noProof/>
        </w:rPr>
      </w:pPr>
      <w:r>
        <w:rPr>
          <w:noProof/>
        </w:rPr>
        <w:t>Celelalte două agenții tripartite ale Uniunii Europene, Eurofound și CEDEFOP vor fi supuse, de asemenea, unei revizuiri a regulamentelor lor de instituire în același timp cu EU-OSHA.</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noProof/>
        </w:rPr>
      </w:pPr>
      <w:r>
        <w:rPr>
          <w:noProof/>
        </w:rPr>
        <w:t>Regulamentul de instituire a EU-OSHA a fost modificat de trei ori, în 1995, 2003 și 2005, în principal pentru a ține seama de extinderea UE sau de modificările aduse tratatelor. Cu toate acestea, modificările respective nu au adus schimbări semnificative fundamentelor Agenției.</w:t>
      </w:r>
    </w:p>
    <w:p>
      <w:pPr>
        <w:pBdr>
          <w:top w:val="nil"/>
          <w:left w:val="nil"/>
          <w:bottom w:val="nil"/>
          <w:right w:val="nil"/>
          <w:between w:val="nil"/>
          <w:bar w:val="nil"/>
        </w:pBdr>
        <w:spacing w:before="0" w:after="240"/>
        <w:rPr>
          <w:noProof/>
        </w:rPr>
      </w:pPr>
      <w:r>
        <w:rPr>
          <w:noProof/>
        </w:rPr>
        <w:t>Prezenta revizuire va oferi o descriere mai clară a rolului EU-OSHA în activitatea sa de sprijinire a Comisiei în definirea politicilor privind sănătatea și securitatea în muncă. Ea va actualiza mandatul EU-OSHA în calitate de centru care furnizează informații tehnice, științifice, juridice și economice, precum și o expertiză calificată utilă în domeniul sănătății și al securității la locul de muncă.</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noProof/>
        </w:rPr>
      </w:pPr>
      <w:r>
        <w:rPr>
          <w:noProof/>
        </w:rPr>
        <w:t>Rolul EU-OSHA este acela de a informa și de a contribui la o mai bună elaborare a politicilor, bazată pe date concrete, în domenii relevante pentru sănătatea și securitatea în muncă. Astfel, revizuirea ține seama de politicile existente ale UE privind sănătatea și securitatea în muncă și prevede complementaritatea cu activitățile de cercetare aflate în curs de desfășurare sau planificate în acest domeniu, realizate cu finanțare din partea UE, cum ar fi cele finanțate în cadrul programului Orizont 2020.</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noProof/>
        </w:rPr>
      </w:pPr>
      <w:r>
        <w:rPr>
          <w:noProof/>
        </w:rPr>
        <w:t>Temeiul juridic propus este articolul 153 din Tratatul privind funcționarea Uniunii Europene (TFUE), care reglementează activitățile desfășurate de EU-OSHA în domeniul sănătății și al securității în muncă, atunci când se referă, la articolul 153 alineatul (2) litera (a) din TFUE, la măsurile menite să încurajeze cooperarea între statele membre.</w:t>
      </w:r>
    </w:p>
    <w:p>
      <w:pPr>
        <w:pStyle w:val="ManualHeading2"/>
        <w:rPr>
          <w:b w:val="0"/>
          <w:noProof/>
        </w:rPr>
      </w:pPr>
      <w:r>
        <w:rPr>
          <w:noProof/>
        </w:rPr>
        <w:t>•</w:t>
      </w:r>
      <w:r>
        <w:rPr>
          <w:noProof/>
        </w:rPr>
        <w:tab/>
        <w:t>Subsidiaritatea (în cazul competențelor neexclusive)</w:t>
      </w:r>
    </w:p>
    <w:p>
      <w:pPr>
        <w:pBdr>
          <w:top w:val="nil"/>
          <w:left w:val="nil"/>
          <w:bottom w:val="nil"/>
          <w:right w:val="nil"/>
          <w:between w:val="nil"/>
          <w:bar w:val="nil"/>
        </w:pBdr>
        <w:spacing w:before="0" w:after="240"/>
        <w:rPr>
          <w:noProof/>
        </w:rPr>
      </w:pPr>
      <w:r>
        <w:rPr>
          <w:noProof/>
        </w:rPr>
        <w:t>Prezenta propunere abordează anumite aspecte referitoare la modul în care Agenția UE funcționează pe plan intern și în cadrul instituțional al UE. Prin urmare, obiectivele prezentei propuneri nu pot fi atinse printr-o acțiune la nivel național.</w:t>
      </w:r>
    </w:p>
    <w:p>
      <w:pPr>
        <w:pStyle w:val="ManualHeading2"/>
        <w:rPr>
          <w:b w:val="0"/>
          <w:noProof/>
        </w:rPr>
      </w:pPr>
      <w:r>
        <w:rPr>
          <w:noProof/>
        </w:rPr>
        <w:t>•</w:t>
      </w:r>
      <w:r>
        <w:rPr>
          <w:noProof/>
        </w:rPr>
        <w:tab/>
        <w:t>Proporționalitatea</w:t>
      </w:r>
    </w:p>
    <w:p>
      <w:pPr>
        <w:pBdr>
          <w:top w:val="nil"/>
          <w:left w:val="nil"/>
          <w:bottom w:val="nil"/>
          <w:right w:val="nil"/>
          <w:between w:val="nil"/>
          <w:bar w:val="nil"/>
        </w:pBdr>
        <w:spacing w:before="0" w:after="240"/>
        <w:rPr>
          <w:noProof/>
        </w:rPr>
      </w:pPr>
      <w:r>
        <w:rPr>
          <w:noProof/>
        </w:rPr>
        <w:t>Revizuirea regulamentului de instituire ar trebui să fie analizată din perspectiva impactului acesteia asupra sarcinii administrative și asupra costurilor bugetare, astfel încât să se respecte principiul proporționalității. Un principiu general care va ghida revizuirea îl constituie necesitatea de a păstra textul regulamentului de instituire simplu, clar și flexibil, recurgându</w:t>
      </w:r>
      <w:r>
        <w:rPr>
          <w:noProof/>
        </w:rPr>
        <w:noBreakHyphen/>
        <w:t>se în același timp la alte forme de reglementare (de exemplu, regulamentul de procedură) pentru dispoziții detaliate. Un regulament de instituire ar trebui să aibă o durată de viață intermediară și să asigure flexibilitatea necesară pentru a permite posibile evoluții viitoare ale organizației fără a fi necesară o revizuire suplimentară.</w:t>
      </w:r>
    </w:p>
    <w:p>
      <w:pPr>
        <w:pStyle w:val="ManualHeading2"/>
        <w:rPr>
          <w:b w:val="0"/>
          <w:noProof/>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Instrumentul va fi un regulament al Parlamentului European și al Consiliului de abrogare și de înlocuire a actualului Regulament (CE) nr. 2062/94 al Consiliului.</w:t>
      </w:r>
    </w:p>
    <w:p>
      <w:pPr>
        <w:pStyle w:val="ManualHeading1"/>
        <w:rPr>
          <w:b w:val="0"/>
          <w:noProof/>
        </w:rPr>
      </w:pPr>
      <w:r>
        <w:rPr>
          <w:noProof/>
        </w:rPr>
        <w:t>3.</w:t>
      </w:r>
      <w:r>
        <w:rPr>
          <w:noProof/>
        </w:rPr>
        <w:tab/>
        <w:t>REZULTATELE EVALUĂRILOR EX-POST,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ex-post/verificări ale adecvării legislației existente</w:t>
      </w:r>
    </w:p>
    <w:p>
      <w:pPr>
        <w:pBdr>
          <w:top w:val="nil"/>
          <w:left w:val="nil"/>
          <w:bottom w:val="nil"/>
          <w:right w:val="nil"/>
          <w:between w:val="nil"/>
          <w:bar w:val="nil"/>
        </w:pBdr>
        <w:spacing w:before="0" w:after="240"/>
        <w:rPr>
          <w:noProof/>
        </w:rPr>
      </w:pPr>
      <w:r>
        <w:rPr>
          <w:noProof/>
        </w:rPr>
        <w:t>Cea mai recentă evaluare a fost efectuată de Agenție în 2011 și s-a axat pe strategia sa pentru perioada 2009-2013.</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noProof/>
        </w:rPr>
      </w:pPr>
      <w:r>
        <w:rPr>
          <w:noProof/>
        </w:rPr>
        <w:t>În conformitate cu cerințele articolului 154 din TFUE, partenerii sociali de la nivelul UE au fost consultați atât cu privire la posibila direcție de acțiune a Uniunii, cât și cu privire la conținutul propunerii avute în vedere. Atât patronatul, cât și sindicatele au insistat asupra menținerii caracterului tripartit al Agenției și a reflectării acestuia în obiectivele Agenției, precum și asupra reprezentării tuturor grupurilor în structurile de guvernanță ale acesteia. În rest, nu au existat sugestii importante privind regulamentul de instituire a EU-OSHA.</w:t>
      </w:r>
    </w:p>
    <w:p>
      <w:pPr>
        <w:pBdr>
          <w:top w:val="nil"/>
          <w:left w:val="nil"/>
          <w:bottom w:val="nil"/>
          <w:right w:val="nil"/>
          <w:between w:val="nil"/>
          <w:bar w:val="nil"/>
        </w:pBdr>
        <w:spacing w:before="0" w:after="240"/>
        <w:rPr>
          <w:noProof/>
        </w:rPr>
      </w:pPr>
      <w:r>
        <w:rPr>
          <w:noProof/>
        </w:rPr>
        <w:t>Comisia a informat celelalte părți interesate relevante cu privire la deciziile generale referitoare la actualul exercițiu de revizuire și le-a consultat atunci când a fost necesar.</w:t>
      </w:r>
    </w:p>
    <w:p>
      <w:pPr>
        <w:pStyle w:val="ManualHeading2"/>
        <w:rPr>
          <w:b w:val="0"/>
          <w:noProof/>
        </w:rPr>
      </w:pPr>
      <w:r>
        <w:rPr>
          <w:noProof/>
        </w:rPr>
        <w:t>•</w:t>
      </w:r>
      <w:r>
        <w:rPr>
          <w:noProof/>
        </w:rPr>
        <w:tab/>
        <w:t>Obținerea și utilizarea expertizei</w:t>
      </w:r>
    </w:p>
    <w:p>
      <w:pPr>
        <w:pBdr>
          <w:top w:val="nil"/>
          <w:left w:val="nil"/>
          <w:bottom w:val="nil"/>
          <w:right w:val="nil"/>
          <w:between w:val="nil"/>
          <w:bar w:val="nil"/>
        </w:pBdr>
        <w:spacing w:before="0" w:after="240"/>
        <w:rPr>
          <w:noProof/>
        </w:rPr>
      </w:pPr>
      <w:r>
        <w:rPr>
          <w:noProof/>
        </w:rPr>
        <w:t>Nu se aplică.</w:t>
      </w:r>
    </w:p>
    <w:p>
      <w:pPr>
        <w:pStyle w:val="ManualHeading2"/>
        <w:rPr>
          <w:b w:val="0"/>
          <w:noProof/>
        </w:rPr>
      </w:pPr>
      <w:r>
        <w:rPr>
          <w:noProof/>
        </w:rPr>
        <w:t>•</w:t>
      </w:r>
      <w:r>
        <w:rPr>
          <w:noProof/>
        </w:rPr>
        <w:tab/>
        <w:t>Evaluarea impactului</w:t>
      </w:r>
    </w:p>
    <w:p>
      <w:pPr>
        <w:pBdr>
          <w:top w:val="nil"/>
          <w:left w:val="nil"/>
          <w:bottom w:val="nil"/>
          <w:right w:val="nil"/>
          <w:between w:val="nil"/>
          <w:bar w:val="nil"/>
        </w:pBdr>
        <w:spacing w:before="0" w:after="240"/>
        <w:rPr>
          <w:noProof/>
        </w:rPr>
      </w:pPr>
      <w:r>
        <w:rPr>
          <w:noProof/>
        </w:rPr>
        <w:t xml:space="preserve"> Având în vedere revizuirea limitată a actului de instituire, nu s-a efectuat o evaluare a impactului.</w:t>
      </w:r>
    </w:p>
    <w:p>
      <w:pPr>
        <w:pStyle w:val="ManualHeading2"/>
        <w:rPr>
          <w:b w:val="0"/>
          <w:noProof/>
        </w:rPr>
      </w:pPr>
      <w:r>
        <w:rPr>
          <w:noProof/>
        </w:rPr>
        <w:t>•</w:t>
      </w:r>
      <w:r>
        <w:rPr>
          <w:noProof/>
        </w:rPr>
        <w:tab/>
        <w:t>Adecvarea și simplificarea reglementărilor</w:t>
      </w:r>
    </w:p>
    <w:p>
      <w:pPr>
        <w:pBdr>
          <w:top w:val="nil"/>
          <w:left w:val="nil"/>
          <w:bottom w:val="nil"/>
          <w:right w:val="nil"/>
          <w:between w:val="nil"/>
          <w:bar w:val="nil"/>
        </w:pBdr>
        <w:spacing w:before="0" w:after="240"/>
        <w:rPr>
          <w:noProof/>
        </w:rPr>
      </w:pPr>
      <w:r>
        <w:rPr>
          <w:noProof/>
        </w:rPr>
        <w:t>Nu se aplică. Propunerea nu este legată de REFIT.</w:t>
      </w:r>
    </w:p>
    <w:p>
      <w:pPr>
        <w:pStyle w:val="ManualHeading2"/>
        <w:rPr>
          <w:b w:val="0"/>
          <w:noProof/>
        </w:rPr>
      </w:pPr>
      <w:r>
        <w:rPr>
          <w:noProof/>
        </w:rPr>
        <w:t>•</w:t>
      </w:r>
      <w:r>
        <w:rPr>
          <w:noProof/>
        </w:rPr>
        <w:tab/>
        <w:t>Drepturi fundamentale</w:t>
      </w:r>
    </w:p>
    <w:p>
      <w:pPr>
        <w:pBdr>
          <w:top w:val="nil"/>
          <w:left w:val="nil"/>
          <w:bottom w:val="nil"/>
          <w:right w:val="nil"/>
          <w:between w:val="nil"/>
          <w:bar w:val="nil"/>
        </w:pBdr>
        <w:spacing w:before="0" w:after="240"/>
        <w:rPr>
          <w:noProof/>
        </w:rPr>
      </w:pPr>
      <w:r>
        <w:rPr>
          <w:noProof/>
        </w:rPr>
        <w:t>Nu se aplică.</w:t>
      </w:r>
    </w:p>
    <w:p>
      <w:pPr>
        <w:pStyle w:val="ManualHeading1"/>
        <w:rPr>
          <w:b w:val="0"/>
          <w:noProof/>
        </w:rPr>
      </w:pPr>
      <w:r>
        <w:rPr>
          <w:noProof/>
        </w:rPr>
        <w:t>4.</w:t>
      </w:r>
      <w:r>
        <w:rPr>
          <w:noProof/>
        </w:rPr>
        <w:tab/>
        <w:t>IMPLICAȚIILE BUGETARE</w:t>
      </w:r>
    </w:p>
    <w:p>
      <w:pPr>
        <w:pBdr>
          <w:top w:val="nil"/>
          <w:left w:val="nil"/>
          <w:bottom w:val="nil"/>
          <w:right w:val="nil"/>
          <w:between w:val="nil"/>
          <w:bar w:val="nil"/>
        </w:pBdr>
        <w:spacing w:before="0" w:after="240"/>
        <w:rPr>
          <w:noProof/>
        </w:rPr>
      </w:pPr>
      <w:r>
        <w:rPr>
          <w:noProof/>
        </w:rPr>
        <w:t>Implicațiile bugetare în ceea ce privește resursele umane și financiare, astfel cum sunt prezentate mai detaliat în fișa financiară legislativă, sunt în conformitate cu Comunicarea COM(2013) 519 a Comisiei.</w:t>
      </w:r>
    </w:p>
    <w:p>
      <w:pPr>
        <w:pStyle w:val="ManualHeading1"/>
        <w:rPr>
          <w:b w:val="0"/>
          <w:noProof/>
        </w:rPr>
      </w:pPr>
      <w:r>
        <w:rPr>
          <w:noProof/>
        </w:rPr>
        <w:t>5.</w:t>
      </w:r>
      <w:r>
        <w:rPr>
          <w:noProof/>
        </w:rPr>
        <w:tab/>
        <w:t>ALTE ELEMENTE</w:t>
      </w:r>
    </w:p>
    <w:p>
      <w:pPr>
        <w:pStyle w:val="ManualHeading2"/>
        <w:rPr>
          <w:noProof/>
        </w:rPr>
      </w:pPr>
      <w:r>
        <w:rPr>
          <w:noProof/>
        </w:rPr>
        <w:t>•</w:t>
      </w:r>
      <w:r>
        <w:rPr>
          <w:noProof/>
        </w:rPr>
        <w:tab/>
        <w:t>Planuri de punere în aplicare și măsuri de monitorizare, de evaluare și de raportare</w:t>
      </w:r>
    </w:p>
    <w:p>
      <w:pPr>
        <w:rPr>
          <w:noProof/>
        </w:rPr>
      </w:pPr>
      <w:r>
        <w:rPr>
          <w:noProof/>
        </w:rPr>
        <w:t>În conformitate cu abordarea comună, propunerea include o dispoziție privind evaluarea Agenției de către Comisie. În plus față de prezentarea propunerii, Comisia intenționează să realizeze o evaluare transversală pentru a evalua obiectivele, mandatele, guvernanța și atribuțiile Agenției, de asemenea în relație cu alte agenții care acționează în domeniul pieței forței de muncă, al condițiilor de muncă, al educației și formării profesionale și al competențelor.</w:t>
      </w:r>
    </w:p>
    <w:p>
      <w:pPr>
        <w:pStyle w:val="ManualHeading2"/>
        <w:rPr>
          <w:b w:val="0"/>
          <w:noProof/>
        </w:rPr>
      </w:pPr>
      <w:r>
        <w:rPr>
          <w:noProof/>
        </w:rPr>
        <w:t>•</w:t>
      </w:r>
      <w:r>
        <w:rPr>
          <w:noProof/>
        </w:rPr>
        <w:tab/>
        <w:t>Documente explicative (pentru directive)</w:t>
      </w:r>
    </w:p>
    <w:p>
      <w:pPr>
        <w:pBdr>
          <w:top w:val="nil"/>
          <w:left w:val="nil"/>
          <w:bottom w:val="nil"/>
          <w:right w:val="nil"/>
          <w:between w:val="nil"/>
          <w:bar w:val="nil"/>
        </w:pBdr>
        <w:spacing w:before="0" w:after="240"/>
        <w:rPr>
          <w:noProof/>
        </w:rPr>
      </w:pPr>
      <w:r>
        <w:rPr>
          <w:noProof/>
        </w:rPr>
        <w:t xml:space="preserve">Nu se aplică. </w:t>
      </w:r>
    </w:p>
    <w:p>
      <w:pPr>
        <w:pStyle w:val="ManualHeading2"/>
        <w:rPr>
          <w:b w:val="0"/>
          <w:noProof/>
        </w:rPr>
      </w:pPr>
      <w:r>
        <w:rPr>
          <w:noProof/>
        </w:rPr>
        <w:t>•</w:t>
      </w:r>
      <w:r>
        <w:rPr>
          <w:noProof/>
        </w:rPr>
        <w:tab/>
        <w:t>Explicația detaliată a dispozițiilor specifice ale propunerii</w:t>
      </w:r>
    </w:p>
    <w:p>
      <w:pPr>
        <w:pBdr>
          <w:top w:val="nil"/>
          <w:left w:val="nil"/>
          <w:bottom w:val="nil"/>
          <w:right w:val="nil"/>
          <w:between w:val="nil"/>
          <w:bar w:val="nil"/>
        </w:pBdr>
        <w:spacing w:before="0" w:after="240"/>
        <w:rPr>
          <w:noProof/>
        </w:rPr>
      </w:pPr>
      <w:r>
        <w:rPr>
          <w:noProof/>
        </w:rPr>
        <w:t>Revizuirea regulamentului de instituire oferă posibilitatea de a actualiza obiectivele și atribuțiile EU-OSHA. În special, ea va permite o definire mai precisă a rolului EU-OSHA în activitatea sa de sprijinire a Comisiei, a altor instituții și organisme ale UE, a statelor membre, a partenerilor sociali și a celor implicați în definirea și punerea în aplicare a politicilor privind sănătatea și securitatea în muncă atât la nivel național, cât și la nivel european.</w:t>
      </w:r>
    </w:p>
    <w:p>
      <w:pPr>
        <w:pBdr>
          <w:top w:val="nil"/>
          <w:left w:val="nil"/>
          <w:bottom w:val="nil"/>
          <w:right w:val="nil"/>
          <w:between w:val="nil"/>
          <w:bar w:val="nil"/>
        </w:pBdr>
        <w:spacing w:before="0" w:after="240"/>
        <w:rPr>
          <w:noProof/>
        </w:rPr>
      </w:pPr>
      <w:r>
        <w:rPr>
          <w:noProof/>
        </w:rPr>
        <w:t>În plus, revizuirea creează posibilitatea de a prevedea măsuri antifraudă, o politică privind conflictele de interese, dispoziții privind evaluarea și revizuirea, precum și stabilirea unui acord privind sediul. Revizuirea va armoniza, de asemenea, dispozițiile privind programarea și raportarea cu cerințele stabilite de regulamentul financiar cadru revizuit. Terminologia pentru structura de conducere va fi aliniată cu abordarea comună. Anumite elemente ale actului de instituire nu sunt revizuite, având în vedere abordarea comună în cadrul prezentei propuneri, în așteptarea unei evaluări suplimentare.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2016/0254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înființare a Agenției Europene pentru Securitate și Sănătate în Muncă (EU-OSHA) și de abrogare a Regulamentului (CE) nr. 2062/94 al Consiliului</w:t>
      </w:r>
    </w:p>
    <w:p>
      <w:pPr>
        <w:pStyle w:val="Institutionquiagit"/>
        <w:rPr>
          <w:noProof/>
        </w:rPr>
      </w:pPr>
      <w:r>
        <w:rPr>
          <w:noProof/>
        </w:rPr>
        <w:t>PARLAMENTUL EUROPEAN ȘI CONSILIUL UNIUNII EUROPENE,</w:t>
      </w:r>
    </w:p>
    <w:p>
      <w:pPr>
        <w:widowControl w:val="0"/>
        <w:ind w:right="20"/>
        <w:rPr>
          <w:noProof/>
          <w:szCs w:val="24"/>
        </w:rPr>
      </w:pPr>
      <w:r>
        <w:rPr>
          <w:noProof/>
        </w:rPr>
        <w:t>având în vedere Tratatul privind funcționarea Uniunii Europene, în special articolul 153 alineatul (2) litera (a),</w:t>
      </w:r>
    </w:p>
    <w:p>
      <w:pPr>
        <w:widowControl w:val="0"/>
        <w:rPr>
          <w:noProof/>
          <w:szCs w:val="24"/>
          <w:shd w:val="clear" w:color="auto" w:fill="FFFFFF"/>
        </w:rPr>
      </w:pPr>
      <w:r>
        <w:rPr>
          <w:noProof/>
        </w:rPr>
        <w:t>având în vedere propunerea Comisiei Europene,</w:t>
      </w:r>
    </w:p>
    <w:p>
      <w:pPr>
        <w:widowControl w:val="0"/>
        <w:ind w:right="20"/>
        <w:rPr>
          <w:noProof/>
          <w:szCs w:val="24"/>
          <w:shd w:val="clear" w:color="auto" w:fill="FFFFFF"/>
        </w:rPr>
      </w:pPr>
      <w:r>
        <w:rPr>
          <w:noProof/>
        </w:rPr>
        <w:t>după transmiterea proiectului de act legislativ către parlamentele naționale,</w:t>
      </w:r>
    </w:p>
    <w:p>
      <w:pPr>
        <w:widowControl w:val="0"/>
        <w:ind w:right="20"/>
        <w:rPr>
          <w:noProof/>
          <w:szCs w:val="24"/>
          <w:shd w:val="clear" w:color="auto" w:fill="FFFFFF"/>
        </w:rPr>
      </w:pPr>
      <w:r>
        <w:rPr>
          <w:noProof/>
        </w:rPr>
        <w:t>având în vedere avizul Comitetului Economic și Social European</w:t>
      </w:r>
      <w:r>
        <w:rPr>
          <w:rStyle w:val="FootnoteReference"/>
          <w:noProof/>
        </w:rPr>
        <w:footnoteReference w:id="1"/>
      </w:r>
      <w:r>
        <w:rPr>
          <w:noProof/>
        </w:rPr>
        <w:t xml:space="preserve">, </w:t>
      </w:r>
    </w:p>
    <w:p>
      <w:pPr>
        <w:widowControl w:val="0"/>
        <w:ind w:right="20"/>
        <w:rPr>
          <w:noProof/>
          <w:szCs w:val="24"/>
          <w:shd w:val="clear" w:color="auto" w:fill="FFFFFF"/>
        </w:rPr>
      </w:pPr>
      <w:r>
        <w:rPr>
          <w:noProof/>
        </w:rPr>
        <w:t>având în vedere avizul Comitetului Regiunilor</w:t>
      </w:r>
      <w:r>
        <w:rPr>
          <w:rStyle w:val="FootnoteReference"/>
          <w:noProof/>
        </w:rPr>
        <w:footnoteReference w:id="2"/>
      </w:r>
      <w:r>
        <w:rPr>
          <w:noProof/>
        </w:rPr>
        <w:t>,</w:t>
      </w:r>
    </w:p>
    <w:p>
      <w:pPr>
        <w:widowControl w:val="0"/>
        <w:ind w:right="20"/>
        <w:rPr>
          <w:noProof/>
          <w:szCs w:val="24"/>
          <w:shd w:val="clear" w:color="auto" w:fill="FFFFFF"/>
        </w:rPr>
      </w:pPr>
      <w:r>
        <w:rPr>
          <w:noProof/>
        </w:rPr>
        <w:t>hotărând în conformitate cu procedura legislativă ordinară,</w:t>
      </w:r>
    </w:p>
    <w:p>
      <w:pPr>
        <w:rPr>
          <w:noProof/>
        </w:rPr>
      </w:pPr>
      <w:r>
        <w:rPr>
          <w:noProof/>
        </w:rPr>
        <w:t>întrucât:</w:t>
      </w:r>
    </w:p>
    <w:p>
      <w:pPr>
        <w:pStyle w:val="ManualConsidrant"/>
        <w:rPr>
          <w:noProof/>
          <w:shd w:val="clear" w:color="auto" w:fill="FFFFFF"/>
        </w:rPr>
      </w:pPr>
      <w:r>
        <w:t>(1)</w:t>
      </w:r>
      <w:r>
        <w:tab/>
      </w:r>
      <w:r>
        <w:rPr>
          <w:noProof/>
        </w:rPr>
        <w:t>Agenția Europeană pentru Securitate și Sănătate în Muncă (EU-OSHA) a fost înființată prin Regulamentul (CE) nr. 2062/94 al Consiliului</w:t>
      </w:r>
      <w:r>
        <w:rPr>
          <w:rStyle w:val="FootnoteReference"/>
          <w:noProof/>
        </w:rPr>
        <w:footnoteReference w:id="3"/>
      </w:r>
      <w:r>
        <w:rPr>
          <w:noProof/>
        </w:rPr>
        <w:t xml:space="preserve"> pentru a contribui la îmbunătățirea mediului de lucru în ceea ce privește protecția securității și a sănătății lucrătorilor, prin acțiuni menite să dezvolte și să difuzeze cunoștințele care pot susține această îmbunătățire.</w:t>
      </w:r>
    </w:p>
    <w:p>
      <w:pPr>
        <w:pStyle w:val="ManualConsidrant"/>
        <w:rPr>
          <w:noProof/>
          <w:shd w:val="clear" w:color="auto" w:fill="FFFFFF"/>
        </w:rPr>
      </w:pPr>
      <w:r>
        <w:t>(2)</w:t>
      </w:r>
      <w:r>
        <w:tab/>
      </w:r>
      <w:r>
        <w:rPr>
          <w:noProof/>
        </w:rPr>
        <w:t>De la crearea sa în 1994, EU-OSHA a jucat un rol important în sprijinirea îmbunătățirii sănătății și a securității în muncă în întreaga Uniune Europeană. În același timp, au existat evoluții în domeniul securității și al sănătății în muncă (SSM). În acest context, sunt necesare anumite adaptări în descrierea obiectivelor și a atribuțiilor EU-OSHA față de dispozițiile Regulamentului (CE) nr. 2062/94 al Consiliului.</w:t>
      </w:r>
    </w:p>
    <w:p>
      <w:pPr>
        <w:pStyle w:val="ManualConsidrant"/>
        <w:rPr>
          <w:noProof/>
          <w:shd w:val="clear" w:color="auto" w:fill="FFFFFF"/>
        </w:rPr>
      </w:pPr>
      <w:r>
        <w:t>(3)</w:t>
      </w:r>
      <w:r>
        <w:tab/>
      </w:r>
      <w:r>
        <w:rPr>
          <w:noProof/>
        </w:rPr>
        <w:t>Regulamentul (CE) nr. 2062/94 a fost modificat de mai multe ori. Întrucât urmează să fie efectuate alte modificări, acesta ar trebui să fie înlocuit și abrogat din motive de claritate.</w:t>
      </w:r>
    </w:p>
    <w:p>
      <w:pPr>
        <w:pStyle w:val="ManualConsidrant"/>
        <w:rPr>
          <w:noProof/>
          <w:shd w:val="clear" w:color="auto" w:fill="FFFFFF"/>
        </w:rPr>
      </w:pPr>
      <w:r>
        <w:t>(4)</w:t>
      </w:r>
      <w:r>
        <w:tab/>
      </w:r>
      <w:r>
        <w:rPr>
          <w:noProof/>
        </w:rPr>
        <w:t>Agenția ar trebui să fie reglementată și să funcționeze în conformitate cu principiile Declarației comune a Parlamentului European, a Consiliului Uniunii Europene și a Comisiei Europene privind agențiile descentralizate din 19 iulie 2012, în măsura în care acest lucru este posibil. Prezenta propunere nu aduce atingere niciunor modificări ulterioare ale regulamentului de instituire a EU-OSHA pe care Comisia ar putea dori să le propună în urma unei evaluări suplimentare, astfel cum se prevede în prezentul act sau din proprie inițiativă. Comisia va evalua obiectivele, mandatul, guvernanța și atribuțiile tuturor agențiilor UE care acționează în domeniul pieței forței de muncă, al condițiilor de muncă, al educației și formării profesionale și al competențelor.</w:t>
      </w:r>
    </w:p>
    <w:p>
      <w:pPr>
        <w:pStyle w:val="ManualConsidrant"/>
        <w:rPr>
          <w:noProof/>
          <w:shd w:val="clear" w:color="auto" w:fill="FFFFFF"/>
        </w:rPr>
      </w:pPr>
      <w:r>
        <w:t>(5)</w:t>
      </w:r>
      <w:r>
        <w:tab/>
      </w:r>
      <w:r>
        <w:rPr>
          <w:noProof/>
        </w:rPr>
        <w:t>Întrucât cele trei agenții tripartite – EU-OSHA, Centrul European pentru Dezvoltarea Formării Profesionale (Cedefop) și Fundația Europeană pentru Îmbunătățirea Condițiilor de Viață și de Muncă (Eurofound) – abordează aspecte legate de piața forței de muncă, de mediul de lucru, de educația și formarea profesională și de competențe, este necesară o coordonare strânsă între cele trei agenții și ar trebui exploatate modalitățile de a spori eficiența și sinergiile. În plus, atunci când este cazul, Agenția ar trebui să urmărească să se angajeze într-o cooperare eficientă cu capacitățile de cercetare interne ale Comisiei Europene.</w:t>
      </w:r>
    </w:p>
    <w:p>
      <w:pPr>
        <w:pStyle w:val="ManualConsidrant"/>
        <w:rPr>
          <w:noProof/>
          <w:shd w:val="clear" w:color="auto" w:fill="FFFFFF"/>
        </w:rPr>
      </w:pPr>
      <w:r>
        <w:t>(6)</w:t>
      </w:r>
      <w:r>
        <w:tab/>
      </w:r>
      <w:r>
        <w:rPr>
          <w:noProof/>
        </w:rPr>
        <w:t>În Uniunea Europeană și în statele membre există deja organizații care oferă acest tip de informații și de servicii. Pentru a obține beneficii maxime la nivelul UE de pe urma activităților desfășurate deja de aceste organizații, este necesar să se mențină actuala rețea funcțională creată de EU-OSHA în temeiul Regulamentului (CE) nr. 2062/94, care cuprinde punctele focale ale statelor membre și rețelele lor naționale tripartite. De asemenea, este important ca Agenția să aibă legături funcționale foarte strânse cu Comitetul consultativ pentru securitate și sănătate la locul de muncă</w:t>
      </w:r>
      <w:r>
        <w:rPr>
          <w:rStyle w:val="FootnoteReference"/>
          <w:noProof/>
        </w:rPr>
        <w:footnoteReference w:id="4"/>
      </w:r>
      <w:r>
        <w:rPr>
          <w:noProof/>
        </w:rPr>
        <w:t>, pentru a asigura o bună coordonare și sinergii.</w:t>
      </w:r>
    </w:p>
    <w:p>
      <w:pPr>
        <w:pStyle w:val="ManualConsidrant"/>
        <w:rPr>
          <w:noProof/>
          <w:shd w:val="clear" w:color="auto" w:fill="FFFFFF"/>
        </w:rPr>
      </w:pPr>
      <w:r>
        <w:t>(7)</w:t>
      </w:r>
      <w:r>
        <w:tab/>
      </w:r>
      <w:r>
        <w:rPr>
          <w:noProof/>
        </w:rPr>
        <w:t>Dispozițiile financiare și dispozițiile privind programarea și raportarea incluse în Regulamentul (CE) nr. 2062/94 ar trebui să fie aliniate cu Regulamentul delegat (UE) nr. 1271/2013 al Comisiei</w:t>
      </w:r>
      <w:r>
        <w:rPr>
          <w:rStyle w:val="FootnoteReference"/>
          <w:noProof/>
        </w:rPr>
        <w:footnoteReference w:id="5"/>
      </w:r>
      <w:r>
        <w:rPr>
          <w:noProof/>
        </w:rPr>
        <w:t>.</w:t>
      </w:r>
    </w:p>
    <w:p>
      <w:pPr>
        <w:pStyle w:val="ManualConsidrant"/>
        <w:rPr>
          <w:noProof/>
          <w:shd w:val="clear" w:color="auto" w:fill="FFFFFF"/>
        </w:rPr>
      </w:pPr>
      <w:r>
        <w:t>(8)</w:t>
      </w:r>
      <w:r>
        <w:tab/>
      </w:r>
      <w:r>
        <w:rPr>
          <w:noProof/>
        </w:rPr>
        <w:t>Dispozițiile privind personalul EU-OSHA incluse în Regulamentul (CE) nr. 2062/94 ar trebui să fie aliniate cu Statutul funcționarilor Uniunii Europene („Statutul funcționarilor”) și cu Regimul aplicabil celorlalți agenți ai Uniunii Europene („RACA”), stabilite prin Regulamentul (CEE, Euratom, CECO) nr. 259/68 al Consiliului</w:t>
      </w:r>
      <w:r>
        <w:rPr>
          <w:rStyle w:val="FootnoteReference"/>
          <w:noProof/>
        </w:rPr>
        <w:footnoteReference w:id="6"/>
      </w:r>
      <w:r>
        <w:rPr>
          <w:noProof/>
        </w:rPr>
        <w:t>.</w:t>
      </w:r>
    </w:p>
    <w:p>
      <w:pPr>
        <w:pStyle w:val="ManualConsidrant"/>
        <w:rPr>
          <w:noProof/>
          <w:shd w:val="clear" w:color="auto" w:fill="FFFFFF"/>
        </w:rPr>
      </w:pPr>
      <w:r>
        <w:t>(9)</w:t>
      </w:r>
      <w:r>
        <w:tab/>
      </w:r>
      <w:r>
        <w:rPr>
          <w:noProof/>
        </w:rPr>
        <w:t>Agenția ar trebui să ia măsurile necesare pentru a asigura o manipulare și o prelucrare sigură a informațiilor confidențiale. În cazul în care va fi necesar, EU-OSHA va adopta norme de securitate astfel cum se prevede în Decizia (UE, Euratom) 2015/443 a Comisiei</w:t>
      </w:r>
      <w:r>
        <w:rPr>
          <w:rStyle w:val="FootnoteReference"/>
          <w:noProof/>
        </w:rPr>
        <w:footnoteReference w:id="7"/>
      </w:r>
      <w:r>
        <w:rPr>
          <w:noProof/>
        </w:rPr>
        <w:t xml:space="preserve"> și în Decizia (UE, Euratom) 2015/444 a Comisiei</w:t>
      </w:r>
      <w:r>
        <w:rPr>
          <w:rStyle w:val="FootnoteReference"/>
          <w:noProof/>
        </w:rPr>
        <w:footnoteReference w:id="8"/>
      </w:r>
      <w:r>
        <w:rPr>
          <w:noProof/>
        </w:rPr>
        <w:t>.</w:t>
      </w:r>
    </w:p>
    <w:p>
      <w:pPr>
        <w:pStyle w:val="ManualConsidrant"/>
        <w:rPr>
          <w:noProof/>
          <w:shd w:val="clear" w:color="auto" w:fill="FFFFFF"/>
        </w:rPr>
      </w:pPr>
      <w:r>
        <w:t>(10)</w:t>
      </w:r>
      <w:r>
        <w:tab/>
      </w:r>
      <w:r>
        <w:rPr>
          <w:noProof/>
        </w:rPr>
        <w:t>Este necesar să se prevadă dispoziții bugetare tranzitorii și dispoziții tranzitorii privind consiliul de administrație, directorul executiv și personalul pentru a asigura continuitatea activităților Agenției până la intrarea în vigoare a prezentului regulament,</w:t>
      </w:r>
    </w:p>
    <w:p>
      <w:pPr>
        <w:pStyle w:val="Formuledadoption"/>
        <w:rPr>
          <w:noProof/>
        </w:rPr>
      </w:pPr>
      <w:r>
        <w:rPr>
          <w:noProof/>
        </w:rPr>
        <w:t>ADOPTĂ PREZENTUL REGULAMENT:</w:t>
      </w:r>
    </w:p>
    <w:p>
      <w:pPr>
        <w:pStyle w:val="Titrearticle"/>
        <w:pageBreakBefore/>
        <w:rPr>
          <w:i w:val="0"/>
          <w:noProof/>
          <w:sz w:val="32"/>
          <w:szCs w:val="32"/>
        </w:rPr>
      </w:pPr>
      <w:r>
        <w:rPr>
          <w:i w:val="0"/>
          <w:noProof/>
          <w:sz w:val="32"/>
        </w:rPr>
        <w:t>CAPITOLUL I</w:t>
      </w:r>
    </w:p>
    <w:p>
      <w:pPr>
        <w:pStyle w:val="Titrearticle"/>
        <w:rPr>
          <w:i w:val="0"/>
          <w:noProof/>
          <w:sz w:val="32"/>
          <w:szCs w:val="32"/>
        </w:rPr>
      </w:pPr>
      <w:r>
        <w:rPr>
          <w:i w:val="0"/>
          <w:noProof/>
          <w:sz w:val="32"/>
        </w:rPr>
        <w:t>OBIECTIVELE ȘI ATRIBUȚIILE AGENȚIEI</w:t>
      </w:r>
    </w:p>
    <w:p>
      <w:pPr>
        <w:pStyle w:val="Titrearticle"/>
        <w:spacing w:after="360"/>
        <w:rPr>
          <w:bCs/>
          <w:noProof/>
          <w:szCs w:val="24"/>
        </w:rPr>
      </w:pPr>
      <w:r>
        <w:rPr>
          <w:noProof/>
        </w:rPr>
        <w:t>Articolul 1 – Înființarea și obiectivul Agenției</w:t>
      </w:r>
    </w:p>
    <w:p>
      <w:pPr>
        <w:pStyle w:val="ManualNumPar1"/>
        <w:rPr>
          <w:noProof/>
        </w:rPr>
      </w:pPr>
      <w:r>
        <w:t>1.</w:t>
      </w:r>
      <w:r>
        <w:tab/>
      </w:r>
      <w:r>
        <w:rPr>
          <w:noProof/>
        </w:rPr>
        <w:t>Agenția Europeană pentru Securitate și Sănătate în Muncă (denumită în continuare „Agenția”), cunoscută și sub denumirea de „EU-OSHA”, este înființată în calitate de agenție a Uniunii Europene.</w:t>
      </w:r>
    </w:p>
    <w:p>
      <w:pPr>
        <w:pStyle w:val="ManualNumPar1"/>
        <w:rPr>
          <w:noProof/>
        </w:rPr>
      </w:pPr>
      <w:r>
        <w:t>2.</w:t>
      </w:r>
      <w:r>
        <w:tab/>
      </w:r>
      <w:r>
        <w:rPr>
          <w:noProof/>
        </w:rPr>
        <w:t>Obiectivul Agenției este acela de a furniza instituțiilor și organismelor Uniunii Europene, statelor membre, partenerilor sociali și celor implicați în domeniul securității și al sănătății în muncă informații tehnice, științifice, juridice și economice, precum și expertiză calificată care să le fie utile în domeniul respectiv.</w:t>
      </w:r>
    </w:p>
    <w:p>
      <w:pPr>
        <w:pStyle w:val="Titrearticle"/>
        <w:rPr>
          <w:bCs/>
          <w:iCs/>
          <w:noProof/>
          <w:szCs w:val="24"/>
        </w:rPr>
      </w:pPr>
      <w:r>
        <w:rPr>
          <w:noProof/>
        </w:rPr>
        <w:t>Articolul 2 – Atribuții</w:t>
      </w:r>
    </w:p>
    <w:p>
      <w:pPr>
        <w:pStyle w:val="ManualNumPar1"/>
        <w:rPr>
          <w:noProof/>
        </w:rPr>
      </w:pPr>
      <w:r>
        <w:t>1.</w:t>
      </w:r>
      <w:r>
        <w:tab/>
      </w:r>
      <w:r>
        <w:rPr>
          <w:noProof/>
        </w:rPr>
        <w:t>Agenția îndeplinește următoarele atribuții în domeniile de politică menționate la articolul 1 alineatul (2):</w:t>
      </w:r>
    </w:p>
    <w:p>
      <w:pPr>
        <w:pStyle w:val="Point1letter"/>
        <w:numPr>
          <w:ilvl w:val="3"/>
          <w:numId w:val="39"/>
        </w:numPr>
        <w:rPr>
          <w:noProof/>
        </w:rPr>
      </w:pPr>
      <w:r>
        <w:rPr>
          <w:noProof/>
        </w:rPr>
        <w:t>colectarea, analiza și difuzarea informațiilor tehnice, științifice și economice privind securitatea și sănătatea în muncă în statele membre, pentru ca aceste informații să ajungă la instituțiile și organismele Uniunii Europene, la statele membre și la părțile interesate; această acțiune de colectare are ca scop să inventarieze riscurile și bunele practici, precum și prioritățile și programele naționale existente și să ofere datele necesare pentru prioritățile și programele Uniunii Europene;</w:t>
      </w:r>
    </w:p>
    <w:p>
      <w:pPr>
        <w:pStyle w:val="Point1letter"/>
        <w:rPr>
          <w:noProof/>
        </w:rPr>
      </w:pPr>
      <w:r>
        <w:rPr>
          <w:noProof/>
        </w:rPr>
        <w:t>colectarea și analiza informațiilor tehnice, științifice și economice privind cercetarea în domeniul securității și al sănătății în muncă, precum și privind alte activități de cercetare care implică aspecte legate de securitatea și sănătatea în muncă, și difuzarea rezultatelor cercetării și ale activităților de cercetare;</w:t>
      </w:r>
    </w:p>
    <w:p>
      <w:pPr>
        <w:pStyle w:val="Point1letter"/>
        <w:rPr>
          <w:noProof/>
        </w:rPr>
      </w:pPr>
      <w:r>
        <w:rPr>
          <w:noProof/>
        </w:rPr>
        <w:t>promovarea și sprijinirea cooperării și a schimbului de informații și de experiență între statele membre în domeniul securității și al sănătății în muncă, inclusiv informații referitoare la programele de formare;</w:t>
      </w:r>
    </w:p>
    <w:p>
      <w:pPr>
        <w:pStyle w:val="Point1letter"/>
        <w:rPr>
          <w:noProof/>
        </w:rPr>
      </w:pPr>
      <w:r>
        <w:rPr>
          <w:noProof/>
        </w:rPr>
        <w:t>organizarea de conferințe și de seminarii, precum și de schimburi de experți din statele membre în domeniul securității și al sănătății în muncă;</w:t>
      </w:r>
    </w:p>
    <w:p>
      <w:pPr>
        <w:pStyle w:val="Point1letter"/>
        <w:rPr>
          <w:noProof/>
        </w:rPr>
      </w:pPr>
      <w:r>
        <w:rPr>
          <w:noProof/>
        </w:rPr>
        <w:t>furnizarea către instituțiile și organismele Uniunii Europene și către statele membre a informațiilor tehnice, științifice, juridice și economice obiective, precum și a expertizei calificate de care acestea au nevoie pentru a formula și a pune în aplicare politici judicioase și eficace, menite să protejeze securitatea și sănătatea lucrătorilor; în acest sens, furnizarea către Comisia Europeană în special a informațiilor tehnice, științifice, juridice și economice și a expertizei calificate de care aceasta are nevoie pentru a-și îndeplini sarcinile de identificare, de pregătire și de evaluare a legislației și a măsurilor în domeniul protecției securității și a sănătății lucrătorilor, mai ales în ceea ce privește impactul legislației, adaptarea legislației la progresele tehnice, științifice sau legislative și punerea în practică a legislației în întreprinderi, cu o atenție specială acordată microîntreprinderilor și întreprinderilor mici și mijlocii;</w:t>
      </w:r>
    </w:p>
    <w:p>
      <w:pPr>
        <w:pStyle w:val="Point1letter"/>
        <w:rPr>
          <w:noProof/>
        </w:rPr>
      </w:pPr>
      <w:r>
        <w:rPr>
          <w:noProof/>
        </w:rPr>
        <w:t>instituirea, în cooperare cu statele membre, și coordonarea rețelei menționate la articolul 12, ținând seama de organismele și de organizațiile naționale, internaționale și ale UE care oferă acest tip de informații și de servicii;</w:t>
      </w:r>
    </w:p>
    <w:p>
      <w:pPr>
        <w:pStyle w:val="Point1letter"/>
        <w:rPr>
          <w:noProof/>
        </w:rPr>
      </w:pPr>
      <w:r>
        <w:rPr>
          <w:noProof/>
        </w:rPr>
        <w:t>colectarea informațiilor referitoare la aspectele privind securitatea și sănătatea de la țările terțe și organizațiile internaționale și punerea acestor informații la dispoziția țărilor terțe și a organizațiilor internaționale;</w:t>
      </w:r>
    </w:p>
    <w:p>
      <w:pPr>
        <w:pStyle w:val="Point1letter"/>
        <w:rPr>
          <w:noProof/>
        </w:rPr>
      </w:pPr>
      <w:r>
        <w:rPr>
          <w:noProof/>
        </w:rPr>
        <w:t>furnizarea de informații tehnice, științifice și economice despre metodele și instrumentele destinate realizării activităților preventive, inventarierea bunelor practici și promovarea acțiunilor preventive, acordând o atenție specială problemelor întreprinderilor mici și mijlocii. În ceea ce privește bunele practici, Agenția pune accentul, în special, pe practicile care constituie instrumente concrete, permițând evaluarea riscurilor pentru securitatea și sănătatea în muncă și stabilirea măsurilor de adoptat pentru a face față acestora;</w:t>
      </w:r>
    </w:p>
    <w:p>
      <w:pPr>
        <w:pStyle w:val="Point1letter"/>
        <w:rPr>
          <w:noProof/>
        </w:rPr>
      </w:pPr>
      <w:r>
        <w:rPr>
          <w:noProof/>
        </w:rPr>
        <w:t>contribuirea la dezvoltarea strategiilor și a programelor de acțiune ale Uniunii Europene privind protecția securității și sănătății în muncă, fără a aduce atingere competențelor Comisiei;</w:t>
      </w:r>
    </w:p>
    <w:p>
      <w:pPr>
        <w:pStyle w:val="Point1letter"/>
        <w:rPr>
          <w:noProof/>
        </w:rPr>
      </w:pPr>
      <w:r>
        <w:rPr>
          <w:noProof/>
        </w:rPr>
        <w:t>desfășurarea unor acțiuni de sensibilizare și de comunicare, precum și a unor campanii privind sănătatea și securitatea în muncă.</w:t>
      </w:r>
    </w:p>
    <w:p>
      <w:pPr>
        <w:pStyle w:val="ManualNumPar1"/>
        <w:rPr>
          <w:bCs/>
          <w:noProof/>
        </w:rPr>
      </w:pPr>
      <w:r>
        <w:t>2.</w:t>
      </w:r>
      <w:r>
        <w:tab/>
      </w:r>
      <w:r>
        <w:rPr>
          <w:noProof/>
        </w:rPr>
        <w:t>Agenția se asigură că informațiile difuzate sunt adaptate utilizatorilor vizați. Pentru realizarea acestui obiectiv, ea colaborează strâns cu punctele focale naționale menționate la articolul 12 alineatul (1), în conformitate cu articolul 12 alineatul (2).</w:t>
      </w:r>
    </w:p>
    <w:p>
      <w:pPr>
        <w:pStyle w:val="ManualNumPar1"/>
        <w:rPr>
          <w:noProof/>
        </w:rPr>
      </w:pPr>
      <w:r>
        <w:t>3.</w:t>
      </w:r>
      <w:r>
        <w:tab/>
      </w:r>
      <w:r>
        <w:rPr>
          <w:noProof/>
        </w:rPr>
        <w:t>În îndeplinirea atribuțiilor sale, Agenția menține un dialog strâns în special cu organismele specializate publice sau private, cu autoritățile publice și cu organizațiile sindicale și patronale. Agenția, fără a aduce atingere propriilor sale obiective, asigură cooperarea cu alte agenții ale Uniunii Europene pentru a evita suprapunerile și pentru a promova sinergia și complementaritatea în activitățile acestora, în special cu Fundația Europeană pentru Îmbunătățirea Condițiilor de Viață și de Muncă, cu Centrul European pentru Dezvoltarea Formării Profesionale și, după caz, cu alte agenții ale UE.</w:t>
      </w:r>
    </w:p>
    <w:p>
      <w:pPr>
        <w:pStyle w:val="Titrearticle"/>
        <w:rPr>
          <w:bCs/>
          <w:i w:val="0"/>
          <w:noProof/>
          <w:sz w:val="32"/>
          <w:szCs w:val="32"/>
        </w:rPr>
      </w:pPr>
      <w:r>
        <w:rPr>
          <w:i w:val="0"/>
          <w:noProof/>
          <w:sz w:val="32"/>
        </w:rPr>
        <w:t>CAPITOLUL II</w:t>
      </w:r>
    </w:p>
    <w:p>
      <w:pPr>
        <w:pStyle w:val="Titrearticle"/>
        <w:rPr>
          <w:bCs/>
          <w:i w:val="0"/>
          <w:noProof/>
          <w:sz w:val="32"/>
          <w:szCs w:val="32"/>
        </w:rPr>
      </w:pPr>
      <w:r>
        <w:rPr>
          <w:i w:val="0"/>
          <w:noProof/>
          <w:sz w:val="32"/>
        </w:rPr>
        <w:t>ORGANIZAREA AGENȚIEI</w:t>
      </w:r>
    </w:p>
    <w:p>
      <w:pPr>
        <w:pStyle w:val="Titrearticle"/>
        <w:rPr>
          <w:bCs/>
          <w:noProof/>
          <w:szCs w:val="24"/>
        </w:rPr>
      </w:pPr>
      <w:r>
        <w:rPr>
          <w:noProof/>
        </w:rPr>
        <w:t>Articolul 3 – Structura administrativă și de conducere</w:t>
      </w:r>
    </w:p>
    <w:p>
      <w:pPr>
        <w:rPr>
          <w:noProof/>
          <w:szCs w:val="24"/>
        </w:rPr>
      </w:pPr>
      <w:r>
        <w:rPr>
          <w:noProof/>
        </w:rPr>
        <w:t>Structura administrativă și de conducere a Agenției cuprinde:</w:t>
      </w:r>
    </w:p>
    <w:p>
      <w:pPr>
        <w:pStyle w:val="Point1letter"/>
        <w:numPr>
          <w:ilvl w:val="3"/>
          <w:numId w:val="42"/>
        </w:numPr>
        <w:rPr>
          <w:noProof/>
        </w:rPr>
      </w:pPr>
      <w:r>
        <w:rPr>
          <w:noProof/>
        </w:rPr>
        <w:t>un consiliu de administrație, care exercită funcțiile prevăzute la articolul 5;</w:t>
      </w:r>
    </w:p>
    <w:p>
      <w:pPr>
        <w:pStyle w:val="Point1letter"/>
        <w:numPr>
          <w:ilvl w:val="3"/>
          <w:numId w:val="42"/>
        </w:numPr>
        <w:rPr>
          <w:noProof/>
        </w:rPr>
      </w:pPr>
      <w:r>
        <w:rPr>
          <w:noProof/>
        </w:rPr>
        <w:t>un comitet executiv, care exercită funcțiile prevăzute la articolul 10;</w:t>
      </w:r>
    </w:p>
    <w:p>
      <w:pPr>
        <w:pStyle w:val="Point1letter"/>
        <w:numPr>
          <w:ilvl w:val="3"/>
          <w:numId w:val="42"/>
        </w:numPr>
        <w:rPr>
          <w:noProof/>
        </w:rPr>
      </w:pPr>
      <w:r>
        <w:rPr>
          <w:noProof/>
        </w:rPr>
        <w:t>un director executiv, căruia îi revin responsabilitățile prevăzute la articolul 11;</w:t>
      </w:r>
    </w:p>
    <w:p>
      <w:pPr>
        <w:pStyle w:val="Point1letter"/>
        <w:numPr>
          <w:ilvl w:val="3"/>
          <w:numId w:val="42"/>
        </w:numPr>
        <w:rPr>
          <w:noProof/>
        </w:rPr>
      </w:pPr>
      <w:r>
        <w:rPr>
          <w:noProof/>
        </w:rPr>
        <w:t>o rețea, care exercită funcțiile prevăzute la articolul 12.</w:t>
      </w:r>
    </w:p>
    <w:p>
      <w:pPr>
        <w:pStyle w:val="Titrearticle"/>
        <w:rPr>
          <w:bCs/>
          <w:i w:val="0"/>
          <w:noProof/>
          <w:sz w:val="28"/>
          <w:szCs w:val="28"/>
        </w:rPr>
      </w:pPr>
      <w:r>
        <w:rPr>
          <w:i w:val="0"/>
          <w:noProof/>
          <w:sz w:val="28"/>
        </w:rPr>
        <w:t>SECȚIUNEA 1: CONSILIUL DE ADMINISTRAȚIE</w:t>
      </w:r>
    </w:p>
    <w:p>
      <w:pPr>
        <w:pStyle w:val="Titrearticle"/>
        <w:rPr>
          <w:bCs/>
          <w:noProof/>
          <w:szCs w:val="24"/>
        </w:rPr>
      </w:pPr>
      <w:r>
        <w:rPr>
          <w:noProof/>
        </w:rPr>
        <w:t>Articolul 4 – Componența consiliului de administrație</w:t>
      </w:r>
    </w:p>
    <w:p>
      <w:pPr>
        <w:pStyle w:val="ManualNumPar1"/>
        <w:rPr>
          <w:noProof/>
        </w:rPr>
      </w:pPr>
      <w:r>
        <w:t>1.</w:t>
      </w:r>
      <w:r>
        <w:tab/>
      </w:r>
      <w:r>
        <w:rPr>
          <w:noProof/>
        </w:rPr>
        <w:t>Consiliul de administrație este format din:</w:t>
      </w:r>
    </w:p>
    <w:p>
      <w:pPr>
        <w:pStyle w:val="Point1letter"/>
        <w:numPr>
          <w:ilvl w:val="3"/>
          <w:numId w:val="43"/>
        </w:numPr>
        <w:rPr>
          <w:noProof/>
        </w:rPr>
      </w:pPr>
      <w:r>
        <w:rPr>
          <w:noProof/>
        </w:rPr>
        <w:t>un membru care reprezintă guvernul fiecărui stat membru;</w:t>
      </w:r>
    </w:p>
    <w:p>
      <w:pPr>
        <w:pStyle w:val="Point1letter"/>
        <w:numPr>
          <w:ilvl w:val="3"/>
          <w:numId w:val="43"/>
        </w:numPr>
        <w:rPr>
          <w:noProof/>
        </w:rPr>
      </w:pPr>
      <w:r>
        <w:rPr>
          <w:noProof/>
        </w:rPr>
        <w:t>pentru fiecare stat membru, dintr-un membru care reprezintă organizațiile angajatorilor;</w:t>
      </w:r>
    </w:p>
    <w:p>
      <w:pPr>
        <w:pStyle w:val="Point1letter"/>
        <w:numPr>
          <w:ilvl w:val="3"/>
          <w:numId w:val="43"/>
        </w:numPr>
        <w:rPr>
          <w:noProof/>
        </w:rPr>
      </w:pPr>
      <w:r>
        <w:rPr>
          <w:noProof/>
        </w:rPr>
        <w:t>pentru fiecare stat membru, dintr-un membru care reprezintă organizațiile lucrătorilor;</w:t>
      </w:r>
    </w:p>
    <w:p>
      <w:pPr>
        <w:pStyle w:val="Point1letter"/>
        <w:numPr>
          <w:ilvl w:val="3"/>
          <w:numId w:val="43"/>
        </w:numPr>
        <w:rPr>
          <w:noProof/>
        </w:rPr>
      </w:pPr>
      <w:r>
        <w:rPr>
          <w:noProof/>
        </w:rPr>
        <w:t>trei membri care reprezintă Comisia.</w:t>
      </w:r>
    </w:p>
    <w:p>
      <w:pPr>
        <w:ind w:left="717"/>
        <w:rPr>
          <w:noProof/>
          <w:szCs w:val="24"/>
        </w:rPr>
      </w:pPr>
      <w:r>
        <w:rPr>
          <w:noProof/>
        </w:rPr>
        <w:t>Toți membrii menționați la literele (a)-(d) au drepturi de vot.</w:t>
      </w:r>
    </w:p>
    <w:p>
      <w:pPr>
        <w:ind w:left="360"/>
        <w:rPr>
          <w:noProof/>
          <w:szCs w:val="24"/>
        </w:rPr>
      </w:pPr>
      <w:r>
        <w:rPr>
          <w:noProof/>
        </w:rPr>
        <w:t>Membrii menționați la literele (a), (b) și (c) sunt numiți de Consiliu dintre membrii și membrii supleanți ai Comitetului consultativ pentru securitate și sănătate la locul de muncă</w:t>
      </w:r>
      <w:r>
        <w:rPr>
          <w:rStyle w:val="FootnoteReference"/>
          <w:noProof/>
        </w:rPr>
        <w:footnoteReference w:id="9"/>
      </w:r>
      <w:r>
        <w:rPr>
          <w:noProof/>
        </w:rPr>
        <w:t>.</w:t>
      </w:r>
    </w:p>
    <w:p>
      <w:pPr>
        <w:ind w:left="360"/>
        <w:rPr>
          <w:noProof/>
          <w:szCs w:val="24"/>
        </w:rPr>
      </w:pPr>
      <w:r>
        <w:rPr>
          <w:noProof/>
        </w:rPr>
        <w:t>Membrii menționați la litera (a) sunt numiți la propunerea statelor membre.</w:t>
      </w:r>
    </w:p>
    <w:p>
      <w:pPr>
        <w:ind w:left="360"/>
        <w:rPr>
          <w:noProof/>
          <w:szCs w:val="24"/>
        </w:rPr>
      </w:pPr>
      <w:r>
        <w:rPr>
          <w:noProof/>
        </w:rPr>
        <w:t>Membrii menționați la literele (b) și (c) sunt numiți la propunerea purtătorilor de cuvânt ai grupurilor respective în cadrul comitetului.</w:t>
      </w:r>
    </w:p>
    <w:p>
      <w:pPr>
        <w:ind w:left="360"/>
        <w:rPr>
          <w:noProof/>
          <w:szCs w:val="24"/>
        </w:rPr>
      </w:pPr>
      <w:r>
        <w:rPr>
          <w:noProof/>
        </w:rPr>
        <w:t>Propunerile celor trei grupuri din cadrul comitetului sunt înaintate Consiliului; propunerile sunt înaintate și Comisiei, în vederea informării.</w:t>
      </w:r>
    </w:p>
    <w:p>
      <w:pPr>
        <w:ind w:left="360"/>
        <w:rPr>
          <w:noProof/>
          <w:szCs w:val="24"/>
        </w:rPr>
      </w:pPr>
      <w:r>
        <w:rPr>
          <w:noProof/>
        </w:rPr>
        <w:t>Comisia numește membrii care urmează să o reprezinte.</w:t>
      </w:r>
    </w:p>
    <w:p>
      <w:pPr>
        <w:pStyle w:val="ManualNumPar1"/>
        <w:rPr>
          <w:noProof/>
        </w:rPr>
      </w:pPr>
      <w:r>
        <w:t>2.</w:t>
      </w:r>
      <w:r>
        <w:tab/>
      </w:r>
      <w:r>
        <w:rPr>
          <w:noProof/>
        </w:rPr>
        <w:t>Fiecare membru al consiliului de administrație are un membru supleant. Supleantul reprezintă membrul în absența sa. Supleantul este numit urmând procedura prevăzută la alineatul (1).</w:t>
      </w:r>
    </w:p>
    <w:p>
      <w:pPr>
        <w:pStyle w:val="ManualNumPar1"/>
        <w:rPr>
          <w:noProof/>
        </w:rPr>
      </w:pPr>
      <w:r>
        <w:t>3.</w:t>
      </w:r>
      <w:r>
        <w:tab/>
      </w:r>
      <w:r>
        <w:rPr>
          <w:noProof/>
        </w:rPr>
        <w:t>Membrii consiliului de administrație și supleanții acestora sunt numiți pe baza cunoștințelor lor în domeniul sănătății și al securității în muncă, ținând seama de competențele manageriale, administrative și bugetare relevante. Toate părțile reprezentate în consiliul de administrație depun eforturi pentru a asigura o reprezentare echilibrată între bărbați și femei și pentru a limita rata de înlocuire a reprezentanților lor, în scopul de a garanta continuitatea activității consiliului.</w:t>
      </w:r>
    </w:p>
    <w:p>
      <w:pPr>
        <w:pStyle w:val="ManualNumPar1"/>
        <w:rPr>
          <w:noProof/>
        </w:rPr>
      </w:pPr>
      <w:r>
        <w:t>4.</w:t>
      </w:r>
      <w:r>
        <w:tab/>
      </w:r>
      <w:r>
        <w:rPr>
          <w:noProof/>
        </w:rPr>
        <w:t>Mandatul membrilor și al supleanților acestora este de patru ani. El poate fi prelungit. La expirarea mandatului lor sau în caz de demisie, membrii rămân în funcție până la reînnoirea mandatului sau până când sunt înlocuiți.</w:t>
      </w:r>
    </w:p>
    <w:p>
      <w:pPr>
        <w:pStyle w:val="ManualNumPar1"/>
        <w:rPr>
          <w:noProof/>
        </w:rPr>
      </w:pPr>
      <w:r>
        <w:t>5.</w:t>
      </w:r>
      <w:r>
        <w:tab/>
      </w:r>
      <w:r>
        <w:rPr>
          <w:noProof/>
        </w:rPr>
        <w:t>În cadrul consiliului de administrație, reprezentanții guvernelor, ai organizațiilor patronale și ai organizațiilor sindicale formează fiecare un grup. Fiecare grup desemnează un coordonator, pentru a spori eficiența deliberărilor în cadrul grupului și între grupuri. Coordonatorii grupurilor angajatorilor și angajaților sunt reprezentanți ai organizațiilor respective la nivel european și nu trebuie să fie desemnați dintre membrii numiți ai consiliului. Coordonatorii care nu sunt membri numiți ai consiliului în sensul alineatului (1) participă la ședințele consiliului de administrație fără drept de vot.</w:t>
      </w:r>
    </w:p>
    <w:p>
      <w:pPr>
        <w:pStyle w:val="Titrearticle"/>
        <w:rPr>
          <w:noProof/>
          <w:szCs w:val="24"/>
        </w:rPr>
      </w:pPr>
      <w:r>
        <w:rPr>
          <w:noProof/>
        </w:rPr>
        <w:t>Articolul 5 – Atribuțiile consiliului de administrație</w:t>
      </w:r>
    </w:p>
    <w:p>
      <w:pPr>
        <w:pStyle w:val="ManualNumPar1"/>
        <w:rPr>
          <w:noProof/>
        </w:rPr>
      </w:pPr>
      <w:r>
        <w:t>1.</w:t>
      </w:r>
      <w:r>
        <w:tab/>
      </w:r>
      <w:r>
        <w:rPr>
          <w:noProof/>
        </w:rPr>
        <w:t>Consiliul de administrație:</w:t>
      </w:r>
    </w:p>
    <w:p>
      <w:pPr>
        <w:pStyle w:val="Point1letter"/>
        <w:numPr>
          <w:ilvl w:val="3"/>
          <w:numId w:val="46"/>
        </w:numPr>
        <w:rPr>
          <w:noProof/>
        </w:rPr>
      </w:pPr>
      <w:r>
        <w:rPr>
          <w:noProof/>
        </w:rPr>
        <w:t>oferă orientarea generală pentru activitățile Agenției și adoptă în fiecare an, cu o majoritate de două treimi dintre membrii cu drept de vot și în conformitate cu articolul 6, documentul care conține programul Agenției;</w:t>
      </w:r>
    </w:p>
    <w:p>
      <w:pPr>
        <w:pStyle w:val="Point1letter"/>
        <w:rPr>
          <w:noProof/>
        </w:rPr>
      </w:pPr>
      <w:r>
        <w:rPr>
          <w:noProof/>
        </w:rPr>
        <w:t>adoptă, cu o majoritate de două treimi dintre membrii cu drept de vot, bugetul anual al Agenției și exercită alte funcții în privința bugetului Agenției în conformitate cu capitolul III;</w:t>
      </w:r>
    </w:p>
    <w:p>
      <w:pPr>
        <w:pStyle w:val="Point1letter"/>
        <w:rPr>
          <w:noProof/>
        </w:rPr>
      </w:pPr>
      <w:r>
        <w:rPr>
          <w:noProof/>
        </w:rPr>
        <w:t>adoptă raportul anual de activitate consolidat, împreună cu evaluarea sa privind activitățile Agenției și transmite documentele respective, până la data de 1 iulie a fiecărui an, Parlamentului European, Consiliului, Comisiei și Curții de Conturi Europene. Raportul anual de activitate consolidat este făcut public;</w:t>
      </w:r>
    </w:p>
    <w:p>
      <w:pPr>
        <w:pStyle w:val="Point1letter"/>
        <w:rPr>
          <w:noProof/>
        </w:rPr>
      </w:pPr>
      <w:r>
        <w:rPr>
          <w:noProof/>
        </w:rPr>
        <w:t>adoptă normele financiare aplicabile Agenției în conformitate cu articolul 17;</w:t>
      </w:r>
    </w:p>
    <w:p>
      <w:pPr>
        <w:pStyle w:val="Point1letter"/>
        <w:rPr>
          <w:noProof/>
        </w:rPr>
      </w:pPr>
      <w:r>
        <w:rPr>
          <w:noProof/>
        </w:rPr>
        <w:t>adoptă o strategie antifraudă, proporțională cu riscurile de fraudă, ținând seama de costurile și de beneficiile măsurilor care urmează să fie puse în aplicare;</w:t>
      </w:r>
    </w:p>
    <w:p>
      <w:pPr>
        <w:pStyle w:val="Point1letter"/>
        <w:rPr>
          <w:noProof/>
        </w:rPr>
      </w:pPr>
      <w:r>
        <w:rPr>
          <w:noProof/>
        </w:rPr>
        <w:t>adoptă norme pentru prevenirea și gestionarea conflictelor de interese în ceea ce îi privește pe membrii săi și pe experții independenți;</w:t>
      </w:r>
    </w:p>
    <w:p>
      <w:pPr>
        <w:pStyle w:val="Point1letter"/>
        <w:rPr>
          <w:noProof/>
        </w:rPr>
      </w:pPr>
      <w:r>
        <w:rPr>
          <w:noProof/>
        </w:rPr>
        <w:t>adoptă și actualizează periodic planurile de comunicare și de difuzare, bazate pe o analiză a nevoilor;</w:t>
      </w:r>
    </w:p>
    <w:p>
      <w:pPr>
        <w:pStyle w:val="Point1letter"/>
        <w:rPr>
          <w:noProof/>
        </w:rPr>
      </w:pPr>
      <w:r>
        <w:rPr>
          <w:noProof/>
        </w:rPr>
        <w:t>adoptă regulamentul său de procedură;</w:t>
      </w:r>
    </w:p>
    <w:p>
      <w:pPr>
        <w:pStyle w:val="Point1letter"/>
        <w:rPr>
          <w:noProof/>
        </w:rPr>
      </w:pPr>
      <w:r>
        <w:rPr>
          <w:noProof/>
        </w:rPr>
        <w:t>în conformitate cu alineatul (2), exercită, în ceea ce privește personalul Agenției, competențele de autoritate împuternicită să facă numiri, conferite prin Statutul funcționarilor, și competențele de autoritate abilitată să încheie contracte de muncă, conferite prin Regimul aplicabil celorlalți agenți (denumite în continuare „competențe de autoritate împuternicită să facă numiri”);</w:t>
      </w:r>
    </w:p>
    <w:p>
      <w:pPr>
        <w:pStyle w:val="Point1letter"/>
        <w:rPr>
          <w:noProof/>
        </w:rPr>
      </w:pPr>
      <w:r>
        <w:rPr>
          <w:noProof/>
        </w:rPr>
        <w:t>adoptă norme de punere în aplicare corespunzătoare pentru a asigura punerea în practică a Statutului funcționarilor și a Regimului aplicabil celorlalți agenți în conformitate cu dispozițiile articolului 110 din Statutul funcționarilor;</w:t>
      </w:r>
    </w:p>
    <w:p>
      <w:pPr>
        <w:pStyle w:val="Point1letter"/>
        <w:rPr>
          <w:noProof/>
        </w:rPr>
      </w:pPr>
      <w:r>
        <w:rPr>
          <w:noProof/>
        </w:rPr>
        <w:t>numește directorul executiv și, după caz, îi prelungește mandatul sau îl demite din funcție, în conformitate cu articolul 19;</w:t>
      </w:r>
    </w:p>
    <w:p>
      <w:pPr>
        <w:pStyle w:val="Point1letter"/>
        <w:rPr>
          <w:noProof/>
        </w:rPr>
      </w:pPr>
      <w:r>
        <w:rPr>
          <w:noProof/>
        </w:rPr>
        <w:t>numește un contabil, căruia i se aplică Statutul funcționarilor și Regimul aplicabil celorlalți agenți și care este complet independent în îndeplinirea îndatoririlor sale;</w:t>
      </w:r>
    </w:p>
    <w:p>
      <w:pPr>
        <w:pStyle w:val="Point1letter"/>
        <w:rPr>
          <w:noProof/>
        </w:rPr>
      </w:pPr>
      <w:r>
        <w:rPr>
          <w:noProof/>
        </w:rPr>
        <w:t>monitorizează luarea de măsuri adecvate în urma concluziilor și a recomandărilor care decurg din rapoartele de audit și din evaluările interne sau externe, precum și din investigațiile efectuate de Oficiul European de Luptă Antifraudă (OLAF);</w:t>
      </w:r>
    </w:p>
    <w:p>
      <w:pPr>
        <w:pStyle w:val="Point1letter"/>
        <w:rPr>
          <w:noProof/>
        </w:rPr>
      </w:pPr>
      <w:r>
        <w:rPr>
          <w:noProof/>
        </w:rPr>
        <w:t>ia toate deciziile privind instituirea structurilor interne ale Agenției și, dacă este necesar, privind modificarea acestora, luând în considerare nevoile de activitate ale Agenției și având în vedere buna gestionare bugetară;</w:t>
      </w:r>
    </w:p>
    <w:p>
      <w:pPr>
        <w:pStyle w:val="Point1letter"/>
        <w:rPr>
          <w:noProof/>
        </w:rPr>
      </w:pPr>
      <w:r>
        <w:rPr>
          <w:noProof/>
        </w:rPr>
        <w:t>autorizează stabilirea unor acorduri de activitate în conformitate cu articolul 30 alineatul (1).</w:t>
      </w:r>
    </w:p>
    <w:p>
      <w:pPr>
        <w:pStyle w:val="ManualNumPar1"/>
        <w:rPr>
          <w:noProof/>
        </w:rPr>
      </w:pPr>
      <w:r>
        <w:t>2.</w:t>
      </w:r>
      <w:r>
        <w:tab/>
      </w:r>
      <w:r>
        <w:rPr>
          <w:noProof/>
        </w:rPr>
        <w:t>Consiliul de administrație adoptă, în conformitate cu articolul 110 din Statutul funcționarilor, o decizie în baza articolului 2 alineatul (1) din Statutul funcționarilor și a articolului 6 din Regimul aplicabil celorlalți agenți, prin care competențele relevante de autoritate împuternicită să facă numiri sunt delegate directorului executiv și în care sunt definite condițiile în care această delegare de competențe poate fi suspendată. Directorul executiv este autorizat să subdelege aceste competențe.</w:t>
      </w:r>
    </w:p>
    <w:p>
      <w:pPr>
        <w:pStyle w:val="ManualNumPar1"/>
        <w:rPr>
          <w:noProof/>
        </w:rPr>
      </w:pPr>
      <w:r>
        <w:t>3.</w:t>
      </w:r>
      <w:r>
        <w:tab/>
      </w:r>
      <w:r>
        <w:rPr>
          <w:noProof/>
        </w:rPr>
        <w:t>În cazul în care apar împrejurări excepționale care impun acest lucru, consiliul de administrație poate, printr-o decizie, să suspende temporar delegarea competențelor de autoritate împuternicită să facă numiri către directorul executiv și delegarea competențelor subdelegate de către acesta din urmă și să le exercite el însuși sau să le delege unuia dintre membrii săi ori unui alt membru al personalului decât directorul executiv.</w:t>
      </w:r>
    </w:p>
    <w:p>
      <w:pPr>
        <w:pStyle w:val="Titrearticle"/>
        <w:rPr>
          <w:noProof/>
          <w:szCs w:val="24"/>
        </w:rPr>
      </w:pPr>
      <w:r>
        <w:rPr>
          <w:noProof/>
        </w:rPr>
        <w:t>Articolul 6 – Programare anuală și multianuală</w:t>
      </w:r>
    </w:p>
    <w:p>
      <w:pPr>
        <w:pStyle w:val="ManualNumPar1"/>
        <w:rPr>
          <w:noProof/>
        </w:rPr>
      </w:pPr>
      <w:r>
        <w:t>1.</w:t>
      </w:r>
      <w:r>
        <w:tab/>
      </w:r>
      <w:r>
        <w:rPr>
          <w:noProof/>
        </w:rPr>
        <w:t>În fiecare an, directorul executiv, în conformitate cu articolul 11 alineatul (5) litera (c), elaborează un document de programare care conține programarea anuală și multianuală, în conformitate cu articolul 32 din Regulamentul delegat (UE) nr. 1271/2013 al Comisiei</w:t>
      </w:r>
      <w:r>
        <w:rPr>
          <w:rStyle w:val="FootnoteReference"/>
          <w:noProof/>
        </w:rPr>
        <w:footnoteReference w:id="10"/>
      </w:r>
      <w:r>
        <w:rPr>
          <w:noProof/>
        </w:rPr>
        <w:t xml:space="preserve"> și luând în considerare orientările stabilite de Comisie.</w:t>
      </w:r>
    </w:p>
    <w:p>
      <w:pPr>
        <w:pStyle w:val="ManualNumPar1"/>
        <w:rPr>
          <w:noProof/>
        </w:rPr>
      </w:pPr>
      <w:r>
        <w:t>2.</w:t>
      </w:r>
      <w:r>
        <w:tab/>
      </w:r>
      <w:r>
        <w:rPr>
          <w:noProof/>
        </w:rPr>
        <w:t>Până la data de 30 noiembrie a fiecărui an, consiliul de administrație adoptă documentul de programare menționat la alineatul (1) și îl transmite Parlamentului European, Consiliului și Comisiei cel târziu până la data de 31 ianuarie a fiecărui an, precum și orice altă versiune ulterioară actualizată a documentului respectiv.</w:t>
      </w:r>
    </w:p>
    <w:p>
      <w:pPr>
        <w:ind w:left="720"/>
        <w:rPr>
          <w:noProof/>
          <w:szCs w:val="24"/>
        </w:rPr>
      </w:pPr>
      <w:r>
        <w:rPr>
          <w:noProof/>
        </w:rPr>
        <w:t>Documentul de programare devine definitiv după adoptarea finală a bugetului general al Uniunii și, dacă este necesar, se ajustează în consecință.</w:t>
      </w:r>
    </w:p>
    <w:p>
      <w:pPr>
        <w:pStyle w:val="ManualNumPar1"/>
        <w:rPr>
          <w:noProof/>
        </w:rPr>
      </w:pPr>
      <w:r>
        <w:t>3.</w:t>
      </w:r>
      <w:r>
        <w:tab/>
      </w:r>
      <w:r>
        <w:rPr>
          <w:noProof/>
        </w:rPr>
        <w:t>Programul anual de activitate include obiectivele detaliate și rezultatele preconizate, inclusiv indicatorii de performanță. El include, de asemenea, o descriere a acțiunilor care urmează să fie finanțate și informații care indică resursele financiare și umane alocate fiecărei acțiuni, în conformitate cu principiile întocmirii bugetului și ale gestionării pe activități. Programul anual de activitate este în concordanță cu programul multianual de activitate menționat la alineatul (5). El indică în mod clar atribuțiile care au fost adăugate, modificate sau eliminate în comparație cu exercițiul financiar precedent. Programarea anuală și/sau multianuală include strategia privind relațiile cu țările terțe sau cu organizațiile internaționale menționată la articolul 30, precum și acțiunile legate de această strategie.</w:t>
      </w:r>
    </w:p>
    <w:p>
      <w:pPr>
        <w:pStyle w:val="ManualNumPar1"/>
        <w:rPr>
          <w:noProof/>
        </w:rPr>
      </w:pPr>
      <w:r>
        <w:t>4.</w:t>
      </w:r>
      <w:r>
        <w:tab/>
      </w:r>
      <w:r>
        <w:rPr>
          <w:noProof/>
        </w:rPr>
        <w:t>Consiliul de administrație modifică programul anual de activitate adoptat atunci când Agenției îi este încredințată o nouă sarcină. Consiliul de administrație poate să-i delege directorului executiv competența de a aduce modificări nesubstanțiale programului anual de activitate.</w:t>
      </w:r>
    </w:p>
    <w:p>
      <w:pPr>
        <w:pStyle w:val="Text1"/>
        <w:rPr>
          <w:i/>
          <w:noProof/>
        </w:rPr>
      </w:pPr>
      <w:r>
        <w:rPr>
          <w:noProof/>
        </w:rPr>
        <w:t>Orice modificare substanțială a programului anual de activitate se adoptă prin aceeași procedură ca programul anual de activitate inițial.</w:t>
      </w:r>
    </w:p>
    <w:p>
      <w:pPr>
        <w:pStyle w:val="ManualNumPar1"/>
        <w:rPr>
          <w:noProof/>
        </w:rPr>
      </w:pPr>
      <w:r>
        <w:t>5.</w:t>
      </w:r>
      <w:r>
        <w:tab/>
      </w:r>
      <w:r>
        <w:rPr>
          <w:noProof/>
        </w:rPr>
        <w:t>Programul multianual de activitate stabilește programarea strategică globală, inclusiv obiectivele, rezultatele preconizate și indicatorii de performanță. De asemenea, acesta stabilește programarea resurselor, inclusiv bugetul multianual și personalul. El include o strategie privind relațiile cu țările terțe și cu organizațiile internaționale, cu o specificare a resurselor asociate.</w:t>
      </w:r>
    </w:p>
    <w:p>
      <w:pPr>
        <w:pStyle w:val="ManualNumPar1"/>
        <w:rPr>
          <w:noProof/>
        </w:rPr>
      </w:pPr>
      <w:r>
        <w:t>6.</w:t>
      </w:r>
      <w:r>
        <w:tab/>
      </w:r>
      <w:r>
        <w:rPr>
          <w:noProof/>
        </w:rPr>
        <w:t>Programarea resurselor se actualizează anual. Programarea strategică se actualizează după caz, în special pentru a aborda rezultatul evaluării menționate la articolul 28.</w:t>
      </w:r>
    </w:p>
    <w:p>
      <w:pPr>
        <w:pStyle w:val="Titrearticle"/>
        <w:rPr>
          <w:noProof/>
          <w:szCs w:val="24"/>
        </w:rPr>
      </w:pPr>
      <w:r>
        <w:rPr>
          <w:noProof/>
        </w:rPr>
        <w:t>Articolul 7 – Președintele consiliului de administrație</w:t>
      </w:r>
    </w:p>
    <w:p>
      <w:pPr>
        <w:pStyle w:val="ManualNumPar1"/>
        <w:rPr>
          <w:noProof/>
        </w:rPr>
      </w:pPr>
      <w:r>
        <w:t>1.</w:t>
      </w:r>
      <w:r>
        <w:tab/>
      </w:r>
      <w:r>
        <w:rPr>
          <w:noProof/>
        </w:rPr>
        <w:t>Consiliul de administrație alege un președinte și trei vicepreședinți, după cum urmează – unul dintre membrii care reprezintă statele membre, unul dintre membrii care reprezintă organizațiile patronale, unul dintre membrii care reprezintă organizațiile sindicale și unul dintre membrii care reprezintă Comisia. Președintele și vicepreședinții sunt aleși cu o majoritate de două treimi dintre membrii consiliului de administrație cu drept de vot.</w:t>
      </w:r>
    </w:p>
    <w:p>
      <w:pPr>
        <w:pStyle w:val="ManualNumPar1"/>
        <w:rPr>
          <w:noProof/>
        </w:rPr>
      </w:pPr>
      <w:r>
        <w:t>2.</w:t>
      </w:r>
      <w:r>
        <w:tab/>
      </w:r>
      <w:r>
        <w:rPr>
          <w:noProof/>
        </w:rPr>
        <w:t>Mandatul președintelui și al vicepreședinților este de doi ani. Mandatul acestora poate fi reînnoit o singură dată. Cu toate acestea, dacă pe durata mandatului încetează calitatea acestora de membri ai consiliului de administrație, mandatul lor expiră automat la aceeași dată.</w:t>
      </w:r>
    </w:p>
    <w:p>
      <w:pPr>
        <w:pStyle w:val="Titrearticle"/>
        <w:rPr>
          <w:noProof/>
          <w:szCs w:val="24"/>
        </w:rPr>
      </w:pPr>
      <w:r>
        <w:rPr>
          <w:noProof/>
        </w:rPr>
        <w:t>Articolul 8 – Reuniunile consiliului de administrație</w:t>
      </w:r>
    </w:p>
    <w:p>
      <w:pPr>
        <w:pStyle w:val="ManualNumPar1"/>
        <w:rPr>
          <w:noProof/>
        </w:rPr>
      </w:pPr>
      <w:r>
        <w:t>1.</w:t>
      </w:r>
      <w:r>
        <w:tab/>
      </w:r>
      <w:r>
        <w:rPr>
          <w:noProof/>
        </w:rPr>
        <w:t>Președintele convoacă reuniunile consiliului de administrație.</w:t>
      </w:r>
    </w:p>
    <w:p>
      <w:pPr>
        <w:pStyle w:val="ManualNumPar1"/>
        <w:rPr>
          <w:noProof/>
        </w:rPr>
      </w:pPr>
      <w:r>
        <w:t>2.</w:t>
      </w:r>
      <w:r>
        <w:tab/>
      </w:r>
      <w:r>
        <w:rPr>
          <w:noProof/>
        </w:rPr>
        <w:t>Directorul executiv al Agenției participă la deliberări, fără drept de vot.</w:t>
      </w:r>
    </w:p>
    <w:p>
      <w:pPr>
        <w:pStyle w:val="ManualNumPar1"/>
        <w:rPr>
          <w:noProof/>
        </w:rPr>
      </w:pPr>
      <w:r>
        <w:t>3.</w:t>
      </w:r>
      <w:r>
        <w:tab/>
      </w:r>
      <w:r>
        <w:rPr>
          <w:noProof/>
        </w:rPr>
        <w:t>Consiliul de administrație se reunește în ședință ordinară cel puțin o dată pe an. În plus, acesta se reunește la inițiativa președintelui, la solicitarea Comisiei sau la solicitarea a cel puțin o treime dintre membrii săi.</w:t>
      </w:r>
    </w:p>
    <w:p>
      <w:pPr>
        <w:pStyle w:val="ManualNumPar1"/>
        <w:rPr>
          <w:noProof/>
        </w:rPr>
      </w:pPr>
      <w:r>
        <w:t>4.</w:t>
      </w:r>
      <w:r>
        <w:tab/>
      </w:r>
      <w:r>
        <w:rPr>
          <w:noProof/>
        </w:rPr>
        <w:t>Consiliul de administrație poate invita orice persoană a cărei opinie poate fi de interes să participe la reuniunile sale în calitate de observator.</w:t>
      </w:r>
    </w:p>
    <w:p>
      <w:pPr>
        <w:pStyle w:val="ManualNumPar1"/>
        <w:rPr>
          <w:noProof/>
        </w:rPr>
      </w:pPr>
      <w:r>
        <w:t>5.</w:t>
      </w:r>
      <w:r>
        <w:tab/>
      </w:r>
      <w:r>
        <w:rPr>
          <w:noProof/>
        </w:rPr>
        <w:t>Agenția asigură secretariatul consiliului de administrație.</w:t>
      </w:r>
    </w:p>
    <w:p>
      <w:pPr>
        <w:pStyle w:val="Titrearticle"/>
        <w:rPr>
          <w:iCs/>
          <w:noProof/>
          <w:szCs w:val="24"/>
        </w:rPr>
      </w:pPr>
      <w:r>
        <w:rPr>
          <w:noProof/>
        </w:rPr>
        <w:t>Articolul 9 – Regulile de vot ale consiliului de administrație</w:t>
      </w:r>
    </w:p>
    <w:p>
      <w:pPr>
        <w:pStyle w:val="ManualNumPar1"/>
        <w:rPr>
          <w:noProof/>
        </w:rPr>
      </w:pPr>
      <w:r>
        <w:t>1.</w:t>
      </w:r>
      <w:r>
        <w:tab/>
      </w:r>
      <w:r>
        <w:rPr>
          <w:noProof/>
        </w:rPr>
        <w:t>Fără a aduce atingere articolului 5 alineatul (1) literele (a) și (b) și articolului 19 alineatul (7), consiliul de administrație adoptă deciziile cu majoritatea membrilor cu drept de vot.</w:t>
      </w:r>
    </w:p>
    <w:p>
      <w:pPr>
        <w:pStyle w:val="ManualNumPar1"/>
        <w:rPr>
          <w:noProof/>
        </w:rPr>
      </w:pPr>
      <w:r>
        <w:t>2.</w:t>
      </w:r>
      <w:r>
        <w:tab/>
      </w:r>
      <w:r>
        <w:rPr>
          <w:noProof/>
        </w:rPr>
        <w:t>Fiecare membru cu drept de vot dispune de un vot. În absența unui membru cu drept de vot, dreptul de vot al acestuia poate fi exercitat de către supleantul său.</w:t>
      </w:r>
    </w:p>
    <w:p>
      <w:pPr>
        <w:pStyle w:val="ManualNumPar1"/>
        <w:rPr>
          <w:noProof/>
        </w:rPr>
      </w:pPr>
      <w:r>
        <w:t>3.</w:t>
      </w:r>
      <w:r>
        <w:tab/>
      </w:r>
      <w:r>
        <w:rPr>
          <w:noProof/>
        </w:rPr>
        <w:t>Președintele ia parte la vot.</w:t>
      </w:r>
    </w:p>
    <w:p>
      <w:pPr>
        <w:pStyle w:val="ManualNumPar1"/>
        <w:rPr>
          <w:noProof/>
        </w:rPr>
      </w:pPr>
      <w:r>
        <w:t>4.</w:t>
      </w:r>
      <w:r>
        <w:tab/>
      </w:r>
      <w:r>
        <w:rPr>
          <w:noProof/>
        </w:rPr>
        <w:t>Directorul executiv participă la deliberări, fără drept de vot.</w:t>
      </w:r>
    </w:p>
    <w:p>
      <w:pPr>
        <w:pStyle w:val="ManualNumPar1"/>
        <w:rPr>
          <w:noProof/>
        </w:rPr>
      </w:pPr>
      <w:r>
        <w:t>5.</w:t>
      </w:r>
      <w:r>
        <w:tab/>
      </w:r>
      <w:r>
        <w:rPr>
          <w:noProof/>
        </w:rPr>
        <w:t>Regulamentul de procedură al consiliului de administrație stabilește în mod detaliat modalitățile de vot, în special condițiile în care un membru poate reprezenta un alt membru.</w:t>
      </w:r>
    </w:p>
    <w:p>
      <w:pPr>
        <w:pStyle w:val="Titrearticle"/>
        <w:rPr>
          <w:i w:val="0"/>
          <w:noProof/>
          <w:sz w:val="28"/>
          <w:szCs w:val="28"/>
        </w:rPr>
      </w:pPr>
      <w:r>
        <w:rPr>
          <w:i w:val="0"/>
          <w:noProof/>
          <w:sz w:val="28"/>
        </w:rPr>
        <w:t>SECȚIUNEA 2</w:t>
      </w:r>
    </w:p>
    <w:p>
      <w:pPr>
        <w:pStyle w:val="Titrearticle"/>
        <w:rPr>
          <w:i w:val="0"/>
          <w:noProof/>
          <w:sz w:val="28"/>
          <w:szCs w:val="28"/>
        </w:rPr>
      </w:pPr>
      <w:r>
        <w:rPr>
          <w:i w:val="0"/>
          <w:noProof/>
          <w:sz w:val="28"/>
        </w:rPr>
        <w:t>COMITETUL EXECUTIV</w:t>
      </w:r>
    </w:p>
    <w:p>
      <w:pPr>
        <w:pStyle w:val="Titrearticle"/>
        <w:rPr>
          <w:i w:val="0"/>
          <w:noProof/>
          <w:szCs w:val="24"/>
        </w:rPr>
      </w:pPr>
      <w:r>
        <w:rPr>
          <w:noProof/>
        </w:rPr>
        <w:t>Articolul 10 – Comitetul executiv</w:t>
      </w:r>
    </w:p>
    <w:p>
      <w:pPr>
        <w:pStyle w:val="ManualNumPar1"/>
        <w:rPr>
          <w:noProof/>
        </w:rPr>
      </w:pPr>
      <w:r>
        <w:t>1.</w:t>
      </w:r>
      <w:r>
        <w:tab/>
      </w:r>
      <w:r>
        <w:rPr>
          <w:noProof/>
        </w:rPr>
        <w:t>Consiliul de administrație este asistat de un comitet executiv.</w:t>
      </w:r>
    </w:p>
    <w:p>
      <w:pPr>
        <w:pStyle w:val="ManualNumPar1"/>
        <w:rPr>
          <w:noProof/>
        </w:rPr>
      </w:pPr>
      <w:r>
        <w:t>2.</w:t>
      </w:r>
      <w:r>
        <w:tab/>
      </w:r>
      <w:r>
        <w:rPr>
          <w:noProof/>
        </w:rPr>
        <w:t>Comitetul executiv:</w:t>
      </w:r>
    </w:p>
    <w:p>
      <w:pPr>
        <w:pStyle w:val="Point1letter"/>
        <w:numPr>
          <w:ilvl w:val="3"/>
          <w:numId w:val="21"/>
        </w:numPr>
        <w:rPr>
          <w:noProof/>
        </w:rPr>
      </w:pPr>
      <w:r>
        <w:rPr>
          <w:noProof/>
        </w:rPr>
        <w:t>pregătește deciziile care urmează să fie adoptate de consiliul de administrație;</w:t>
      </w:r>
    </w:p>
    <w:p>
      <w:pPr>
        <w:pStyle w:val="Point1letter"/>
        <w:rPr>
          <w:noProof/>
        </w:rPr>
      </w:pPr>
      <w:r>
        <w:rPr>
          <w:noProof/>
        </w:rPr>
        <w:tab/>
        <w:t>monitorizează, împreună cu consiliul de administrație, luarea de măsuri adecvate în urma concluziilor și a recomandărilor care decurg din rapoartele de audit și din evaluările interne sau externe, precum și din investigațiile efectuate de Oficiul European de Luptă Antifraudă (OLAF);</w:t>
      </w:r>
    </w:p>
    <w:p>
      <w:pPr>
        <w:pStyle w:val="Point1letter"/>
        <w:rPr>
          <w:noProof/>
        </w:rPr>
      </w:pPr>
      <w:r>
        <w:rPr>
          <w:noProof/>
        </w:rPr>
        <w:t>fără a aduce atingere responsabilităților directorului executiv, astfel cum este prevăzut la articolul 11, îi acordă acestuia asistență și consiliere în punerea în aplicare a deciziilor consiliului de administrație, pentru a consolida supravegherea gestionării administrative și bugetare.</w:t>
      </w:r>
    </w:p>
    <w:p>
      <w:pPr>
        <w:pStyle w:val="ManualNumPar1"/>
        <w:rPr>
          <w:noProof/>
        </w:rPr>
      </w:pPr>
      <w:r>
        <w:t>3.</w:t>
      </w:r>
      <w:r>
        <w:tab/>
      </w:r>
      <w:r>
        <w:rPr>
          <w:noProof/>
        </w:rPr>
        <w:t>Dacă este necesar, din motive de urgență, comitetul executiv poate lua anumite decizii provizorii în numele consiliului de administrație, în special privind aspecte de gestionare administrativă, inclusiv suspendarea delegării competențelor de autoritate împuternicită să facă numiri, precum și privind chestiuni bugetare.</w:t>
      </w:r>
    </w:p>
    <w:p>
      <w:pPr>
        <w:pStyle w:val="ManualNumPar1"/>
        <w:rPr>
          <w:noProof/>
        </w:rPr>
      </w:pPr>
      <w:r>
        <w:t>4.</w:t>
      </w:r>
      <w:r>
        <w:tab/>
      </w:r>
      <w:r>
        <w:rPr>
          <w:noProof/>
        </w:rPr>
        <w:t>Comitetul executiv este alcătuit din președintele consiliului de administrație, din cei trei vicepreședinți, din coordonatorii celor trei grupuri menționate la articolul 4 alineatul (5) și dintr-un reprezentant al Comisiei. Fiecare grup menționat la articolul 4 alineatul (5) poate desemna până la doi membri supleanți pentru a participa la reuniunile comitetului executiv, în absența membrilor titulari. Președintele consiliului de administrație este, de asemenea, președintele comitetului executiv. Directorul executiv ia parte la reuniunile comitetului executiv, dar nu are drept de vot.</w:t>
      </w:r>
    </w:p>
    <w:p>
      <w:pPr>
        <w:pStyle w:val="ManualNumPar1"/>
        <w:rPr>
          <w:noProof/>
        </w:rPr>
      </w:pPr>
      <w:r>
        <w:t>5.</w:t>
      </w:r>
      <w:r>
        <w:tab/>
      </w:r>
      <w:r>
        <w:rPr>
          <w:noProof/>
        </w:rPr>
        <w:t>Durata mandatului membrilor comitetului executiv este de doi ani. Mandatul respectiv poate fi prelungit. Mandatul membrilor comitetului executiv se încheie atunci când încetează mandatul de membru al consiliului de administrație.</w:t>
      </w:r>
    </w:p>
    <w:p>
      <w:pPr>
        <w:pStyle w:val="ManualNumPar1"/>
        <w:rPr>
          <w:noProof/>
        </w:rPr>
      </w:pPr>
      <w:r>
        <w:t>6.</w:t>
      </w:r>
      <w:r>
        <w:tab/>
      </w:r>
      <w:r>
        <w:rPr>
          <w:noProof/>
        </w:rPr>
        <w:t xml:space="preserve">Comitetul executiv se reunește de cel puțin trei ori pe an. În plus, acesta se reunește la inițiativa președintelui său sau la cererea membrilor comitetului. </w:t>
      </w:r>
    </w:p>
    <w:p>
      <w:pPr>
        <w:pStyle w:val="ManualNumPar1"/>
        <w:rPr>
          <w:noProof/>
        </w:rPr>
      </w:pPr>
      <w:r>
        <w:t>7.</w:t>
      </w:r>
      <w:r>
        <w:tab/>
      </w:r>
      <w:r>
        <w:rPr>
          <w:noProof/>
        </w:rPr>
        <w:t>Consiliul de administrație stabilește regulamentul de procedură al comitetului executiv.</w:t>
      </w:r>
    </w:p>
    <w:p>
      <w:pPr>
        <w:pStyle w:val="Titrearticle"/>
        <w:rPr>
          <w:i w:val="0"/>
          <w:noProof/>
          <w:sz w:val="28"/>
          <w:szCs w:val="28"/>
        </w:rPr>
      </w:pPr>
      <w:r>
        <w:rPr>
          <w:i w:val="0"/>
          <w:noProof/>
          <w:sz w:val="28"/>
        </w:rPr>
        <w:t>SECȚIUNEA 3</w:t>
      </w:r>
    </w:p>
    <w:p>
      <w:pPr>
        <w:pStyle w:val="Titrearticle"/>
        <w:rPr>
          <w:i w:val="0"/>
          <w:noProof/>
          <w:sz w:val="28"/>
          <w:szCs w:val="28"/>
        </w:rPr>
      </w:pPr>
      <w:r>
        <w:rPr>
          <w:i w:val="0"/>
          <w:noProof/>
          <w:sz w:val="28"/>
        </w:rPr>
        <w:t>DIRECTORUL EXECUTIV</w:t>
      </w:r>
    </w:p>
    <w:p>
      <w:pPr>
        <w:pStyle w:val="Titrearticle"/>
        <w:rPr>
          <w:noProof/>
          <w:szCs w:val="24"/>
        </w:rPr>
      </w:pPr>
      <w:r>
        <w:rPr>
          <w:noProof/>
        </w:rPr>
        <w:t>Articolul 11 – Responsabilitățile directorului executiv</w:t>
      </w:r>
    </w:p>
    <w:p>
      <w:pPr>
        <w:pStyle w:val="ManualNumPar1"/>
        <w:rPr>
          <w:noProof/>
        </w:rPr>
      </w:pPr>
      <w:r>
        <w:t>1.</w:t>
      </w:r>
      <w:r>
        <w:tab/>
      </w:r>
      <w:r>
        <w:rPr>
          <w:noProof/>
        </w:rPr>
        <w:t>Directorul executiv gestionează Agenția. Directorul executiv răspunde în fața consiliului de administrație.</w:t>
      </w:r>
    </w:p>
    <w:p>
      <w:pPr>
        <w:pStyle w:val="ManualNumPar1"/>
        <w:rPr>
          <w:noProof/>
        </w:rPr>
      </w:pPr>
      <w:r>
        <w:t>2.</w:t>
      </w:r>
      <w:r>
        <w:tab/>
      </w:r>
      <w:r>
        <w:rPr>
          <w:noProof/>
        </w:rPr>
        <w:t>Fără a aduce atingere competențelor Comisiei, ale consiliului de administrație și ale comitetului executiv, directorul executiv își exercită atribuțiile în mod independent și nu solicită, nici nu acceptă instrucțiuni de la vreun guvern sau de la orice alt organism.</w:t>
      </w:r>
    </w:p>
    <w:p>
      <w:pPr>
        <w:pStyle w:val="ManualNumPar1"/>
        <w:rPr>
          <w:noProof/>
        </w:rPr>
      </w:pPr>
      <w:r>
        <w:t>3.</w:t>
      </w:r>
      <w:r>
        <w:tab/>
      </w:r>
      <w:r>
        <w:rPr>
          <w:noProof/>
        </w:rPr>
        <w:t>Directorul executiv prezintă Parlamentului European un raport privind modul în care și-a îndeplinit atribuțiile, atunci când este invitat să facă acest lucru. Consiliul poate solicita directorului executiv să prezinte un raport cu privire la îndeplinirea atribuțiilor sale.</w:t>
      </w:r>
    </w:p>
    <w:p>
      <w:pPr>
        <w:pStyle w:val="ManualNumPar1"/>
        <w:rPr>
          <w:noProof/>
        </w:rPr>
      </w:pPr>
      <w:r>
        <w:t>4.</w:t>
      </w:r>
      <w:r>
        <w:tab/>
      </w:r>
      <w:r>
        <w:rPr>
          <w:noProof/>
        </w:rPr>
        <w:t>Directorul executiv este reprezentantul legal al Agenției.</w:t>
      </w:r>
    </w:p>
    <w:p>
      <w:pPr>
        <w:pStyle w:val="ManualNumPar1"/>
        <w:rPr>
          <w:noProof/>
        </w:rPr>
      </w:pPr>
      <w:r>
        <w:t>5.</w:t>
      </w:r>
      <w:r>
        <w:tab/>
      </w:r>
      <w:r>
        <w:rPr>
          <w:noProof/>
        </w:rPr>
        <w:t>Directorul executiv răspunde de punerea în aplicare a atribuțiilor acordate Agenției în temeiul prezentului regulament. În special, directorul executiv este responsabil pentru:</w:t>
      </w:r>
    </w:p>
    <w:p>
      <w:pPr>
        <w:pStyle w:val="Point1letter"/>
        <w:numPr>
          <w:ilvl w:val="3"/>
          <w:numId w:val="23"/>
        </w:numPr>
        <w:rPr>
          <w:noProof/>
        </w:rPr>
      </w:pPr>
      <w:r>
        <w:rPr>
          <w:noProof/>
        </w:rPr>
        <w:t>administrarea curentă a Agenției;</w:t>
      </w:r>
    </w:p>
    <w:p>
      <w:pPr>
        <w:pStyle w:val="Point1letter"/>
        <w:numPr>
          <w:ilvl w:val="3"/>
          <w:numId w:val="23"/>
        </w:numPr>
        <w:rPr>
          <w:noProof/>
        </w:rPr>
      </w:pPr>
      <w:r>
        <w:rPr>
          <w:noProof/>
        </w:rPr>
        <w:t>punerea în aplicare a deciziilor adoptate de consiliul de administrație;</w:t>
      </w:r>
    </w:p>
    <w:p>
      <w:pPr>
        <w:pStyle w:val="Point1letter"/>
        <w:numPr>
          <w:ilvl w:val="3"/>
          <w:numId w:val="23"/>
        </w:numPr>
        <w:rPr>
          <w:noProof/>
        </w:rPr>
      </w:pPr>
      <w:r>
        <w:rPr>
          <w:noProof/>
        </w:rPr>
        <w:t>elaborarea documentului de programare și prezentarea acestuia consiliului de administrație, după consultarea Comisiei;</w:t>
      </w:r>
    </w:p>
    <w:p>
      <w:pPr>
        <w:pStyle w:val="Point1letter"/>
        <w:numPr>
          <w:ilvl w:val="3"/>
          <w:numId w:val="23"/>
        </w:numPr>
        <w:rPr>
          <w:noProof/>
        </w:rPr>
      </w:pPr>
      <w:r>
        <w:rPr>
          <w:noProof/>
        </w:rPr>
        <w:t xml:space="preserve">punerea în aplicare a documentului de programare și raportarea către consiliul de administrație cu privire la punerea sa în aplicare; </w:t>
      </w:r>
    </w:p>
    <w:p>
      <w:pPr>
        <w:pStyle w:val="Point1letter"/>
        <w:numPr>
          <w:ilvl w:val="3"/>
          <w:numId w:val="23"/>
        </w:numPr>
        <w:rPr>
          <w:noProof/>
        </w:rPr>
      </w:pPr>
      <w:r>
        <w:rPr>
          <w:noProof/>
        </w:rPr>
        <w:t>elaborarea raportului anual consolidat privind activitățile Agenției și prezentarea acestuia consiliului de administrație, spre evaluare și adoptare;</w:t>
      </w:r>
    </w:p>
    <w:p>
      <w:pPr>
        <w:pStyle w:val="Point1letter"/>
        <w:numPr>
          <w:ilvl w:val="3"/>
          <w:numId w:val="23"/>
        </w:numPr>
        <w:rPr>
          <w:noProof/>
        </w:rPr>
      </w:pPr>
      <w:r>
        <w:rPr>
          <w:noProof/>
        </w:rPr>
        <w:t>elaborarea unui plan de acțiune în urma concluziilor rapoartelor de audit și ale evaluărilor interne sau externe, precum și a investigațiilor desfășurate de Oficiul European de Luptă Antifraudă (OLAF) și prezentarea unui raport privind progresele înregistrate către Comisie, de două ori pe an, precum și în mod periodic către consiliul de administrație și comitetul executiv;</w:t>
      </w:r>
    </w:p>
    <w:p>
      <w:pPr>
        <w:pStyle w:val="Point1letter"/>
        <w:numPr>
          <w:ilvl w:val="3"/>
          <w:numId w:val="23"/>
        </w:numPr>
        <w:rPr>
          <w:noProof/>
        </w:rPr>
      </w:pPr>
      <w:r>
        <w:rPr>
          <w:noProof/>
        </w:rPr>
        <w:t>protejarea intereselor financiare ale Uniunii prin aplicarea de măsuri preventive de combatere a fraudei, a corupției și a oricăror alte activități ilegale, prin realizarea de controale eficace și, în cazul în care se constată nereguli, prin recuperarea sumelor plătite necuvenit și, după caz, prin sancțiuni eficace, proporționale și disuasive, de natură administrativă și financiară;</w:t>
      </w:r>
    </w:p>
    <w:p>
      <w:pPr>
        <w:pStyle w:val="Point1letter"/>
        <w:numPr>
          <w:ilvl w:val="3"/>
          <w:numId w:val="23"/>
        </w:numPr>
        <w:rPr>
          <w:noProof/>
        </w:rPr>
      </w:pPr>
      <w:r>
        <w:rPr>
          <w:noProof/>
        </w:rPr>
        <w:t>elaborarea unei strategii antifraudă a Agenției și prezentarea acesteia consiliului de administrație, spre adoptare;</w:t>
      </w:r>
    </w:p>
    <w:p>
      <w:pPr>
        <w:pStyle w:val="Point1letter"/>
        <w:numPr>
          <w:ilvl w:val="3"/>
          <w:numId w:val="23"/>
        </w:numPr>
        <w:rPr>
          <w:noProof/>
        </w:rPr>
      </w:pPr>
      <w:r>
        <w:rPr>
          <w:noProof/>
        </w:rPr>
        <w:t>elaborarea proiectului de norme financiare aplicabile Agenției;</w:t>
      </w:r>
    </w:p>
    <w:p>
      <w:pPr>
        <w:pStyle w:val="Point1letter"/>
        <w:numPr>
          <w:ilvl w:val="3"/>
          <w:numId w:val="23"/>
        </w:numPr>
        <w:rPr>
          <w:noProof/>
        </w:rPr>
      </w:pPr>
      <w:r>
        <w:rPr>
          <w:noProof/>
        </w:rPr>
        <w:t>elaborarea proiectului de situație a estimărilor de venituri și cheltuieli ale Agenției și execuția bugetului acesteia.</w:t>
      </w:r>
    </w:p>
    <w:p>
      <w:pPr>
        <w:pStyle w:val="ManualNumPar1"/>
        <w:rPr>
          <w:noProof/>
        </w:rPr>
      </w:pPr>
      <w:r>
        <w:t>6.</w:t>
      </w:r>
      <w:r>
        <w:tab/>
      </w:r>
      <w:r>
        <w:rPr>
          <w:noProof/>
        </w:rPr>
        <w:t>De asemenea, directorul executiv este responsabil pentru luarea deciziei dacă, în scopul îndeplinirii atribuțiilor Agenției într-un mod eficient și eficace, este necesar să se înființeze unul sau mai multe birouri locale într-unul sau mai multe state membre. O astfel de decizie necesită acordul prealabil al Comisiei, al consiliului de administrație și al statului membru în care urmează să fie înființat biroul local. Decizia respectivă precizează domeniul de aplicare al activităților care urmează să fie efectuate în cadrul respectivului birou local, având în vedere evitarea costurilor inutile și a dublării funcțiilor administrative ale Agenției.</w:t>
      </w:r>
    </w:p>
    <w:p>
      <w:pPr>
        <w:pStyle w:val="Titrearticle"/>
        <w:rPr>
          <w:i w:val="0"/>
          <w:noProof/>
          <w:sz w:val="28"/>
          <w:szCs w:val="28"/>
        </w:rPr>
      </w:pPr>
      <w:r>
        <w:rPr>
          <w:i w:val="0"/>
          <w:noProof/>
          <w:sz w:val="28"/>
        </w:rPr>
        <w:t>SECȚIUNEA 4</w:t>
      </w:r>
    </w:p>
    <w:p>
      <w:pPr>
        <w:pStyle w:val="Titrearticle"/>
        <w:rPr>
          <w:i w:val="0"/>
          <w:noProof/>
          <w:sz w:val="28"/>
          <w:szCs w:val="28"/>
        </w:rPr>
      </w:pPr>
      <w:r>
        <w:rPr>
          <w:i w:val="0"/>
          <w:noProof/>
          <w:sz w:val="28"/>
        </w:rPr>
        <w:t>REȚEAUA</w:t>
      </w:r>
    </w:p>
    <w:p>
      <w:pPr>
        <w:pStyle w:val="Titrearticle"/>
        <w:rPr>
          <w:bCs/>
          <w:i w:val="0"/>
          <w:noProof/>
          <w:szCs w:val="24"/>
        </w:rPr>
      </w:pPr>
      <w:r>
        <w:rPr>
          <w:noProof/>
        </w:rPr>
        <w:t>Articolul 12 – Rețeaua</w:t>
      </w:r>
    </w:p>
    <w:p>
      <w:pPr>
        <w:pStyle w:val="ManualNumPar1"/>
        <w:rPr>
          <w:noProof/>
        </w:rPr>
      </w:pPr>
      <w:r>
        <w:t>1.</w:t>
      </w:r>
      <w:r>
        <w:tab/>
      </w:r>
      <w:r>
        <w:rPr>
          <w:noProof/>
        </w:rPr>
        <w:t>Agenția înființează o rețea care cuprinde:</w:t>
      </w:r>
    </w:p>
    <w:p>
      <w:pPr>
        <w:pStyle w:val="Tiret0"/>
        <w:numPr>
          <w:ilvl w:val="0"/>
          <w:numId w:val="49"/>
        </w:numPr>
        <w:rPr>
          <w:noProof/>
        </w:rPr>
      </w:pPr>
      <w:r>
        <w:rPr>
          <w:noProof/>
        </w:rPr>
        <w:t>principalele elemente componente ale rețelelor naționale de informații, inclusiv organizațiile naționale ale partenerilor sociali, în conformitate cu legislația și/sau practicile naționale;</w:t>
      </w:r>
    </w:p>
    <w:p>
      <w:pPr>
        <w:pStyle w:val="Tiret0"/>
        <w:rPr>
          <w:noProof/>
        </w:rPr>
      </w:pPr>
      <w:r>
        <w:rPr>
          <w:noProof/>
        </w:rPr>
        <w:t>punctele focale naționale.</w:t>
      </w:r>
    </w:p>
    <w:p>
      <w:pPr>
        <w:pStyle w:val="ManualNumPar1"/>
        <w:rPr>
          <w:noProof/>
        </w:rPr>
      </w:pPr>
      <w:r>
        <w:t>2.</w:t>
      </w:r>
      <w:r>
        <w:tab/>
      </w:r>
      <w:r>
        <w:rPr>
          <w:noProof/>
        </w:rPr>
        <w:t>Statele membre informează periodic Agenția cu privire la principalele elemente componente ale rețelelor naționale de informații privind sănătatea și securitatea în muncă, inclusiv orice instituție care, din punctul lor de vedere, ar putea contribui la activitatea Agenției, ținând seama de necesitatea de a asigura o cât mai mare acoperire a teritoriului acestora. Autoritățile naționale competente sau instituția națională desemnată de acestea drept punct focal național asigură coordonarea și/sau transmiterea informațiilor care vor fi furnizate Agenției la nivel național, în cadrul unui acord încheiat între fiecare punct focal și agenție pe baza programului de lucru adoptat de Agenție. Autoritățile naționale consultă partenerii sociali la nivel național și țin cont de punctul de vedere al acestora, în conformitate cu legislația și/sau practicile naționale.</w:t>
      </w:r>
    </w:p>
    <w:p>
      <w:pPr>
        <w:pStyle w:val="ManualNumPar1"/>
        <w:rPr>
          <w:noProof/>
        </w:rPr>
      </w:pPr>
      <w:r>
        <w:t>3.</w:t>
      </w:r>
      <w:r>
        <w:tab/>
      </w:r>
      <w:r>
        <w:rPr>
          <w:noProof/>
        </w:rPr>
        <w:t>Temele de interes deosebit identificate sunt incluse în programul anual de activitate al Agenției.</w:t>
      </w:r>
    </w:p>
    <w:p>
      <w:pPr>
        <w:pStyle w:val="ManualNumPar1"/>
        <w:rPr>
          <w:noProof/>
        </w:rPr>
      </w:pPr>
      <w:r>
        <w:t>4.</w:t>
      </w:r>
      <w:r>
        <w:tab/>
      </w:r>
      <w:r>
        <w:rPr>
          <w:noProof/>
        </w:rPr>
        <w:t>Pe baza experienței acumulate, Agenția reexaminează periodic principalele elemente componente ale rețelei menționate la alineatul (2) și efectuează modificările hotărâte de consiliul de administrație, luând în considerare orice noi desemnări efectuate de către statele membre.</w:t>
      </w:r>
    </w:p>
    <w:p>
      <w:pPr>
        <w:pStyle w:val="Titrearticle"/>
        <w:rPr>
          <w:i w:val="0"/>
          <w:noProof/>
          <w:sz w:val="32"/>
          <w:szCs w:val="32"/>
        </w:rPr>
      </w:pPr>
      <w:r>
        <w:rPr>
          <w:i w:val="0"/>
          <w:noProof/>
          <w:sz w:val="32"/>
        </w:rPr>
        <w:t>CAPITOLUL III</w:t>
      </w:r>
    </w:p>
    <w:p>
      <w:pPr>
        <w:pStyle w:val="Titrearticle"/>
        <w:rPr>
          <w:i w:val="0"/>
          <w:noProof/>
          <w:sz w:val="32"/>
          <w:szCs w:val="32"/>
        </w:rPr>
      </w:pPr>
      <w:r>
        <w:rPr>
          <w:i w:val="0"/>
          <w:noProof/>
          <w:sz w:val="32"/>
        </w:rPr>
        <w:t>DISPOZIȚII FINANCIARE</w:t>
      </w:r>
    </w:p>
    <w:p>
      <w:pPr>
        <w:pStyle w:val="Titrearticle"/>
        <w:rPr>
          <w:noProof/>
          <w:szCs w:val="24"/>
        </w:rPr>
      </w:pPr>
      <w:r>
        <w:rPr>
          <w:noProof/>
        </w:rPr>
        <w:t>Articolul 13 – Buget</w:t>
      </w:r>
    </w:p>
    <w:p>
      <w:pPr>
        <w:pStyle w:val="ManualNumPar1"/>
        <w:rPr>
          <w:noProof/>
        </w:rPr>
      </w:pPr>
      <w:r>
        <w:t>1.</w:t>
      </w:r>
      <w:r>
        <w:tab/>
      </w:r>
      <w:r>
        <w:rPr>
          <w:noProof/>
        </w:rPr>
        <w:t>Se elaborează și se înscriu în bugetul Agenției estimări ale tuturor veniturilor și cheltuielilor Agenției pentru fiecare exercițiu financiar, care corespunde anului calendaristic.</w:t>
      </w:r>
    </w:p>
    <w:p>
      <w:pPr>
        <w:pStyle w:val="ManualNumPar1"/>
        <w:rPr>
          <w:noProof/>
        </w:rPr>
      </w:pPr>
      <w:r>
        <w:t>2.</w:t>
      </w:r>
      <w:r>
        <w:tab/>
      </w:r>
      <w:r>
        <w:rPr>
          <w:noProof/>
        </w:rPr>
        <w:t>Bugetul Agenției trebuie să fie echilibrat în ceea ce privește veniturile și cheltuielile.</w:t>
      </w:r>
    </w:p>
    <w:p>
      <w:pPr>
        <w:pStyle w:val="ManualNumPar1"/>
        <w:rPr>
          <w:noProof/>
        </w:rPr>
      </w:pPr>
      <w:r>
        <w:t>3.</w:t>
      </w:r>
      <w:r>
        <w:tab/>
      </w:r>
      <w:r>
        <w:rPr>
          <w:noProof/>
        </w:rPr>
        <w:t>Fără a aduce atingere altor resurse, veniturile Agenției cuprind:</w:t>
      </w:r>
    </w:p>
    <w:p>
      <w:pPr>
        <w:pStyle w:val="Point1letter"/>
        <w:numPr>
          <w:ilvl w:val="3"/>
          <w:numId w:val="41"/>
        </w:numPr>
        <w:rPr>
          <w:noProof/>
        </w:rPr>
      </w:pPr>
      <w:r>
        <w:rPr>
          <w:noProof/>
        </w:rPr>
        <w:t>o contribuție din partea Uniunii, înscrisă în bugetul general al Uniunii Europene;</w:t>
      </w:r>
    </w:p>
    <w:p>
      <w:pPr>
        <w:pStyle w:val="Point1letter"/>
        <w:rPr>
          <w:noProof/>
        </w:rPr>
      </w:pPr>
      <w:r>
        <w:rPr>
          <w:noProof/>
        </w:rPr>
        <w:t>orice contribuție financiară voluntară din partea statelor membre;</w:t>
      </w:r>
    </w:p>
    <w:p>
      <w:pPr>
        <w:pStyle w:val="Point1letter"/>
        <w:rPr>
          <w:noProof/>
        </w:rPr>
      </w:pPr>
      <w:r>
        <w:rPr>
          <w:noProof/>
        </w:rPr>
        <w:t>taxele pentru publicații și orice serviciu furnizat de Agenție;</w:t>
      </w:r>
    </w:p>
    <w:p>
      <w:pPr>
        <w:pStyle w:val="Point1letter"/>
        <w:rPr>
          <w:noProof/>
        </w:rPr>
      </w:pPr>
      <w:r>
        <w:rPr>
          <w:noProof/>
        </w:rPr>
        <w:t>orice contribuție din partea țărilor terțe care participă la activitatea Agenției, astfel cum se prevede la articolul 30.</w:t>
      </w:r>
    </w:p>
    <w:p>
      <w:pPr>
        <w:pStyle w:val="ManualNumPar1"/>
        <w:rPr>
          <w:noProof/>
        </w:rPr>
      </w:pPr>
      <w:r>
        <w:t>4.</w:t>
      </w:r>
      <w:r>
        <w:tab/>
      </w:r>
      <w:r>
        <w:rPr>
          <w:noProof/>
        </w:rPr>
        <w:t>Cheltuielile Agenției includ cheltuielile cu personalul, cheltuielile administrative și de infrastructură, precum și cheltuielile de funcționare.</w:t>
      </w:r>
    </w:p>
    <w:p>
      <w:pPr>
        <w:pStyle w:val="Titrearticle"/>
        <w:rPr>
          <w:noProof/>
          <w:szCs w:val="24"/>
        </w:rPr>
      </w:pPr>
      <w:r>
        <w:rPr>
          <w:noProof/>
        </w:rPr>
        <w:t>Articolul 14 – Întocmirea bugetului</w:t>
      </w:r>
    </w:p>
    <w:p>
      <w:pPr>
        <w:pStyle w:val="ManualNumPar1"/>
        <w:rPr>
          <w:noProof/>
        </w:rPr>
      </w:pPr>
      <w:r>
        <w:t>1.</w:t>
      </w:r>
      <w:r>
        <w:tab/>
      </w:r>
      <w:r>
        <w:rPr>
          <w:noProof/>
        </w:rPr>
        <w:t>În fiecare an,</w:t>
      </w:r>
      <w:r>
        <w:rPr>
          <w:b/>
          <w:noProof/>
        </w:rPr>
        <w:t xml:space="preserve"> </w:t>
      </w:r>
      <w:r>
        <w:rPr>
          <w:noProof/>
        </w:rPr>
        <w:t>directorul executiv elaborează un proiect estimativ provizoriu al veniturilor și cheltuielilor Agenției pentru exercițiul financiar următor, care conține schema de personal, și îl transmite consiliului de administrație.</w:t>
      </w:r>
    </w:p>
    <w:p>
      <w:pPr>
        <w:pStyle w:val="ManualNumPar1"/>
        <w:rPr>
          <w:noProof/>
        </w:rPr>
      </w:pPr>
      <w:r>
        <w:t>2.</w:t>
      </w:r>
      <w:r>
        <w:tab/>
      </w:r>
      <w:r>
        <w:rPr>
          <w:noProof/>
        </w:rPr>
        <w:t>Pe baza proiectului provizoriu, consiliul de administrație adoptă un proiect de buget estimativ al veniturilor și cheltuielilor Agenției pentru exercițiul financiar următor.</w:t>
      </w:r>
    </w:p>
    <w:p>
      <w:pPr>
        <w:pStyle w:val="ManualNumPar1"/>
        <w:rPr>
          <w:noProof/>
        </w:rPr>
      </w:pPr>
      <w:r>
        <w:t>3.</w:t>
      </w:r>
      <w:r>
        <w:tab/>
      </w:r>
      <w:r>
        <w:rPr>
          <w:noProof/>
        </w:rPr>
        <w:t>Proiectul de buget estimativ al veniturilor și cheltuielilor Agenției este trimis Comisiei până la data de 31 ianuarie a fiecărui an.</w:t>
      </w:r>
    </w:p>
    <w:p>
      <w:pPr>
        <w:pStyle w:val="ManualNumPar1"/>
        <w:rPr>
          <w:noProof/>
        </w:rPr>
      </w:pPr>
      <w:r>
        <w:t>4.</w:t>
      </w:r>
      <w:r>
        <w:tab/>
      </w:r>
      <w:r>
        <w:rPr>
          <w:noProof/>
        </w:rPr>
        <w:t>Comisia transmite proiectul de buget estimativ autorității bugetare, împreună cu proiectul de buget general al Uniunii.</w:t>
      </w:r>
    </w:p>
    <w:p>
      <w:pPr>
        <w:pStyle w:val="ManualNumPar1"/>
        <w:rPr>
          <w:noProof/>
        </w:rPr>
      </w:pPr>
      <w:r>
        <w:t>5.</w:t>
      </w:r>
      <w:r>
        <w:tab/>
      </w:r>
      <w:r>
        <w:rPr>
          <w:noProof/>
        </w:rPr>
        <w:t>Pe baza proiectului de buget estimativ, Comisia înscrie în proiectul de buget general al Uniunii estimările pe care le consideră necesare pentru schema de personal și valoarea contribuției care urmează să fie suportată din bugetul general, pe care le prezintă autorității bugetare în conformitate cu articolele 313 și 314 din tratat.</w:t>
      </w:r>
    </w:p>
    <w:p>
      <w:pPr>
        <w:pStyle w:val="ManualNumPar1"/>
        <w:rPr>
          <w:noProof/>
        </w:rPr>
      </w:pPr>
      <w:r>
        <w:t>6.</w:t>
      </w:r>
      <w:r>
        <w:tab/>
      </w:r>
      <w:r>
        <w:rPr>
          <w:noProof/>
        </w:rPr>
        <w:t>Autoritatea bugetară autorizează creditele pentru contribuția acordată Agenției.</w:t>
      </w:r>
    </w:p>
    <w:p>
      <w:pPr>
        <w:pStyle w:val="ManualNumPar1"/>
        <w:rPr>
          <w:noProof/>
        </w:rPr>
      </w:pPr>
      <w:r>
        <w:t>7.</w:t>
      </w:r>
      <w:r>
        <w:tab/>
      </w:r>
      <w:r>
        <w:rPr>
          <w:noProof/>
        </w:rPr>
        <w:t>Autoritatea bugetară adoptă schema de personal a Agenției.</w:t>
      </w:r>
    </w:p>
    <w:p>
      <w:pPr>
        <w:pStyle w:val="ManualNumPar1"/>
        <w:rPr>
          <w:noProof/>
        </w:rPr>
      </w:pPr>
      <w:r>
        <w:t>8.</w:t>
      </w:r>
      <w:r>
        <w:tab/>
      </w:r>
      <w:r>
        <w:rPr>
          <w:noProof/>
        </w:rPr>
        <w:t>Bugetul Agenției este adoptat de</w:t>
      </w:r>
      <w:r>
        <w:rPr>
          <w:b/>
          <w:noProof/>
        </w:rPr>
        <w:t xml:space="preserve"> </w:t>
      </w:r>
      <w:r>
        <w:rPr>
          <w:noProof/>
        </w:rPr>
        <w:t>consiliul de administrație. El devine definitiv după adoptarea finală a bugetului general al Uniunii. Dacă este necesar, el se ajustează în consecință.</w:t>
      </w:r>
    </w:p>
    <w:p>
      <w:pPr>
        <w:pStyle w:val="ManualNumPar1"/>
        <w:rPr>
          <w:noProof/>
        </w:rPr>
      </w:pPr>
      <w:r>
        <w:t>9.</w:t>
      </w:r>
      <w:r>
        <w:tab/>
      </w:r>
      <w:r>
        <w:rPr>
          <w:noProof/>
        </w:rPr>
        <w:t>Pentru orice proiect imobiliar care poate avea un impact semnificativ asupra bugetului Agenției, se aplică dispozițiile Regulamentului delegat (UE) nr. 1271/2013.</w:t>
      </w:r>
    </w:p>
    <w:p>
      <w:pPr>
        <w:pStyle w:val="Titrearticle"/>
        <w:rPr>
          <w:noProof/>
          <w:szCs w:val="24"/>
        </w:rPr>
      </w:pPr>
      <w:r>
        <w:rPr>
          <w:noProof/>
        </w:rPr>
        <w:t>Articolul 15 – Execuția bugetului</w:t>
      </w:r>
    </w:p>
    <w:p>
      <w:pPr>
        <w:pStyle w:val="ManualNumPar1"/>
        <w:rPr>
          <w:noProof/>
        </w:rPr>
      </w:pPr>
      <w:r>
        <w:t>1.</w:t>
      </w:r>
      <w:r>
        <w:tab/>
      </w:r>
      <w:r>
        <w:rPr>
          <w:noProof/>
        </w:rPr>
        <w:t>Directorul executiv execută bugetul Agenției.</w:t>
      </w:r>
    </w:p>
    <w:p>
      <w:pPr>
        <w:pStyle w:val="ManualNumPar1"/>
        <w:rPr>
          <w:noProof/>
        </w:rPr>
      </w:pPr>
      <w:r>
        <w:t>2.</w:t>
      </w:r>
      <w:r>
        <w:tab/>
      </w:r>
      <w:r>
        <w:rPr>
          <w:noProof/>
        </w:rPr>
        <w:t>În fiecare an, directorul executiv transmite autorității bugetare toate informațiile relevante pentru concluziile procedurilor de evaluare.</w:t>
      </w:r>
    </w:p>
    <w:p>
      <w:pPr>
        <w:pStyle w:val="Titrearticle"/>
        <w:rPr>
          <w:noProof/>
          <w:szCs w:val="24"/>
        </w:rPr>
      </w:pPr>
      <w:r>
        <w:rPr>
          <w:noProof/>
        </w:rPr>
        <w:t>Articolul 16 – Prezentarea conturilor și descărcarea de gestiune</w:t>
      </w:r>
    </w:p>
    <w:p>
      <w:pPr>
        <w:pStyle w:val="ManualNumPar1"/>
        <w:rPr>
          <w:noProof/>
        </w:rPr>
      </w:pPr>
      <w:r>
        <w:t>1.</w:t>
      </w:r>
      <w:r>
        <w:tab/>
      </w:r>
      <w:r>
        <w:rPr>
          <w:noProof/>
        </w:rPr>
        <w:t>Până la data de 1 martie a exercițiului financiar următor, contabilul Agenției trimite conturile provizorii contabilului Comisiei și Curții de Conturi Europene.</w:t>
      </w:r>
    </w:p>
    <w:p>
      <w:pPr>
        <w:pStyle w:val="ManualNumPar1"/>
        <w:rPr>
          <w:noProof/>
        </w:rPr>
      </w:pPr>
      <w:r>
        <w:t>2.</w:t>
      </w:r>
      <w:r>
        <w:tab/>
      </w:r>
      <w:r>
        <w:rPr>
          <w:noProof/>
        </w:rPr>
        <w:t>Până la data de 31 martie a exercițiului financiar următor, Agenția transmite raportul privind gestiunea bugetară și financiară Parlamentului European, Consiliului și Curții de Conturi Europene.</w:t>
      </w:r>
      <w:r>
        <w:rPr>
          <w:noProof/>
        </w:rPr>
        <w:tab/>
      </w:r>
      <w:r>
        <w:rPr>
          <w:noProof/>
        </w:rPr>
        <w:br/>
        <w:t>Până la data de 31 martie a exercițiului financiar următor, contabilul Comisiei trimite Curții de Conturi conturile provizorii ale Agenției, consolidate cu conturile Comisiei.</w:t>
      </w:r>
    </w:p>
    <w:p>
      <w:pPr>
        <w:pStyle w:val="ManualNumPar1"/>
        <w:rPr>
          <w:noProof/>
        </w:rPr>
      </w:pPr>
      <w:r>
        <w:t>3.</w:t>
      </w:r>
      <w:r>
        <w:tab/>
      </w:r>
      <w:r>
        <w:rPr>
          <w:noProof/>
        </w:rPr>
        <w:t>După ce primește observațiile formulate de Curtea de Conturi cu privire la conturile provizorii ale Agenției, în temeiul articolului 148 din Regulamentul financiar, directorul executiv întocmește conturile finale ale Agenției pe propria răspundere și le prezintă</w:t>
      </w:r>
      <w:r>
        <w:rPr>
          <w:b/>
          <w:noProof/>
        </w:rPr>
        <w:t xml:space="preserve"> </w:t>
      </w:r>
      <w:r>
        <w:rPr>
          <w:noProof/>
        </w:rPr>
        <w:t>consiliului de administrație în vederea obținerii unui aviz.</w:t>
      </w:r>
    </w:p>
    <w:p>
      <w:pPr>
        <w:pStyle w:val="ManualNumPar1"/>
        <w:rPr>
          <w:noProof/>
        </w:rPr>
      </w:pPr>
      <w:r>
        <w:t>4.</w:t>
      </w:r>
      <w:r>
        <w:tab/>
      </w:r>
      <w:r>
        <w:rPr>
          <w:noProof/>
        </w:rPr>
        <w:t>Consiliul</w:t>
      </w:r>
      <w:r>
        <w:rPr>
          <w:b/>
          <w:noProof/>
        </w:rPr>
        <w:t xml:space="preserve"> </w:t>
      </w:r>
      <w:r>
        <w:rPr>
          <w:noProof/>
        </w:rPr>
        <w:t>de administrație emite un aviz cu privire la conturile finale ale Agenției.</w:t>
      </w:r>
    </w:p>
    <w:p>
      <w:pPr>
        <w:pStyle w:val="ManualNumPar1"/>
        <w:rPr>
          <w:noProof/>
        </w:rPr>
      </w:pPr>
      <w:r>
        <w:t>5.</w:t>
      </w:r>
      <w:r>
        <w:tab/>
      </w:r>
      <w:r>
        <w:rPr>
          <w:noProof/>
        </w:rPr>
        <w:t>Contabilul transmite Parlamentului European, Consiliului, Comisiei și Curții de Conturi conturile finale, împreună cu avizul consiliului de administrație, până la data de 1 iulie după încheierea fiecărui exercițiu financiar.</w:t>
      </w:r>
    </w:p>
    <w:p>
      <w:pPr>
        <w:pStyle w:val="ManualNumPar1"/>
        <w:rPr>
          <w:noProof/>
        </w:rPr>
      </w:pPr>
      <w:r>
        <w:t>6.</w:t>
      </w:r>
      <w:r>
        <w:tab/>
      </w:r>
      <w:r>
        <w:rPr>
          <w:noProof/>
        </w:rPr>
        <w:t xml:space="preserve">Conturile finale se publică în </w:t>
      </w:r>
      <w:r>
        <w:rPr>
          <w:i/>
          <w:noProof/>
        </w:rPr>
        <w:t>Jurnalul Oficial al Uniunii Europene</w:t>
      </w:r>
      <w:r>
        <w:rPr>
          <w:noProof/>
        </w:rPr>
        <w:t xml:space="preserve"> până la data de 15 noiembrie a anului următor.</w:t>
      </w:r>
    </w:p>
    <w:p>
      <w:pPr>
        <w:pStyle w:val="ManualNumPar1"/>
        <w:rPr>
          <w:noProof/>
        </w:rPr>
      </w:pPr>
      <w:r>
        <w:t>7.</w:t>
      </w:r>
      <w:r>
        <w:tab/>
      </w:r>
      <w:r>
        <w:rPr>
          <w:noProof/>
        </w:rPr>
        <w:t>Directorul executiv trimite Curții de Conturi Europene un răspuns la observațiile acesteia până la 30 septembrie. Directorul executiv trimite, de asemenea, răspunsul respectiv consiliului de administrație.</w:t>
      </w:r>
    </w:p>
    <w:p>
      <w:pPr>
        <w:pStyle w:val="ManualNumPar1"/>
        <w:rPr>
          <w:noProof/>
        </w:rPr>
      </w:pPr>
      <w:r>
        <w:t>8.</w:t>
      </w:r>
      <w:r>
        <w:tab/>
      </w:r>
      <w:r>
        <w:rPr>
          <w:noProof/>
        </w:rPr>
        <w:t>Directorul executiv prezintă Parlamentului European, la solicitarea acestuia din urmă, toate informațiile necesare pentru a facilita aplicarea procedurii de descărcare de gestiune pentru exercițiul financiar în cauză, în conformitate cu articolul 165 alineatul (3) din Regulamentul financiar.</w:t>
      </w:r>
    </w:p>
    <w:p>
      <w:pPr>
        <w:pStyle w:val="ManualNumPar1"/>
        <w:rPr>
          <w:noProof/>
        </w:rPr>
      </w:pPr>
      <w:r>
        <w:t>9.</w:t>
      </w:r>
      <w:r>
        <w:tab/>
      </w:r>
      <w:r>
        <w:rPr>
          <w:noProof/>
        </w:rPr>
        <w:t>La recomandarea Consiliului, care hotărăște cu majoritate calificată, Parlamentul European acordă directorului executiv, înainte de data de 15 mai a anului N + 2, descărcarea de gestiune în ceea ce privește execuția bugetului pentru anul N.</w:t>
      </w:r>
    </w:p>
    <w:p>
      <w:pPr>
        <w:pStyle w:val="Titrearticle"/>
        <w:rPr>
          <w:noProof/>
          <w:szCs w:val="24"/>
        </w:rPr>
      </w:pPr>
      <w:r>
        <w:rPr>
          <w:noProof/>
        </w:rPr>
        <w:t>Articolul 17 – Norme financiare</w:t>
      </w:r>
    </w:p>
    <w:p>
      <w:pPr>
        <w:rPr>
          <w:noProof/>
          <w:szCs w:val="24"/>
        </w:rPr>
      </w:pPr>
      <w:r>
        <w:rPr>
          <w:noProof/>
        </w:rPr>
        <w:t>Normele financiare aplicabile Agenției se adoptă de către consiliul de administrație, după consultarea Comisiei. Acestea nu fac derogare de la Regulamentul (UE) nr. 1271/2013, cu excepția cazului în care o astfel de derogare este necesară în mod specific pentru funcționarea Agenției și Comisia și-a dat acordul prealabil.</w:t>
      </w:r>
    </w:p>
    <w:p>
      <w:pPr>
        <w:pStyle w:val="Titrearticle"/>
        <w:rPr>
          <w:i w:val="0"/>
          <w:noProof/>
          <w:sz w:val="32"/>
          <w:szCs w:val="32"/>
        </w:rPr>
      </w:pPr>
      <w:r>
        <w:rPr>
          <w:i w:val="0"/>
          <w:noProof/>
          <w:sz w:val="32"/>
        </w:rPr>
        <w:t>CAPITOLUL IV</w:t>
      </w:r>
    </w:p>
    <w:p>
      <w:pPr>
        <w:pStyle w:val="Titrearticle"/>
        <w:rPr>
          <w:i w:val="0"/>
          <w:noProof/>
          <w:sz w:val="32"/>
          <w:szCs w:val="32"/>
        </w:rPr>
      </w:pPr>
      <w:r>
        <w:rPr>
          <w:i w:val="0"/>
          <w:noProof/>
          <w:sz w:val="32"/>
        </w:rPr>
        <w:t>PERSONALUL</w:t>
      </w:r>
    </w:p>
    <w:p>
      <w:pPr>
        <w:pStyle w:val="Titrearticle"/>
        <w:rPr>
          <w:noProof/>
          <w:szCs w:val="24"/>
        </w:rPr>
      </w:pPr>
      <w:r>
        <w:rPr>
          <w:noProof/>
        </w:rPr>
        <w:t>Articolul 18 – Dispoziții generale</w:t>
      </w:r>
    </w:p>
    <w:p>
      <w:pPr>
        <w:pStyle w:val="ManualNumPar1"/>
        <w:rPr>
          <w:noProof/>
          <w:szCs w:val="24"/>
        </w:rPr>
      </w:pPr>
      <w:r>
        <w:t>1.</w:t>
      </w:r>
      <w:r>
        <w:tab/>
      </w:r>
      <w:r>
        <w:rPr>
          <w:noProof/>
        </w:rPr>
        <w:t>Personalului Agenției i se aplică Statutul funcționarilor și Regimul aplicabil celorlalți agenți, precum și normele adoptate de comun acord de instituțiile Uniunii pentru punerea în aplicare a Statutului funcționarilor și a Regimului aplicabil celorlalți agenți.</w:t>
      </w:r>
    </w:p>
    <w:p>
      <w:pPr>
        <w:pStyle w:val="ManualNumPar1"/>
        <w:rPr>
          <w:rFonts w:eastAsia="Calibri"/>
          <w:noProof/>
          <w:sz w:val="22"/>
        </w:rPr>
      </w:pPr>
      <w:r>
        <w:t>2.</w:t>
      </w:r>
      <w:r>
        <w:tab/>
      </w:r>
      <w:r>
        <w:rPr>
          <w:noProof/>
        </w:rPr>
        <w:t>Consiliul de administrație adoptă normele de punere în aplicare corespunzătoare a Statutului funcționarilor și a Regimului aplicabil celorlalți agenți, în conformitate cu articolul 110 din Statutul funcționarilor.</w:t>
      </w:r>
    </w:p>
    <w:p>
      <w:pPr>
        <w:pStyle w:val="Titrearticle"/>
        <w:rPr>
          <w:noProof/>
          <w:szCs w:val="24"/>
        </w:rPr>
      </w:pPr>
      <w:r>
        <w:rPr>
          <w:noProof/>
        </w:rPr>
        <w:t>Articolul 19 – Directorul executiv</w:t>
      </w:r>
    </w:p>
    <w:p>
      <w:pPr>
        <w:pStyle w:val="ManualNumPar1"/>
        <w:rPr>
          <w:noProof/>
        </w:rPr>
      </w:pPr>
      <w:r>
        <w:t>1.</w:t>
      </w:r>
      <w:r>
        <w:tab/>
      </w:r>
      <w:r>
        <w:rPr>
          <w:noProof/>
        </w:rPr>
        <w:t>Directorul executiv este un membru al personalului și este angajat ca agent temporar al Agenției în temeiul articolului 2 litera (a) din Regimul aplicabil celorlalți agenți.</w:t>
      </w:r>
    </w:p>
    <w:p>
      <w:pPr>
        <w:pStyle w:val="ManualNumPar1"/>
        <w:rPr>
          <w:noProof/>
        </w:rPr>
      </w:pPr>
      <w:r>
        <w:t>2.</w:t>
      </w:r>
      <w:r>
        <w:tab/>
      </w:r>
      <w:r>
        <w:rPr>
          <w:noProof/>
        </w:rPr>
        <w:t xml:space="preserve">Directorul executiv este numit de consiliul de administrație dintr-o listă de candidați propusă de Comisie, în urma unei proceduri de selecție deschise și transparente. </w:t>
      </w:r>
      <w:r>
        <w:rPr>
          <w:noProof/>
        </w:rPr>
        <w:tab/>
      </w:r>
      <w:r>
        <w:rPr>
          <w:noProof/>
        </w:rPr>
        <w:br/>
        <w:t>La încheierea contractului cu directorul executiv, Agenția este reprezentată de președintele consiliului de administrație.</w:t>
      </w:r>
    </w:p>
    <w:p>
      <w:pPr>
        <w:pStyle w:val="ManualNumPar1"/>
        <w:rPr>
          <w:noProof/>
        </w:rPr>
      </w:pPr>
      <w:r>
        <w:t>3.</w:t>
      </w:r>
      <w:r>
        <w:tab/>
      </w:r>
      <w:r>
        <w:rPr>
          <w:noProof/>
        </w:rPr>
        <w:t>Mandatul directorului executiv este de cinci ani. Până la sfârșitul acestei perioade, Comisia realizează o evaluare care ia în considerare evaluarea performanțelor directorului executiv, precum și sarcinile și provocările viitoare ale Agenției.</w:t>
      </w:r>
    </w:p>
    <w:p>
      <w:pPr>
        <w:pStyle w:val="ManualNumPar1"/>
        <w:rPr>
          <w:noProof/>
        </w:rPr>
      </w:pPr>
      <w:r>
        <w:t>4.</w:t>
      </w:r>
      <w:r>
        <w:tab/>
      </w:r>
      <w:r>
        <w:rPr>
          <w:noProof/>
        </w:rPr>
        <w:t>Consiliul de administrație, acționând în baza unei propuneri a Comisiei care ia în considerare evaluarea menționată la alineatul (3), poate prelungi o singură dată mandatul directorului executiv pentru o perioadă de cel mult cinci ani.</w:t>
      </w:r>
    </w:p>
    <w:p>
      <w:pPr>
        <w:pStyle w:val="ManualNumPar1"/>
        <w:rPr>
          <w:noProof/>
        </w:rPr>
      </w:pPr>
      <w:r>
        <w:t>5.</w:t>
      </w:r>
      <w:r>
        <w:tab/>
      </w:r>
      <w:r>
        <w:rPr>
          <w:noProof/>
        </w:rPr>
        <w:t>Un director executiv al cărui mandat a fost prelungit nu mai poate participa la o altă procedură de selecție pentru același post la sfârșitul perioadei cumulate.</w:t>
      </w:r>
    </w:p>
    <w:p>
      <w:pPr>
        <w:pStyle w:val="ManualNumPar1"/>
        <w:rPr>
          <w:noProof/>
        </w:rPr>
      </w:pPr>
      <w:r>
        <w:t>6.</w:t>
      </w:r>
      <w:r>
        <w:tab/>
      </w:r>
      <w:r>
        <w:rPr>
          <w:noProof/>
        </w:rPr>
        <w:t>Directorul executiv poate fi demis din funcție doar printr-o decizie a consiliului de administrație care acționează la propunerea Comisiei.</w:t>
      </w:r>
    </w:p>
    <w:p>
      <w:pPr>
        <w:pStyle w:val="ManualNumPar1"/>
        <w:rPr>
          <w:noProof/>
        </w:rPr>
      </w:pPr>
      <w:r>
        <w:t>7.</w:t>
      </w:r>
      <w:r>
        <w:tab/>
      </w:r>
      <w:r>
        <w:rPr>
          <w:noProof/>
        </w:rPr>
        <w:t>Consiliul de administrație adoptă deciziile privind numirea, prelungirea mandatului sau demiterea din funcție a directorului executiv cu o majoritate de două treimi dintre membrii săi cu drept de vot.</w:t>
      </w:r>
    </w:p>
    <w:p>
      <w:pPr>
        <w:pStyle w:val="Titrearticle"/>
        <w:rPr>
          <w:noProof/>
          <w:szCs w:val="24"/>
        </w:rPr>
      </w:pPr>
      <w:r>
        <w:rPr>
          <w:noProof/>
        </w:rPr>
        <w:t>Articolul 20 – Experți naționali detașați și alți membri ai personalului</w:t>
      </w:r>
    </w:p>
    <w:p>
      <w:pPr>
        <w:pStyle w:val="ManualNumPar1"/>
        <w:rPr>
          <w:noProof/>
        </w:rPr>
      </w:pPr>
      <w:r>
        <w:t>1.</w:t>
      </w:r>
      <w:r>
        <w:tab/>
      </w:r>
      <w:r>
        <w:rPr>
          <w:noProof/>
        </w:rPr>
        <w:t>Agenția poate face apel la experți naționali detașați sau la alte categorii de personal care nu sunt angajate de către Agenție.</w:t>
      </w:r>
    </w:p>
    <w:p>
      <w:pPr>
        <w:pStyle w:val="ManualNumPar1"/>
        <w:rPr>
          <w:noProof/>
        </w:rPr>
      </w:pPr>
      <w:r>
        <w:t>2.</w:t>
      </w:r>
      <w:r>
        <w:tab/>
      </w:r>
      <w:r>
        <w:rPr>
          <w:noProof/>
        </w:rPr>
        <w:t>Consiliul de administrație adoptă o decizie care prevede norme privind detașarea experților naționali la Agenție.</w:t>
      </w:r>
    </w:p>
    <w:p>
      <w:pPr>
        <w:pStyle w:val="Titrearticle"/>
        <w:rPr>
          <w:i w:val="0"/>
          <w:noProof/>
          <w:sz w:val="32"/>
          <w:szCs w:val="32"/>
        </w:rPr>
      </w:pPr>
      <w:r>
        <w:rPr>
          <w:i w:val="0"/>
          <w:noProof/>
          <w:sz w:val="32"/>
        </w:rPr>
        <w:t>CAPITOLUL V</w:t>
      </w:r>
    </w:p>
    <w:p>
      <w:pPr>
        <w:pStyle w:val="Titrearticle"/>
        <w:rPr>
          <w:i w:val="0"/>
          <w:noProof/>
          <w:sz w:val="32"/>
          <w:szCs w:val="32"/>
        </w:rPr>
      </w:pPr>
      <w:r>
        <w:rPr>
          <w:i w:val="0"/>
          <w:noProof/>
          <w:sz w:val="32"/>
        </w:rPr>
        <w:t>DISPOZIȚII GENERALE</w:t>
      </w:r>
    </w:p>
    <w:p>
      <w:pPr>
        <w:pStyle w:val="Titrearticle"/>
        <w:rPr>
          <w:noProof/>
          <w:szCs w:val="24"/>
        </w:rPr>
      </w:pPr>
      <w:r>
        <w:rPr>
          <w:noProof/>
        </w:rPr>
        <w:t>Articolul 21 – Statut juridic</w:t>
      </w:r>
    </w:p>
    <w:p>
      <w:pPr>
        <w:pStyle w:val="ManualNumPar1"/>
        <w:rPr>
          <w:noProof/>
        </w:rPr>
      </w:pPr>
      <w:r>
        <w:t>1.</w:t>
      </w:r>
      <w:r>
        <w:tab/>
      </w:r>
      <w:r>
        <w:rPr>
          <w:noProof/>
        </w:rPr>
        <w:t>Agenția este un organism al Uniunii. Agenția are personalitate juridică.</w:t>
      </w:r>
    </w:p>
    <w:p>
      <w:pPr>
        <w:pStyle w:val="ManualNumPar1"/>
        <w:rPr>
          <w:noProof/>
        </w:rPr>
      </w:pPr>
      <w:r>
        <w:t>2.</w:t>
      </w:r>
      <w:r>
        <w:tab/>
      </w:r>
      <w:r>
        <w:rPr>
          <w:noProof/>
        </w:rPr>
        <w:t>În fiecare dintre statele membre, Agenția beneficiază de cea mai extinsă capacitate juridică recunoscută persoanelor juridice în temeiul legislației naționale. Ea poate, în special, să achiziționeze sau să înstrăineze bunuri mobile și imobile și să se constituie parte în instanță.</w:t>
      </w:r>
    </w:p>
    <w:p>
      <w:pPr>
        <w:pStyle w:val="ManualNumPar1"/>
        <w:rPr>
          <w:noProof/>
        </w:rPr>
      </w:pPr>
      <w:r>
        <w:t>3.</w:t>
      </w:r>
      <w:r>
        <w:tab/>
      </w:r>
      <w:r>
        <w:rPr>
          <w:noProof/>
        </w:rPr>
        <w:t>Sediul Agenției se află la Bilbao, în Spania.</w:t>
      </w:r>
    </w:p>
    <w:p>
      <w:pPr>
        <w:pStyle w:val="ManualNumPar1"/>
        <w:rPr>
          <w:noProof/>
        </w:rPr>
      </w:pPr>
      <w:r>
        <w:t>4.</w:t>
      </w:r>
      <w:r>
        <w:tab/>
      </w:r>
      <w:r>
        <w:rPr>
          <w:noProof/>
        </w:rPr>
        <w:t>Agenția poate înființa birouri locale în statele membre, sub rezerva acordului acestora și în conformitate cu articolul 11 alineatul (6).</w:t>
      </w:r>
    </w:p>
    <w:p>
      <w:pPr>
        <w:pStyle w:val="Titrearticle"/>
        <w:rPr>
          <w:noProof/>
          <w:szCs w:val="24"/>
        </w:rPr>
      </w:pPr>
      <w:r>
        <w:rPr>
          <w:noProof/>
        </w:rPr>
        <w:t>Articolul 22 – Privilegii și imunități</w:t>
      </w:r>
    </w:p>
    <w:p>
      <w:pPr>
        <w:rPr>
          <w:noProof/>
          <w:szCs w:val="24"/>
        </w:rPr>
      </w:pPr>
      <w:r>
        <w:rPr>
          <w:noProof/>
        </w:rPr>
        <w:t>Protocolul privind privilegiile și imunitățile Uniunii Europene se aplică Agenției și personalului său.</w:t>
      </w:r>
    </w:p>
    <w:p>
      <w:pPr>
        <w:pStyle w:val="Titrearticle"/>
        <w:rPr>
          <w:noProof/>
          <w:szCs w:val="24"/>
        </w:rPr>
      </w:pPr>
      <w:r>
        <w:rPr>
          <w:noProof/>
        </w:rPr>
        <w:t>Articolul 23 – Regim lingvistic</w:t>
      </w:r>
    </w:p>
    <w:p>
      <w:pPr>
        <w:pStyle w:val="ManualNumPar1"/>
        <w:rPr>
          <w:noProof/>
        </w:rPr>
      </w:pPr>
      <w:r>
        <w:t>1.</w:t>
      </w:r>
      <w:r>
        <w:tab/>
      </w:r>
      <w:r>
        <w:rPr>
          <w:noProof/>
        </w:rPr>
        <w:t>Dispozițiile prevăzute de Regulamentul nr. 1 se aplică Agenției.</w:t>
      </w:r>
    </w:p>
    <w:p>
      <w:pPr>
        <w:pStyle w:val="ManualNumPar1"/>
        <w:rPr>
          <w:noProof/>
        </w:rPr>
      </w:pPr>
      <w:r>
        <w:t>2.</w:t>
      </w:r>
      <w:r>
        <w:tab/>
      </w:r>
      <w:r>
        <w:rPr>
          <w:noProof/>
        </w:rPr>
        <w:t>Consiliul de administrație poate decide asupra limbilor care urmează să fie utilizate de către Agenție în funcționarea sa internă.</w:t>
      </w:r>
    </w:p>
    <w:p>
      <w:pPr>
        <w:pStyle w:val="ManualNumPar1"/>
        <w:rPr>
          <w:noProof/>
        </w:rPr>
      </w:pPr>
      <w:r>
        <w:t>3.</w:t>
      </w:r>
      <w:r>
        <w:tab/>
      </w:r>
      <w:r>
        <w:rPr>
          <w:noProof/>
        </w:rPr>
        <w:t>Serviciile de traducere necesare pentru funcționarea Agenției sunt asigurate de Centrul de Traduceri pentru Organismele Uniunii Europene.</w:t>
      </w:r>
    </w:p>
    <w:p>
      <w:pPr>
        <w:pStyle w:val="Titrearticle"/>
        <w:rPr>
          <w:noProof/>
          <w:szCs w:val="24"/>
        </w:rPr>
      </w:pPr>
      <w:r>
        <w:rPr>
          <w:noProof/>
        </w:rPr>
        <w:t>Articolul 24 – Transparență</w:t>
      </w:r>
    </w:p>
    <w:p>
      <w:pPr>
        <w:pStyle w:val="ManualNumPar1"/>
        <w:rPr>
          <w:noProof/>
        </w:rPr>
      </w:pPr>
      <w:r>
        <w:t>1.</w:t>
      </w:r>
      <w:r>
        <w:tab/>
      </w:r>
      <w:r>
        <w:rPr>
          <w:noProof/>
        </w:rPr>
        <w:t>Regulamentul (CE) nr. 1049/2001 al Parlamentului European și al Consiliului</w:t>
      </w:r>
      <w:r>
        <w:rPr>
          <w:rStyle w:val="FootnoteReference"/>
          <w:noProof/>
        </w:rPr>
        <w:footnoteReference w:id="11"/>
      </w:r>
      <w:r>
        <w:rPr>
          <w:noProof/>
        </w:rPr>
        <w:t xml:space="preserve"> se aplică documentelor deținute de Agenție. În termen de șase luni de la prima sa reuniune, consiliul de administrație adoptă normele detaliate de aplicare a Regulamentului (CE) nr. 1049/2001.</w:t>
      </w:r>
    </w:p>
    <w:p>
      <w:pPr>
        <w:pStyle w:val="ManualNumPar1"/>
        <w:rPr>
          <w:noProof/>
        </w:rPr>
      </w:pPr>
      <w:r>
        <w:t>2.</w:t>
      </w:r>
      <w:r>
        <w:tab/>
      </w:r>
      <w:r>
        <w:rPr>
          <w:noProof/>
        </w:rPr>
        <w:t>Prelucrarea datelor cu caracter personal de către Agenție este reglementată de Regulamentul (CE) nr. 45/2001. În termen de șase luni de la prima sa reuniune, consiliul de administrație stabilește măsuri pentru aplicarea Regulamentului (CE) nr. 45/2001 de către Agenție, inclusiv cele referitoare la numirea unui responsabil cu protecția datelor în cadrul Agenției. Măsurile respective se stabilesc după consultarea Autorității Europene pentru Protecția Datelor.</w:t>
      </w:r>
    </w:p>
    <w:p>
      <w:pPr>
        <w:pStyle w:val="Titrearticle"/>
        <w:rPr>
          <w:noProof/>
          <w:szCs w:val="24"/>
        </w:rPr>
      </w:pPr>
      <w:r>
        <w:rPr>
          <w:noProof/>
        </w:rPr>
        <w:t>Articolul 25 – Combaterea fraudei</w:t>
      </w:r>
    </w:p>
    <w:p>
      <w:pPr>
        <w:pStyle w:val="ManualNumPar1"/>
        <w:rPr>
          <w:noProof/>
        </w:rPr>
      </w:pPr>
      <w:r>
        <w:t>1.</w:t>
      </w:r>
      <w:r>
        <w:tab/>
      </w:r>
      <w:r>
        <w:rPr>
          <w:noProof/>
        </w:rPr>
        <w:t>Pentru a facilita combaterea fraudei, a corupției și a altor activități ilegale în temeiul Regulamentului (CE) nr. 1073/1999 al Parlamentului European și al Consiliului</w:t>
      </w:r>
      <w:r>
        <w:rPr>
          <w:rStyle w:val="FootnoteReference"/>
          <w:noProof/>
        </w:rPr>
        <w:footnoteReference w:id="12"/>
      </w:r>
      <w:r>
        <w:rPr>
          <w:noProof/>
        </w:rPr>
        <w:t>, în termen de șase luni de la data aplicării prezentului regulament, Agenția aderă la Acordul interinstituțional din 25 mai 1999 privind investigațiile interne desfășurate de Oficiul European de Luptă Antifraudă (OLAF) și adoptă dispozițiile corespunzătoare care se aplică tuturor angajaților Agenției, utilizând modelul prevăzut în anexa la acordul respectiv.</w:t>
      </w:r>
    </w:p>
    <w:p>
      <w:pPr>
        <w:pStyle w:val="ManualNumPar1"/>
        <w:rPr>
          <w:noProof/>
        </w:rPr>
      </w:pPr>
      <w:r>
        <w:t>2.</w:t>
      </w:r>
      <w:r>
        <w:tab/>
      </w:r>
      <w:r>
        <w:rPr>
          <w:noProof/>
        </w:rPr>
        <w:t>Curtea de Conturi Europeană are competența de a efectua audituri, pe baza documentelor și la fața locului, cu privire la toți beneficiarii de granturi, contractanții și subcontractanții care au beneficiat de fonduri europene de la Agenție.</w:t>
      </w:r>
    </w:p>
    <w:p>
      <w:pPr>
        <w:pStyle w:val="ManualNumPar1"/>
        <w:rPr>
          <w:noProof/>
        </w:rPr>
      </w:pPr>
      <w:r>
        <w:t>3.</w:t>
      </w:r>
      <w:r>
        <w:tab/>
      </w:r>
      <w:r>
        <w:rPr>
          <w:noProof/>
        </w:rPr>
        <w:t>OLAF poate desfășura investigații, inclusiv controale și inspecții la fața locului, pentru a stabili dacă s-a comis o fraudă, un act de corupție sau orice altă activitate ilegală care afectează interesele financiare ale Uniunii în legătură cu un grant sau un contract finanțat de Agenție, în conformitate cu dispozițiile și cu procedurile prevăzute în Regulamentul (CE) nr. 1073/1999 și în Regulamentul (Euratom, CE) nr. 2185/96.</w:t>
      </w:r>
    </w:p>
    <w:p>
      <w:pPr>
        <w:pStyle w:val="ManualNumPar1"/>
        <w:rPr>
          <w:noProof/>
        </w:rPr>
      </w:pPr>
      <w:r>
        <w:t>4.</w:t>
      </w:r>
      <w:r>
        <w:tab/>
      </w:r>
      <w:r>
        <w:rPr>
          <w:noProof/>
        </w:rPr>
        <w:t>Fără a aduce atingere dispozițiilor de la alineatele (1), (2) și (3), acordurile de cooperare cu țări terțe și organizații internaționale, contractele, acordurile de grant și deciziile Agenției privind granturile conțin dispoziții care împuternicesc în mod expres Curtea de Conturi Europeană și OLAF să efectueze astfel de audituri și investigații, conform competențelor care le revin.</w:t>
      </w:r>
    </w:p>
    <w:p>
      <w:pPr>
        <w:pStyle w:val="Titrearticle"/>
        <w:rPr>
          <w:noProof/>
          <w:szCs w:val="24"/>
        </w:rPr>
      </w:pPr>
      <w:r>
        <w:rPr>
          <w:noProof/>
        </w:rPr>
        <w:t xml:space="preserve">Articolul 26 – Norme de securitate privind protecția informațiilor clasificate și a informațiilor </w:t>
      </w:r>
      <w:r>
        <w:rPr>
          <w:noProof/>
        </w:rPr>
        <w:br/>
        <w:t xml:space="preserve"> sensibile neclasificate</w:t>
      </w:r>
    </w:p>
    <w:p>
      <w:pPr>
        <w:rPr>
          <w:iCs/>
          <w:noProof/>
          <w:szCs w:val="24"/>
        </w:rPr>
      </w:pPr>
      <w:r>
        <w:rPr>
          <w:noProof/>
        </w:rPr>
        <w:t>Agenția adoptă norme proprii de securitate echivalente cu normele de securitate ale Comisiei pentru protecția informațiilor clasificate ale Uniunii Europene (IUEC) și a informațiilor sensibile neclasificate, astfel cum este prevăzut în Deciziile (UE, Euratom) 2015/443 și 2015/444, atunci când este necesar. Normele de securitate ale Agenției cuprind, printre altele și dacă este cazul, dispoziții privind schimbul, prelucrarea și stocarea unor astfel de informații.</w:t>
      </w:r>
    </w:p>
    <w:p>
      <w:pPr>
        <w:pStyle w:val="Titrearticle"/>
        <w:rPr>
          <w:noProof/>
          <w:szCs w:val="24"/>
        </w:rPr>
      </w:pPr>
      <w:r>
        <w:rPr>
          <w:noProof/>
        </w:rPr>
        <w:t>Articolul 27 – Răspundere</w:t>
      </w:r>
    </w:p>
    <w:p>
      <w:pPr>
        <w:pStyle w:val="ManualNumPar1"/>
        <w:rPr>
          <w:noProof/>
        </w:rPr>
      </w:pPr>
      <w:r>
        <w:t>1.</w:t>
      </w:r>
      <w:r>
        <w:tab/>
      </w:r>
      <w:r>
        <w:rPr>
          <w:noProof/>
        </w:rPr>
        <w:t>Răspunderea contractuală a Agenției este reglementată de legea aplicabilă contractului în cauză.</w:t>
      </w:r>
    </w:p>
    <w:p>
      <w:pPr>
        <w:pStyle w:val="ManualNumPar1"/>
        <w:rPr>
          <w:noProof/>
        </w:rPr>
      </w:pPr>
      <w:r>
        <w:t>2.</w:t>
      </w:r>
      <w:r>
        <w:tab/>
      </w:r>
      <w:r>
        <w:rPr>
          <w:noProof/>
        </w:rPr>
        <w:t>Curtea de Justiție a Uniunii Europene este competentă să se pronunțe în temeiul oricărei clauze compromisorii cuprinse într-un contract încheiat de Agenție.</w:t>
      </w:r>
    </w:p>
    <w:p>
      <w:pPr>
        <w:pStyle w:val="ManualNumPar1"/>
        <w:rPr>
          <w:noProof/>
        </w:rPr>
      </w:pPr>
      <w:r>
        <w:t>3.</w:t>
      </w:r>
      <w:r>
        <w:tab/>
      </w:r>
      <w:r>
        <w:rPr>
          <w:noProof/>
        </w:rPr>
        <w:t>În cazul răspunderii extracontractuale, în conformitate cu principiile generale comune legislațiilor statelor membre, Agenția repară orice prejudiciu provocat de serviciile sau angajații săi în executarea funcțiilor acestora.</w:t>
      </w:r>
    </w:p>
    <w:p>
      <w:pPr>
        <w:pStyle w:val="ManualNumPar1"/>
        <w:rPr>
          <w:noProof/>
        </w:rPr>
      </w:pPr>
      <w:r>
        <w:t>4.</w:t>
      </w:r>
      <w:r>
        <w:tab/>
      </w:r>
      <w:r>
        <w:rPr>
          <w:noProof/>
        </w:rPr>
        <w:t>Curtea de Justiție a Uniunii Europene este competentă în litigiile privind acordarea de despăgubiri pentru prejudiciile menționate la alineatul (3).</w:t>
      </w:r>
    </w:p>
    <w:p>
      <w:pPr>
        <w:pStyle w:val="ManualNumPar1"/>
        <w:rPr>
          <w:noProof/>
        </w:rPr>
      </w:pPr>
      <w:r>
        <w:t>5.</w:t>
      </w:r>
      <w:r>
        <w:tab/>
      </w:r>
      <w:r>
        <w:rPr>
          <w:noProof/>
        </w:rPr>
        <w:t>Răspunderea personală a angajaților față de Agenție este reglementată de dispozițiile aplicabile acestora prevăzute în Statutul funcționarilor sau în Regimul aplicabil celorlalți agenți.</w:t>
      </w:r>
    </w:p>
    <w:p>
      <w:pPr>
        <w:pStyle w:val="Titrearticle"/>
        <w:rPr>
          <w:noProof/>
          <w:szCs w:val="24"/>
        </w:rPr>
      </w:pPr>
      <w:r>
        <w:rPr>
          <w:noProof/>
        </w:rPr>
        <w:t xml:space="preserve">Articolul 28 – Evaluare </w:t>
      </w:r>
    </w:p>
    <w:p>
      <w:pPr>
        <w:pStyle w:val="ManualNumPar1"/>
        <w:rPr>
          <w:noProof/>
        </w:rPr>
      </w:pPr>
      <w:r>
        <w:t>1.</w:t>
      </w:r>
      <w:r>
        <w:tab/>
      </w:r>
      <w:r>
        <w:rPr>
          <w:noProof/>
        </w:rPr>
        <w:t>În termen de cel mult 5 ani de la data menționată la articolul 35 și, ulterior, la fiecare 5 ani, Comisia realizează o evaluare în conformitate cu orientările Comisiei pentru a evalua performanța Agenției în raport cu obiectivele, mandatul și atribuțiile sale. Evaluarea abordează, în special, eventuala necesitate de a modifica mandatul Agenției, precum și implicațiile financiare ale unei astfel de modificări.</w:t>
      </w:r>
    </w:p>
    <w:p>
      <w:pPr>
        <w:pStyle w:val="ManualNumPar1"/>
        <w:rPr>
          <w:noProof/>
        </w:rPr>
      </w:pPr>
      <w:r>
        <w:t>2.</w:t>
      </w:r>
      <w:r>
        <w:tab/>
      </w:r>
      <w:r>
        <w:rPr>
          <w:noProof/>
        </w:rPr>
        <w:t>Atunci când consideră că funcționarea în continuare a Agenției nu se mai justifică în raport cu obiectivele, mandatul și sarcinile care îi sunt atribuite, Comisia poate propune modificarea în consecință sau abrogarea prezentului regulament.</w:t>
      </w:r>
    </w:p>
    <w:p>
      <w:pPr>
        <w:pStyle w:val="ManualNumPar1"/>
        <w:rPr>
          <w:noProof/>
        </w:rPr>
      </w:pPr>
      <w:r>
        <w:t>3.</w:t>
      </w:r>
      <w:r>
        <w:tab/>
      </w:r>
      <w:r>
        <w:rPr>
          <w:noProof/>
        </w:rPr>
        <w:t>Comisia prezintă Parlamentului European, Consiliului și consiliului de administrație un raport privind rezultatele evaluării. Rezultatele evaluării sunt făcute publice.</w:t>
      </w:r>
    </w:p>
    <w:p>
      <w:pPr>
        <w:pStyle w:val="Titrearticle"/>
        <w:rPr>
          <w:noProof/>
          <w:szCs w:val="24"/>
        </w:rPr>
      </w:pPr>
      <w:r>
        <w:rPr>
          <w:noProof/>
        </w:rPr>
        <w:t>Articolul 29 – Investigații administrative</w:t>
      </w:r>
    </w:p>
    <w:p>
      <w:pPr>
        <w:rPr>
          <w:noProof/>
          <w:szCs w:val="24"/>
        </w:rPr>
      </w:pPr>
      <w:r>
        <w:rPr>
          <w:noProof/>
        </w:rPr>
        <w:t>Activitățile Agenției fac obiectul investigațiilor efectuate de Ombudsmanul European în conformitate cu articolul 228 din tratat.</w:t>
      </w:r>
    </w:p>
    <w:p>
      <w:pPr>
        <w:pStyle w:val="Titrearticle"/>
        <w:rPr>
          <w:noProof/>
          <w:szCs w:val="24"/>
        </w:rPr>
      </w:pPr>
      <w:r>
        <w:rPr>
          <w:noProof/>
        </w:rPr>
        <w:t>Articolul 30 – Cooperarea cu țările terțe și cu organizațiile internaționale</w:t>
      </w:r>
    </w:p>
    <w:p>
      <w:pPr>
        <w:pStyle w:val="ManualNumPar1"/>
        <w:rPr>
          <w:noProof/>
        </w:rPr>
      </w:pPr>
      <w:r>
        <w:t>1.</w:t>
      </w:r>
      <w:r>
        <w:tab/>
      </w:r>
      <w:r>
        <w:rPr>
          <w:noProof/>
        </w:rPr>
        <w:t>În măsura în care este necesar pentru atingerea obiectivelor stabilite în prezentul regulament și fără a aduce atingere competențelor respective ale statelor membre și ale instituțiilor Uniunii, Agenția poate coopera cu autorități competente din țări terțe și/sau cu organizații internaționale.</w:t>
      </w:r>
      <w:r>
        <w:rPr>
          <w:noProof/>
        </w:rPr>
        <w:tab/>
        <w:t xml:space="preserve"> </w:t>
      </w:r>
      <w:r>
        <w:rPr>
          <w:noProof/>
        </w:rPr>
        <w:br/>
      </w:r>
      <w:r>
        <w:rPr>
          <w:noProof/>
        </w:rPr>
        <w:br/>
        <w:t>În acest scop, Agenția poate, sub rezerva aprobării prealabile de către Comisie, să stabilească acorduri de activitate cu autoritățile din țări terțe și cu organizații internaționale. Astfel de acorduri nu creează obligații legale pentru Uniune sau pentru statele sale membre.</w:t>
      </w:r>
    </w:p>
    <w:p>
      <w:pPr>
        <w:pStyle w:val="ManualNumPar1"/>
        <w:rPr>
          <w:noProof/>
        </w:rPr>
      </w:pPr>
      <w:r>
        <w:t>2.</w:t>
      </w:r>
      <w:r>
        <w:tab/>
      </w:r>
      <w:r>
        <w:rPr>
          <w:noProof/>
        </w:rPr>
        <w:t xml:space="preserve">Agenția este deschisă participării țărilor terțe care au încheiat acorduri cu Uniunea în acest sens. </w:t>
      </w:r>
      <w:r>
        <w:rPr>
          <w:noProof/>
        </w:rPr>
        <w:tab/>
      </w:r>
      <w:r>
        <w:rPr>
          <w:noProof/>
        </w:rPr>
        <w:br/>
      </w:r>
      <w:r>
        <w:rPr>
          <w:noProof/>
        </w:rPr>
        <w:br/>
        <w:t>În conformitate cu dispozițiile relevante ale acordurilor menționate la alineatul (1), se încheie acorduri care specifică, în special, caracterul, amploarea și modalitatea în care țările terțe în cauză vor participa la activitatea Agenției, inclusiv dispoziții privind participarea la inițiativele luate de Agenție, contribuțiile financiare și personalul. În ceea ce privește chestiunile legate de personal, astfel de acorduri respectă, în orice caz, Statutul funcționarilor.</w:t>
      </w:r>
    </w:p>
    <w:p>
      <w:pPr>
        <w:pStyle w:val="ManualNumPar1"/>
        <w:rPr>
          <w:noProof/>
        </w:rPr>
      </w:pPr>
      <w:r>
        <w:t>3.</w:t>
      </w:r>
      <w:r>
        <w:tab/>
      </w:r>
      <w:r>
        <w:rPr>
          <w:noProof/>
        </w:rPr>
        <w:t>Consiliul de administrație adoptă o strategie pentru relațiile cu țări terțe sau cu organizații internaționale, în ceea ce privește aspectele pentru care este competentă Agenția.</w:t>
      </w:r>
    </w:p>
    <w:p>
      <w:pPr>
        <w:pStyle w:val="Titrearticle"/>
        <w:rPr>
          <w:noProof/>
          <w:szCs w:val="24"/>
        </w:rPr>
      </w:pPr>
      <w:r>
        <w:rPr>
          <w:noProof/>
        </w:rPr>
        <w:t>Articolul 31 – Acordul privind sediul și condițiile de funcționare</w:t>
      </w:r>
    </w:p>
    <w:p>
      <w:pPr>
        <w:pStyle w:val="ManualNumPar1"/>
        <w:rPr>
          <w:noProof/>
        </w:rPr>
      </w:pPr>
      <w:r>
        <w:t>1.</w:t>
      </w:r>
      <w:r>
        <w:tab/>
      </w:r>
      <w:r>
        <w:rPr>
          <w:noProof/>
        </w:rPr>
        <w:t>Dispozițiile necesare referitoare la găzduirea care urmează să fie oferită Agenției în statul membru gazdă și la facilitățile care trebuie puse la dispoziție de statul membru respectiv, împreună cu normele specifice aplicabile în statul membru gazdă privind directorul executiv, membrii consiliului de administrație, personalul Agenției și membrii de familie ai acestora, sunt prevăzute într-un acord referitor la sediu, încheiat între Agenție și statul membru în care se află sediul.</w:t>
      </w:r>
    </w:p>
    <w:p>
      <w:pPr>
        <w:pStyle w:val="ManualNumPar1"/>
        <w:rPr>
          <w:noProof/>
        </w:rPr>
      </w:pPr>
      <w:r>
        <w:t>2.</w:t>
      </w:r>
      <w:r>
        <w:tab/>
      </w:r>
      <w:r>
        <w:rPr>
          <w:noProof/>
        </w:rPr>
        <w:t>Statul membru gazdă al Agenției oferă cele mai bune condiții posibile pentru a asigura funcționarea Agenției, inclusiv condiții de școlarizare multilingvă și cu vocație europeană, precum și conexiuni de transport adecvate.</w:t>
      </w:r>
    </w:p>
    <w:p>
      <w:pPr>
        <w:pStyle w:val="Titrearticle"/>
        <w:rPr>
          <w:i w:val="0"/>
          <w:noProof/>
          <w:sz w:val="32"/>
          <w:szCs w:val="32"/>
        </w:rPr>
      </w:pPr>
      <w:r>
        <w:rPr>
          <w:i w:val="0"/>
          <w:noProof/>
          <w:sz w:val="32"/>
        </w:rPr>
        <w:t>CAPITOLUL VI</w:t>
      </w:r>
    </w:p>
    <w:p>
      <w:pPr>
        <w:pStyle w:val="Titrearticle"/>
        <w:rPr>
          <w:i w:val="0"/>
          <w:noProof/>
          <w:sz w:val="32"/>
          <w:szCs w:val="32"/>
        </w:rPr>
      </w:pPr>
      <w:r>
        <w:rPr>
          <w:i w:val="0"/>
          <w:noProof/>
          <w:sz w:val="32"/>
        </w:rPr>
        <w:t>DISPOZIȚII TRANZITORII</w:t>
      </w:r>
    </w:p>
    <w:p>
      <w:pPr>
        <w:pStyle w:val="Titrearticle"/>
        <w:rPr>
          <w:noProof/>
          <w:szCs w:val="24"/>
        </w:rPr>
      </w:pPr>
      <w:r>
        <w:rPr>
          <w:noProof/>
        </w:rPr>
        <w:t>Articolul 32 – Dispoziții tranzitorii privind consiliul de administrație</w:t>
      </w:r>
    </w:p>
    <w:p>
      <w:pPr>
        <w:pStyle w:val="ManualNumPar1"/>
        <w:rPr>
          <w:noProof/>
        </w:rPr>
      </w:pPr>
      <w:r>
        <w:t>1.</w:t>
      </w:r>
      <w:r>
        <w:tab/>
      </w:r>
      <w:r>
        <w:rPr>
          <w:noProof/>
        </w:rPr>
        <w:t>Mandatul membrilor consiliului de conducere al Agenției, astfel cum este stabilit în temeiul articolului 8 din Regulamentul (CE) nr. 2062/94, încetează la ... [data intrării în vigoare a prezentului regulament].</w:t>
      </w:r>
    </w:p>
    <w:p>
      <w:pPr>
        <w:pStyle w:val="ManualNumPar1"/>
        <w:rPr>
          <w:noProof/>
        </w:rPr>
      </w:pPr>
      <w:r>
        <w:t>2.</w:t>
      </w:r>
      <w:r>
        <w:tab/>
      </w:r>
      <w:r>
        <w:rPr>
          <w:noProof/>
        </w:rPr>
        <w:t>Consiliul de conducere instituit în temeiul articolului 8 din Regulamentul (CE) nr. 2062/94 exercită, în perioada cuprinsă între ... [data intrării în vigoare a prezentului regulament] și ... [data aplicării prezentului regulament], funcțiile consiliului de administrație, astfel cum se prevede la articolul 5 din prezentul regulament.</w:t>
      </w:r>
    </w:p>
    <w:p>
      <w:pPr>
        <w:pStyle w:val="Titrearticle"/>
        <w:rPr>
          <w:noProof/>
          <w:szCs w:val="24"/>
        </w:rPr>
      </w:pPr>
      <w:r>
        <w:rPr>
          <w:noProof/>
        </w:rPr>
        <w:t>Articolul 33 – Dispoziții tranzitorii privind personalul</w:t>
      </w:r>
    </w:p>
    <w:p>
      <w:pPr>
        <w:pStyle w:val="ManualNumPar1"/>
        <w:rPr>
          <w:noProof/>
        </w:rPr>
      </w:pPr>
      <w:r>
        <w:t>1.</w:t>
      </w:r>
      <w:r>
        <w:tab/>
      </w:r>
      <w:r>
        <w:rPr>
          <w:noProof/>
        </w:rPr>
        <w:t>Directorul Agenției numit în temeiul articolului 11 din Regulamentul (CE) nr. 2062/94 îndeplinește, pentru perioada rămasă din mandatul său, responsabilitățile directorului executiv, astfel cum se prevede la articolul 11 din prezentul regulament. Celelalte condiții ale contractului său rămân neschimbate.</w:t>
      </w:r>
    </w:p>
    <w:p>
      <w:pPr>
        <w:pStyle w:val="Titrearticle"/>
        <w:rPr>
          <w:noProof/>
          <w:szCs w:val="24"/>
        </w:rPr>
      </w:pPr>
      <w:r>
        <w:rPr>
          <w:noProof/>
        </w:rPr>
        <w:t>Articolul 34 – Dispoziții bugetare tranzitorii</w:t>
      </w:r>
    </w:p>
    <w:p>
      <w:pPr>
        <w:rPr>
          <w:noProof/>
          <w:szCs w:val="24"/>
        </w:rPr>
      </w:pPr>
      <w:r>
        <w:rPr>
          <w:noProof/>
        </w:rPr>
        <w:t>Procedura de descărcare de gestiune în ceea ce privește bugetele aprobate în temeiul articolului 14 din Regulamentul (CE) nr. 2062/94 se desfășoară în conformitate cu normele stabilite de regulamentul respectiv.</w:t>
      </w:r>
    </w:p>
    <w:p>
      <w:pPr>
        <w:pStyle w:val="Titrearticle"/>
        <w:rPr>
          <w:i w:val="0"/>
          <w:noProof/>
          <w:sz w:val="32"/>
          <w:szCs w:val="32"/>
        </w:rPr>
      </w:pPr>
      <w:r>
        <w:rPr>
          <w:i w:val="0"/>
          <w:noProof/>
          <w:sz w:val="32"/>
        </w:rPr>
        <w:t>CAPITOLUL VII</w:t>
      </w:r>
    </w:p>
    <w:p>
      <w:pPr>
        <w:pStyle w:val="Titrearticle"/>
        <w:rPr>
          <w:i w:val="0"/>
          <w:noProof/>
          <w:sz w:val="32"/>
          <w:szCs w:val="32"/>
        </w:rPr>
      </w:pPr>
      <w:r>
        <w:rPr>
          <w:i w:val="0"/>
          <w:noProof/>
          <w:sz w:val="32"/>
        </w:rPr>
        <w:t>DISPOZIȚII FINALE</w:t>
      </w:r>
    </w:p>
    <w:p>
      <w:pPr>
        <w:pStyle w:val="Titrearticle"/>
        <w:rPr>
          <w:noProof/>
          <w:szCs w:val="24"/>
        </w:rPr>
      </w:pPr>
      <w:r>
        <w:rPr>
          <w:noProof/>
        </w:rPr>
        <w:t>Articolul 35 – Abrogare</w:t>
      </w:r>
    </w:p>
    <w:p>
      <w:pPr>
        <w:rPr>
          <w:noProof/>
          <w:szCs w:val="24"/>
        </w:rPr>
      </w:pPr>
      <w:r>
        <w:rPr>
          <w:noProof/>
        </w:rPr>
        <w:t>Regulamentul (CE) nr. 2062/94 al Consiliului se abrogă începând de la [data aplicării prezentului regulament] și toate trimiterile la regulamentul abrogat se înțeleg ca trimiteri la prezentul regulament.</w:t>
      </w:r>
    </w:p>
    <w:p>
      <w:pPr>
        <w:pStyle w:val="Titrearticle"/>
        <w:rPr>
          <w:noProof/>
          <w:szCs w:val="24"/>
        </w:rPr>
      </w:pPr>
      <w:r>
        <w:rPr>
          <w:noProof/>
        </w:rPr>
        <w:t>Articolul 36 – Menținerea în vigoare a normelor interne adoptate de Agenție</w:t>
      </w:r>
    </w:p>
    <w:p>
      <w:pPr>
        <w:rPr>
          <w:noProof/>
          <w:szCs w:val="24"/>
        </w:rPr>
      </w:pPr>
      <w:r>
        <w:rPr>
          <w:noProof/>
        </w:rPr>
        <w:t>Normele interne adoptate de consiliul de conducere în temeiul Regulamentului (CE) nr. 2062/94 rămân în vigoare după [data aplicării prezentului regulament], cu excepția cazului în care se decide altfel de către consiliul de administrație în aplicarea prezentului regulament.</w:t>
      </w:r>
    </w:p>
    <w:p>
      <w:pPr>
        <w:pStyle w:val="Titrearticle"/>
        <w:rPr>
          <w:noProof/>
          <w:szCs w:val="24"/>
        </w:rPr>
      </w:pPr>
      <w:r>
        <w:rPr>
          <w:noProof/>
        </w:rPr>
        <w:t>Articolul 37 – Intrarea în vigoare</w:t>
      </w:r>
    </w:p>
    <w:p>
      <w:pPr>
        <w:rPr>
          <w:noProof/>
          <w:szCs w:val="24"/>
        </w:rPr>
      </w:pPr>
      <w:r>
        <w:rPr>
          <w:noProof/>
        </w:rPr>
        <w:t xml:space="preserve">Prezentul regulament intră în vigoare în a douăzecea zi de la data publicării în </w:t>
      </w:r>
      <w:r>
        <w:rPr>
          <w:i/>
          <w:noProof/>
        </w:rPr>
        <w:t>Jurnalul Oficial al Uniunii Europene</w:t>
      </w:r>
      <w:r>
        <w:rPr>
          <w:noProof/>
        </w:rPr>
        <w:t>.</w:t>
      </w:r>
    </w:p>
    <w:p>
      <w:pPr>
        <w:rPr>
          <w:noProof/>
          <w:szCs w:val="24"/>
        </w:rPr>
      </w:pPr>
      <w:r>
        <w:rPr>
          <w:noProof/>
        </w:rPr>
        <w:t>Se aplică de la XXX.</w:t>
      </w:r>
    </w:p>
    <w:p>
      <w:pPr>
        <w:rPr>
          <w:noProof/>
          <w:szCs w:val="24"/>
        </w:rPr>
      </w:pPr>
      <w:r>
        <w:rPr>
          <w:noProof/>
        </w:rPr>
        <w:t>Cu toate acestea, articolele 32, 33 și 34 se aplică de la [data intrării în vigoare a prezentului regulament].</w:t>
      </w:r>
    </w:p>
    <w:p>
      <w:pPr>
        <w:pStyle w:val="Applicationdirecte"/>
        <w:spacing w:before="120"/>
        <w:rPr>
          <w:noProof/>
        </w:rPr>
      </w:pPr>
      <w:r>
        <w:rPr>
          <w:noProof/>
        </w:rPr>
        <w:t>Prezentul regulament este obligatoriu în toate elementele sale și se aplică direct în statele membre în conformitate cu tratatele.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FIȘA FINANCIARĂ LEGISLATIVĂ</w:t>
      </w:r>
    </w:p>
    <w:p>
      <w:pPr>
        <w:pStyle w:val="ManualHeading1"/>
        <w:rPr>
          <w:noProof/>
        </w:rPr>
      </w:pPr>
      <w:r>
        <w:rPr>
          <w:noProof/>
        </w:rPr>
        <w:t>1.</w:t>
      </w:r>
      <w:r>
        <w:rPr>
          <w:noProof/>
        </w:rPr>
        <w:tab/>
        <w:t>CADRUL PROPUNERII/INIȚIATIVEI</w:t>
      </w:r>
    </w:p>
    <w:p>
      <w:pPr>
        <w:pStyle w:val="ManualHeading2"/>
        <w:rPr>
          <w:b w:val="0"/>
          <w:noProof/>
        </w:rPr>
      </w:pPr>
      <w:r>
        <w:rPr>
          <w:noProof/>
        </w:rPr>
        <w:tab/>
      </w:r>
      <w:r>
        <w:rPr>
          <w:b w:val="0"/>
          <w:noProof/>
        </w:rPr>
        <w:t>1.1.</w:t>
      </w:r>
      <w:r>
        <w:rPr>
          <w:noProof/>
        </w:rPr>
        <w:tab/>
      </w:r>
      <w:r>
        <w:rPr>
          <w:b w:val="0"/>
          <w:noProof/>
        </w:rPr>
        <w:t>Denumirea propunerii/inițiativei</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Tipul propunerii/inițiativei</w:t>
      </w:r>
    </w:p>
    <w:p>
      <w:pPr>
        <w:pStyle w:val="ManualHeading2"/>
        <w:rPr>
          <w:b w:val="0"/>
          <w:noProof/>
        </w:rPr>
      </w:pPr>
      <w:r>
        <w:rPr>
          <w:noProof/>
        </w:rPr>
        <w:tab/>
      </w:r>
      <w:r>
        <w:rPr>
          <w:b w:val="0"/>
          <w:noProof/>
        </w:rPr>
        <w:t>1.4.</w:t>
      </w:r>
      <w:r>
        <w:rPr>
          <w:noProof/>
        </w:rPr>
        <w:tab/>
      </w:r>
      <w:r>
        <w:rPr>
          <w:b w:val="0"/>
          <w:noProof/>
        </w:rPr>
        <w:t>Obiectiv(e)</w:t>
      </w:r>
    </w:p>
    <w:p>
      <w:pPr>
        <w:pStyle w:val="ManualHeading2"/>
        <w:rPr>
          <w:b w:val="0"/>
          <w:noProof/>
        </w:rPr>
      </w:pPr>
      <w:r>
        <w:rPr>
          <w:noProof/>
        </w:rPr>
        <w:tab/>
      </w:r>
      <w:r>
        <w:rPr>
          <w:b w:val="0"/>
          <w:noProof/>
        </w:rPr>
        <w:t>1.5.</w:t>
      </w:r>
      <w:r>
        <w:rPr>
          <w:noProof/>
        </w:rPr>
        <w:tab/>
      </w:r>
      <w:r>
        <w:rPr>
          <w:b w:val="0"/>
          <w:noProof/>
        </w:rPr>
        <w:t>Motivele propunerii/inițiativei</w:t>
      </w:r>
    </w:p>
    <w:p>
      <w:pPr>
        <w:pStyle w:val="ManualHeading2"/>
        <w:rPr>
          <w:b w:val="0"/>
          <w:noProof/>
        </w:rPr>
      </w:pPr>
      <w:r>
        <w:rPr>
          <w:noProof/>
        </w:rPr>
        <w:tab/>
      </w:r>
      <w:r>
        <w:rPr>
          <w:b w:val="0"/>
          <w:noProof/>
        </w:rPr>
        <w:t>1.6.</w:t>
      </w:r>
      <w:r>
        <w:rPr>
          <w:noProof/>
        </w:rPr>
        <w:tab/>
      </w:r>
      <w:r>
        <w:rPr>
          <w:b w:val="0"/>
          <w:noProof/>
        </w:rPr>
        <w:t>Durata și impactul financiar</w:t>
      </w:r>
    </w:p>
    <w:p>
      <w:pPr>
        <w:pStyle w:val="ManualHeading2"/>
        <w:rPr>
          <w:b w:val="0"/>
          <w:noProof/>
        </w:rPr>
      </w:pPr>
      <w:r>
        <w:rPr>
          <w:noProof/>
        </w:rPr>
        <w:tab/>
      </w:r>
      <w:r>
        <w:rPr>
          <w:b w:val="0"/>
          <w:noProof/>
        </w:rPr>
        <w:t>1.7.</w:t>
      </w:r>
      <w:r>
        <w:rPr>
          <w:noProof/>
        </w:rPr>
        <w:tab/>
      </w:r>
      <w:r>
        <w:rPr>
          <w:b w:val="0"/>
          <w:noProof/>
        </w:rPr>
        <w:t>Modul (modurile) de gestionare preconizat(e)</w:t>
      </w:r>
    </w:p>
    <w:p>
      <w:pPr>
        <w:pStyle w:val="ManualHeading1"/>
        <w:rPr>
          <w:noProof/>
        </w:rPr>
      </w:pPr>
      <w:r>
        <w:rPr>
          <w:noProof/>
        </w:rPr>
        <w:t>2.</w:t>
      </w:r>
      <w:r>
        <w:rPr>
          <w:noProof/>
        </w:rPr>
        <w:tab/>
        <w:t>MĂSURI DE GESTIONARE</w:t>
      </w:r>
    </w:p>
    <w:p>
      <w:pPr>
        <w:pStyle w:val="ManualHeading2"/>
        <w:rPr>
          <w:b w:val="0"/>
          <w:noProof/>
        </w:rPr>
      </w:pPr>
      <w:r>
        <w:rPr>
          <w:noProof/>
        </w:rPr>
        <w:tab/>
      </w:r>
      <w:r>
        <w:rPr>
          <w:b w:val="0"/>
          <w:noProof/>
        </w:rPr>
        <w:t>2.1.</w:t>
      </w:r>
      <w:r>
        <w:rPr>
          <w:noProof/>
        </w:rPr>
        <w:tab/>
      </w:r>
      <w:r>
        <w:rPr>
          <w:b w:val="0"/>
          <w:noProof/>
        </w:rPr>
        <w:t>Dispoziții în materie de monitorizare și de raportare</w:t>
      </w:r>
    </w:p>
    <w:p>
      <w:pPr>
        <w:pStyle w:val="ManualHeading2"/>
        <w:rPr>
          <w:b w:val="0"/>
          <w:noProof/>
        </w:rPr>
      </w:pPr>
      <w:r>
        <w:rPr>
          <w:noProof/>
        </w:rPr>
        <w:tab/>
      </w:r>
      <w:r>
        <w:rPr>
          <w:b w:val="0"/>
          <w:noProof/>
        </w:rPr>
        <w:t>2.2.</w:t>
      </w:r>
      <w:r>
        <w:rPr>
          <w:noProof/>
        </w:rPr>
        <w:tab/>
      </w:r>
      <w:r>
        <w:rPr>
          <w:b w:val="0"/>
          <w:noProof/>
        </w:rPr>
        <w:t>Sistemul de gestiune și de control</w:t>
      </w:r>
    </w:p>
    <w:p>
      <w:pPr>
        <w:pStyle w:val="ManualHeading2"/>
        <w:rPr>
          <w:b w:val="0"/>
          <w:noProof/>
        </w:rPr>
      </w:pPr>
      <w:r>
        <w:rPr>
          <w:noProof/>
        </w:rPr>
        <w:tab/>
      </w:r>
      <w:r>
        <w:rPr>
          <w:b w:val="0"/>
          <w:noProof/>
        </w:rPr>
        <w:t>2.3.</w:t>
      </w:r>
      <w:r>
        <w:rPr>
          <w:noProof/>
        </w:rPr>
        <w:tab/>
      </w:r>
      <w:r>
        <w:rPr>
          <w:b w:val="0"/>
          <w:noProof/>
        </w:rPr>
        <w:t>Măsuri de prevenire a fraudelor și a neregulilor</w:t>
      </w:r>
    </w:p>
    <w:p>
      <w:pPr>
        <w:pStyle w:val="ManualHeading1"/>
        <w:rPr>
          <w:noProof/>
        </w:rPr>
      </w:pPr>
      <w:r>
        <w:rPr>
          <w:noProof/>
        </w:rPr>
        <w:t>3.</w:t>
      </w:r>
      <w:r>
        <w:rPr>
          <w:noProof/>
        </w:rPr>
        <w:tab/>
        <w:t>IMPACTUL FINANCIAR ESTIMAT AL PROPUNERII/INIȚIATIVEI</w:t>
      </w:r>
    </w:p>
    <w:p>
      <w:pPr>
        <w:pStyle w:val="ManualHeading2"/>
        <w:rPr>
          <w:b w:val="0"/>
          <w:noProof/>
        </w:rPr>
      </w:pPr>
      <w:r>
        <w:rPr>
          <w:noProof/>
        </w:rPr>
        <w:tab/>
      </w:r>
      <w:r>
        <w:rPr>
          <w:b w:val="0"/>
          <w:noProof/>
        </w:rPr>
        <w:t>3.1.</w:t>
      </w:r>
      <w:r>
        <w:rPr>
          <w:noProof/>
        </w:rPr>
        <w:tab/>
      </w:r>
      <w:r>
        <w:rPr>
          <w:b w:val="0"/>
          <w:noProof/>
        </w:rPr>
        <w:t>Rubrica (rubricile) din cadrul financiar multianual și linia (liniile) bugetară (bugetare) de cheltuieli afectată (afectate)</w:t>
      </w:r>
    </w:p>
    <w:p>
      <w:pPr>
        <w:pStyle w:val="ManualHeading2"/>
        <w:rPr>
          <w:noProof/>
        </w:rPr>
      </w:pPr>
      <w:r>
        <w:rPr>
          <w:noProof/>
        </w:rPr>
        <w:tab/>
      </w:r>
      <w:r>
        <w:rPr>
          <w:b w:val="0"/>
          <w:noProof/>
        </w:rPr>
        <w:t>3.2.</w:t>
      </w:r>
      <w:r>
        <w:rPr>
          <w:noProof/>
        </w:rPr>
        <w:tab/>
      </w:r>
      <w:r>
        <w:rPr>
          <w:b w:val="0"/>
          <w:noProof/>
        </w:rPr>
        <w:t>Impactul estimat asupra cheltuielilor</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Impactul estimat asupra resurselor umane ale EU-OSHA</w:t>
      </w:r>
    </w:p>
    <w:p>
      <w:pPr>
        <w:pStyle w:val="ManualHeading3"/>
        <w:rPr>
          <w:noProof/>
        </w:rPr>
      </w:pPr>
      <w:r>
        <w:rPr>
          <w:noProof/>
        </w:rPr>
        <w:tab/>
        <w:t>3.2.3.</w:t>
      </w:r>
      <w:r>
        <w:rPr>
          <w:noProof/>
        </w:rPr>
        <w:tab/>
        <w:t>Compatibilitatea cu actualul cadru financiar multianual</w:t>
      </w:r>
    </w:p>
    <w:p>
      <w:pPr>
        <w:pStyle w:val="ManualHeading3"/>
        <w:rPr>
          <w:noProof/>
        </w:rPr>
      </w:pPr>
      <w:r>
        <w:rPr>
          <w:noProof/>
        </w:rPr>
        <w:tab/>
        <w:t>3.2.4.</w:t>
      </w:r>
      <w:r>
        <w:rPr>
          <w:noProof/>
        </w:rPr>
        <w:tab/>
        <w:t>Contribuțiile terților</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b/>
          <w:noProof/>
          <w:u w:val="single"/>
        </w:rPr>
      </w:pPr>
      <w:r>
        <w:rPr>
          <w:b/>
          <w:noProof/>
          <w:u w:val="single"/>
        </w:rPr>
        <w:t>FIȘĂ FINANCIARĂ LEGISLATIVĂ</w:t>
      </w:r>
    </w:p>
    <w:p>
      <w:pPr>
        <w:pStyle w:val="ManualHeading1"/>
        <w:rPr>
          <w:bCs/>
          <w:noProof/>
          <w:szCs w:val="24"/>
        </w:rPr>
      </w:pPr>
      <w:r>
        <w:t>1.</w:t>
      </w:r>
      <w:r>
        <w:tab/>
      </w:r>
      <w:r>
        <w:rPr>
          <w:noProof/>
        </w:rPr>
        <w:t>CADRUL PROPUNERII/INIȚIATIVEI</w:t>
      </w:r>
    </w:p>
    <w:p>
      <w:pPr>
        <w:pStyle w:val="ManualHeading2"/>
        <w:rPr>
          <w:bCs/>
          <w:noProof/>
          <w:szCs w:val="24"/>
        </w:rPr>
      </w:pPr>
      <w:r>
        <w:t>1.1.</w:t>
      </w:r>
      <w:r>
        <w:tab/>
      </w:r>
      <w:r>
        <w:rPr>
          <w:noProof/>
        </w:rPr>
        <w:t>Denumirea propunerii/inițiativei</w:t>
      </w:r>
    </w:p>
    <w:p>
      <w:pPr>
        <w:pStyle w:val="Text1"/>
        <w:pBdr>
          <w:top w:val="single" w:sz="4" w:space="1" w:color="auto"/>
          <w:left w:val="single" w:sz="4" w:space="4" w:color="auto"/>
          <w:bottom w:val="single" w:sz="4" w:space="1" w:color="auto"/>
          <w:right w:val="single" w:sz="4" w:space="4" w:color="auto"/>
        </w:pBdr>
      </w:pPr>
      <w:r>
        <w:t>Propunere de regulament al Parlamentului European și al Consiliului de înființare a Agenției Europene pentru Securitate și Sănătate în Muncă (EU-OSHA)</w:t>
      </w:r>
    </w:p>
    <w:p>
      <w:pPr>
        <w:pStyle w:val="ManualHeading2"/>
        <w:rPr>
          <w:bCs/>
          <w:noProof/>
          <w:szCs w:val="24"/>
        </w:rPr>
      </w:pPr>
      <w:r>
        <w:t>1.2.</w:t>
      </w:r>
      <w:r>
        <w:tab/>
      </w:r>
      <w:r>
        <w:rPr>
          <w:noProof/>
        </w:rPr>
        <w:t>Domeniul (domeniile) de politică în cauză în structura ABM/ABB</w:t>
      </w:r>
      <w:r>
        <w:rPr>
          <w:rStyle w:val="FootnoteReference"/>
          <w:noProof/>
        </w:rPr>
        <w:footnoteReference w:id="13"/>
      </w:r>
    </w:p>
    <w:p>
      <w:pPr>
        <w:pBdr>
          <w:top w:val="single" w:sz="4" w:space="1" w:color="auto"/>
          <w:left w:val="single" w:sz="4" w:space="4" w:color="auto"/>
          <w:bottom w:val="single" w:sz="4" w:space="1" w:color="auto"/>
          <w:right w:val="single" w:sz="4" w:space="4" w:color="auto"/>
        </w:pBdr>
        <w:ind w:left="850"/>
        <w:rPr>
          <w:noProof/>
        </w:rPr>
      </w:pPr>
      <w:r>
        <w:rPr>
          <w:noProof/>
        </w:rPr>
        <w:t>04: ocuparea forței de muncă, afaceri sociale și incluziune</w:t>
      </w:r>
    </w:p>
    <w:p>
      <w:pPr>
        <w:pBdr>
          <w:top w:val="single" w:sz="4" w:space="1" w:color="auto"/>
          <w:left w:val="single" w:sz="4" w:space="4" w:color="auto"/>
          <w:bottom w:val="single" w:sz="4" w:space="1" w:color="auto"/>
          <w:right w:val="single" w:sz="4" w:space="4" w:color="auto"/>
        </w:pBdr>
        <w:ind w:left="850"/>
        <w:rPr>
          <w:noProof/>
        </w:rPr>
      </w:pPr>
      <w:r>
        <w:rPr>
          <w:noProof/>
        </w:rPr>
        <w:t>04 03: ocuparea forței de muncă, afaceri sociale și incluziune</w:t>
      </w:r>
    </w:p>
    <w:p>
      <w:pPr>
        <w:pBdr>
          <w:top w:val="single" w:sz="4" w:space="1" w:color="auto"/>
          <w:left w:val="single" w:sz="4" w:space="4" w:color="auto"/>
          <w:bottom w:val="single" w:sz="4" w:space="1" w:color="auto"/>
          <w:right w:val="single" w:sz="4" w:space="4" w:color="auto"/>
        </w:pBdr>
        <w:ind w:left="850"/>
        <w:rPr>
          <w:noProof/>
        </w:rPr>
      </w:pPr>
      <w:r>
        <w:rPr>
          <w:noProof/>
        </w:rPr>
        <w:t>04 03 12: Agenția Europeană pentru Sănătate și Securitate în Muncă (EU-OSHA)</w:t>
      </w:r>
    </w:p>
    <w:p>
      <w:pPr>
        <w:pStyle w:val="ManualHeading2"/>
        <w:rPr>
          <w:bCs/>
          <w:noProof/>
          <w:szCs w:val="24"/>
        </w:rPr>
      </w:pPr>
      <w:r>
        <w:t>1.3.</w:t>
      </w:r>
      <w:r>
        <w:tab/>
      </w:r>
      <w:r>
        <w:rPr>
          <w:noProof/>
        </w:rPr>
        <w:t>Tipul propunerii/inițiativei</w:t>
      </w:r>
    </w:p>
    <w:p>
      <w:pPr>
        <w:pStyle w:val="Text1"/>
        <w:rPr>
          <w:b/>
          <w:noProof/>
        </w:rPr>
      </w:pPr>
      <w:r>
        <w:rPr>
          <w:noProof/>
        </w:rPr>
        <w:sym w:font="Wingdings" w:char="F0A8"/>
      </w:r>
      <w:r>
        <w:rPr>
          <w:b/>
          <w:i/>
          <w:noProof/>
        </w:rPr>
        <w:t xml:space="preserve"> </w:t>
      </w:r>
      <w:r>
        <w:rPr>
          <w:noProof/>
        </w:rPr>
        <w:t xml:space="preserve">Propunerea/inițiativa se referă la </w:t>
      </w:r>
      <w:r>
        <w:rPr>
          <w:b/>
          <w:noProof/>
        </w:rPr>
        <w:t>o acțiune nouă</w:t>
      </w:r>
    </w:p>
    <w:p>
      <w:pPr>
        <w:pStyle w:val="Text1"/>
        <w:rPr>
          <w:noProof/>
          <w:sz w:val="22"/>
        </w:rPr>
      </w:pPr>
      <w:r>
        <w:rPr>
          <w:noProof/>
        </w:rPr>
        <w:sym w:font="Wingdings" w:char="F0A8"/>
      </w:r>
      <w:r>
        <w:rPr>
          <w:i/>
          <w:noProof/>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14"/>
      </w:r>
      <w:r>
        <w:rPr>
          <w:noProof/>
          <w:sz w:val="22"/>
        </w:rPr>
        <w:t xml:space="preserve"> </w:t>
      </w:r>
    </w:p>
    <w:p>
      <w:pPr>
        <w:pStyle w:val="Text1"/>
        <w:rPr>
          <w:noProof/>
        </w:rPr>
      </w:pPr>
      <w:r>
        <w:rPr>
          <w:noProof/>
        </w:rPr>
        <w:sym w:font="Wingdings" w:char="F078"/>
      </w:r>
      <w:r>
        <w:rPr>
          <w:i/>
          <w:noProof/>
        </w:rPr>
        <w:t xml:space="preserve"> </w:t>
      </w:r>
      <w:r>
        <w:rPr>
          <w:noProof/>
        </w:rPr>
        <w:t xml:space="preserve">Propunerea/inițiativa se referă la </w:t>
      </w:r>
      <w:r>
        <w:rPr>
          <w:b/>
          <w:noProof/>
        </w:rPr>
        <w:t>prelungirea unei acțiuni existente</w:t>
      </w:r>
    </w:p>
    <w:p>
      <w:pPr>
        <w:pStyle w:val="Text1"/>
        <w:rPr>
          <w:noProof/>
        </w:rPr>
      </w:pPr>
      <w:r>
        <w:rPr>
          <w:noProof/>
        </w:rPr>
        <w:sym w:font="Wingdings" w:char="F0A8"/>
      </w:r>
      <w:r>
        <w:rPr>
          <w:i/>
          <w:noProof/>
        </w:rPr>
        <w:t xml:space="preserve"> </w:t>
      </w:r>
      <w:r>
        <w:rPr>
          <w:noProof/>
        </w:rPr>
        <w:t xml:space="preserve">Propunerea/inițiativa se referă la </w:t>
      </w:r>
      <w:r>
        <w:rPr>
          <w:b/>
          <w:noProof/>
        </w:rPr>
        <w:t>o acțiune reorientată către o acțiune nouă</w:t>
      </w:r>
    </w:p>
    <w:p>
      <w:pPr>
        <w:pStyle w:val="ManualHeading2"/>
        <w:rPr>
          <w:bCs/>
          <w:noProof/>
          <w:szCs w:val="24"/>
        </w:rPr>
      </w:pPr>
      <w:r>
        <w:t>1.4.</w:t>
      </w:r>
      <w:r>
        <w:tab/>
      </w:r>
      <w:r>
        <w:rPr>
          <w:noProof/>
        </w:rPr>
        <w:t>Obiectiv(e)</w:t>
      </w:r>
    </w:p>
    <w:p>
      <w:pPr>
        <w:pStyle w:val="ManualHeading3"/>
        <w:rPr>
          <w:bCs/>
          <w:noProof/>
          <w:szCs w:val="24"/>
        </w:rPr>
      </w:pPr>
      <w:r>
        <w:t>1.4.1.</w:t>
      </w:r>
      <w:r>
        <w:tab/>
      </w:r>
      <w:r>
        <w:rPr>
          <w:noProof/>
        </w:rPr>
        <w:t>Obiectiv(e) strategic(e) multianual(e) al(e) Comisiei vizat(e) de propunere/inițiativă</w:t>
      </w:r>
    </w:p>
    <w:p>
      <w:pPr>
        <w:pBdr>
          <w:top w:val="single" w:sz="4" w:space="1" w:color="auto"/>
          <w:left w:val="single" w:sz="4" w:space="4" w:color="auto"/>
          <w:bottom w:val="single" w:sz="4" w:space="1" w:color="auto"/>
          <w:right w:val="single" w:sz="4" w:space="4" w:color="auto"/>
        </w:pBdr>
        <w:ind w:left="850"/>
        <w:rPr>
          <w:noProof/>
        </w:rPr>
      </w:pPr>
      <w:r>
        <w:rPr>
          <w:noProof/>
        </w:rPr>
        <w:t>Obiective/valoare adăugată europeană în conformitate cu strategia Europa 2020</w:t>
      </w:r>
    </w:p>
    <w:p>
      <w:pPr>
        <w:pBdr>
          <w:top w:val="single" w:sz="4" w:space="1" w:color="auto"/>
          <w:left w:val="single" w:sz="4" w:space="4" w:color="auto"/>
          <w:bottom w:val="single" w:sz="4" w:space="1" w:color="auto"/>
          <w:right w:val="single" w:sz="4" w:space="4" w:color="auto"/>
        </w:pBdr>
        <w:ind w:left="850"/>
        <w:rPr>
          <w:noProof/>
        </w:rPr>
      </w:pPr>
      <w:r>
        <w:rPr>
          <w:noProof/>
        </w:rPr>
        <w:t>Un nou impuls pentru locuri de muncă, creștere și investiții</w:t>
      </w:r>
    </w:p>
    <w:p>
      <w:pPr>
        <w:pBdr>
          <w:top w:val="single" w:sz="4" w:space="1" w:color="auto"/>
          <w:left w:val="single" w:sz="4" w:space="4" w:color="auto"/>
          <w:bottom w:val="single" w:sz="4" w:space="1" w:color="auto"/>
          <w:right w:val="single" w:sz="4" w:space="4" w:color="auto"/>
        </w:pBdr>
        <w:ind w:left="850"/>
        <w:rPr>
          <w:noProof/>
        </w:rPr>
      </w:pPr>
      <w:r>
        <w:rPr>
          <w:noProof/>
        </w:rPr>
        <w:t>O uniune economică și monetară mai profundă și mai echitabilă</w:t>
      </w:r>
    </w:p>
    <w:p>
      <w:pPr>
        <w:pStyle w:val="ManualHeading3"/>
        <w:rPr>
          <w:bCs/>
          <w:noProof/>
          <w:szCs w:val="24"/>
        </w:rPr>
      </w:pPr>
      <w:r>
        <w:t>1.4.2.</w:t>
      </w:r>
      <w:r>
        <w:tab/>
      </w:r>
      <w:r>
        <w:rPr>
          <w:noProof/>
        </w:rPr>
        <w:t>Obiectiv(e) specific(e) și 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u w:val="single"/>
        </w:rPr>
        <w:t>Obiectivul specific nr. 1</w:t>
      </w:r>
    </w:p>
    <w:p>
      <w:pPr>
        <w:pStyle w:val="Text1"/>
        <w:pBdr>
          <w:top w:val="single" w:sz="4" w:space="1" w:color="auto"/>
          <w:left w:val="single" w:sz="4" w:space="4" w:color="auto"/>
          <w:bottom w:val="single" w:sz="4" w:space="1" w:color="auto"/>
          <w:right w:val="single" w:sz="4" w:space="4" w:color="auto"/>
        </w:pBdr>
        <w:rPr>
          <w:noProof/>
        </w:rPr>
      </w:pPr>
      <w:r>
        <w:rPr>
          <w:noProof/>
        </w:rPr>
        <w:t>Obiectivul agenției este de a furniza instituțiilor Uniunii, statelor membre și părților interesate informații tehnice, științifice și economice utile în domeniul sănătății și securității în muncă.</w:t>
      </w:r>
    </w:p>
    <w:p>
      <w:pPr>
        <w:pStyle w:val="Text1"/>
        <w:pBdr>
          <w:top w:val="single" w:sz="4" w:space="1" w:color="auto"/>
          <w:left w:val="single" w:sz="4" w:space="4" w:color="auto"/>
          <w:bottom w:val="single" w:sz="4" w:space="1" w:color="auto"/>
          <w:right w:val="single" w:sz="4" w:space="4" w:color="auto"/>
        </w:pBdr>
        <w:rPr>
          <w:noProof/>
        </w:rPr>
      </w:pPr>
      <w:r>
        <w:rPr>
          <w:noProof/>
        </w:rPr>
        <w:t>Acest credit este destinat să acopere finanțarea măsurilor necesare îndeplinirii atribuțiilor Agenției, în special:</w:t>
      </w:r>
    </w:p>
    <w:p>
      <w:pPr>
        <w:pStyle w:val="Text1"/>
        <w:pBdr>
          <w:top w:val="single" w:sz="4" w:space="1" w:color="auto"/>
          <w:left w:val="single" w:sz="4" w:space="4" w:color="auto"/>
          <w:bottom w:val="single" w:sz="4" w:space="1" w:color="auto"/>
          <w:right w:val="single" w:sz="4" w:space="4" w:color="auto"/>
        </w:pBdr>
        <w:rPr>
          <w:noProof/>
        </w:rPr>
      </w:pPr>
      <w:r>
        <w:rPr>
          <w:noProof/>
        </w:rPr>
        <w:t>- acțiunile de sensibilizare și de anticipare a riscurilor, cu un accent special pe IMM-uri;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gestionarea Observatorului european al riscurilor, pe baza unor exemple de bune practici colectate în întreprinderi sau în anumite domenii de activitate;</w:t>
      </w:r>
    </w:p>
    <w:p>
      <w:pPr>
        <w:pStyle w:val="Text1"/>
        <w:pBdr>
          <w:top w:val="single" w:sz="4" w:space="1" w:color="auto"/>
          <w:left w:val="single" w:sz="4" w:space="4" w:color="auto"/>
          <w:bottom w:val="single" w:sz="4" w:space="1" w:color="auto"/>
          <w:right w:val="single" w:sz="4" w:space="4" w:color="auto"/>
        </w:pBdr>
        <w:rPr>
          <w:noProof/>
        </w:rPr>
      </w:pPr>
      <w:r>
        <w:rPr>
          <w:noProof/>
        </w:rPr>
        <w:t>- elaborarea și furnizarea de instrumente adecvate care să permită întreprinderilor mai mici să gestioneze sănătatea și securitatea la locul de muncă;</w:t>
      </w:r>
    </w:p>
    <w:p>
      <w:pPr>
        <w:pStyle w:val="Text1"/>
        <w:pBdr>
          <w:top w:val="single" w:sz="4" w:space="1" w:color="auto"/>
          <w:left w:val="single" w:sz="4" w:space="4" w:color="auto"/>
          <w:bottom w:val="single" w:sz="4" w:space="1" w:color="auto"/>
          <w:right w:val="single" w:sz="4" w:space="4" w:color="auto"/>
        </w:pBdr>
        <w:rPr>
          <w:noProof/>
        </w:rPr>
      </w:pPr>
      <w:r>
        <w:rPr>
          <w:noProof/>
        </w:rPr>
        <w:t>- gestionarea rețelei care cuprinde principalele elemente componente ale rețelelor naționale de informații, inclusiv organizațiile naționale ale partenerilor sociali, în conformitate cu legislația și/sau practicile naționale, precum și punctele focale naționale;</w:t>
      </w:r>
    </w:p>
    <w:p>
      <w:pPr>
        <w:pStyle w:val="Text1"/>
        <w:pBdr>
          <w:top w:val="single" w:sz="4" w:space="1" w:color="auto"/>
          <w:left w:val="single" w:sz="4" w:space="4" w:color="auto"/>
          <w:bottom w:val="single" w:sz="4" w:space="1" w:color="auto"/>
          <w:right w:val="single" w:sz="4" w:space="4" w:color="auto"/>
        </w:pBdr>
        <w:rPr>
          <w:noProof/>
        </w:rPr>
      </w:pPr>
      <w:r>
        <w:rPr>
          <w:noProof/>
        </w:rPr>
        <w:t>- de asemenea, în colaborare cu Organizația Internațională a Muncii și cu alte organizații internaționale, organizarea unor schimburi de experiență, de informații și de bune practici;</w:t>
      </w:r>
    </w:p>
    <w:p>
      <w:pPr>
        <w:pStyle w:val="Text1"/>
        <w:pBdr>
          <w:top w:val="single" w:sz="4" w:space="1" w:color="auto"/>
          <w:left w:val="single" w:sz="4" w:space="4" w:color="auto"/>
          <w:bottom w:val="single" w:sz="4" w:space="1" w:color="auto"/>
          <w:right w:val="single" w:sz="4" w:space="4" w:color="auto"/>
        </w:pBdr>
        <w:rPr>
          <w:noProof/>
        </w:rPr>
      </w:pPr>
      <w:r>
        <w:rPr>
          <w:noProof/>
        </w:rPr>
        <w:t>- integrarea țărilor candidate în aceste rețele de informare și elaborarea unor instrumente de lucru adaptate situației lor specifice;</w:t>
      </w:r>
    </w:p>
    <w:p>
      <w:pPr>
        <w:pStyle w:val="Text1"/>
        <w:pBdr>
          <w:top w:val="single" w:sz="4" w:space="1" w:color="auto"/>
          <w:left w:val="single" w:sz="4" w:space="4" w:color="auto"/>
          <w:bottom w:val="single" w:sz="4" w:space="1" w:color="auto"/>
          <w:right w:val="single" w:sz="4" w:space="4" w:color="auto"/>
        </w:pBdr>
        <w:rPr>
          <w:noProof/>
        </w:rPr>
      </w:pPr>
      <w:r>
        <w:rPr>
          <w:noProof/>
        </w:rPr>
        <w:t>- organizarea și derularea campaniei europene „Locuri de muncă sănătoase”, precum și a Săptămânii europene privind sănătatea și securitatea, punând accentul pe riscurile și nevoile specifice ale utilizatorilor și ale beneficiarilor finali.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pPr>
        <w:pStyle w:val="Text1"/>
        <w:pBdr>
          <w:top w:val="single" w:sz="4" w:space="1" w:color="auto"/>
          <w:left w:val="single" w:sz="4" w:space="4" w:color="auto"/>
          <w:bottom w:val="single" w:sz="4" w:space="1" w:color="auto"/>
          <w:right w:val="single" w:sz="4" w:space="4" w:color="auto"/>
        </w:pBdr>
      </w:pPr>
      <w:r>
        <w:rPr>
          <w:noProof/>
        </w:rPr>
        <w:t>04 03 12 – Agenția Europeană pentru Securitate și Sănătate în Muncă – Subvenție în temeiul titlurilor 1, 2 și 3</w:t>
      </w:r>
    </w:p>
    <w:p>
      <w:pPr>
        <w:pStyle w:val="ManualHeading3"/>
        <w:rPr>
          <w:bCs/>
          <w:noProof/>
          <w:szCs w:val="24"/>
        </w:rPr>
      </w:pPr>
      <w:r>
        <w:rPr>
          <w:noProof/>
        </w:rPr>
        <w:br w:type="page"/>
      </w:r>
      <w:r>
        <w:t>1.4.3.</w:t>
      </w:r>
      <w:r>
        <w:tab/>
      </w:r>
      <w:r>
        <w:rPr>
          <w:noProof/>
        </w:rPr>
        <w:t>Rezultatul (rezultatele) și impactul preconizate</w:t>
      </w:r>
    </w:p>
    <w:p>
      <w:pPr>
        <w:pStyle w:val="Text1"/>
        <w:rPr>
          <w:i/>
          <w:noProof/>
          <w:sz w:val="20"/>
        </w:rPr>
      </w:pPr>
      <w:r>
        <w:rPr>
          <w:i/>
          <w:noProof/>
          <w:sz w:val="20"/>
        </w:rPr>
        <w:t>A se preciza efectele pe care propunerea/inițiativa ar trebui să le aibă asupra beneficiarilor vizați/grupurilor vizate.</w:t>
      </w:r>
    </w:p>
    <w:p>
      <w:pPr>
        <w:pBdr>
          <w:top w:val="single" w:sz="4" w:space="1" w:color="auto"/>
          <w:left w:val="single" w:sz="4" w:space="4" w:color="auto"/>
          <w:bottom w:val="single" w:sz="4" w:space="1" w:color="auto"/>
          <w:right w:val="single" w:sz="4" w:space="4" w:color="auto"/>
        </w:pBdr>
        <w:ind w:left="850"/>
        <w:rPr>
          <w:noProof/>
        </w:rPr>
      </w:pPr>
      <w:r>
        <w:rPr>
          <w:noProof/>
        </w:rPr>
        <w:t>Misiunea EU-OSHA este aceea de a elabora, de a colecta și de a furniza informații, analize și instrumente fiabile și pertinente pentru a îmbunătăți cunoștințele, a sensibiliza publicul și a face schimb de informații și de bune practici privind securitatea și sănătatea în muncă (SSM) care să răspundă necesităților celor implicați în domeniul SSM.</w:t>
      </w:r>
    </w:p>
    <w:p>
      <w:pPr>
        <w:pBdr>
          <w:top w:val="single" w:sz="4" w:space="1" w:color="auto"/>
          <w:left w:val="single" w:sz="4" w:space="4" w:color="auto"/>
          <w:bottom w:val="single" w:sz="4" w:space="1" w:color="auto"/>
          <w:right w:val="single" w:sz="4" w:space="4" w:color="auto"/>
        </w:pBdr>
        <w:ind w:left="850"/>
        <w:rPr>
          <w:noProof/>
        </w:rPr>
      </w:pPr>
      <w:r>
        <w:rPr>
          <w:noProof/>
        </w:rPr>
        <w:t>Rolul său este stabilit în regulamentul de instituire din 1994:</w:t>
      </w:r>
    </w:p>
    <w:p>
      <w:pPr>
        <w:pBdr>
          <w:top w:val="single" w:sz="4" w:space="1" w:color="auto"/>
          <w:left w:val="single" w:sz="4" w:space="4" w:color="auto"/>
          <w:bottom w:val="single" w:sz="4" w:space="1" w:color="auto"/>
          <w:right w:val="single" w:sz="4" w:space="4" w:color="auto"/>
        </w:pBdr>
        <w:ind w:left="850"/>
        <w:rPr>
          <w:i/>
          <w:noProof/>
        </w:rPr>
      </w:pPr>
      <w:r>
        <w:rPr>
          <w:i/>
          <w:noProof/>
        </w:rPr>
        <w:t>Pentru a încuraja îmbunătățirile, în special cele ale mediului de lucru, cu privire la protecția securității și sănătății lucrătorilor, așa cum prevăd tratatul și programele de acțiune succesive privind sănătatea și securitatea la locul de muncă, scopul agenției este de a oferi organismelor Comunității, statelor membre și celor implicați în acest domeniu informații tehnice, științifice și economice utile în domeniul securității și sănătății la locul de muncă.</w:t>
      </w:r>
    </w:p>
    <w:p>
      <w:pPr>
        <w:pBdr>
          <w:top w:val="single" w:sz="4" w:space="1" w:color="auto"/>
          <w:left w:val="single" w:sz="4" w:space="4" w:color="auto"/>
          <w:bottom w:val="single" w:sz="4" w:space="1" w:color="auto"/>
          <w:right w:val="single" w:sz="4" w:space="4" w:color="auto"/>
        </w:pBdr>
        <w:ind w:left="850"/>
        <w:rPr>
          <w:noProof/>
        </w:rPr>
      </w:pPr>
      <w:r>
        <w:rPr>
          <w:noProof/>
        </w:rPr>
        <w:t>Ambiția EU-OSHA este aceea de a fi un lider recunoscut pentru promovarea locurilor de muncă sănătoase și sigure în Europa, pe baza dialogului tripartit, a participării și a dezvoltării unei culturi de prevenire a riscurilor în materie de SSM, cu scopul de a asigura o creștere inteligentă, durabilă, productivă și favorabilă incluziunii.</w:t>
      </w:r>
    </w:p>
    <w:p>
      <w:pPr>
        <w:pBdr>
          <w:top w:val="single" w:sz="4" w:space="1" w:color="auto"/>
          <w:left w:val="single" w:sz="4" w:space="4" w:color="auto"/>
          <w:bottom w:val="single" w:sz="4" w:space="1" w:color="auto"/>
          <w:right w:val="single" w:sz="4" w:space="4" w:color="auto"/>
        </w:pBdr>
        <w:ind w:left="850"/>
        <w:rPr>
          <w:noProof/>
        </w:rPr>
      </w:pPr>
      <w:r>
        <w:rPr>
          <w:noProof/>
        </w:rPr>
        <w:t>EU-OSHA este o organizație tripartită, care s-a angajat să respecte principiile bunei guvernanțe. Buna guvernanță include o serie de elemente, cum ar fi deschiderea și capacitatea de reacție, transparența, respectarea normelor, eficacitatea, eficiența și responsabilitatea.</w:t>
      </w:r>
    </w:p>
    <w:p>
      <w:pPr>
        <w:pStyle w:val="ManualHeading3"/>
        <w:rPr>
          <w:bCs/>
          <w:noProof/>
          <w:szCs w:val="24"/>
        </w:rPr>
      </w:pPr>
      <w:r>
        <w:t>1.4.4.</w:t>
      </w:r>
      <w:r>
        <w:tab/>
      </w:r>
      <w:r>
        <w:rPr>
          <w:noProof/>
        </w:rPr>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Bdr>
          <w:top w:val="single" w:sz="4" w:space="1" w:color="auto"/>
          <w:left w:val="single" w:sz="4" w:space="4" w:color="auto"/>
          <w:bottom w:val="single" w:sz="4" w:space="1" w:color="auto"/>
          <w:right w:val="single" w:sz="4" w:space="4" w:color="auto"/>
        </w:pBdr>
        <w:ind w:left="850"/>
        <w:rPr>
          <w:noProof/>
        </w:rPr>
      </w:pPr>
      <w:r>
        <w:rPr>
          <w:noProof/>
        </w:rPr>
        <w:t>Obiectivele Agenției sunt clar definite și sunt actualizate atunci când este necesar. Ele sunt formulate în așa fel încât să fie posibilă monitorizarea îndeplinirii lor. Se stabilesc indicatori</w:t>
      </w:r>
      <w:r>
        <w:rPr>
          <w:noProof/>
        </w:rPr>
        <w:noBreakHyphen/>
        <w:t>cheie de performanță, pentru a permite conducerii să evalueze și să raporteze cu privire la progresele realizate în raport cu obiectivele.</w:t>
      </w:r>
    </w:p>
    <w:p>
      <w:pPr>
        <w:pBdr>
          <w:top w:val="single" w:sz="4" w:space="1" w:color="auto"/>
          <w:left w:val="single" w:sz="4" w:space="4" w:color="auto"/>
          <w:bottom w:val="single" w:sz="4" w:space="1" w:color="auto"/>
          <w:right w:val="single" w:sz="4" w:space="4" w:color="auto"/>
        </w:pBdr>
        <w:ind w:left="850"/>
        <w:rPr>
          <w:noProof/>
        </w:rPr>
      </w:pPr>
      <w:r>
        <w:rPr>
          <w:noProof/>
        </w:rPr>
        <w:t>EU-OSHA pune în aplicare programe de evaluare pentru a determina dacă activitățile Agenției sunt sustenabile și relevante pentru utilizatori și dacă obiectivele au fost îndeplinite.</w:t>
      </w:r>
    </w:p>
    <w:p>
      <w:pPr>
        <w:pStyle w:val="ManualHeading2"/>
        <w:rPr>
          <w:bCs/>
          <w:noProof/>
          <w:szCs w:val="24"/>
        </w:rPr>
      </w:pPr>
      <w:r>
        <w:t>1.5.</w:t>
      </w:r>
      <w:r>
        <w:tab/>
      </w:r>
      <w:r>
        <w:rPr>
          <w:noProof/>
        </w:rPr>
        <w:t xml:space="preserve">Motivele propunerii/inițiativei </w:t>
      </w:r>
    </w:p>
    <w:p>
      <w:pPr>
        <w:pStyle w:val="ManualHeading3"/>
        <w:rPr>
          <w:bCs/>
          <w:noProof/>
          <w:szCs w:val="24"/>
        </w:rPr>
      </w:pPr>
      <w:r>
        <w:t>1.5.1.</w:t>
      </w:r>
      <w:r>
        <w:tab/>
      </w:r>
      <w:r>
        <w:rPr>
          <w:noProof/>
        </w:rPr>
        <w:t xml:space="preserve">Cerință (cerințe) de îndeplinit pe termen scurt sau lung </w:t>
      </w:r>
    </w:p>
    <w:p>
      <w:pPr>
        <w:pBdr>
          <w:top w:val="single" w:sz="4" w:space="1" w:color="auto"/>
          <w:left w:val="single" w:sz="4" w:space="4" w:color="auto"/>
          <w:bottom w:val="single" w:sz="4" w:space="1" w:color="auto"/>
          <w:right w:val="single" w:sz="4" w:space="4" w:color="auto"/>
        </w:pBdr>
        <w:ind w:left="850"/>
        <w:rPr>
          <w:noProof/>
        </w:rPr>
      </w:pPr>
      <w:r>
        <w:rPr>
          <w:noProof/>
        </w:rPr>
        <w:t>Actuala strategie corporativă identifică șase domenii prioritare:</w:t>
      </w:r>
    </w:p>
    <w:p>
      <w:pPr>
        <w:pBdr>
          <w:top w:val="single" w:sz="4" w:space="1" w:color="auto"/>
          <w:left w:val="single" w:sz="4" w:space="4" w:color="auto"/>
          <w:bottom w:val="single" w:sz="4" w:space="1" w:color="auto"/>
          <w:right w:val="single" w:sz="4" w:space="4" w:color="auto"/>
        </w:pBdr>
        <w:ind w:left="850"/>
        <w:rPr>
          <w:noProof/>
        </w:rPr>
      </w:pPr>
      <w:r>
        <w:rPr>
          <w:noProof/>
        </w:rPr>
        <w:t>- anticiparea schimbărilor prin intermediul unor proiecte prospective;</w:t>
      </w:r>
    </w:p>
    <w:p>
      <w:pPr>
        <w:pBdr>
          <w:top w:val="single" w:sz="4" w:space="1" w:color="auto"/>
          <w:left w:val="single" w:sz="4" w:space="4" w:color="auto"/>
          <w:bottom w:val="single" w:sz="4" w:space="1" w:color="auto"/>
          <w:right w:val="single" w:sz="4" w:space="4" w:color="auto"/>
        </w:pBdr>
        <w:ind w:left="850"/>
        <w:rPr>
          <w:noProof/>
        </w:rPr>
      </w:pPr>
      <w:r>
        <w:rPr>
          <w:noProof/>
        </w:rPr>
        <w:t>- colectarea datelor și a cifrelor și difuzarea informațiilor către cercetători și factorii de decizie prin intermediul sondajului ESENER, al sintezelor privind SSM și al sondajelor de opinie;</w:t>
      </w:r>
    </w:p>
    <w:p>
      <w:pPr>
        <w:pBdr>
          <w:top w:val="single" w:sz="4" w:space="1" w:color="auto"/>
          <w:left w:val="single" w:sz="4" w:space="4" w:color="auto"/>
          <w:bottom w:val="single" w:sz="4" w:space="1" w:color="auto"/>
          <w:right w:val="single" w:sz="4" w:space="4" w:color="auto"/>
        </w:pBdr>
        <w:ind w:left="850"/>
        <w:rPr>
          <w:noProof/>
        </w:rPr>
      </w:pPr>
      <w:r>
        <w:rPr>
          <w:noProof/>
        </w:rPr>
        <w:t>- instrumentele de gestionare a SSM;</w:t>
      </w:r>
    </w:p>
    <w:p>
      <w:pPr>
        <w:pBdr>
          <w:top w:val="single" w:sz="4" w:space="1" w:color="auto"/>
          <w:left w:val="single" w:sz="4" w:space="4" w:color="auto"/>
          <w:bottom w:val="single" w:sz="4" w:space="1" w:color="auto"/>
          <w:right w:val="single" w:sz="4" w:space="4" w:color="auto"/>
        </w:pBdr>
        <w:ind w:left="850"/>
        <w:rPr>
          <w:noProof/>
        </w:rPr>
      </w:pPr>
      <w:r>
        <w:rPr>
          <w:noProof/>
        </w:rPr>
        <w:t>- sensibilizarea cu privire la SSM prin intermediul campaniilor pentru locuri de muncă sănătoase și al altor activități de sensibilizare;</w:t>
      </w:r>
    </w:p>
    <w:p>
      <w:pPr>
        <w:pBdr>
          <w:top w:val="single" w:sz="4" w:space="1" w:color="auto"/>
          <w:left w:val="single" w:sz="4" w:space="4" w:color="auto"/>
          <w:bottom w:val="single" w:sz="4" w:space="1" w:color="auto"/>
          <w:right w:val="single" w:sz="4" w:space="4" w:color="auto"/>
        </w:pBdr>
        <w:ind w:left="850"/>
        <w:rPr>
          <w:noProof/>
        </w:rPr>
      </w:pPr>
      <w:r>
        <w:rPr>
          <w:noProof/>
        </w:rPr>
        <w:t>- crearea unor rețele de cunoștințe, în special prin dezvoltarea OSHwiki;</w:t>
      </w:r>
    </w:p>
    <w:p>
      <w:pPr>
        <w:pBdr>
          <w:top w:val="single" w:sz="4" w:space="1" w:color="auto"/>
          <w:left w:val="single" w:sz="4" w:space="4" w:color="auto"/>
          <w:bottom w:val="single" w:sz="4" w:space="1" w:color="auto"/>
          <w:right w:val="single" w:sz="4" w:space="4" w:color="auto"/>
        </w:pBdr>
        <w:ind w:left="850"/>
        <w:rPr>
          <w:noProof/>
        </w:rPr>
      </w:pPr>
      <w:r>
        <w:rPr>
          <w:noProof/>
        </w:rPr>
        <w:t>- colaborarea în rețea și comunicarea instituțională.</w:t>
      </w:r>
    </w:p>
    <w:p>
      <w:pPr>
        <w:pStyle w:val="ManualHeading3"/>
        <w:rPr>
          <w:bCs/>
          <w:noProof/>
          <w:szCs w:val="24"/>
        </w:rPr>
      </w:pPr>
      <w:r>
        <w:t>1.5.2.</w:t>
      </w:r>
      <w:r>
        <w:tab/>
      </w:r>
      <w:r>
        <w:rPr>
          <w:noProof/>
        </w:rPr>
        <w:t>Valoarea adăugată a implicării UE</w:t>
      </w:r>
    </w:p>
    <w:p>
      <w:pPr>
        <w:pBdr>
          <w:top w:val="single" w:sz="4" w:space="1" w:color="auto"/>
          <w:left w:val="single" w:sz="4" w:space="4" w:color="auto"/>
          <w:bottom w:val="single" w:sz="4" w:space="1" w:color="auto"/>
          <w:right w:val="single" w:sz="4" w:space="4" w:color="auto"/>
        </w:pBdr>
        <w:ind w:left="850"/>
        <w:rPr>
          <w:noProof/>
        </w:rPr>
      </w:pPr>
      <w:r>
        <w:rPr>
          <w:noProof/>
        </w:rPr>
        <w:t>Obiectivul agenției este acela de a oferi organismelor comunitare, statelor membre și celor implicați în acest domeniu informațiile tehnice, științifice și economice utile în domeniul securității și al sănătății în muncă.</w:t>
      </w:r>
    </w:p>
    <w:p>
      <w:pPr>
        <w:pStyle w:val="ManualHeading3"/>
        <w:rPr>
          <w:bCs/>
          <w:noProof/>
          <w:szCs w:val="24"/>
        </w:rPr>
      </w:pPr>
      <w:r>
        <w:t>1.5.3.</w:t>
      </w:r>
      <w:r>
        <w:tab/>
      </w:r>
      <w:r>
        <w:rPr>
          <w:noProof/>
        </w:rPr>
        <w:t>Învățăminte desprinse din experiențe anterioare similare</w:t>
      </w:r>
    </w:p>
    <w:p>
      <w:pPr>
        <w:pBdr>
          <w:top w:val="single" w:sz="4" w:space="1" w:color="auto"/>
          <w:left w:val="single" w:sz="4" w:space="4" w:color="auto"/>
          <w:bottom w:val="single" w:sz="4" w:space="1" w:color="auto"/>
          <w:right w:val="single" w:sz="4" w:space="4" w:color="auto"/>
        </w:pBdr>
        <w:ind w:left="850"/>
        <w:rPr>
          <w:noProof/>
        </w:rPr>
      </w:pPr>
      <w:r>
        <w:rPr>
          <w:noProof/>
        </w:rPr>
        <w:t>EU-OSHA își desfășoară activitățile, în special colectarea și difuzarea informațiilor în domeniul sănătății și al securității în muncă, precum și inițiativele de sensibilizare, începând din 1995. EU-OSHA își poate aduce cea mai valoroasă contribuție, bazându-se pe principalele domenii de expertiză pe care le-a dezvoltat. Agenția este cunoscută pentru baza sa solidă de cunoștințe în domeniul securității și al sănătății în muncă.</w:t>
      </w:r>
    </w:p>
    <w:p>
      <w:pPr>
        <w:pBdr>
          <w:top w:val="single" w:sz="4" w:space="1" w:color="auto"/>
          <w:left w:val="single" w:sz="4" w:space="4" w:color="auto"/>
          <w:bottom w:val="single" w:sz="4" w:space="1" w:color="auto"/>
          <w:right w:val="single" w:sz="4" w:space="4" w:color="auto"/>
        </w:pBdr>
        <w:ind w:left="850"/>
      </w:pPr>
      <w:r>
        <w:rPr>
          <w:noProof/>
        </w:rPr>
        <w:t>Agenția se străduiește să ofere informații de cea mai înaltă calitate în domeniile sale de expertiză, respectiv informații obiective și fiabile din punct de vedere științific. Ambiția EU</w:t>
      </w:r>
      <w:r>
        <w:rPr>
          <w:noProof/>
        </w:rPr>
        <w:noBreakHyphen/>
        <w:t>OSHA este ca aceste cunoștințe să fie utilizate pentru dezvoltarea unor politici eficace, care să conducă la îmbunătățirea sănătății și a securității în muncă într-o Europă justă și competitivă.</w:t>
      </w:r>
    </w:p>
    <w:p>
      <w:pPr>
        <w:pStyle w:val="ManualHeading3"/>
        <w:rPr>
          <w:bCs/>
          <w:noProof/>
          <w:szCs w:val="24"/>
        </w:rPr>
      </w:pPr>
      <w:r>
        <w:t>1.5.4.</w:t>
      </w:r>
      <w:r>
        <w:tab/>
      </w:r>
      <w:r>
        <w:rPr>
          <w:noProof/>
        </w:rPr>
        <w:t>Coerența și posibila sinergie cu alte instrumente relevante</w:t>
      </w:r>
    </w:p>
    <w:p>
      <w:pPr>
        <w:pBdr>
          <w:top w:val="single" w:sz="4" w:space="1" w:color="auto"/>
          <w:left w:val="single" w:sz="4" w:space="4" w:color="auto"/>
          <w:bottom w:val="single" w:sz="4" w:space="1" w:color="auto"/>
          <w:right w:val="single" w:sz="4" w:space="4" w:color="auto"/>
        </w:pBdr>
        <w:ind w:left="850"/>
      </w:pPr>
      <w:r>
        <w:rPr>
          <w:noProof/>
        </w:rPr>
        <w:t>EU-OSHA cooperează cu alte agenții ale UE care lucrează în domenii conexe. Există acorduri de cooperare cu Fundația Europeană pentru Îmbunătățirea Condițiilor de Viață și de Muncă (EUROFOUND) și cu Agenția Europeană pentru Produse Chimice (ECHA). Aceste acorduri prevăd în special o consultare timpurie cu privire la dezvoltarea programului de lucru și sunt completate de planuri de acțiune anuale care convin asupra altor forme de schimb și, după caz, asupra unor activități comune. Acest lucru asigură complementaritatea activităților și permite realizarea de sinergii.</w:t>
      </w:r>
    </w:p>
    <w:p>
      <w:pPr>
        <w:pStyle w:val="ManualHeading2"/>
        <w:rPr>
          <w:bCs/>
          <w:noProof/>
          <w:szCs w:val="24"/>
        </w:rPr>
      </w:pPr>
      <w:r>
        <w:rPr>
          <w:noProof/>
        </w:rPr>
        <w:br w:type="page"/>
      </w:r>
      <w:r>
        <w:t>1.6.</w:t>
      </w:r>
      <w:r>
        <w:tab/>
      </w:r>
      <w:r>
        <w:rPr>
          <w:noProof/>
        </w:rPr>
        <w:t>Durata și impactul financiar</w:t>
      </w:r>
    </w:p>
    <w:p>
      <w:pPr>
        <w:pStyle w:val="Text1"/>
        <w:rPr>
          <w:noProof/>
        </w:rPr>
      </w:pPr>
      <w:r>
        <w:rPr>
          <w:noProof/>
        </w:rPr>
        <w:sym w:font="Wingdings" w:char="F0A8"/>
      </w:r>
      <w:r>
        <w:rPr>
          <w:b/>
          <w:i/>
          <w:noProof/>
        </w:rPr>
        <w:t xml:space="preserve"> </w:t>
      </w:r>
      <w:r>
        <w:rPr>
          <w:noProof/>
        </w:rPr>
        <w:t xml:space="preserve">Propunere/inițiativă </w:t>
      </w:r>
      <w:r>
        <w:rPr>
          <w:b/>
          <w:noProof/>
        </w:rPr>
        <w:t>pe durată determinată</w:t>
      </w:r>
    </w:p>
    <w:p>
      <w:pPr>
        <w:pStyle w:val="ListDash2"/>
        <w:rPr>
          <w:noProof/>
        </w:rPr>
      </w:pPr>
      <w:r>
        <w:rPr>
          <w:noProof/>
        </w:rPr>
        <w:sym w:font="Wingdings" w:char="F0A8"/>
      </w:r>
      <w:r>
        <w:rPr>
          <w:noProof/>
        </w:rPr>
        <w:tab/>
        <w:t>Propunere/inițiativă în vigoare de la [ZZ/LL]AAAA până la [ZZ/LL]AAAA</w:t>
      </w:r>
    </w:p>
    <w:p>
      <w:pPr>
        <w:pStyle w:val="ListDash2"/>
        <w:rPr>
          <w:noProof/>
        </w:rPr>
      </w:pPr>
      <w:r>
        <w:rPr>
          <w:noProof/>
        </w:rPr>
        <w:sym w:font="Wingdings" w:char="F0A8"/>
      </w:r>
      <w:r>
        <w:rPr>
          <w:noProof/>
        </w:rPr>
        <w:tab/>
        <w:t>Impact financiar din AAAA până în AAAA</w:t>
      </w:r>
    </w:p>
    <w:p>
      <w:pPr>
        <w:pStyle w:val="Text1"/>
        <w:rPr>
          <w:noProof/>
        </w:rPr>
      </w:pPr>
      <w:r>
        <w:rPr>
          <w:noProof/>
        </w:rPr>
        <w:sym w:font="Wingdings" w:char="F078"/>
      </w:r>
      <w:r>
        <w:rPr>
          <w:b/>
          <w:i/>
          <w:noProof/>
        </w:rPr>
        <w:t xml:space="preserve"> </w:t>
      </w:r>
      <w:r>
        <w:rPr>
          <w:noProof/>
        </w:rPr>
        <w:t xml:space="preserve">Propunere/inițiativă </w:t>
      </w:r>
      <w:r>
        <w:rPr>
          <w:b/>
          <w:noProof/>
        </w:rPr>
        <w:t>pe durată nedeterminată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în regim de croazieră.</w:t>
      </w:r>
    </w:p>
    <w:p>
      <w:pPr>
        <w:pStyle w:val="ManualHeading2"/>
        <w:rPr>
          <w:bCs/>
          <w:noProof/>
          <w:szCs w:val="24"/>
        </w:rPr>
      </w:pPr>
      <w:r>
        <w:t>1.7.</w:t>
      </w:r>
      <w:r>
        <w:tab/>
      </w:r>
      <w:r>
        <w:rPr>
          <w:noProof/>
        </w:rPr>
        <w:t>Modul (modurile) de gestionare preconizat(e)</w:t>
      </w:r>
      <w:r>
        <w:rPr>
          <w:rStyle w:val="FootnoteReference"/>
          <w:noProof/>
        </w:rPr>
        <w:t xml:space="preserve"> </w:t>
      </w:r>
    </w:p>
    <w:p>
      <w:pPr>
        <w:pStyle w:val="Text1"/>
        <w:rPr>
          <w:noProof/>
        </w:rPr>
      </w:pPr>
      <w:r>
        <w:rPr>
          <w:noProof/>
        </w:rPr>
        <w:sym w:font="Wingdings" w:char="F0A8"/>
      </w:r>
      <w:r>
        <w:rPr>
          <w:i/>
          <w:noProof/>
        </w:rPr>
        <w:t xml:space="preserve"> </w:t>
      </w:r>
      <w:r>
        <w:rPr>
          <w:b/>
          <w:noProof/>
        </w:rPr>
        <w:t>Gestiune directă</w:t>
      </w:r>
      <w:r>
        <w:rPr>
          <w:noProof/>
        </w:rPr>
        <w:t xml:space="preserve"> asigurată de către Comisie:</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78"/>
      </w:r>
      <w:r>
        <w:rPr>
          <w:i/>
          <w:noProof/>
        </w:rPr>
        <w:t xml:space="preserve"> </w:t>
      </w:r>
      <w:r>
        <w:rPr>
          <w:b/>
          <w:noProof/>
        </w:rPr>
        <w:t>Gestiune indirectă</w:t>
      </w:r>
      <w:r>
        <w:rPr>
          <w:noProof/>
        </w:rPr>
        <w:t>, cu delegarea sarcinilor de execuție bugetară:</w:t>
      </w:r>
    </w:p>
    <w:p>
      <w:pPr>
        <w:pStyle w:val="Text1"/>
        <w:rPr>
          <w:noProof/>
        </w:rPr>
      </w:pPr>
      <w:r>
        <w:rPr>
          <w:noProof/>
        </w:rPr>
        <w:sym w:font="Wingdings" w:char="F0A8"/>
      </w:r>
      <w:r>
        <w:rPr>
          <w:noProof/>
        </w:rPr>
        <w:t xml:space="preserve"> organizațiilor internaționale și agențiilor acestora (a se preciza);</w:t>
      </w:r>
    </w:p>
    <w:p>
      <w:pPr>
        <w:pStyle w:val="Text1"/>
        <w:rPr>
          <w:noProof/>
        </w:rPr>
      </w:pPr>
      <w:r>
        <w:rPr>
          <w:noProof/>
        </w:rPr>
        <w:sym w:font="Wingdings" w:char="F0A8"/>
      </w:r>
      <w:r>
        <w:rPr>
          <w:noProof/>
        </w:rPr>
        <w:t>BEI și Fondului European de Investiții;</w:t>
      </w:r>
    </w:p>
    <w:p>
      <w:pPr>
        <w:pStyle w:val="Text1"/>
        <w:rPr>
          <w:noProof/>
        </w:rPr>
      </w:pPr>
      <w:r>
        <w:rPr>
          <w:noProof/>
        </w:rPr>
        <w:sym w:font="Wingdings" w:char="F078"/>
      </w:r>
      <w:r>
        <w:rPr>
          <w:noProof/>
        </w:rPr>
        <w:t>organismelor menționate la articolele 208 și 209;</w:t>
      </w:r>
    </w:p>
    <w:p>
      <w:pPr>
        <w:pStyle w:val="Text1"/>
        <w:rPr>
          <w:noProof/>
        </w:rPr>
      </w:pPr>
      <w:r>
        <w:rPr>
          <w:noProof/>
        </w:rPr>
        <w:sym w:font="Wingdings" w:char="F0A8"/>
      </w:r>
      <w:r>
        <w:rPr>
          <w:noProof/>
        </w:rPr>
        <w:t xml:space="preserve"> organismelor de drept public;</w:t>
      </w:r>
    </w:p>
    <w:p>
      <w:pPr>
        <w:pStyle w:val="Text1"/>
        <w:rPr>
          <w:noProof/>
        </w:rPr>
      </w:pPr>
      <w:r>
        <w:rPr>
          <w:noProof/>
        </w:rPr>
        <w:sym w:font="Wingdings" w:char="F0A8"/>
      </w:r>
      <w:r>
        <w:rPr>
          <w:noProof/>
        </w:rPr>
        <w:t xml:space="preserve"> organismelor de drept privat cu misiune de serviciu public, cu condiția să prezinte garanții financiare adecvate;</w:t>
      </w:r>
    </w:p>
    <w:p>
      <w:pPr>
        <w:pStyle w:val="Text1"/>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Text1"/>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pPr>
      <w:r>
        <w:t>Nu este cazul.</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MĂSURI DE GESTIONARE</w:t>
      </w:r>
    </w:p>
    <w:p>
      <w:pPr>
        <w:pStyle w:val="ManualHeading2"/>
        <w:rPr>
          <w:bCs/>
          <w:noProof/>
          <w:szCs w:val="24"/>
        </w:rPr>
      </w:pPr>
      <w:r>
        <w:t>2.1.</w:t>
      </w:r>
      <w:r>
        <w:tab/>
      </w:r>
      <w:r>
        <w:rPr>
          <w:noProof/>
        </w:rPr>
        <w:t>Dispoziții în materie de monitorizare și de raportare</w:t>
      </w:r>
    </w:p>
    <w:p>
      <w:pPr>
        <w:pStyle w:val="Text1"/>
        <w:rPr>
          <w:i/>
          <w:noProof/>
          <w:sz w:val="20"/>
        </w:rPr>
      </w:pPr>
      <w:r>
        <w:rPr>
          <w:i/>
          <w:noProof/>
          <w:sz w:val="20"/>
        </w:rPr>
        <w:t>A se preciza frecvența și condițiile aferente acestor dispoziții.</w:t>
      </w:r>
    </w:p>
    <w:p>
      <w:pPr>
        <w:pBdr>
          <w:top w:val="single" w:sz="4" w:space="1" w:color="auto"/>
          <w:left w:val="single" w:sz="4" w:space="4" w:color="auto"/>
          <w:bottom w:val="single" w:sz="4" w:space="1" w:color="auto"/>
          <w:right w:val="single" w:sz="4" w:space="4" w:color="auto"/>
        </w:pBdr>
        <w:ind w:left="850"/>
      </w:pPr>
      <w:r>
        <w:rPr>
          <w:noProof/>
        </w:rPr>
        <w:t>Toate agențiile UE lucrează în cadrul unui sistem strict de monitorizare care implică un coordonator de control intern, Serviciul de Audit Intern al Comisiei, consiliul de conducere, Comisia, Curtea de Conturi și autoritatea bugetară. Sistemul, astfel cum este prevăzut în regulamentul de instituire a EU-OSHA, va continua să se aplice.</w:t>
      </w:r>
    </w:p>
    <w:p>
      <w:pPr>
        <w:pStyle w:val="ManualHeading2"/>
        <w:rPr>
          <w:bCs/>
          <w:noProof/>
          <w:szCs w:val="24"/>
        </w:rPr>
      </w:pPr>
      <w:r>
        <w:t>2.2.</w:t>
      </w:r>
      <w:r>
        <w:tab/>
      </w:r>
      <w:r>
        <w:rPr>
          <w:noProof/>
        </w:rPr>
        <w:t>Sistemul de gestiune și de control</w:t>
      </w:r>
    </w:p>
    <w:p>
      <w:pPr>
        <w:pStyle w:val="ManualHeading3"/>
        <w:rPr>
          <w:bCs/>
          <w:noProof/>
          <w:szCs w:val="24"/>
        </w:rPr>
      </w:pPr>
      <w:r>
        <w:t>2.2.1.</w:t>
      </w:r>
      <w:r>
        <w:tab/>
      </w:r>
      <w:r>
        <w:rPr>
          <w:noProof/>
        </w:rPr>
        <w:t>Riscul (riscurile) identificat(e)</w:t>
      </w:r>
    </w:p>
    <w:p>
      <w:pPr>
        <w:pStyle w:val="Text1"/>
        <w:pBdr>
          <w:top w:val="single" w:sz="4" w:space="1" w:color="auto"/>
          <w:left w:val="single" w:sz="4" w:space="4" w:color="auto"/>
          <w:bottom w:val="single" w:sz="4" w:space="1" w:color="auto"/>
          <w:right w:val="single" w:sz="4" w:space="4" w:color="auto"/>
        </w:pBdr>
      </w:pPr>
      <w:r>
        <w:t>niciunul</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2.2.2.</w:t>
      </w:r>
      <w:r>
        <w:tab/>
      </w:r>
      <w:r>
        <w:rPr>
          <w:noProof/>
        </w:rPr>
        <w:t>Metoda (metodele) de control preconizată (preconizate)</w:t>
      </w:r>
    </w:p>
    <w:p>
      <w:pPr>
        <w:pStyle w:val="Text1"/>
        <w:pBdr>
          <w:top w:val="single" w:sz="4" w:space="1" w:color="auto"/>
          <w:left w:val="single" w:sz="4" w:space="4" w:color="auto"/>
          <w:bottom w:val="single" w:sz="4" w:space="1" w:color="auto"/>
          <w:right w:val="single" w:sz="4" w:space="4" w:color="auto"/>
        </w:pBdr>
      </w:pPr>
      <w:r>
        <w:t>Nu este cazul.</w:t>
      </w:r>
    </w:p>
    <w:p>
      <w:pPr>
        <w:pStyle w:val="Text1"/>
        <w:pBdr>
          <w:top w:val="single" w:sz="4" w:space="1" w:color="auto"/>
          <w:left w:val="single" w:sz="4" w:space="4" w:color="auto"/>
          <w:bottom w:val="single" w:sz="4" w:space="1" w:color="auto"/>
          <w:right w:val="single" w:sz="4" w:space="4" w:color="auto"/>
        </w:pBdr>
      </w:pPr>
    </w:p>
    <w:p>
      <w:pPr>
        <w:pStyle w:val="ManualHeading2"/>
        <w:rPr>
          <w:bCs/>
          <w:noProof/>
          <w:szCs w:val="24"/>
        </w:rPr>
      </w:pPr>
      <w:r>
        <w:t>2.3.</w:t>
      </w:r>
      <w:r>
        <w:tab/>
      </w:r>
      <w:r>
        <w:rPr>
          <w:noProof/>
        </w:rPr>
        <w:t>Măsuri de prevenire a fraudelor și a neregulilor</w:t>
      </w:r>
    </w:p>
    <w:p>
      <w:pPr>
        <w:pStyle w:val="Text1"/>
        <w:rPr>
          <w:i/>
          <w:noProof/>
          <w:sz w:val="20"/>
        </w:rPr>
      </w:pPr>
      <w:r>
        <w:rPr>
          <w:i/>
          <w:noProof/>
          <w:sz w:val="20"/>
        </w:rPr>
        <w:t>A se preciza măsurile de prevenire și de protecție existente sau preconizate.</w:t>
      </w:r>
    </w:p>
    <w:p>
      <w:pPr>
        <w:pBdr>
          <w:top w:val="single" w:sz="4" w:space="1" w:color="auto"/>
          <w:left w:val="single" w:sz="4" w:space="4" w:color="auto"/>
          <w:bottom w:val="single" w:sz="4" w:space="1" w:color="auto"/>
          <w:right w:val="single" w:sz="4" w:space="4" w:color="auto"/>
        </w:pBdr>
        <w:ind w:left="850"/>
      </w:pPr>
      <w:r>
        <w:rPr>
          <w:noProof/>
        </w:rPr>
        <w:t xml:space="preserve">Actualul regulament de instituire a EU-OSHA nu a prevăzut în mod specific măsuri antifraudă, dar directorul și consiliul de conducere au luat măsurile adecvate în conformitate cu standardele de control intern aplicate în toate instituțiile UE. În conformitate cu abordarea comună, Agenția a adoptat o strategie antifraudă în noiembrie 2014. </w:t>
      </w:r>
    </w:p>
    <w:p>
      <w:pPr>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IMPACTUL FINANCIAR ESTIMAT AL PROPUNERII/INIȚIATIVEI</w:t>
      </w:r>
    </w:p>
    <w:p>
      <w:pPr>
        <w:pStyle w:val="ManualHeading2"/>
        <w:rPr>
          <w:bCs/>
          <w:noProof/>
          <w:szCs w:val="24"/>
        </w:rPr>
      </w:pPr>
      <w:r>
        <w:t>3.1.</w:t>
      </w:r>
      <w:r>
        <w:tab/>
      </w:r>
      <w:r>
        <w:rPr>
          <w:noProof/>
        </w:rPr>
        <w:t>Rubrica (rubricile) din cadrul financiar multianual și linia (liniile) bugetară (bugetare) de cheltuieli afectată (afectate)</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w:t>
            </w:r>
            <w:r>
              <w:rPr>
                <w:noProof/>
                <w:sz w:val="22"/>
              </w:rPr>
              <w:br/>
            </w:r>
            <w:r>
              <w:rPr>
                <w:noProof/>
                <w:sz w:val="18"/>
              </w:rPr>
              <w:t>cheltuielilor</w:t>
            </w:r>
          </w:p>
        </w:tc>
        <w:tc>
          <w:tcPr>
            <w:tcW w:w="4556"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rPr>
                <w:noProof/>
                <w:sz w:val="18"/>
              </w:rPr>
            </w:pPr>
          </w:p>
        </w:tc>
        <w:tc>
          <w:tcPr>
            <w:tcW w:w="3960" w:type="dxa"/>
            <w:vAlign w:val="center"/>
          </w:tcPr>
          <w:p>
            <w:pPr>
              <w:rPr>
                <w:noProof/>
              </w:rPr>
            </w:pPr>
            <w:r>
              <w:rPr>
                <w:noProof/>
                <w:sz w:val="20"/>
              </w:rPr>
              <w:t>Rubrica 1A – competitivitate pentru creștere și locuri de muncă</w:t>
            </w:r>
          </w:p>
        </w:tc>
        <w:tc>
          <w:tcPr>
            <w:tcW w:w="1080" w:type="dxa"/>
            <w:vAlign w:val="center"/>
          </w:tcPr>
          <w:p>
            <w:pPr>
              <w:jc w:val="center"/>
              <w:rPr>
                <w:noProof/>
              </w:rPr>
            </w:pPr>
            <w:r>
              <w:rPr>
                <w:noProof/>
                <w:sz w:val="18"/>
              </w:rPr>
              <w:t>Dif./Nedif.</w:t>
            </w:r>
            <w:r>
              <w:rPr>
                <w:rStyle w:val="FootnoteReference"/>
                <w:noProof/>
                <w:sz w:val="18"/>
              </w:rPr>
              <w:footnoteReference w:id="15"/>
            </w:r>
          </w:p>
        </w:tc>
        <w:tc>
          <w:tcPr>
            <w:tcW w:w="956" w:type="dxa"/>
            <w:vAlign w:val="center"/>
          </w:tcPr>
          <w:p>
            <w:pPr>
              <w:jc w:val="center"/>
              <w:rPr>
                <w:noProof/>
              </w:rPr>
            </w:pPr>
            <w:r>
              <w:rPr>
                <w:noProof/>
                <w:sz w:val="18"/>
              </w:rPr>
              <w:t>Țări AELS</w:t>
            </w:r>
            <w:r>
              <w:rPr>
                <w:rStyle w:val="FootnoteReference"/>
                <w:noProof/>
                <w:sz w:val="18"/>
              </w:rPr>
              <w:footnoteReference w:id="16"/>
            </w:r>
          </w:p>
        </w:tc>
        <w:tc>
          <w:tcPr>
            <w:tcW w:w="1080" w:type="dxa"/>
            <w:vAlign w:val="center"/>
          </w:tcPr>
          <w:p>
            <w:pPr>
              <w:jc w:val="center"/>
              <w:rPr>
                <w:noProof/>
                <w:sz w:val="18"/>
              </w:rPr>
            </w:pPr>
            <w:r>
              <w:rPr>
                <w:noProof/>
                <w:sz w:val="18"/>
              </w:rPr>
              <w:t>Țări candidate</w:t>
            </w:r>
            <w:r>
              <w:rPr>
                <w:rStyle w:val="FootnoteReference"/>
                <w:noProof/>
                <w:sz w:val="18"/>
              </w:rPr>
              <w:footnoteReference w:id="17"/>
            </w:r>
          </w:p>
        </w:tc>
        <w:tc>
          <w:tcPr>
            <w:tcW w:w="956" w:type="dxa"/>
            <w:vAlign w:val="center"/>
          </w:tcPr>
          <w:p>
            <w:pPr>
              <w:jc w:val="center"/>
              <w:rPr>
                <w:noProof/>
                <w:sz w:val="18"/>
              </w:rPr>
            </w:pPr>
            <w:r>
              <w:rPr>
                <w:noProof/>
                <w:sz w:val="18"/>
              </w:rPr>
              <w:t>Țări terțe</w:t>
            </w:r>
          </w:p>
        </w:tc>
        <w:tc>
          <w:tcPr>
            <w:tcW w:w="1564" w:type="dxa"/>
            <w:vAlign w:val="center"/>
          </w:tcPr>
          <w:p>
            <w:pPr>
              <w:jc w:val="center"/>
              <w:rPr>
                <w:noProof/>
                <w:sz w:val="16"/>
                <w:szCs w:val="16"/>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960" w:type="dxa"/>
            <w:vAlign w:val="center"/>
          </w:tcPr>
          <w:p>
            <w:pPr>
              <w:spacing w:after="60"/>
            </w:pPr>
            <w:r>
              <w:rPr>
                <w:noProof/>
                <w:sz w:val="22"/>
              </w:rPr>
              <w:t>04 03 12: Agenția Europeană pentru Sănătate și Securitate în Muncă (EU-OSHA)</w:t>
            </w:r>
          </w:p>
        </w:tc>
        <w:tc>
          <w:tcPr>
            <w:tcW w:w="1080" w:type="dxa"/>
            <w:vAlign w:val="center"/>
          </w:tcPr>
          <w:p>
            <w:pPr>
              <w:jc w:val="center"/>
              <w:rPr>
                <w:noProof/>
              </w:rPr>
            </w:pPr>
            <w:r>
              <w:rPr>
                <w:noProof/>
                <w:sz w:val="18"/>
              </w:rPr>
              <w:t>Dif.</w:t>
            </w:r>
          </w:p>
        </w:tc>
        <w:tc>
          <w:tcPr>
            <w:tcW w:w="956" w:type="dxa"/>
            <w:vAlign w:val="center"/>
          </w:tcPr>
          <w:p>
            <w:pPr>
              <w:jc w:val="center"/>
            </w:pPr>
            <w:r>
              <w:t>DA</w:t>
            </w:r>
          </w:p>
        </w:tc>
        <w:tc>
          <w:tcPr>
            <w:tcW w:w="1080" w:type="dxa"/>
            <w:vAlign w:val="center"/>
          </w:tcPr>
          <w:p>
            <w:pPr>
              <w:jc w:val="center"/>
            </w:pPr>
            <w:r>
              <w:t>DA</w:t>
            </w:r>
          </w:p>
        </w:tc>
        <w:tc>
          <w:tcPr>
            <w:tcW w:w="956" w:type="dxa"/>
            <w:vAlign w:val="center"/>
          </w:tcPr>
          <w:p>
            <w:pPr>
              <w:jc w:val="center"/>
            </w:pPr>
            <w:r>
              <w:t>NU</w:t>
            </w:r>
          </w:p>
        </w:tc>
        <w:tc>
          <w:tcPr>
            <w:tcW w:w="1564" w:type="dxa"/>
            <w:vAlign w:val="center"/>
          </w:tcPr>
          <w:p>
            <w:pPr>
              <w:jc w:val="center"/>
            </w:pPr>
          </w:p>
        </w:tc>
      </w:tr>
    </w:tbl>
    <w:p>
      <w:pPr>
        <w:pStyle w:val="ListBullet1"/>
        <w:rPr>
          <w:noProof/>
        </w:rPr>
      </w:pPr>
      <w:r>
        <w:rPr>
          <w:noProof/>
        </w:rPr>
        <w:t>Noi linii bugetare solicitate: nu este cazul.</w:t>
      </w:r>
    </w:p>
    <w:p>
      <w:pPr>
        <w:pStyle w:val="Text1"/>
        <w:rPr>
          <w:i/>
          <w:noProof/>
          <w:sz w:val="20"/>
        </w:rPr>
      </w:pPr>
      <w:r>
        <w:rPr>
          <w:noProof/>
          <w:u w:val="single"/>
        </w:rPr>
        <w:t>În ordinea</w:t>
      </w:r>
      <w:r>
        <w:rPr>
          <w:noProof/>
        </w:rPr>
        <w:t xml:space="preserve"> rubricilor din cadrul financiar multianual și a liniilor bugetare.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w:t>
            </w:r>
            <w:r>
              <w:rPr>
                <w:noProof/>
                <w:sz w:val="22"/>
              </w:rPr>
              <w:br/>
            </w:r>
            <w:r>
              <w:rPr>
                <w:noProof/>
                <w:sz w:val="18"/>
              </w:rPr>
              <w:t>cheltuielilor</w:t>
            </w:r>
          </w:p>
        </w:tc>
        <w:tc>
          <w:tcPr>
            <w:tcW w:w="4556"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rPr>
                <w:noProof/>
              </w:rPr>
            </w:pPr>
          </w:p>
        </w:tc>
        <w:tc>
          <w:tcPr>
            <w:tcW w:w="3960" w:type="dxa"/>
            <w:vAlign w:val="center"/>
          </w:tcPr>
          <w:p>
            <w:r>
              <w:rPr>
                <w:noProof/>
                <w:sz w:val="20"/>
              </w:rPr>
              <w:t xml:space="preserve">Număr </w:t>
            </w:r>
            <w:r>
              <w:rPr>
                <w:noProof/>
                <w:sz w:val="22"/>
              </w:rPr>
              <w:br/>
            </w:r>
            <w:r>
              <w:rPr>
                <w:noProof/>
                <w:sz w:val="20"/>
              </w:rPr>
              <w:t>[Rubrica………………………………………]</w:t>
            </w:r>
          </w:p>
        </w:tc>
        <w:tc>
          <w:tcPr>
            <w:tcW w:w="1080" w:type="dxa"/>
            <w:vAlign w:val="center"/>
          </w:tcPr>
          <w:p>
            <w:pPr>
              <w:jc w:val="center"/>
              <w:rPr>
                <w:noProof/>
              </w:rPr>
            </w:pPr>
            <w:r>
              <w:rPr>
                <w:noProof/>
                <w:sz w:val="18"/>
              </w:rPr>
              <w:t>Dif./ Nedif.</w:t>
            </w:r>
          </w:p>
        </w:tc>
        <w:tc>
          <w:tcPr>
            <w:tcW w:w="956" w:type="dxa"/>
            <w:vAlign w:val="center"/>
          </w:tcPr>
          <w:p>
            <w:pPr>
              <w:jc w:val="center"/>
              <w:rPr>
                <w:noProof/>
                <w:sz w:val="18"/>
              </w:rPr>
            </w:pPr>
            <w:r>
              <w:rPr>
                <w:noProof/>
                <w:sz w:val="18"/>
              </w:rPr>
              <w:t>Țări AELS</w:t>
            </w:r>
          </w:p>
        </w:tc>
        <w:tc>
          <w:tcPr>
            <w:tcW w:w="1080" w:type="dxa"/>
            <w:vAlign w:val="center"/>
          </w:tcPr>
          <w:p>
            <w:pPr>
              <w:jc w:val="center"/>
              <w:rPr>
                <w:noProof/>
                <w:sz w:val="18"/>
              </w:rPr>
            </w:pPr>
            <w:r>
              <w:rPr>
                <w:noProof/>
                <w:sz w:val="18"/>
              </w:rPr>
              <w:t>Țări candidate</w:t>
            </w:r>
          </w:p>
        </w:tc>
        <w:tc>
          <w:tcPr>
            <w:tcW w:w="956" w:type="dxa"/>
            <w:vAlign w:val="center"/>
          </w:tcPr>
          <w:p>
            <w:pPr>
              <w:jc w:val="center"/>
              <w:rPr>
                <w:noProof/>
                <w:sz w:val="18"/>
              </w:rPr>
            </w:pPr>
            <w:r>
              <w:rPr>
                <w:noProof/>
                <w:sz w:val="18"/>
              </w:rPr>
              <w:t>Țări terțe</w:t>
            </w:r>
          </w:p>
        </w:tc>
        <w:tc>
          <w:tcPr>
            <w:tcW w:w="1564"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960" w:type="dxa"/>
            <w:vAlign w:val="center"/>
          </w:tcPr>
          <w:p>
            <w:pPr>
              <w:spacing w:before="60"/>
            </w:pPr>
            <w: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pPr>
            <w:r>
              <w:t>DA/NU</w:t>
            </w:r>
          </w:p>
        </w:tc>
        <w:tc>
          <w:tcPr>
            <w:tcW w:w="1080" w:type="dxa"/>
            <w:vAlign w:val="center"/>
          </w:tcPr>
          <w:p>
            <w:pPr>
              <w:jc w:val="center"/>
              <w:rPr>
                <w:noProof/>
                <w:color w:val="0000FF"/>
                <w:sz w:val="18"/>
              </w:rPr>
            </w:pPr>
            <w:r>
              <w:t>DA/NU</w:t>
            </w:r>
          </w:p>
        </w:tc>
        <w:tc>
          <w:tcPr>
            <w:tcW w:w="956" w:type="dxa"/>
            <w:vAlign w:val="center"/>
          </w:tcPr>
          <w:p>
            <w:pPr>
              <w:jc w:val="center"/>
              <w:rPr>
                <w:noProof/>
                <w:color w:val="0000FF"/>
                <w:sz w:val="18"/>
              </w:rPr>
            </w:pPr>
            <w:r>
              <w:t>DA/NU</w:t>
            </w:r>
          </w:p>
        </w:tc>
        <w:tc>
          <w:tcPr>
            <w:tcW w:w="1564" w:type="dxa"/>
            <w:vAlign w:val="center"/>
          </w:tcPr>
          <w:p>
            <w:pPr>
              <w:jc w:val="center"/>
            </w:pPr>
            <w:r>
              <w:t>DA/NU</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Impactul estimat asupra cheltuielilor</w:t>
      </w:r>
    </w:p>
    <w:p>
      <w:pPr>
        <w:pStyle w:val="Text1"/>
        <w:rPr>
          <w:noProof/>
        </w:rPr>
      </w:pPr>
      <w:r>
        <w:rPr>
          <w:noProof/>
        </w:rPr>
        <w:t>Impactul asupra cheltuielilor, astfel cum sunt prezentate mai jos, este în conformitate cu comunicarea COM(2013) 519 a Comisiei.</w:t>
      </w:r>
    </w:p>
    <w:p>
      <w:pPr>
        <w:pStyle w:val="ManualHeading3"/>
        <w:rPr>
          <w:bCs/>
          <w:noProof/>
          <w:szCs w:val="24"/>
        </w:rPr>
      </w:pPr>
      <w:r>
        <w:t>3.2.1.</w:t>
      </w:r>
      <w:r>
        <w:tab/>
      </w:r>
      <w:r>
        <w:rPr>
          <w:noProof/>
        </w:rPr>
        <w:t>Sinteza impactului estimat asupra cheltuielilor</w:t>
      </w:r>
    </w:p>
    <w:p>
      <w:pPr>
        <w:jc w:val="right"/>
        <w:rPr>
          <w:noProof/>
          <w:sz w:val="20"/>
        </w:rPr>
      </w:pPr>
      <w:r>
        <w:rPr>
          <w:noProof/>
          <w:sz w:val="20"/>
        </w:rPr>
        <w:t>milioane EUR (cu 3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din cadrul financiar </w:t>
            </w:r>
            <w:r>
              <w:rPr>
                <w:noProof/>
                <w:sz w:val="22"/>
              </w:rPr>
              <w:br/>
            </w:r>
            <w:r>
              <w:rPr>
                <w:b/>
                <w:noProof/>
                <w:sz w:val="22"/>
              </w:rPr>
              <w:t xml:space="preserve">multianual </w:t>
            </w:r>
          </w:p>
        </w:tc>
        <w:tc>
          <w:tcPr>
            <w:tcW w:w="1080" w:type="dxa"/>
            <w:vAlign w:val="center"/>
          </w:tcPr>
          <w:p>
            <w:pPr>
              <w:spacing w:before="60" w:after="60"/>
              <w:jc w:val="center"/>
            </w:pPr>
            <w:r>
              <w:rPr>
                <w:noProof/>
                <w:sz w:val="22"/>
              </w:rPr>
              <w:t>1A</w:t>
            </w:r>
          </w:p>
        </w:tc>
        <w:tc>
          <w:tcPr>
            <w:tcW w:w="7817" w:type="dxa"/>
            <w:vAlign w:val="center"/>
          </w:tcPr>
          <w:p>
            <w:pPr>
              <w:spacing w:before="60" w:after="60"/>
            </w:pPr>
            <w:r>
              <w:t>Competitivitate pentru creștere și locuri de muncă</w:t>
            </w:r>
          </w:p>
        </w:tc>
      </w:tr>
    </w:tbl>
    <w:p>
      <w:pPr>
        <w:rPr>
          <w:noProof/>
          <w:sz w:val="16"/>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899"/>
        <w:gridCol w:w="899"/>
        <w:gridCol w:w="899"/>
        <w:gridCol w:w="1980"/>
      </w:tblGrid>
      <w:tr>
        <w:tc>
          <w:tcPr>
            <w:tcW w:w="3960" w:type="dxa"/>
            <w:vAlign w:val="center"/>
          </w:tcPr>
          <w:p>
            <w:pPr>
              <w:rPr>
                <w:noProof/>
                <w:sz w:val="16"/>
              </w:rPr>
            </w:pPr>
            <w:r>
              <w:rPr>
                <w:noProof/>
                <w:sz w:val="22"/>
              </w:rPr>
              <w:t>DG Ocuparea Forței de Muncă, Afaceri Sociale și Incluziune</w:t>
            </w:r>
          </w:p>
        </w:tc>
        <w:tc>
          <w:tcPr>
            <w:tcW w:w="1560" w:type="dxa"/>
            <w:gridSpan w:val="2"/>
          </w:tcPr>
          <w:p>
            <w:pPr>
              <w:rPr>
                <w:noProof/>
                <w:sz w:val="16"/>
              </w:rPr>
            </w:pPr>
          </w:p>
        </w:tc>
        <w:tc>
          <w:tcPr>
            <w:tcW w:w="534" w:type="dxa"/>
          </w:tcPr>
          <w:p>
            <w:pPr>
              <w:rPr>
                <w:noProof/>
                <w:sz w:val="16"/>
              </w:rPr>
            </w:pPr>
          </w:p>
        </w:tc>
        <w:tc>
          <w:tcPr>
            <w:tcW w:w="868" w:type="dxa"/>
            <w:vAlign w:val="center"/>
          </w:tcPr>
          <w:p>
            <w:pPr>
              <w:rPr>
                <w:noProof/>
                <w:sz w:val="16"/>
              </w:rPr>
            </w:pPr>
            <w:r>
              <w:rPr>
                <w:noProof/>
                <w:sz w:val="16"/>
              </w:rPr>
              <w:t>2013</w:t>
            </w:r>
          </w:p>
        </w:tc>
        <w:tc>
          <w:tcPr>
            <w:tcW w:w="868" w:type="dxa"/>
            <w:vAlign w:val="center"/>
          </w:tcPr>
          <w:p>
            <w:pPr>
              <w:rPr>
                <w:noProof/>
                <w:sz w:val="16"/>
              </w:rPr>
            </w:pPr>
            <w:r>
              <w:rPr>
                <w:noProof/>
                <w:sz w:val="16"/>
              </w:rPr>
              <w:t>2014</w:t>
            </w:r>
          </w:p>
        </w:tc>
        <w:tc>
          <w:tcPr>
            <w:tcW w:w="868" w:type="dxa"/>
            <w:vAlign w:val="center"/>
          </w:tcPr>
          <w:p>
            <w:pPr>
              <w:rPr>
                <w:noProof/>
                <w:sz w:val="16"/>
              </w:rPr>
            </w:pPr>
            <w:r>
              <w:rPr>
                <w:noProof/>
                <w:sz w:val="16"/>
              </w:rPr>
              <w:t>2015</w:t>
            </w:r>
          </w:p>
        </w:tc>
        <w:tc>
          <w:tcPr>
            <w:tcW w:w="868" w:type="dxa"/>
            <w:vAlign w:val="center"/>
          </w:tcPr>
          <w:p>
            <w:pPr>
              <w:rPr>
                <w:noProof/>
                <w:sz w:val="16"/>
              </w:rPr>
            </w:pPr>
            <w:r>
              <w:rPr>
                <w:noProof/>
                <w:sz w:val="16"/>
              </w:rPr>
              <w:t>2016</w:t>
            </w:r>
          </w:p>
        </w:tc>
        <w:tc>
          <w:tcPr>
            <w:tcW w:w="899" w:type="dxa"/>
            <w:vAlign w:val="center"/>
          </w:tcPr>
          <w:p>
            <w:pPr>
              <w:rPr>
                <w:noProof/>
                <w:sz w:val="16"/>
              </w:rPr>
            </w:pPr>
            <w:r>
              <w:rPr>
                <w:noProof/>
                <w:sz w:val="16"/>
              </w:rPr>
              <w:t>2017</w:t>
            </w:r>
          </w:p>
        </w:tc>
        <w:tc>
          <w:tcPr>
            <w:tcW w:w="899" w:type="dxa"/>
            <w:vAlign w:val="center"/>
          </w:tcPr>
          <w:p>
            <w:pPr>
              <w:rPr>
                <w:noProof/>
                <w:sz w:val="16"/>
              </w:rPr>
            </w:pPr>
            <w:r>
              <w:rPr>
                <w:noProof/>
                <w:sz w:val="16"/>
              </w:rPr>
              <w:t>2018</w:t>
            </w:r>
          </w:p>
        </w:tc>
        <w:tc>
          <w:tcPr>
            <w:tcW w:w="899" w:type="dxa"/>
            <w:vAlign w:val="center"/>
          </w:tcPr>
          <w:p>
            <w:pPr>
              <w:rPr>
                <w:noProof/>
                <w:sz w:val="16"/>
              </w:rPr>
            </w:pPr>
            <w:r>
              <w:rPr>
                <w:noProof/>
                <w:sz w:val="16"/>
              </w:rPr>
              <w:t>2019</w:t>
            </w:r>
          </w:p>
        </w:tc>
        <w:tc>
          <w:tcPr>
            <w:tcW w:w="899" w:type="dxa"/>
            <w:vAlign w:val="center"/>
          </w:tcPr>
          <w:p>
            <w:pPr>
              <w:rPr>
                <w:noProof/>
                <w:sz w:val="16"/>
              </w:rPr>
            </w:pPr>
            <w:r>
              <w:rPr>
                <w:noProof/>
                <w:sz w:val="16"/>
              </w:rPr>
              <w:t>2020</w:t>
            </w:r>
          </w:p>
        </w:tc>
        <w:tc>
          <w:tcPr>
            <w:tcW w:w="1980" w:type="dxa"/>
            <w:vAlign w:val="center"/>
          </w:tcPr>
          <w:p>
            <w:pPr>
              <w:rPr>
                <w:b/>
                <w:noProof/>
                <w:sz w:val="16"/>
              </w:rPr>
            </w:pPr>
            <w:r>
              <w:rPr>
                <w:b/>
                <w:noProof/>
                <w:sz w:val="16"/>
              </w:rPr>
              <w:t>TOTAL</w:t>
            </w:r>
          </w:p>
        </w:tc>
      </w:tr>
      <w:tr>
        <w:trPr>
          <w:trHeight w:val="213"/>
        </w:trPr>
        <w:tc>
          <w:tcPr>
            <w:tcW w:w="6054" w:type="dxa"/>
            <w:gridSpan w:val="4"/>
            <w:vAlign w:val="center"/>
          </w:tcPr>
          <w:p>
            <w:pPr>
              <w:rPr>
                <w:noProof/>
                <w:sz w:val="16"/>
              </w:rPr>
            </w:pPr>
            <w:r>
              <w:rPr>
                <w:noProof/>
                <w:sz w:val="16"/>
              </w:rPr>
              <w:sym w:font="Wingdings" w:char="F09F"/>
            </w:r>
            <w:r>
              <w:rPr>
                <w:noProof/>
                <w:sz w:val="16"/>
              </w:rPr>
              <w:t xml:space="preserve"> Credite operaționale</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277"/>
        </w:trPr>
        <w:tc>
          <w:tcPr>
            <w:tcW w:w="3960" w:type="dxa"/>
            <w:vMerge w:val="restart"/>
            <w:vAlign w:val="center"/>
          </w:tcPr>
          <w:p>
            <w:pPr>
              <w:rPr>
                <w:noProof/>
                <w:sz w:val="16"/>
              </w:rPr>
            </w:pPr>
            <w:r>
              <w:rPr>
                <w:noProof/>
                <w:sz w:val="16"/>
              </w:rPr>
              <w:t>Numărul liniei bugetare</w:t>
            </w:r>
          </w:p>
        </w:tc>
        <w:tc>
          <w:tcPr>
            <w:tcW w:w="1440" w:type="dxa"/>
            <w:vAlign w:val="center"/>
          </w:tcPr>
          <w:p>
            <w:pPr>
              <w:rPr>
                <w:noProof/>
                <w:sz w:val="16"/>
              </w:rPr>
            </w:pPr>
            <w:r>
              <w:rPr>
                <w:noProof/>
                <w:sz w:val="16"/>
              </w:rPr>
              <w:t>Angajamente</w:t>
            </w:r>
          </w:p>
        </w:tc>
        <w:tc>
          <w:tcPr>
            <w:tcW w:w="654" w:type="dxa"/>
            <w:gridSpan w:val="2"/>
            <w:vAlign w:val="center"/>
          </w:tcPr>
          <w:p>
            <w:pPr>
              <w:rPr>
                <w:noProof/>
                <w:sz w:val="16"/>
              </w:rPr>
            </w:pPr>
            <w:r>
              <w:rPr>
                <w:noProof/>
                <w:sz w:val="16"/>
              </w:rPr>
              <w:t>(1)</w:t>
            </w:r>
          </w:p>
        </w:tc>
        <w:tc>
          <w:tcPr>
            <w:tcW w:w="868" w:type="dxa"/>
          </w:tcPr>
          <w:p>
            <w:pPr>
              <w:rPr>
                <w:noProof/>
                <w:sz w:val="16"/>
              </w:rPr>
            </w:pPr>
            <w:r>
              <w:rPr>
                <w:noProof/>
                <w:sz w:val="16"/>
              </w:rPr>
              <w:t>14,678</w:t>
            </w:r>
          </w:p>
        </w:tc>
        <w:tc>
          <w:tcPr>
            <w:tcW w:w="868" w:type="dxa"/>
          </w:tcPr>
          <w:p>
            <w:pPr>
              <w:rPr>
                <w:noProof/>
                <w:sz w:val="16"/>
              </w:rPr>
            </w:pPr>
            <w:r>
              <w:rPr>
                <w:noProof/>
                <w:sz w:val="16"/>
              </w:rPr>
              <w:t>14,095</w:t>
            </w:r>
          </w:p>
        </w:tc>
        <w:tc>
          <w:tcPr>
            <w:tcW w:w="868" w:type="dxa"/>
          </w:tcPr>
          <w:p>
            <w:pPr>
              <w:rPr>
                <w:noProof/>
                <w:sz w:val="16"/>
              </w:rPr>
            </w:pPr>
            <w:r>
              <w:rPr>
                <w:noProof/>
                <w:sz w:val="16"/>
              </w:rPr>
              <w:t>14,679</w:t>
            </w:r>
          </w:p>
        </w:tc>
        <w:tc>
          <w:tcPr>
            <w:tcW w:w="868" w:type="dxa"/>
          </w:tcPr>
          <w:p>
            <w:pPr>
              <w:rPr>
                <w:noProof/>
                <w:sz w:val="16"/>
              </w:rPr>
            </w:pPr>
            <w:r>
              <w:rPr>
                <w:noProof/>
                <w:sz w:val="16"/>
              </w:rPr>
              <w:t>14,679</w:t>
            </w:r>
          </w:p>
        </w:tc>
        <w:tc>
          <w:tcPr>
            <w:tcW w:w="899" w:type="dxa"/>
          </w:tcPr>
          <w:p>
            <w:pPr>
              <w:rPr>
                <w:noProof/>
                <w:sz w:val="16"/>
              </w:rPr>
            </w:pPr>
            <w:r>
              <w:rPr>
                <w:noProof/>
                <w:sz w:val="16"/>
              </w:rPr>
              <w:t>14,679</w:t>
            </w:r>
          </w:p>
        </w:tc>
        <w:tc>
          <w:tcPr>
            <w:tcW w:w="899" w:type="dxa"/>
          </w:tcPr>
          <w:p>
            <w:pPr>
              <w:rPr>
                <w:noProof/>
                <w:sz w:val="16"/>
              </w:rPr>
            </w:pPr>
            <w:r>
              <w:rPr>
                <w:noProof/>
                <w:sz w:val="16"/>
              </w:rPr>
              <w:t>14,973</w:t>
            </w:r>
          </w:p>
        </w:tc>
        <w:tc>
          <w:tcPr>
            <w:tcW w:w="899" w:type="dxa"/>
          </w:tcPr>
          <w:p>
            <w:pPr>
              <w:rPr>
                <w:noProof/>
                <w:sz w:val="16"/>
              </w:rPr>
            </w:pPr>
            <w:r>
              <w:rPr>
                <w:noProof/>
                <w:sz w:val="16"/>
              </w:rPr>
              <w:t>15,273</w:t>
            </w:r>
          </w:p>
        </w:tc>
        <w:tc>
          <w:tcPr>
            <w:tcW w:w="899" w:type="dxa"/>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tcPr>
          <w:p>
            <w:pPr>
              <w:rPr>
                <w:noProof/>
                <w:sz w:val="16"/>
              </w:rPr>
            </w:pPr>
          </w:p>
        </w:tc>
        <w:tc>
          <w:tcPr>
            <w:tcW w:w="1440" w:type="dxa"/>
            <w:vAlign w:val="center"/>
          </w:tcPr>
          <w:p>
            <w:pPr>
              <w:rPr>
                <w:noProof/>
                <w:sz w:val="16"/>
              </w:rPr>
            </w:pPr>
            <w:r>
              <w:rPr>
                <w:noProof/>
                <w:sz w:val="16"/>
              </w:rPr>
              <w:t>Plăți</w:t>
            </w:r>
          </w:p>
        </w:tc>
        <w:tc>
          <w:tcPr>
            <w:tcW w:w="654" w:type="dxa"/>
            <w:gridSpan w:val="2"/>
            <w:vAlign w:val="center"/>
          </w:tcPr>
          <w:p>
            <w:pPr>
              <w:rPr>
                <w:noProof/>
                <w:sz w:val="16"/>
              </w:rPr>
            </w:pPr>
            <w:r>
              <w:rPr>
                <w:noProof/>
                <w:sz w:val="16"/>
              </w:rPr>
              <w:t>(2)</w:t>
            </w:r>
          </w:p>
        </w:tc>
        <w:tc>
          <w:tcPr>
            <w:tcW w:w="868" w:type="dxa"/>
          </w:tcPr>
          <w:p>
            <w:pPr>
              <w:rPr>
                <w:noProof/>
                <w:sz w:val="16"/>
              </w:rPr>
            </w:pPr>
            <w:r>
              <w:rPr>
                <w:noProof/>
                <w:sz w:val="16"/>
              </w:rPr>
              <w:t>14,678</w:t>
            </w:r>
          </w:p>
        </w:tc>
        <w:tc>
          <w:tcPr>
            <w:tcW w:w="868" w:type="dxa"/>
          </w:tcPr>
          <w:p>
            <w:pPr>
              <w:rPr>
                <w:noProof/>
                <w:sz w:val="16"/>
              </w:rPr>
            </w:pPr>
            <w:r>
              <w:rPr>
                <w:noProof/>
                <w:sz w:val="16"/>
              </w:rPr>
              <w:t>14,095</w:t>
            </w:r>
          </w:p>
        </w:tc>
        <w:tc>
          <w:tcPr>
            <w:tcW w:w="868" w:type="dxa"/>
          </w:tcPr>
          <w:p>
            <w:pPr>
              <w:rPr>
                <w:noProof/>
                <w:sz w:val="16"/>
              </w:rPr>
            </w:pPr>
            <w:r>
              <w:rPr>
                <w:noProof/>
                <w:sz w:val="16"/>
              </w:rPr>
              <w:t>14,679</w:t>
            </w:r>
          </w:p>
        </w:tc>
        <w:tc>
          <w:tcPr>
            <w:tcW w:w="868" w:type="dxa"/>
          </w:tcPr>
          <w:p>
            <w:pPr>
              <w:rPr>
                <w:noProof/>
                <w:sz w:val="16"/>
              </w:rPr>
            </w:pPr>
            <w:r>
              <w:rPr>
                <w:noProof/>
                <w:sz w:val="16"/>
              </w:rPr>
              <w:t>14,679</w:t>
            </w:r>
          </w:p>
        </w:tc>
        <w:tc>
          <w:tcPr>
            <w:tcW w:w="899" w:type="dxa"/>
          </w:tcPr>
          <w:p>
            <w:pPr>
              <w:rPr>
                <w:noProof/>
                <w:sz w:val="16"/>
              </w:rPr>
            </w:pPr>
            <w:r>
              <w:rPr>
                <w:noProof/>
                <w:sz w:val="16"/>
              </w:rPr>
              <w:t>14,679</w:t>
            </w:r>
          </w:p>
        </w:tc>
        <w:tc>
          <w:tcPr>
            <w:tcW w:w="899" w:type="dxa"/>
          </w:tcPr>
          <w:p>
            <w:pPr>
              <w:rPr>
                <w:noProof/>
                <w:sz w:val="16"/>
              </w:rPr>
            </w:pPr>
            <w:r>
              <w:rPr>
                <w:noProof/>
                <w:sz w:val="16"/>
              </w:rPr>
              <w:t>14,973</w:t>
            </w:r>
          </w:p>
        </w:tc>
        <w:tc>
          <w:tcPr>
            <w:tcW w:w="899" w:type="dxa"/>
          </w:tcPr>
          <w:p>
            <w:pPr>
              <w:rPr>
                <w:noProof/>
                <w:sz w:val="16"/>
              </w:rPr>
            </w:pPr>
            <w:r>
              <w:rPr>
                <w:noProof/>
                <w:sz w:val="16"/>
              </w:rPr>
              <w:t>15,273</w:t>
            </w:r>
          </w:p>
        </w:tc>
        <w:tc>
          <w:tcPr>
            <w:tcW w:w="899" w:type="dxa"/>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val="restart"/>
            <w:vAlign w:val="center"/>
          </w:tcPr>
          <w:p>
            <w:pPr>
              <w:rPr>
                <w:noProof/>
                <w:sz w:val="16"/>
              </w:rPr>
            </w:pPr>
            <w:r>
              <w:rPr>
                <w:noProof/>
                <w:sz w:val="16"/>
              </w:rPr>
              <w:t>Numărul liniei bugetare</w:t>
            </w:r>
          </w:p>
        </w:tc>
        <w:tc>
          <w:tcPr>
            <w:tcW w:w="1440" w:type="dxa"/>
            <w:vAlign w:val="center"/>
          </w:tcPr>
          <w:p>
            <w:pPr>
              <w:rPr>
                <w:noProof/>
                <w:sz w:val="16"/>
              </w:rPr>
            </w:pPr>
            <w:r>
              <w:rPr>
                <w:noProof/>
                <w:sz w:val="16"/>
              </w:rPr>
              <w:t>Angajamente</w:t>
            </w:r>
          </w:p>
        </w:tc>
        <w:tc>
          <w:tcPr>
            <w:tcW w:w="654" w:type="dxa"/>
            <w:gridSpan w:val="2"/>
            <w:vAlign w:val="center"/>
          </w:tcPr>
          <w:p>
            <w:pPr>
              <w:rPr>
                <w:noProof/>
                <w:sz w:val="16"/>
              </w:rPr>
            </w:pPr>
            <w:r>
              <w:rPr>
                <w:noProof/>
                <w:sz w:val="16"/>
              </w:rPr>
              <w:t>(1a)</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c>
          <w:tcPr>
            <w:tcW w:w="3960" w:type="dxa"/>
            <w:vMerge/>
          </w:tcPr>
          <w:p>
            <w:pPr>
              <w:rPr>
                <w:noProof/>
                <w:sz w:val="16"/>
              </w:rPr>
            </w:pPr>
          </w:p>
        </w:tc>
        <w:tc>
          <w:tcPr>
            <w:tcW w:w="1440" w:type="dxa"/>
            <w:vAlign w:val="center"/>
          </w:tcPr>
          <w:p>
            <w:pPr>
              <w:rPr>
                <w:noProof/>
                <w:sz w:val="16"/>
              </w:rPr>
            </w:pPr>
            <w:r>
              <w:rPr>
                <w:noProof/>
                <w:sz w:val="16"/>
              </w:rPr>
              <w:t>Plăți</w:t>
            </w:r>
          </w:p>
        </w:tc>
        <w:tc>
          <w:tcPr>
            <w:tcW w:w="654" w:type="dxa"/>
            <w:gridSpan w:val="2"/>
            <w:vAlign w:val="center"/>
          </w:tcPr>
          <w:p>
            <w:pPr>
              <w:rPr>
                <w:noProof/>
                <w:sz w:val="16"/>
              </w:rPr>
            </w:pPr>
            <w:r>
              <w:rPr>
                <w:noProof/>
                <w:sz w:val="16"/>
              </w:rPr>
              <w:t>(2a)</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231"/>
        </w:trPr>
        <w:tc>
          <w:tcPr>
            <w:tcW w:w="6054" w:type="dxa"/>
            <w:gridSpan w:val="4"/>
            <w:vAlign w:val="center"/>
          </w:tcPr>
          <w:p>
            <w:pPr>
              <w:rPr>
                <w:noProof/>
                <w:sz w:val="16"/>
              </w:rPr>
            </w:pPr>
            <w:r>
              <w:rPr>
                <w:noProof/>
                <w:sz w:val="16"/>
              </w:rPr>
              <w:t>Credite de natură administrativă finanțate din bugetul unor programe specifice</w:t>
            </w:r>
            <w:r>
              <w:rPr>
                <w:rStyle w:val="FootnoteReference"/>
                <w:noProof/>
              </w:rPr>
              <w:footnoteReference w:id="18"/>
            </w:r>
            <w:r>
              <w:rPr>
                <w:noProof/>
                <w:sz w:val="16"/>
              </w:rPr>
              <w:t xml:space="preserve"> </w:t>
            </w:r>
          </w:p>
          <w:p>
            <w:pPr>
              <w:rPr>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319"/>
        </w:trPr>
        <w:tc>
          <w:tcPr>
            <w:tcW w:w="3960" w:type="dxa"/>
            <w:vAlign w:val="center"/>
          </w:tcPr>
          <w:p>
            <w:pPr>
              <w:rPr>
                <w:noProof/>
                <w:sz w:val="16"/>
              </w:rPr>
            </w:pPr>
            <w:r>
              <w:rPr>
                <w:noProof/>
                <w:sz w:val="16"/>
              </w:rPr>
              <w:t>Numărul liniei bugetare</w:t>
            </w:r>
          </w:p>
        </w:tc>
        <w:tc>
          <w:tcPr>
            <w:tcW w:w="1440" w:type="dxa"/>
            <w:vAlign w:val="center"/>
          </w:tcPr>
          <w:p>
            <w:pPr>
              <w:rPr>
                <w:noProof/>
                <w:sz w:val="16"/>
              </w:rPr>
            </w:pPr>
          </w:p>
        </w:tc>
        <w:tc>
          <w:tcPr>
            <w:tcW w:w="654" w:type="dxa"/>
            <w:gridSpan w:val="2"/>
            <w:vAlign w:val="center"/>
          </w:tcPr>
          <w:p>
            <w:pPr>
              <w:rPr>
                <w:noProof/>
                <w:sz w:val="16"/>
              </w:rPr>
            </w:pPr>
            <w:r>
              <w:rPr>
                <w:noProof/>
                <w:sz w:val="16"/>
              </w:rPr>
              <w:t>(3)</w:t>
            </w: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c>
          <w:tcPr>
            <w:tcW w:w="3960" w:type="dxa"/>
            <w:vMerge w:val="restart"/>
            <w:vAlign w:val="center"/>
          </w:tcPr>
          <w:p>
            <w:pPr>
              <w:rPr>
                <w:b/>
                <w:noProof/>
                <w:sz w:val="22"/>
              </w:rPr>
            </w:pPr>
            <w:r>
              <w:rPr>
                <w:b/>
                <w:noProof/>
                <w:sz w:val="22"/>
              </w:rPr>
              <w:t xml:space="preserve">TOTAL credite </w:t>
            </w:r>
          </w:p>
          <w:p>
            <w:pPr>
              <w:rPr>
                <w:b/>
                <w:noProof/>
                <w:sz w:val="16"/>
              </w:rPr>
            </w:pPr>
            <w:r>
              <w:rPr>
                <w:b/>
                <w:noProof/>
                <w:sz w:val="22"/>
              </w:rPr>
              <w:t>pentru DG</w:t>
            </w:r>
            <w:r>
              <w:rPr>
                <w:noProof/>
                <w:sz w:val="22"/>
              </w:rPr>
              <w:t xml:space="preserve"> Ocuparea Forței de Muncă, Afaceri Sociale și Incluziune</w:t>
            </w:r>
          </w:p>
        </w:tc>
        <w:tc>
          <w:tcPr>
            <w:tcW w:w="1440" w:type="dxa"/>
            <w:vAlign w:val="center"/>
          </w:tcPr>
          <w:p>
            <w:pPr>
              <w:rPr>
                <w:noProof/>
                <w:sz w:val="16"/>
              </w:rPr>
            </w:pPr>
            <w:r>
              <w:rPr>
                <w:noProof/>
                <w:sz w:val="16"/>
              </w:rPr>
              <w:t>Angajamente</w:t>
            </w:r>
          </w:p>
        </w:tc>
        <w:tc>
          <w:tcPr>
            <w:tcW w:w="654" w:type="dxa"/>
            <w:gridSpan w:val="2"/>
            <w:vAlign w:val="center"/>
          </w:tcPr>
          <w:p>
            <w:pPr>
              <w:rPr>
                <w:noProof/>
                <w:sz w:val="16"/>
              </w:rPr>
            </w:pPr>
            <w:r>
              <w:rPr>
                <w:noProof/>
                <w:sz w:val="16"/>
              </w:rPr>
              <w:t>=1+1a +3</w:t>
            </w:r>
          </w:p>
        </w:tc>
        <w:tc>
          <w:tcPr>
            <w:tcW w:w="868" w:type="dxa"/>
            <w:vAlign w:val="center"/>
          </w:tcPr>
          <w:p>
            <w:pPr>
              <w:rPr>
                <w:noProof/>
                <w:sz w:val="16"/>
              </w:rPr>
            </w:pPr>
            <w:r>
              <w:rPr>
                <w:noProof/>
                <w:sz w:val="16"/>
              </w:rPr>
              <w:t>14,678</w:t>
            </w:r>
          </w:p>
        </w:tc>
        <w:tc>
          <w:tcPr>
            <w:tcW w:w="868" w:type="dxa"/>
            <w:vAlign w:val="center"/>
          </w:tcPr>
          <w:p>
            <w:pPr>
              <w:rPr>
                <w:noProof/>
                <w:sz w:val="16"/>
              </w:rPr>
            </w:pPr>
            <w:r>
              <w:rPr>
                <w:noProof/>
                <w:sz w:val="16"/>
              </w:rPr>
              <w:t>14,095</w:t>
            </w:r>
          </w:p>
        </w:tc>
        <w:tc>
          <w:tcPr>
            <w:tcW w:w="868" w:type="dxa"/>
            <w:vAlign w:val="center"/>
          </w:tcPr>
          <w:p>
            <w:pPr>
              <w:rPr>
                <w:noProof/>
                <w:sz w:val="16"/>
              </w:rPr>
            </w:pPr>
            <w:r>
              <w:rPr>
                <w:noProof/>
                <w:sz w:val="16"/>
              </w:rPr>
              <w:t>14,679</w:t>
            </w:r>
          </w:p>
        </w:tc>
        <w:tc>
          <w:tcPr>
            <w:tcW w:w="868" w:type="dxa"/>
            <w:vAlign w:val="center"/>
          </w:tcPr>
          <w:p>
            <w:pPr>
              <w:rPr>
                <w:noProof/>
                <w:sz w:val="16"/>
              </w:rPr>
            </w:pPr>
            <w:r>
              <w:rPr>
                <w:noProof/>
                <w:sz w:val="16"/>
              </w:rPr>
              <w:t>14,679</w:t>
            </w:r>
          </w:p>
        </w:tc>
        <w:tc>
          <w:tcPr>
            <w:tcW w:w="899" w:type="dxa"/>
            <w:vAlign w:val="center"/>
          </w:tcPr>
          <w:p>
            <w:pPr>
              <w:rPr>
                <w:noProof/>
                <w:sz w:val="16"/>
              </w:rPr>
            </w:pPr>
            <w:r>
              <w:rPr>
                <w:noProof/>
                <w:sz w:val="16"/>
              </w:rPr>
              <w:t>14,679</w:t>
            </w:r>
          </w:p>
        </w:tc>
        <w:tc>
          <w:tcPr>
            <w:tcW w:w="899" w:type="dxa"/>
            <w:vAlign w:val="center"/>
          </w:tcPr>
          <w:p>
            <w:pPr>
              <w:rPr>
                <w:noProof/>
                <w:sz w:val="16"/>
              </w:rPr>
            </w:pPr>
            <w:r>
              <w:rPr>
                <w:noProof/>
                <w:sz w:val="16"/>
              </w:rPr>
              <w:t>14,973</w:t>
            </w:r>
          </w:p>
        </w:tc>
        <w:tc>
          <w:tcPr>
            <w:tcW w:w="899" w:type="dxa"/>
            <w:vAlign w:val="center"/>
          </w:tcPr>
          <w:p>
            <w:pPr>
              <w:rPr>
                <w:noProof/>
                <w:sz w:val="16"/>
              </w:rPr>
            </w:pPr>
            <w:r>
              <w:rPr>
                <w:noProof/>
                <w:sz w:val="16"/>
              </w:rPr>
              <w:t>15,273</w:t>
            </w:r>
          </w:p>
        </w:tc>
        <w:tc>
          <w:tcPr>
            <w:tcW w:w="899" w:type="dxa"/>
            <w:vAlign w:val="center"/>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tcPr>
          <w:p>
            <w:pPr>
              <w:rPr>
                <w:noProof/>
                <w:sz w:val="16"/>
              </w:rPr>
            </w:pPr>
          </w:p>
        </w:tc>
        <w:tc>
          <w:tcPr>
            <w:tcW w:w="1440" w:type="dxa"/>
            <w:vAlign w:val="center"/>
          </w:tcPr>
          <w:p>
            <w:pPr>
              <w:rPr>
                <w:noProof/>
                <w:sz w:val="16"/>
              </w:rPr>
            </w:pPr>
            <w:r>
              <w:rPr>
                <w:noProof/>
                <w:sz w:val="16"/>
              </w:rPr>
              <w:t>Plăți</w:t>
            </w:r>
          </w:p>
        </w:tc>
        <w:tc>
          <w:tcPr>
            <w:tcW w:w="654" w:type="dxa"/>
            <w:gridSpan w:val="2"/>
            <w:vAlign w:val="center"/>
          </w:tcPr>
          <w:p>
            <w:pPr>
              <w:rPr>
                <w:noProof/>
                <w:sz w:val="16"/>
              </w:rPr>
            </w:pPr>
            <w:r>
              <w:rPr>
                <w:noProof/>
                <w:sz w:val="16"/>
              </w:rPr>
              <w:t>=2+2a</w:t>
            </w:r>
          </w:p>
          <w:p>
            <w:pPr>
              <w:rPr>
                <w:noProof/>
                <w:sz w:val="16"/>
              </w:rPr>
            </w:pPr>
            <w:r>
              <w:rPr>
                <w:noProof/>
                <w:sz w:val="16"/>
              </w:rPr>
              <w:t>+3</w:t>
            </w:r>
          </w:p>
        </w:tc>
        <w:tc>
          <w:tcPr>
            <w:tcW w:w="868" w:type="dxa"/>
            <w:vAlign w:val="center"/>
          </w:tcPr>
          <w:p>
            <w:pPr>
              <w:rPr>
                <w:noProof/>
                <w:sz w:val="16"/>
              </w:rPr>
            </w:pPr>
            <w:r>
              <w:rPr>
                <w:noProof/>
                <w:sz w:val="16"/>
              </w:rPr>
              <w:t>14,678</w:t>
            </w:r>
          </w:p>
        </w:tc>
        <w:tc>
          <w:tcPr>
            <w:tcW w:w="868" w:type="dxa"/>
            <w:vAlign w:val="center"/>
          </w:tcPr>
          <w:p>
            <w:pPr>
              <w:rPr>
                <w:noProof/>
                <w:sz w:val="16"/>
              </w:rPr>
            </w:pPr>
            <w:r>
              <w:rPr>
                <w:noProof/>
                <w:sz w:val="16"/>
              </w:rPr>
              <w:t>14,095</w:t>
            </w:r>
          </w:p>
        </w:tc>
        <w:tc>
          <w:tcPr>
            <w:tcW w:w="868" w:type="dxa"/>
            <w:vAlign w:val="center"/>
          </w:tcPr>
          <w:p>
            <w:pPr>
              <w:rPr>
                <w:noProof/>
                <w:sz w:val="16"/>
              </w:rPr>
            </w:pPr>
            <w:r>
              <w:rPr>
                <w:noProof/>
                <w:sz w:val="16"/>
              </w:rPr>
              <w:t>14,679</w:t>
            </w:r>
          </w:p>
        </w:tc>
        <w:tc>
          <w:tcPr>
            <w:tcW w:w="868" w:type="dxa"/>
            <w:vAlign w:val="center"/>
          </w:tcPr>
          <w:p>
            <w:pPr>
              <w:rPr>
                <w:noProof/>
                <w:sz w:val="16"/>
              </w:rPr>
            </w:pPr>
            <w:r>
              <w:rPr>
                <w:noProof/>
                <w:sz w:val="16"/>
              </w:rPr>
              <w:t>14,679</w:t>
            </w:r>
          </w:p>
        </w:tc>
        <w:tc>
          <w:tcPr>
            <w:tcW w:w="899" w:type="dxa"/>
            <w:vAlign w:val="center"/>
          </w:tcPr>
          <w:p>
            <w:pPr>
              <w:rPr>
                <w:noProof/>
                <w:sz w:val="16"/>
              </w:rPr>
            </w:pPr>
            <w:r>
              <w:rPr>
                <w:noProof/>
                <w:sz w:val="16"/>
              </w:rPr>
              <w:t>14,679</w:t>
            </w:r>
          </w:p>
        </w:tc>
        <w:tc>
          <w:tcPr>
            <w:tcW w:w="899" w:type="dxa"/>
            <w:vAlign w:val="center"/>
          </w:tcPr>
          <w:p>
            <w:pPr>
              <w:rPr>
                <w:noProof/>
                <w:sz w:val="16"/>
              </w:rPr>
            </w:pPr>
            <w:r>
              <w:rPr>
                <w:noProof/>
                <w:sz w:val="16"/>
              </w:rPr>
              <w:t>14,973</w:t>
            </w:r>
          </w:p>
        </w:tc>
        <w:tc>
          <w:tcPr>
            <w:tcW w:w="899" w:type="dxa"/>
            <w:vAlign w:val="center"/>
          </w:tcPr>
          <w:p>
            <w:pPr>
              <w:rPr>
                <w:noProof/>
                <w:sz w:val="16"/>
              </w:rPr>
            </w:pPr>
            <w:r>
              <w:rPr>
                <w:noProof/>
                <w:sz w:val="16"/>
              </w:rPr>
              <w:t>15,273</w:t>
            </w:r>
          </w:p>
        </w:tc>
        <w:tc>
          <w:tcPr>
            <w:tcW w:w="899" w:type="dxa"/>
            <w:vAlign w:val="center"/>
          </w:tcPr>
          <w:p>
            <w:pPr>
              <w:rPr>
                <w:noProof/>
                <w:sz w:val="16"/>
              </w:rPr>
            </w:pPr>
            <w:r>
              <w:rPr>
                <w:noProof/>
                <w:sz w:val="16"/>
              </w:rPr>
              <w:t>15,579</w:t>
            </w:r>
          </w:p>
        </w:tc>
        <w:tc>
          <w:tcPr>
            <w:tcW w:w="1980" w:type="dxa"/>
            <w:vAlign w:val="center"/>
          </w:tcPr>
          <w:p>
            <w:pPr>
              <w:rPr>
                <w:b/>
                <w:noProof/>
                <w:sz w:val="16"/>
              </w:rPr>
            </w:pPr>
            <w:r>
              <w:rPr>
                <w:b/>
                <w:noProof/>
                <w:sz w:val="16"/>
              </w:rPr>
              <w:t>103,957</w:t>
            </w:r>
          </w:p>
        </w:tc>
      </w:tr>
    </w:tbl>
    <w:p>
      <w:pPr>
        <w:rPr>
          <w:noProof/>
        </w:rPr>
      </w:pPr>
      <w:r>
        <w:rPr>
          <w:noProof/>
        </w:rPr>
        <w:br/>
      </w:r>
      <w:r>
        <w:rPr>
          <w:noProof/>
        </w:rPr>
        <w:br/>
      </w:r>
    </w:p>
    <w:p>
      <w:pPr>
        <w:rPr>
          <w:noProof/>
        </w:rPr>
      </w:pPr>
      <w:r>
        <w:rPr>
          <w:noProof/>
        </w:rPr>
        <w:br w:type="page"/>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Impactul estimat asupra resurselor umane ale EU-OSHA</w:t>
      </w:r>
    </w:p>
    <w:p>
      <w:pPr>
        <w:pStyle w:val="ManualHeading4"/>
        <w:rPr>
          <w:bCs/>
          <w:noProof/>
          <w:szCs w:val="24"/>
        </w:rPr>
      </w:pPr>
      <w:r>
        <w:t>3.2.2.1.</w:t>
      </w:r>
      <w:r>
        <w:tab/>
      </w:r>
      <w:r>
        <w:rPr>
          <w:noProof/>
        </w:rPr>
        <w:t xml:space="preserve">Sinteză </w:t>
      </w:r>
    </w:p>
    <w:p>
      <w:pPr>
        <w:pStyle w:val="ListDash1"/>
        <w:rPr>
          <w:noProof/>
        </w:rPr>
      </w:pPr>
      <w:r>
        <w:rPr>
          <w:noProof/>
        </w:rPr>
        <w:sym w:font="Wingdings" w:char="F0A8"/>
      </w:r>
      <w:r>
        <w:rPr>
          <w:noProof/>
        </w:rPr>
        <w:tab/>
        <w:t>Propunerea/inițiativa nu implică utilizarea de credite cu caracter administrativ</w:t>
      </w:r>
    </w:p>
    <w:p>
      <w:pPr>
        <w:pStyle w:val="ListDash1"/>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3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2016</w:t>
            </w:r>
          </w:p>
        </w:tc>
        <w:tc>
          <w:tcPr>
            <w:tcW w:w="1080" w:type="dxa"/>
            <w:vAlign w:val="center"/>
          </w:tcPr>
          <w:p>
            <w:pPr>
              <w:spacing w:before="60" w:after="60"/>
              <w:jc w:val="center"/>
              <w:rPr>
                <w:noProof/>
                <w:sz w:val="20"/>
              </w:rPr>
            </w:pPr>
            <w:r>
              <w:rPr>
                <w:noProof/>
                <w:sz w:val="20"/>
              </w:rPr>
              <w:t>2017</w:t>
            </w:r>
          </w:p>
        </w:tc>
        <w:tc>
          <w:tcPr>
            <w:tcW w:w="1080" w:type="dxa"/>
            <w:vAlign w:val="center"/>
          </w:tcPr>
          <w:p>
            <w:pPr>
              <w:spacing w:before="60" w:after="60"/>
              <w:jc w:val="center"/>
              <w:rPr>
                <w:noProof/>
                <w:sz w:val="20"/>
              </w:rPr>
            </w:pPr>
            <w:r>
              <w:rPr>
                <w:noProof/>
                <w:sz w:val="20"/>
              </w:rPr>
              <w:t>2018</w:t>
            </w:r>
          </w:p>
        </w:tc>
        <w:tc>
          <w:tcPr>
            <w:tcW w:w="1080" w:type="dxa"/>
            <w:vAlign w:val="center"/>
          </w:tcPr>
          <w:p>
            <w:pPr>
              <w:spacing w:before="60" w:after="60"/>
              <w:jc w:val="center"/>
              <w:rPr>
                <w:noProof/>
                <w:sz w:val="20"/>
              </w:rPr>
            </w:pPr>
            <w:r>
              <w:rPr>
                <w:noProof/>
                <w:sz w:val="20"/>
              </w:rPr>
              <w:t>2019</w:t>
            </w:r>
          </w:p>
        </w:tc>
        <w:tc>
          <w:tcPr>
            <w:tcW w:w="1080" w:type="dxa"/>
            <w:vAlign w:val="center"/>
          </w:tcPr>
          <w:p>
            <w:pPr>
              <w:jc w:val="center"/>
              <w:rPr>
                <w:b/>
                <w:noProof/>
                <w:sz w:val="20"/>
              </w:rPr>
            </w:pPr>
            <w:r>
              <w:rPr>
                <w:noProof/>
                <w:sz w:val="20"/>
              </w:rPr>
              <w:t>2020</w:t>
            </w:r>
          </w:p>
        </w:tc>
        <w:tc>
          <w:tcPr>
            <w:tcW w:w="1080" w:type="dxa"/>
            <w:vAlign w:val="center"/>
          </w:tcPr>
          <w:p>
            <w:pPr>
              <w:jc w:val="center"/>
              <w:rPr>
                <w:b/>
                <w:noProof/>
                <w:sz w:val="20"/>
              </w:rPr>
            </w:pPr>
          </w:p>
        </w:tc>
        <w:tc>
          <w:tcPr>
            <w:tcW w:w="1080" w:type="dxa"/>
            <w:vAlign w:val="center"/>
          </w:tcPr>
          <w:p>
            <w:pPr>
              <w:jc w:val="center"/>
              <w:rPr>
                <w:b/>
                <w:noProof/>
                <w:sz w:val="20"/>
              </w:rPr>
            </w:pP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Funcționari (grade AD)</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Funcționari (grade AST)</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Agenți contractuali</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Personal temporar </w:t>
            </w:r>
          </w:p>
        </w:tc>
        <w:tc>
          <w:tcPr>
            <w:tcW w:w="1080" w:type="dxa"/>
            <w:vAlign w:val="center"/>
          </w:tcPr>
          <w:p>
            <w:pPr>
              <w:spacing w:before="60" w:after="60"/>
              <w:jc w:val="right"/>
              <w:rPr>
                <w:noProof/>
                <w:sz w:val="20"/>
              </w:rPr>
            </w:pPr>
            <w:r>
              <w:rPr>
                <w:noProof/>
                <w:sz w:val="20"/>
              </w:rPr>
              <w:t>41</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Experți naționali detașați</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bCs/>
          <w:noProof/>
          <w:szCs w:val="24"/>
        </w:rPr>
      </w:pPr>
      <w:r>
        <w:t>3.2.2.2.</w:t>
      </w:r>
      <w:r>
        <w:tab/>
      </w:r>
      <w:r>
        <w:rPr>
          <w:noProof/>
        </w:rPr>
        <w:t>Necesarul de resurse umane estimat pentru DG-ul sub tutela căruia se află Agenția</w:t>
      </w:r>
    </w:p>
    <w:p>
      <w:pPr>
        <w:pStyle w:val="ListDash1"/>
        <w:rPr>
          <w:noProof/>
        </w:rPr>
      </w:pPr>
      <w:r>
        <w:rPr>
          <w:noProof/>
        </w:rPr>
        <w:sym w:font="Wingdings" w:char="F0A8"/>
      </w:r>
      <w:r>
        <w:rPr>
          <w:noProof/>
        </w:rPr>
        <w:tab/>
        <w:t>Propunerea/inițiativa nu implică utilizarea de resurse umane.</w:t>
      </w:r>
    </w:p>
    <w:p>
      <w:pPr>
        <w:pStyle w:val="ListDash1"/>
        <w:rPr>
          <w:noProof/>
        </w:rPr>
      </w:pPr>
      <w:r>
        <w:rPr>
          <w:noProof/>
        </w:rPr>
        <w:sym w:font="Wingdings" w:char="F078"/>
      </w:r>
      <w:r>
        <w:rPr>
          <w:noProof/>
        </w:rPr>
        <w:tab/>
        <w:t>Propunerea/inițiativa implică utilizarea de resurse umane, conform explicațiilor de mai jos:</w:t>
      </w:r>
    </w:p>
    <w:p>
      <w:pPr>
        <w:spacing w:after="60"/>
        <w:jc w:val="right"/>
        <w:rPr>
          <w:i/>
          <w:noProof/>
          <w:sz w:val="20"/>
        </w:rPr>
      </w:pP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pStyle w:val="Text1"/>
              <w:numPr>
                <w:ilvl w:val="0"/>
                <w:numId w:val="51"/>
              </w:numPr>
              <w:tabs>
                <w:tab w:val="left" w:pos="208"/>
              </w:tabs>
              <w:spacing w:beforeLines="20" w:before="48" w:afterLines="20" w:after="48"/>
              <w:ind w:left="208" w:hanging="120"/>
              <w:jc w:val="left"/>
              <w:rPr>
                <w:b/>
                <w:noProof/>
                <w:sz w:val="20"/>
              </w:rPr>
            </w:pPr>
            <w:r>
              <w:rPr>
                <w:b/>
                <w:noProof/>
                <w:sz w:val="20"/>
              </w:rPr>
              <w:t>Posturi din schema de personal (funcționari și agenți temporari)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(la sediu și în birourile de reprezentare ale Comisiei)</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406" w:type="pct"/>
            <w:shd w:val="clear" w:color="auto" w:fill="auto"/>
            <w:vAlign w:val="center"/>
          </w:tcPr>
          <w:p>
            <w:pPr>
              <w:spacing w:beforeLines="20" w:before="48" w:afterLines="20" w:after="48"/>
              <w:jc w:val="center"/>
              <w:rPr>
                <w:noProof/>
                <w:sz w:val="20"/>
              </w:rPr>
            </w:pPr>
            <w:r>
              <w:rPr>
                <w:noProof/>
                <w:sz w:val="20"/>
              </w:rPr>
              <w:t>0,8</w:t>
            </w:r>
          </w:p>
        </w:tc>
        <w:tc>
          <w:tcPr>
            <w:tcW w:w="497"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(delegații)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05 01 (cercetare indirectă)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10 01 05 01 (cercetare 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Personal extern (în echivalent normă întreagă: ENI)</w:t>
            </w:r>
            <w:r>
              <w:rPr>
                <w:rStyle w:val="FootnoteReference"/>
                <w:b/>
                <w:noProof/>
                <w:sz w:val="20"/>
              </w:rPr>
              <w:footnoteReference w:id="1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din „pachetul global”)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și JED în delegații)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20"/>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la sediu</w:t>
            </w:r>
            <w:r>
              <w:rPr>
                <w:rStyle w:val="FootnoteReference"/>
                <w:noProof/>
                <w:sz w:val="20"/>
              </w:rPr>
              <w:footnoteReference w:id="21"/>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în delegații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cercetare indirectă)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cercetare 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Alte linii bugetare (a se preciza)</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având în vedere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agenți temporari</w:t>
            </w:r>
          </w:p>
        </w:tc>
        <w:tc>
          <w:tcPr>
            <w:tcW w:w="7200" w:type="dxa"/>
          </w:tcPr>
          <w:p>
            <w:pPr>
              <w:rPr>
                <w:noProof/>
                <w:sz w:val="20"/>
              </w:rPr>
            </w:pPr>
            <w:r>
              <w:rPr>
                <w:noProof/>
                <w:sz w:val="20"/>
              </w:rPr>
              <w:t>Coordonarea și reprezentarea poziției Comisiei față de Agenție.</w:t>
            </w: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bCs/>
          <w:noProof/>
          <w:szCs w:val="24"/>
        </w:rPr>
      </w:pPr>
      <w:r>
        <w:t>3.2.3.</w:t>
      </w:r>
      <w:r>
        <w:tab/>
      </w:r>
      <w:r>
        <w:rPr>
          <w:noProof/>
        </w:rPr>
        <w:t>Compatibilitatea cu actualul cadru financiar multianual</w:t>
      </w:r>
    </w:p>
    <w:p>
      <w:pPr>
        <w:pStyle w:val="ListDash1"/>
        <w:rPr>
          <w:noProof/>
        </w:rPr>
      </w:pPr>
      <w:r>
        <w:rPr>
          <w:noProof/>
        </w:rPr>
        <w:sym w:font="Wingdings" w:char="F078"/>
      </w:r>
      <w:r>
        <w:rPr>
          <w:noProof/>
        </w:rPr>
        <w:tab/>
        <w:t>Propunerea/inițiativa este compatibilă cu actualul cadru financiar multianual.</w:t>
      </w:r>
    </w:p>
    <w:p>
      <w:pPr>
        <w:pStyle w:val="ListDash1"/>
        <w:rPr>
          <w:noProof/>
        </w:rPr>
      </w:pPr>
      <w:r>
        <w:rPr>
          <w:noProof/>
        </w:rPr>
        <w:sym w:font="Wingdings" w:char="F0A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 liniile bugetare în cauză și sumele aferente.</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Propunerea/inițiativa necesită recurgerea la instrumentul de flexibilitate sau revizuirea cadrului financiar multianual</w:t>
      </w:r>
      <w:r>
        <w:rPr>
          <w:rStyle w:val="FootnoteReference"/>
          <w:noProof/>
        </w:rPr>
        <w:footnoteReference w:id="22"/>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acțiunile necesare, precizând rubricile și liniile bugetare în cauză, precum și sumele aferente.</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3.2.4.</w:t>
      </w:r>
      <w:r>
        <w:tab/>
      </w:r>
      <w:r>
        <w:rPr>
          <w:noProof/>
        </w:rPr>
        <w:t>Contribuțiile terților</w:t>
      </w:r>
    </w:p>
    <w:p>
      <w:pPr>
        <w:pStyle w:val="ListDash1"/>
        <w:rPr>
          <w:noProof/>
        </w:rPr>
      </w:pPr>
      <w:r>
        <w:rPr>
          <w:noProof/>
        </w:rPr>
        <w:t>Propunerea/inițiativa nu prevede cofinanțare din partea terților.</w:t>
      </w:r>
    </w:p>
    <w:p>
      <w:pPr>
        <w:pStyle w:val="ListDash1"/>
        <w:rPr>
          <w:noProof/>
        </w:rPr>
      </w:pPr>
      <w:r>
        <w:rPr>
          <w:noProof/>
        </w:rPr>
        <w:t>Propunerea/inițiativa prevede cofinanțare, estimată în cele ce urmează:</w:t>
      </w:r>
    </w:p>
    <w:p>
      <w:pPr>
        <w:jc w:val="right"/>
        <w:rPr>
          <w:noProof/>
          <w:sz w:val="20"/>
        </w:rPr>
      </w:pPr>
      <w:r>
        <w:rPr>
          <w:noProof/>
          <w:sz w:val="20"/>
        </w:rPr>
        <w:t>milioane EUR (cu 3 zecimale)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sz w:val="22"/>
              </w:rPr>
              <w:br/>
            </w:r>
            <w:r>
              <w:rPr>
                <w:b/>
                <w:noProof/>
                <w:sz w:val="20"/>
              </w:rPr>
              <w:t>N</w:t>
            </w:r>
          </w:p>
        </w:tc>
        <w:tc>
          <w:tcPr>
            <w:tcW w:w="964" w:type="dxa"/>
            <w:vAlign w:val="center"/>
          </w:tcPr>
          <w:p>
            <w:pPr>
              <w:jc w:val="center"/>
              <w:rPr>
                <w:noProof/>
                <w:sz w:val="20"/>
              </w:rPr>
            </w:pPr>
            <w:r>
              <w:rPr>
                <w:noProof/>
                <w:sz w:val="20"/>
              </w:rPr>
              <w:t>Anul</w:t>
            </w:r>
            <w:r>
              <w:rPr>
                <w:noProof/>
                <w:sz w:val="22"/>
              </w:rPr>
              <w:br/>
            </w:r>
            <w:r>
              <w:rPr>
                <w:b/>
                <w:noProof/>
                <w:sz w:val="20"/>
              </w:rPr>
              <w:t>N+1</w:t>
            </w:r>
          </w:p>
        </w:tc>
        <w:tc>
          <w:tcPr>
            <w:tcW w:w="964" w:type="dxa"/>
            <w:vAlign w:val="center"/>
          </w:tcPr>
          <w:p>
            <w:pPr>
              <w:jc w:val="center"/>
              <w:rPr>
                <w:noProof/>
                <w:sz w:val="20"/>
              </w:rPr>
            </w:pPr>
            <w:r>
              <w:rPr>
                <w:noProof/>
                <w:sz w:val="20"/>
              </w:rPr>
              <w:t>Anul</w:t>
            </w:r>
            <w:r>
              <w:rPr>
                <w:noProof/>
                <w:sz w:val="22"/>
              </w:rPr>
              <w:br/>
            </w:r>
            <w:r>
              <w:rPr>
                <w:b/>
                <w:noProof/>
                <w:sz w:val="20"/>
              </w:rPr>
              <w:t>N+2</w:t>
            </w:r>
          </w:p>
        </w:tc>
        <w:tc>
          <w:tcPr>
            <w:tcW w:w="964" w:type="dxa"/>
            <w:vAlign w:val="center"/>
          </w:tcPr>
          <w:p>
            <w:pPr>
              <w:jc w:val="center"/>
              <w:rPr>
                <w:noProof/>
                <w:sz w:val="20"/>
              </w:rPr>
            </w:pPr>
            <w:r>
              <w:rPr>
                <w:noProof/>
                <w:sz w:val="20"/>
              </w:rPr>
              <w:t>Anul</w:t>
            </w:r>
            <w:r>
              <w:rPr>
                <w:noProof/>
                <w:sz w:val="22"/>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Impactul estimat asupra veniturilor</w:t>
      </w:r>
    </w:p>
    <w:p>
      <w:pPr>
        <w:pStyle w:val="ListDash1"/>
        <w:rPr>
          <w:noProof/>
        </w:rPr>
      </w:pPr>
      <w:r>
        <w:rPr>
          <w:noProof/>
        </w:rPr>
        <w:sym w:font="Wingdings" w:char="F07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tabs>
          <w:tab w:val="clear" w:pos="2126"/>
        </w:tabs>
        <w:rPr>
          <w:noProof/>
        </w:rPr>
      </w:pPr>
      <w:r>
        <w:rPr>
          <w:noProof/>
        </w:rPr>
        <w:sym w:font="Wingdings" w:char="F0A8"/>
      </w:r>
      <w:r>
        <w:rPr>
          <w:noProof/>
        </w:rPr>
        <w:tab/>
        <w:t>asupra resurselor proprii</w:t>
      </w:r>
    </w:p>
    <w:p>
      <w:pPr>
        <w:pStyle w:val="ListNumberLevel3"/>
        <w:tabs>
          <w:tab w:val="clear" w:pos="2126"/>
        </w:tabs>
        <w:rPr>
          <w:noProof/>
        </w:rPr>
      </w:pPr>
      <w:r>
        <w:rPr>
          <w:noProof/>
        </w:rPr>
        <w:sym w:font="Wingdings" w:char="F0A8"/>
      </w:r>
      <w:r>
        <w:rPr>
          <w:noProof/>
        </w:rPr>
        <w:tab/>
        <w:t>asupra diverselor venituri</w:t>
      </w:r>
    </w:p>
    <w:p>
      <w:pPr>
        <w:jc w:val="right"/>
        <w:rPr>
          <w:i/>
          <w:noProof/>
          <w:sz w:val="20"/>
        </w:rPr>
      </w:pPr>
      <w:r>
        <w:rPr>
          <w:noProof/>
          <w:sz w:val="20"/>
        </w:rPr>
        <w:t>milioane EUR (cu 3 zecimale)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2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Anul</w:t>
            </w:r>
            <w:r>
              <w:rPr>
                <w:noProof/>
                <w:sz w:val="22"/>
              </w:rPr>
              <w:br/>
            </w:r>
            <w:r>
              <w:rPr>
                <w:b/>
                <w:noProof/>
                <w:sz w:val="18"/>
              </w:rPr>
              <w:t>N</w:t>
            </w:r>
          </w:p>
        </w:tc>
        <w:tc>
          <w:tcPr>
            <w:tcW w:w="900" w:type="dxa"/>
            <w:vAlign w:val="center"/>
          </w:tcPr>
          <w:p>
            <w:pPr>
              <w:jc w:val="center"/>
              <w:rPr>
                <w:noProof/>
                <w:sz w:val="18"/>
              </w:rPr>
            </w:pPr>
            <w:r>
              <w:rPr>
                <w:noProof/>
                <w:sz w:val="18"/>
              </w:rPr>
              <w:t>Anul</w:t>
            </w:r>
            <w:r>
              <w:rPr>
                <w:noProof/>
                <w:sz w:val="22"/>
              </w:rPr>
              <w:br/>
            </w:r>
            <w:r>
              <w:rPr>
                <w:b/>
                <w:noProof/>
                <w:sz w:val="18"/>
              </w:rPr>
              <w:t>N+1</w:t>
            </w:r>
          </w:p>
        </w:tc>
        <w:tc>
          <w:tcPr>
            <w:tcW w:w="900" w:type="dxa"/>
            <w:vAlign w:val="center"/>
          </w:tcPr>
          <w:p>
            <w:pPr>
              <w:jc w:val="center"/>
              <w:rPr>
                <w:noProof/>
                <w:sz w:val="18"/>
              </w:rPr>
            </w:pPr>
            <w:r>
              <w:rPr>
                <w:noProof/>
                <w:sz w:val="18"/>
              </w:rPr>
              <w:t>Anul</w:t>
            </w:r>
            <w:r>
              <w:rPr>
                <w:noProof/>
                <w:sz w:val="22"/>
              </w:rPr>
              <w:br/>
            </w:r>
            <w:r>
              <w:rPr>
                <w:b/>
                <w:noProof/>
                <w:sz w:val="18"/>
              </w:rPr>
              <w:t>N+2</w:t>
            </w:r>
          </w:p>
        </w:tc>
        <w:tc>
          <w:tcPr>
            <w:tcW w:w="1080" w:type="dxa"/>
            <w:vAlign w:val="center"/>
          </w:tcPr>
          <w:p>
            <w:pPr>
              <w:jc w:val="center"/>
              <w:rPr>
                <w:noProof/>
                <w:sz w:val="18"/>
              </w:rPr>
            </w:pPr>
            <w:r>
              <w:rPr>
                <w:noProof/>
                <w:sz w:val="18"/>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diversele venituri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p>
      <w:pPr>
        <w:jc w:val="cente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C , , p. .</w:t>
      </w:r>
    </w:p>
  </w:footnote>
  <w:footnote w:id="2">
    <w:p>
      <w:pPr>
        <w:pStyle w:val="FootnoteText"/>
      </w:pPr>
      <w:r>
        <w:rPr>
          <w:rStyle w:val="FootnoteReference"/>
        </w:rPr>
        <w:footnoteRef/>
      </w:r>
      <w:r>
        <w:tab/>
        <w:t>JO C , , p. .</w:t>
      </w:r>
    </w:p>
  </w:footnote>
  <w:footnote w:id="3">
    <w:p>
      <w:pPr>
        <w:pStyle w:val="FootnoteText"/>
      </w:pPr>
      <w:r>
        <w:rPr>
          <w:rStyle w:val="FootnoteReference"/>
        </w:rPr>
        <w:footnoteRef/>
      </w:r>
      <w:r>
        <w:tab/>
        <w:t>Regulamentul (CE) nr. 2062/94 al Consiliului din 18 iulie 1994 privind înființarea Agenției Europene pentru Sănătate și Securitate în Muncă (JO L 216, 20.8.1994, p. 1).</w:t>
      </w:r>
    </w:p>
  </w:footnote>
  <w:footnote w:id="4">
    <w:p>
      <w:pPr>
        <w:pStyle w:val="FootnoteText"/>
      </w:pPr>
      <w:r>
        <w:rPr>
          <w:rStyle w:val="FootnoteReference"/>
        </w:rPr>
        <w:footnoteRef/>
      </w:r>
      <w:r>
        <w:tab/>
        <w:t>Decizia Consiliului din 22 iulie 2003 de constituire a Comitetului consultativ pentru securitate și sănătate la locul de muncă, JO C 218, 13.9.2003, p. 1-4.</w:t>
      </w:r>
    </w:p>
  </w:footnote>
  <w:footnote w:id="5">
    <w:p>
      <w:pPr>
        <w:pStyle w:val="FootnoteText"/>
      </w:pPr>
      <w:r>
        <w:rPr>
          <w:rStyle w:val="FootnoteReference"/>
        </w:rPr>
        <w:footnoteRef/>
      </w:r>
      <w:r>
        <w:tab/>
        <w:t>Regulamentul delegat (UE) nr. 1271/2013 al Comisiei din 30 septembrie privind regulamentul financiar cadru pentru organismele menționate la articolul 208 din Regulamentul (UE, Euratom) nr. 966/2012 al Parlamentului European și al Consiliului (JO L 328, 7.12.2013, p. 42).</w:t>
      </w:r>
    </w:p>
  </w:footnote>
  <w:footnote w:id="6">
    <w:p>
      <w:pPr>
        <w:pStyle w:val="FootnoteText"/>
      </w:pPr>
      <w:r>
        <w:rPr>
          <w:rStyle w:val="FootnoteReference"/>
        </w:rPr>
        <w:footnoteRef/>
      </w:r>
      <w:r>
        <w:tab/>
        <w:t>Regulamentul (CEE, Euratom, CECO) nr. 259/68 al Consiliului (JO L 56, 4.3.1968, p. 1), astfel cum a fost modificat prin Regulamentul (UE, Euratom) nr. 1023/2013 al Parlamentului European și al Consiliului din 22 octombrie 2013 (JO L 287, 29.10.2013, p. 15).</w:t>
      </w:r>
    </w:p>
  </w:footnote>
  <w:footnote w:id="7">
    <w:p>
      <w:pPr>
        <w:pStyle w:val="FootnoteText"/>
      </w:pPr>
      <w:r>
        <w:rPr>
          <w:rStyle w:val="FootnoteReference"/>
        </w:rPr>
        <w:footnoteRef/>
      </w:r>
      <w:r>
        <w:tab/>
        <w:t>Decizia (UE, Euratom) 2015/443 a Comisiei din 13 martie 2015 privind securitatea în cadrul Comisiei (JO L 72, 17.3.2015, p. 41).</w:t>
      </w:r>
    </w:p>
  </w:footnote>
  <w:footnote w:id="8">
    <w:p>
      <w:pPr>
        <w:pStyle w:val="FootnoteText"/>
      </w:pPr>
      <w:r>
        <w:rPr>
          <w:rStyle w:val="FootnoteReference"/>
        </w:rPr>
        <w:footnoteRef/>
      </w:r>
      <w:r>
        <w:tab/>
        <w:t>Decizia (UE, Euratom) 2015/444 a Comisiei din 13 martie 2015 privind normele de securitate pentru protecția informațiilor UE clasificate (JO L 72, 17.3.2015, p. 53).</w:t>
      </w:r>
    </w:p>
  </w:footnote>
  <w:footnote w:id="9">
    <w:p>
      <w:pPr>
        <w:pStyle w:val="FootnoteText"/>
      </w:pPr>
      <w:r>
        <w:rPr>
          <w:rStyle w:val="FootnoteReference"/>
        </w:rPr>
        <w:footnoteRef/>
      </w:r>
      <w:r>
        <w:tab/>
        <w:t>Decizia Consiliului din 22 iulie 2003 de constituire a Comitetului consultativ pentru securitate și sănătate la locul de muncă, JO C 218, 13.9.2003, p. 1-4.</w:t>
      </w:r>
    </w:p>
  </w:footnote>
  <w:footnote w:id="10">
    <w:p>
      <w:pPr>
        <w:pStyle w:val="FootnoteText"/>
      </w:pPr>
      <w:r>
        <w:rPr>
          <w:rStyle w:val="FootnoteReference"/>
        </w:rPr>
        <w:footnoteRef/>
      </w:r>
      <w:r>
        <w:tab/>
        <w:t>Regulamentul delegat (UE) nr. 1271/2013 al Comisiei din 30 septembrie 2013 privind regulamentul financiar cadru pentru organismele menționate la articolul 208 din Regulamentul (UE, Euratom) nr. 966/2012 al Parlamentului European și al Consiliului (JO L 328, 7.12.2013, p. 42).</w:t>
      </w:r>
    </w:p>
  </w:footnote>
  <w:footnote w:id="11">
    <w:p>
      <w:pPr>
        <w:pStyle w:val="FootnoteText"/>
      </w:pPr>
      <w:r>
        <w:rPr>
          <w:rStyle w:val="FootnoteReference"/>
        </w:rPr>
        <w:footnoteRef/>
      </w:r>
      <w:r>
        <w:tab/>
        <w:t>Regulamentul (CE) nr. 1049/2001 al Parlamentului European și al Consiliului din 30 mai 2001 privind accesul public la documentele Parlamentului European, ale Consiliului și ale Comisiei (JO L 145, 31.5.2001, p. 43).</w:t>
      </w:r>
    </w:p>
  </w:footnote>
  <w:footnote w:id="12">
    <w:p>
      <w:pPr>
        <w:pStyle w:val="FootnoteText"/>
      </w:pPr>
      <w:r>
        <w:rPr>
          <w:rStyle w:val="FootnoteReference"/>
        </w:rPr>
        <w:footnoteRef/>
      </w:r>
      <w:r>
        <w:tab/>
        <w:t>Regulamentul (CE) nr. 1073/1999 al Parlamentului European și al Consiliului din 25 Mai 1999 privind investigațiile efectuate de Oficiul European de Luptă Antifraudă (OLAF) (JO L 136, 31.5.1999, p. 1).</w:t>
      </w:r>
    </w:p>
  </w:footnote>
  <w:footnote w:id="13">
    <w:p>
      <w:pPr>
        <w:pStyle w:val="FootnoteText"/>
        <w:rPr>
          <w:szCs w:val="24"/>
        </w:rPr>
      </w:pPr>
      <w:r>
        <w:rPr>
          <w:rStyle w:val="FootnoteReference"/>
        </w:rPr>
        <w:footnoteRef/>
      </w:r>
      <w:r>
        <w:tab/>
        <w:t>ABM: gestionarea pe activități (</w:t>
      </w:r>
      <w:r>
        <w:rPr>
          <w:i/>
        </w:rPr>
        <w:t>activity-based management</w:t>
      </w:r>
      <w:r>
        <w:t>); ABB: stabilirea bugetului pe activități (</w:t>
      </w:r>
      <w:r>
        <w:rPr>
          <w:i/>
        </w:rPr>
        <w:t>activity based budgeting</w:t>
      </w:r>
      <w:r>
        <w:t>).</w:t>
      </w:r>
    </w:p>
  </w:footnote>
  <w:footnote w:id="14">
    <w:p>
      <w:pPr>
        <w:pStyle w:val="FootnoteText"/>
        <w:rPr>
          <w:szCs w:val="24"/>
        </w:rPr>
      </w:pPr>
      <w:r>
        <w:rPr>
          <w:rStyle w:val="FootnoteReference"/>
        </w:rPr>
        <w:footnoteRef/>
      </w:r>
      <w:r>
        <w:tab/>
        <w:t>Astfel cum sunt menționate la articolul 54 alineatul (2) litera (a) sau litera (b) din Regulamentul financiar.</w:t>
      </w:r>
    </w:p>
  </w:footnote>
  <w:footnote w:id="15">
    <w:p>
      <w:pPr>
        <w:pStyle w:val="FootnoteText"/>
        <w:rPr>
          <w:szCs w:val="24"/>
        </w:rPr>
      </w:pPr>
      <w:r>
        <w:rPr>
          <w:rStyle w:val="FootnoteReference"/>
        </w:rPr>
        <w:footnoteRef/>
      </w:r>
      <w:r>
        <w:tab/>
        <w:t>Dif. = credite diferențiate / Nedif. = credite nediferențiate.</w:t>
      </w:r>
    </w:p>
  </w:footnote>
  <w:footnote w:id="16">
    <w:p>
      <w:pPr>
        <w:pStyle w:val="FootnoteText"/>
        <w:rPr>
          <w:szCs w:val="24"/>
        </w:rPr>
      </w:pPr>
      <w:r>
        <w:rPr>
          <w:rStyle w:val="FootnoteReference"/>
        </w:rPr>
        <w:footnoteRef/>
      </w:r>
      <w:r>
        <w:tab/>
        <w:t xml:space="preserve">AELS: Asociația Europeană a Liberului Schimb. </w:t>
      </w:r>
    </w:p>
  </w:footnote>
  <w:footnote w:id="17">
    <w:p>
      <w:pPr>
        <w:pStyle w:val="FootnoteText"/>
        <w:rPr>
          <w:szCs w:val="24"/>
        </w:rPr>
      </w:pPr>
      <w:r>
        <w:rPr>
          <w:rStyle w:val="FootnoteReference"/>
        </w:rPr>
        <w:footnoteRef/>
      </w:r>
      <w:r>
        <w:tab/>
        <w:t>Țările candidate și, după caz, țările potențial candidate din Balcanii de Vest.</w:t>
      </w:r>
    </w:p>
  </w:footnote>
  <w:footnote w:id="18">
    <w:p>
      <w:pPr>
        <w:pStyle w:val="FootnoteText"/>
        <w:rPr>
          <w:szCs w:val="24"/>
        </w:rPr>
      </w:pPr>
      <w:r>
        <w:rPr>
          <w:rStyle w:val="FootnoteReference"/>
        </w:rPr>
        <w:footnoteRef/>
      </w:r>
      <w:r>
        <w:tab/>
        <w:t xml:space="preserve">Asistență tehnică și/sau administrativă și cheltuieli de sprijinire a punerii în aplicare a programelor și/sau a acțiunilor UE (fostele linii „BA”), cercetare indirectă și cercetare directă. </w:t>
      </w:r>
    </w:p>
  </w:footnote>
  <w:footnote w:id="19">
    <w:p>
      <w:pPr>
        <w:pStyle w:val="FootnoteText"/>
        <w:rPr>
          <w:szCs w:val="24"/>
        </w:rPr>
      </w:pPr>
      <w:r>
        <w:rPr>
          <w:rStyle w:val="FootnoteReference"/>
        </w:rPr>
        <w:footnoteRef/>
      </w:r>
      <w:r>
        <w:tab/>
        <w:t xml:space="preserve">AC = agent contractual; AL = agent local; END = expert național detașat; INT = personal pus la dispoziție de agenți de muncă temporară; JED = expert tânăr în delegații. </w:t>
      </w:r>
    </w:p>
  </w:footnote>
  <w:footnote w:id="20">
    <w:p>
      <w:pPr>
        <w:pStyle w:val="FootnoteText"/>
        <w:rPr>
          <w:szCs w:val="24"/>
        </w:rPr>
      </w:pPr>
      <w:r>
        <w:rPr>
          <w:rStyle w:val="FootnoteReference"/>
        </w:rPr>
        <w:footnoteRef/>
      </w:r>
      <w:r>
        <w:tab/>
        <w:t>Subplafonul pentru personal extern acoperit din creditele operaționale (fostele linii „BA”).</w:t>
      </w:r>
    </w:p>
  </w:footnote>
  <w:footnote w:id="21">
    <w:p>
      <w:pPr>
        <w:pStyle w:val="FootnoteText"/>
        <w:rPr>
          <w:szCs w:val="24"/>
        </w:rPr>
      </w:pPr>
      <w:r>
        <w:rPr>
          <w:rStyle w:val="FootnoteReference"/>
        </w:rPr>
        <w:footnoteRef/>
      </w:r>
      <w:r>
        <w:tab/>
        <w:t>În principal pentru fondurile structurale, Fondul european agricol pentru dezvoltare rurală (FEADR) și Fondul european pentru pescuit (FEP).</w:t>
      </w:r>
    </w:p>
  </w:footnote>
  <w:footnote w:id="22">
    <w:p>
      <w:pPr>
        <w:pStyle w:val="FootnoteText"/>
        <w:rPr>
          <w:szCs w:val="24"/>
        </w:rPr>
      </w:pPr>
      <w:r>
        <w:rPr>
          <w:rStyle w:val="FootnoteReference"/>
        </w:rPr>
        <w:footnoteRef/>
      </w:r>
      <w:r>
        <w:tab/>
        <w:t>A se vedea articolele 11 și 17 din Regulamentul (UE, Euratom) nr. 1311/2013 al Consiliului de stabilire a cadrului financiar multianual pentru perioada 2014-2020.</w:t>
      </w:r>
    </w:p>
  </w:footnote>
  <w:footnote w:id="23">
    <w:p>
      <w:pPr>
        <w:pStyle w:val="FootnoteText"/>
        <w:rPr>
          <w:szCs w:val="24"/>
        </w:rPr>
      </w:pPr>
      <w:r>
        <w:rPr>
          <w:rStyle w:val="FootnoteReference"/>
        </w:rPr>
        <w:footnoteRef/>
      </w:r>
      <w:r>
        <w:tab/>
        <w:t>În ceea ce privește resursele proprii tradiționale (taxele vamale, cotizațiile pentru zahăr), sumele indicate trebuie să fie sume nete, și anume sumele brute după deducerea a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AC7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1E5D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220E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F5C161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885A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90B6ED2"/>
    <w:multiLevelType w:val="hybridMultilevel"/>
    <w:tmpl w:val="680AB1EC"/>
    <w:lvl w:ilvl="0" w:tplc="0809000F">
      <w:start w:val="1"/>
      <w:numFmt w:val="decimal"/>
      <w:pStyle w:val="Tex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8"/>
  </w:num>
  <w:num w:numId="12">
    <w:abstractNumId w:val="17"/>
  </w:num>
  <w:num w:numId="13">
    <w:abstractNumId w:val="26"/>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2"/>
  </w:num>
  <w:num w:numId="53">
    <w:abstractNumId w:val="14"/>
  </w:num>
  <w:num w:numId="54">
    <w:abstractNumId w:val="25"/>
  </w:num>
  <w:num w:numId="55">
    <w:abstractNumId w:val="13"/>
  </w:num>
  <w:num w:numId="56">
    <w:abstractNumId w:val="15"/>
  </w:num>
  <w:num w:numId="57">
    <w:abstractNumId w:val="11"/>
  </w:num>
  <w:num w:numId="58">
    <w:abstractNumId w:val="24"/>
  </w:num>
  <w:num w:numId="59">
    <w:abstractNumId w:val="10"/>
  </w:num>
  <w:num w:numId="60">
    <w:abstractNumId w:val="16"/>
  </w:num>
  <w:num w:numId="61">
    <w:abstractNumId w:val="20"/>
  </w:num>
  <w:num w:numId="62">
    <w:abstractNumId w:val="21"/>
  </w:num>
  <w:num w:numId="63">
    <w:abstractNumId w:val="12"/>
  </w:num>
  <w:num w:numId="64">
    <w:abstractNumId w:val="19"/>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7 09:06: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1CF52B7273A4E97B73A47B0A74EFD0F"/>
    <w:docVar w:name="LW_CROSSREFERENCE" w:val="&lt;UNUSED&gt;"/>
    <w:docVar w:name="LW_DocType" w:val="COM"/>
    <w:docVar w:name="LW_EMISSION" w:val="23.8.2016"/>
    <w:docVar w:name="LW_EMISSION_ISODATE" w:val="2016-08-2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54"/>
    <w:docVar w:name="LW_REF.II.NEW.CP_YEAR" w:val="2016"/>
    <w:docVar w:name="LW_REF.INST.NEW" w:val="COM"/>
    <w:docVar w:name="LW_REF.INST.NEW_ADOPTED" w:val="final"/>
    <w:docVar w:name="LW_REF.INST.NEW_TEXT" w:val="(2016) 528"/>
    <w:docVar w:name="LW_REF.INTERNE" w:val="&lt;UNUSED&gt;"/>
    <w:docVar w:name="LW_SOUS.TITRE.OBJ.CP" w:val="&lt;UNUSED&gt;"/>
    <w:docVar w:name="LW_STATUT.CP" w:val="Propunere de"/>
    <w:docVar w:name="LW_SUPERTITRE" w:val="&lt;UNUSED&gt;"/>
    <w:docVar w:name="LW_TITRE.OBJ.CP" w:val="de înfiin\u539?are a Agen\u539?iei Europene pentru Securitate \u537?i S\u259?n\u259?tate în Munc\u259? (EU-OSHA) \u537?i de abrogare a Regulamentului (CE) nr. 2062/94 al Consiliului"/>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before="0" w:after="200"/>
      <w:ind w:left="357"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BalloonText">
    <w:name w:val="Balloon Text"/>
    <w:basedOn w:val="Normal"/>
    <w:link w:val="BalloonTextChar"/>
    <w:uiPriority w:val="99"/>
    <w:semiHidden/>
    <w:unhideWhenUsed/>
    <w:pPr>
      <w:spacing w:before="0" w:after="0"/>
      <w:ind w:left="357" w:hanging="357"/>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numbering" w:customStyle="1" w:styleId="NoList1">
    <w:name w:val="No List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1"/>
      </w:numPr>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2"/>
      </w:numPr>
    </w:pPr>
  </w:style>
  <w:style w:type="paragraph" w:customStyle="1" w:styleId="Tiret1">
    <w:name w:val="Tiret 1"/>
    <w:basedOn w:val="Point1"/>
    <w:pPr>
      <w:numPr>
        <w:numId w:val="53"/>
      </w:numPr>
    </w:pPr>
  </w:style>
  <w:style w:type="paragraph" w:customStyle="1" w:styleId="Tiret2">
    <w:name w:val="Tiret 2"/>
    <w:basedOn w:val="Point2"/>
    <w:pPr>
      <w:numPr>
        <w:numId w:val="54"/>
      </w:numPr>
    </w:pPr>
  </w:style>
  <w:style w:type="paragraph" w:customStyle="1" w:styleId="Tiret3">
    <w:name w:val="Tiret 3"/>
    <w:basedOn w:val="Point3"/>
    <w:pPr>
      <w:numPr>
        <w:numId w:val="55"/>
      </w:numPr>
    </w:pPr>
  </w:style>
  <w:style w:type="paragraph" w:customStyle="1" w:styleId="Tiret4">
    <w:name w:val="Tiret 4"/>
    <w:basedOn w:val="Point4"/>
    <w:pPr>
      <w:numPr>
        <w:numId w:val="5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7"/>
      </w:numPr>
    </w:pPr>
  </w:style>
  <w:style w:type="paragraph" w:customStyle="1" w:styleId="NumPar2">
    <w:name w:val="NumPar 2"/>
    <w:basedOn w:val="Normal"/>
    <w:next w:val="Text1"/>
    <w:pPr>
      <w:numPr>
        <w:ilvl w:val="1"/>
        <w:numId w:val="57"/>
      </w:numPr>
    </w:pPr>
  </w:style>
  <w:style w:type="paragraph" w:customStyle="1" w:styleId="NumPar3">
    <w:name w:val="NumPar 3"/>
    <w:basedOn w:val="Normal"/>
    <w:next w:val="Text1"/>
    <w:pPr>
      <w:numPr>
        <w:ilvl w:val="2"/>
        <w:numId w:val="57"/>
      </w:numPr>
    </w:pPr>
  </w:style>
  <w:style w:type="paragraph" w:customStyle="1" w:styleId="NumPar4">
    <w:name w:val="NumPar 4"/>
    <w:basedOn w:val="Normal"/>
    <w:next w:val="Text1"/>
    <w:pPr>
      <w:numPr>
        <w:ilvl w:val="3"/>
        <w:numId w:val="5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9"/>
      </w:numPr>
    </w:pPr>
  </w:style>
  <w:style w:type="paragraph" w:customStyle="1" w:styleId="Point1number">
    <w:name w:val="Point 1 (number)"/>
    <w:basedOn w:val="Normal"/>
    <w:pPr>
      <w:numPr>
        <w:ilvl w:val="2"/>
        <w:numId w:val="59"/>
      </w:numPr>
    </w:pPr>
  </w:style>
  <w:style w:type="paragraph" w:customStyle="1" w:styleId="Point2number">
    <w:name w:val="Point 2 (number)"/>
    <w:basedOn w:val="Normal"/>
    <w:pPr>
      <w:numPr>
        <w:ilvl w:val="4"/>
        <w:numId w:val="59"/>
      </w:numPr>
    </w:pPr>
  </w:style>
  <w:style w:type="paragraph" w:customStyle="1" w:styleId="Point3number">
    <w:name w:val="Point 3 (number)"/>
    <w:basedOn w:val="Normal"/>
    <w:pPr>
      <w:numPr>
        <w:ilvl w:val="6"/>
        <w:numId w:val="59"/>
      </w:numPr>
    </w:pPr>
  </w:style>
  <w:style w:type="paragraph" w:customStyle="1" w:styleId="Point0letter">
    <w:name w:val="Point 0 (letter)"/>
    <w:basedOn w:val="Normal"/>
    <w:pPr>
      <w:numPr>
        <w:ilvl w:val="1"/>
        <w:numId w:val="59"/>
      </w:numPr>
    </w:pPr>
  </w:style>
  <w:style w:type="paragraph" w:customStyle="1" w:styleId="Point1letter">
    <w:name w:val="Point 1 (letter)"/>
    <w:basedOn w:val="Normal"/>
    <w:pPr>
      <w:numPr>
        <w:ilvl w:val="3"/>
        <w:numId w:val="59"/>
      </w:numPr>
    </w:pPr>
  </w:style>
  <w:style w:type="paragraph" w:customStyle="1" w:styleId="Point2letter">
    <w:name w:val="Point 2 (letter)"/>
    <w:basedOn w:val="Normal"/>
    <w:pPr>
      <w:numPr>
        <w:ilvl w:val="5"/>
        <w:numId w:val="59"/>
      </w:numPr>
    </w:pPr>
  </w:style>
  <w:style w:type="paragraph" w:customStyle="1" w:styleId="Point3letter">
    <w:name w:val="Point 3 (letter)"/>
    <w:basedOn w:val="Normal"/>
    <w:pPr>
      <w:numPr>
        <w:ilvl w:val="7"/>
        <w:numId w:val="59"/>
      </w:numPr>
    </w:pPr>
  </w:style>
  <w:style w:type="paragraph" w:customStyle="1" w:styleId="Point4letter">
    <w:name w:val="Point 4 (letter)"/>
    <w:basedOn w:val="Normal"/>
    <w:pPr>
      <w:numPr>
        <w:ilvl w:val="8"/>
        <w:numId w:val="59"/>
      </w:numPr>
    </w:pPr>
  </w:style>
  <w:style w:type="paragraph" w:customStyle="1" w:styleId="Bullet0">
    <w:name w:val="Bullet 0"/>
    <w:basedOn w:val="Normal"/>
    <w:pPr>
      <w:numPr>
        <w:numId w:val="60"/>
      </w:numPr>
    </w:pPr>
  </w:style>
  <w:style w:type="paragraph" w:customStyle="1" w:styleId="Bullet1">
    <w:name w:val="Bullet 1"/>
    <w:basedOn w:val="Normal"/>
    <w:pPr>
      <w:numPr>
        <w:numId w:val="61"/>
      </w:numPr>
    </w:pPr>
  </w:style>
  <w:style w:type="paragraph" w:customStyle="1" w:styleId="Bullet2">
    <w:name w:val="Bullet 2"/>
    <w:basedOn w:val="Normal"/>
    <w:pPr>
      <w:numPr>
        <w:numId w:val="62"/>
      </w:numPr>
    </w:pPr>
  </w:style>
  <w:style w:type="paragraph" w:customStyle="1" w:styleId="Bullet3">
    <w:name w:val="Bullet 3"/>
    <w:basedOn w:val="Normal"/>
    <w:pPr>
      <w:numPr>
        <w:numId w:val="63"/>
      </w:numPr>
    </w:pPr>
  </w:style>
  <w:style w:type="paragraph" w:customStyle="1" w:styleId="Bullet4">
    <w:name w:val="Bullet 4"/>
    <w:basedOn w:val="Normal"/>
    <w:pPr>
      <w:numPr>
        <w:numId w:val="6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before="0" w:after="200"/>
      <w:ind w:left="357"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BalloonText">
    <w:name w:val="Balloon Text"/>
    <w:basedOn w:val="Normal"/>
    <w:link w:val="BalloonTextChar"/>
    <w:uiPriority w:val="99"/>
    <w:semiHidden/>
    <w:unhideWhenUsed/>
    <w:pPr>
      <w:spacing w:before="0" w:after="0"/>
      <w:ind w:left="357" w:hanging="357"/>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numbering" w:customStyle="1" w:styleId="NoList1">
    <w:name w:val="No List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1"/>
      </w:numPr>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2"/>
      </w:numPr>
    </w:pPr>
  </w:style>
  <w:style w:type="paragraph" w:customStyle="1" w:styleId="Tiret1">
    <w:name w:val="Tiret 1"/>
    <w:basedOn w:val="Point1"/>
    <w:pPr>
      <w:numPr>
        <w:numId w:val="53"/>
      </w:numPr>
    </w:pPr>
  </w:style>
  <w:style w:type="paragraph" w:customStyle="1" w:styleId="Tiret2">
    <w:name w:val="Tiret 2"/>
    <w:basedOn w:val="Point2"/>
    <w:pPr>
      <w:numPr>
        <w:numId w:val="54"/>
      </w:numPr>
    </w:pPr>
  </w:style>
  <w:style w:type="paragraph" w:customStyle="1" w:styleId="Tiret3">
    <w:name w:val="Tiret 3"/>
    <w:basedOn w:val="Point3"/>
    <w:pPr>
      <w:numPr>
        <w:numId w:val="55"/>
      </w:numPr>
    </w:pPr>
  </w:style>
  <w:style w:type="paragraph" w:customStyle="1" w:styleId="Tiret4">
    <w:name w:val="Tiret 4"/>
    <w:basedOn w:val="Point4"/>
    <w:pPr>
      <w:numPr>
        <w:numId w:val="5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7"/>
      </w:numPr>
    </w:pPr>
  </w:style>
  <w:style w:type="paragraph" w:customStyle="1" w:styleId="NumPar2">
    <w:name w:val="NumPar 2"/>
    <w:basedOn w:val="Normal"/>
    <w:next w:val="Text1"/>
    <w:pPr>
      <w:numPr>
        <w:ilvl w:val="1"/>
        <w:numId w:val="57"/>
      </w:numPr>
    </w:pPr>
  </w:style>
  <w:style w:type="paragraph" w:customStyle="1" w:styleId="NumPar3">
    <w:name w:val="NumPar 3"/>
    <w:basedOn w:val="Normal"/>
    <w:next w:val="Text1"/>
    <w:pPr>
      <w:numPr>
        <w:ilvl w:val="2"/>
        <w:numId w:val="57"/>
      </w:numPr>
    </w:pPr>
  </w:style>
  <w:style w:type="paragraph" w:customStyle="1" w:styleId="NumPar4">
    <w:name w:val="NumPar 4"/>
    <w:basedOn w:val="Normal"/>
    <w:next w:val="Text1"/>
    <w:pPr>
      <w:numPr>
        <w:ilvl w:val="3"/>
        <w:numId w:val="5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9"/>
      </w:numPr>
    </w:pPr>
  </w:style>
  <w:style w:type="paragraph" w:customStyle="1" w:styleId="Point1number">
    <w:name w:val="Point 1 (number)"/>
    <w:basedOn w:val="Normal"/>
    <w:pPr>
      <w:numPr>
        <w:ilvl w:val="2"/>
        <w:numId w:val="59"/>
      </w:numPr>
    </w:pPr>
  </w:style>
  <w:style w:type="paragraph" w:customStyle="1" w:styleId="Point2number">
    <w:name w:val="Point 2 (number)"/>
    <w:basedOn w:val="Normal"/>
    <w:pPr>
      <w:numPr>
        <w:ilvl w:val="4"/>
        <w:numId w:val="59"/>
      </w:numPr>
    </w:pPr>
  </w:style>
  <w:style w:type="paragraph" w:customStyle="1" w:styleId="Point3number">
    <w:name w:val="Point 3 (number)"/>
    <w:basedOn w:val="Normal"/>
    <w:pPr>
      <w:numPr>
        <w:ilvl w:val="6"/>
        <w:numId w:val="59"/>
      </w:numPr>
    </w:pPr>
  </w:style>
  <w:style w:type="paragraph" w:customStyle="1" w:styleId="Point0letter">
    <w:name w:val="Point 0 (letter)"/>
    <w:basedOn w:val="Normal"/>
    <w:pPr>
      <w:numPr>
        <w:ilvl w:val="1"/>
        <w:numId w:val="59"/>
      </w:numPr>
    </w:pPr>
  </w:style>
  <w:style w:type="paragraph" w:customStyle="1" w:styleId="Point1letter">
    <w:name w:val="Point 1 (letter)"/>
    <w:basedOn w:val="Normal"/>
    <w:pPr>
      <w:numPr>
        <w:ilvl w:val="3"/>
        <w:numId w:val="59"/>
      </w:numPr>
    </w:pPr>
  </w:style>
  <w:style w:type="paragraph" w:customStyle="1" w:styleId="Point2letter">
    <w:name w:val="Point 2 (letter)"/>
    <w:basedOn w:val="Normal"/>
    <w:pPr>
      <w:numPr>
        <w:ilvl w:val="5"/>
        <w:numId w:val="59"/>
      </w:numPr>
    </w:pPr>
  </w:style>
  <w:style w:type="paragraph" w:customStyle="1" w:styleId="Point3letter">
    <w:name w:val="Point 3 (letter)"/>
    <w:basedOn w:val="Normal"/>
    <w:pPr>
      <w:numPr>
        <w:ilvl w:val="7"/>
        <w:numId w:val="59"/>
      </w:numPr>
    </w:pPr>
  </w:style>
  <w:style w:type="paragraph" w:customStyle="1" w:styleId="Point4letter">
    <w:name w:val="Point 4 (letter)"/>
    <w:basedOn w:val="Normal"/>
    <w:pPr>
      <w:numPr>
        <w:ilvl w:val="8"/>
        <w:numId w:val="59"/>
      </w:numPr>
    </w:pPr>
  </w:style>
  <w:style w:type="paragraph" w:customStyle="1" w:styleId="Bullet0">
    <w:name w:val="Bullet 0"/>
    <w:basedOn w:val="Normal"/>
    <w:pPr>
      <w:numPr>
        <w:numId w:val="60"/>
      </w:numPr>
    </w:pPr>
  </w:style>
  <w:style w:type="paragraph" w:customStyle="1" w:styleId="Bullet1">
    <w:name w:val="Bullet 1"/>
    <w:basedOn w:val="Normal"/>
    <w:pPr>
      <w:numPr>
        <w:numId w:val="61"/>
      </w:numPr>
    </w:pPr>
  </w:style>
  <w:style w:type="paragraph" w:customStyle="1" w:styleId="Bullet2">
    <w:name w:val="Bullet 2"/>
    <w:basedOn w:val="Normal"/>
    <w:pPr>
      <w:numPr>
        <w:numId w:val="62"/>
      </w:numPr>
    </w:pPr>
  </w:style>
  <w:style w:type="paragraph" w:customStyle="1" w:styleId="Bullet3">
    <w:name w:val="Bullet 3"/>
    <w:basedOn w:val="Normal"/>
    <w:pPr>
      <w:numPr>
        <w:numId w:val="63"/>
      </w:numPr>
    </w:pPr>
  </w:style>
  <w:style w:type="paragraph" w:customStyle="1" w:styleId="Bullet4">
    <w:name w:val="Bullet 4"/>
    <w:basedOn w:val="Normal"/>
    <w:pPr>
      <w:numPr>
        <w:numId w:val="6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9683">
      <w:bodyDiv w:val="1"/>
      <w:marLeft w:val="0"/>
      <w:marRight w:val="0"/>
      <w:marTop w:val="0"/>
      <w:marBottom w:val="0"/>
      <w:divBdr>
        <w:top w:val="none" w:sz="0" w:space="0" w:color="auto"/>
        <w:left w:val="none" w:sz="0" w:space="0" w:color="auto"/>
        <w:bottom w:val="none" w:sz="0" w:space="0" w:color="auto"/>
        <w:right w:val="none" w:sz="0" w:space="0" w:color="auto"/>
      </w:divBdr>
    </w:div>
    <w:div w:id="275214165">
      <w:bodyDiv w:val="1"/>
      <w:marLeft w:val="0"/>
      <w:marRight w:val="0"/>
      <w:marTop w:val="0"/>
      <w:marBottom w:val="0"/>
      <w:divBdr>
        <w:top w:val="none" w:sz="0" w:space="0" w:color="auto"/>
        <w:left w:val="none" w:sz="0" w:space="0" w:color="auto"/>
        <w:bottom w:val="none" w:sz="0" w:space="0" w:color="auto"/>
        <w:right w:val="none" w:sz="0" w:space="0" w:color="auto"/>
      </w:divBdr>
    </w:div>
    <w:div w:id="7526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E51C-B72D-446C-8A7E-BB7D282D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38</Pages>
  <Words>9968</Words>
  <Characters>61310</Characters>
  <Application>Microsoft Office Word</Application>
  <DocSecurity>0</DocSecurity>
  <Lines>1532</Lines>
  <Paragraphs>750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With Marie Simonsen comments</dc:description>
  <cp:lastModifiedBy>DIGIT/A3</cp:lastModifiedBy>
  <cp:revision>18</cp:revision>
  <cp:lastPrinted>2016-07-26T05:29:00Z</cp:lastPrinted>
  <dcterms:created xsi:type="dcterms:W3CDTF">2016-08-12T12:23:00Z</dcterms:created>
  <dcterms:modified xsi:type="dcterms:W3CDTF">2016-08-17T07:06:00Z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