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A558C36AA4A433680EA4B6A83FFEB37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Príloha I</w:t>
      </w:r>
    </w:p>
    <w:p>
      <w:pPr>
        <w:jc w:val="center"/>
        <w:rPr>
          <w:b/>
          <w:noProof/>
        </w:rPr>
      </w:pPr>
      <w:r>
        <w:rPr>
          <w:b/>
          <w:noProof/>
        </w:rPr>
        <w:t>Zahrnuté témy</w:t>
      </w: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2547"/>
        <w:gridCol w:w="3468"/>
        <w:gridCol w:w="3960"/>
      </w:tblGrid>
      <w:tr>
        <w:trPr>
          <w:trHeight w:val="300"/>
        </w:trPr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</w:rPr>
            </w:pPr>
            <w:r>
              <w:rPr>
                <w:noProof/>
              </w:rPr>
              <w:t>Oblasť</w:t>
            </w:r>
          </w:p>
        </w:tc>
        <w:tc>
          <w:tcPr>
            <w:tcW w:w="3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</w:rPr>
            </w:pPr>
            <w:r>
              <w:rPr>
                <w:noProof/>
              </w:rPr>
              <w:t>Téma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Cs w:val="24"/>
              </w:rPr>
            </w:pPr>
            <w:r>
              <w:rPr>
                <w:noProof/>
              </w:rPr>
              <w:t>Čiastkové témy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Pre všetky oblasti 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Technické prvky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Informácie o zbere údajov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Identifikácia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Váhové koeficienty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Charakteristiky rozhovoru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Lokalizácia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Charakteristiky osôb a domácností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Demografia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Občianstvo a prisťahovalecký pôvod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Zloženie domácnosti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trhu práce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Status podľa hlavnej činnosti (definovaný respondentom)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Základné charakteristiky zamestnania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Dosiahnuté vzdelanie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Úroveň dosiahnutého vzdelania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Trh práce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Charakteristiky osôb a domácností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Zloženie domácnosti – podrobnosti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Dĺžka pobytu v krajine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trhu práce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Zamestnanecké postavenie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Trvanie zmluvy</w:t>
            </w:r>
          </w:p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Trvanie zmluvy – sekundárne informácie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Práca na plný alebo kratší pracovný čas – dôvod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Závislá samostatná zárobková činnosť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Vedúce funkcie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Veľkosť podniku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Pracovisko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Práca vykonávaná doma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Hľadanie si práce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Ochota pracovať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Dostupnosť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Druhé zamestnanie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Hľadanie si ďalšieho zamestnania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Zosúladenie práce a rodinného života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Mladí ľudia na trhu práce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b/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Postavenie migrantov a ich priamych potomkov na trhu práce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Prechod do dôchodku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Potreby starostlivosti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Trvanie zamestnania a predchádzajúce pracovné skúsenosti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Začiatok zamestnania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Spôsob nájdenia si zamestnania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Predchádzajúce pracovné skúsenosti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Pracovné podmienky vrátane pracovného času a rozvrhnutia pracovného času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Pracovný čas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Rozvrhnutie pracovného času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Organizácia práce a rozvrhnutie pracovného času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Dosiahnuté vzdelanie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Dosiahnuté vzdelanie – podrobnosti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vzdelávaní a odbornej príprave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Účasť na formálnom a neformálnom vzdelávaní a odbornej príprave (4 týždne)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Účasť na formálnom a neformálnom vzdelávaní a odbornej príprave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Zdravie: stav a zdravotné postihnutie, starostlivosť a determinanty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Pracovné úrazy a iné zdravotné problémy súvisiace s prácou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Minimálny európsky zdravotný modul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Príjem, spotreba a majetok vrátane dlhov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Príjem z práce</w:t>
            </w:r>
          </w:p>
        </w:tc>
      </w:tr>
      <w:tr>
        <w:trPr>
          <w:trHeight w:val="284"/>
        </w:trPr>
        <w:tc>
          <w:tcPr>
            <w:tcW w:w="254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Príjem a životné podmienky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Charakteristiky osôb a domácností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Zloženie domácnosti – podrobnosti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Dĺžka pobytu v krajine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vzdelávaní a odbornej príprave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Účasť na činnostiach formálneho vzdelávania (v súčasnosti)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Dosiahnuté vzdelanie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Dosiahnuté vzdelanie – podrobnosti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trhu práce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Charakteristiky pracoviska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Trvanie zmluvy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Zamestnanecké postavenie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Podrobná situácia na trhu práce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Vedúce funkcie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Trvanie zamestnania a predchádzajúce pracovné skúsenosti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Predchádzajúce pracovné skúsenosti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Pracovné podmienky vrátane pracovného času a rozvrhnutia pracovného času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Kalendár činností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Pracovný čas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Zdravie: stav a zdravotné postihnutie, starostlivosť a determinanty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Minimálny európsky zdravotný modul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Zdravotný stav a zdravotné postihnutie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Zdravie detí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Prístup k zdravotnej starostlivosti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Zdravotná starostlivosť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Prístup k zdravotnej starostlivosti (deti)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Determinanty zdravia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Kvalita života vrátane účasti na spoločenskom a kultúrnom živote a pohody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Kvalita života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Účasť na spoločenskom a kultúrnom živote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Pohoda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Životné podmienky vrátane materiálnej deprivácie, bývania, prostredia na život a prístupu k službám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Materiálna deprivácia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Deprivácia detí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Hlavné charakteristiky bývania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Podrobné podmienky bývania vrátane deprivácie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Náklady na bývanie vrátane imputovaného nájomného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Prostredie na život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Využívanie služieb vrátane služieb starostlivosti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Cenová dostupnosť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Neuspokojené potreby a ich príčiny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Starostlivosť o deti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Príjem, spotreba a majetok vrátane dlhov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Príjem z práce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Príjem z príspevkov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Príjem z dôchodkov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Ostatné príjmy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Dane a príspevky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Celkový príjem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Nadmerná zadlženosť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Nedoplatky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Majetok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Hlavné zložky spotreby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Medzigeneračný prenos znevýhodnení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Zdravie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Zdravie: stav a zdravotné postihnutie, starostlivosť a determinanty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Minimálny európsky zdravotný modul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Choroby a chronické ochorenia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Nehody a zranenia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Bolesť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Duševné zdravie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Funkčné obmedzenia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Ťažkosti pri činnostiach starostlivosti o vlastnú osobu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Ťažkosti pri činnostiach v domácnosti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Dočasné obmedzenie činnosti (pre zdravotné problémy)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Prekážky účasti v určitých oblastiach života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Využitie zdravotnej a dlhodobej starostlivosti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Užívanie liekov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Preventívna zdravotná starostlivosť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Prístup k zdravotnej starostlivosti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Výška a hmotnosť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Fyzická aktivita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Stravovacie návyky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Fajčenie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Konzumácia alkoholu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Sociálne a environmentálne faktory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Príjem, spotreba a majetok vrátane dlhov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Celkový príjem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Vzdelávanie a odborná príprava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Charakteristiky osôb a domácností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Dĺžka pobytu v krajine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Trvanie zamestnania a predchádzajúce pracovné skúsenosti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Začiatok zamestnania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trhu práce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Veľkosť podniku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Dosiahnuté vzdelanie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Dosiahnuté vzdelanie – podrobnosti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História vzdelania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Zručnosti uvádzané respondentmi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vzdelávaní a odbornej príprave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Prístup k informáciám o možnostiach vzdelávania a poradenstvu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Účasť na činnostiach formálneho vzdelávania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Posledná činnosť formálneho vzdelávania – podrobnosti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Používanie IKT pri poslednom formálnom vzdelávaní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Dôvody účasti na poslednom formálnom vzdelávaní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Platba za posledné formálne vzdelávanie a jeho trvanie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Výsledky a využitie zručností z posledného formálneho vzdelávania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Účasť na činnostiach neformálneho vzdelávania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Činnosti neformálneho vzdelávania – podrobnosti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Používanie IKT pri činnostiach neformálneho vzdelávania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Dôvody účasti na činnostiach neformálneho vzdelávania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Platba za činnosti neformálneho vzdelávania a ich trvanie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Výsledky a využitie zručností z činností neformálneho vzdelávania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Prekážky účasti na vzdelávaní a odbornej príprave (12 mesiacov)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Informálne učenie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Príjem, spotreba a majetok vrátane dlhov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Celkový príjem</w:t>
            </w:r>
          </w:p>
        </w:tc>
      </w:tr>
      <w:tr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Používanie informačných a komunikačných technológií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Účasť na informačnej spoločnosti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Prístup k IKT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Používanie a frekvencia používania IKT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Prekážky používania a problémy s používaním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Účinok používania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Bezpečnosť, súkromie, dôvera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Pripojenie k internetu odkiaľkoľvek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Digitálne zručnosti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Činnosti na internete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Elektronický obchod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Interakcia s orgánmi verejnej moci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Príjem, spotreba a majetok vrátane dlhov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Celkový príjem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Využívanie času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Charakteristiky osôb a domácností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Zloženie domácnosti – podrobnosti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vzdelávaní a odbornej príprave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Účasť na činnostiach formálneho vzdelávania (v súčasnosti)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Zdravie: stav a zdravotné postihnutie, starostlivosť a determinanty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Minimálny európsky zdravotný modul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Životné podmienky vrátane materiálnej deprivácie, bývania, prostredia na život a prístupu k službám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Držanie tovaru dlhodobej spotreby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Starostlivosť o deti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Starostlivosť o chorých a seniorov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Pracovné podmienky vrátane pracovného času a rozvrhnutia pracovného času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Pracovný čas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Rozvrhnutie pracovného času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Príjem, spotreba a majetok vrátane dlhov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Výroba na vlastnú spotrebu a predaj, reparácie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Príjem z práce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Celkový príjem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Rozdelenie času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Využívanie času, druhy činností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Súbežné činnosti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Miesto činnosti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Prítomnosť iných počas činnosti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Posúdenie činnosti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Spotreba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Charakteristiky osôb a domácností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Zloženie domácnosti – podrobnosti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Životné podmienky vrátane materiálnej deprivácie, bývania, prostredia na život a prístupu k službám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Hlavné charakteristiky bývania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Účasť na vzdelávaní a odbornej príprave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Účasť na činnostiach formálneho vzdelávania (v súčasnosti)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Účasť na trhu práce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Trvanie zmluvy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Príjem, spotreba a majetok vrátane dlhov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Celkový príjem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Dane a príspevky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Príjem v naturáliách z neplatených činností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Imputované nájomné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Hlavný zdroj príjmu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Majetok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Dlhy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Nedoplatky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Spotreba podľa COICOP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Výdavky na cezhraničnú spotrebu podľa COICOP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Vlastná spotreba</w:t>
            </w:r>
          </w:p>
        </w:tc>
      </w:tr>
    </w:tbl>
    <w:p>
      <w:pPr>
        <w:pStyle w:val="Annexetitre"/>
        <w:rPr>
          <w:noProof/>
        </w:rPr>
      </w:pPr>
      <w:r>
        <w:rPr>
          <w:noProof/>
        </w:rPr>
        <w:br w:type="page"/>
        <w:t>Príloha II</w:t>
      </w:r>
    </w:p>
    <w:p>
      <w:pPr>
        <w:jc w:val="center"/>
        <w:rPr>
          <w:b/>
          <w:noProof/>
        </w:rPr>
      </w:pPr>
      <w:r>
        <w:rPr>
          <w:b/>
          <w:noProof/>
        </w:rPr>
        <w:t>Požiadavky na presnosť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>Požiadavky na presnosť pre všetky súbory údajov sú vyjadrené v štandardných chybách a sú vymedzené ako spojité funkcie skutočných odhadov a veľkosti štatistickej populácie v krajine alebo regióne NUTS 2.</w:t>
      </w:r>
    </w:p>
    <w:p>
      <w:pPr>
        <w:pStyle w:val="NumPar1"/>
        <w:numPr>
          <w:ilvl w:val="0"/>
          <w:numId w:val="14"/>
        </w:numPr>
        <w:rPr>
          <w:noProof/>
          <w:lang w:eastAsia="en-US" w:bidi="ar-SA"/>
        </w:rPr>
      </w:pPr>
      <w:r>
        <w:rPr>
          <w:noProof/>
        </w:rPr>
        <w:t xml:space="preserve">Odhadovaná štandardná chyba konkrétneho odhadu </w:t>
      </w:r>
      <w:r>
        <w:rPr>
          <w:noProof/>
          <w:lang w:val="en-US" w:eastAsia="en-US" w:bidi="ar-SA"/>
        </w:rPr>
        <w:drawing>
          <wp:inline distT="0" distB="0" distL="0" distR="0">
            <wp:extent cx="39052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n-US" w:bidi="ar-SA"/>
        </w:rPr>
        <w:t>nesmie byť vyššia ako táto hodnota:</w:t>
      </w:r>
    </w:p>
    <w:p>
      <w:pPr>
        <w:pStyle w:val="Point1"/>
        <w:rPr>
          <w:noProof/>
          <w:oMath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p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1-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noProof/>
                            </w:rPr>
                            <m:t>p</m:t>
                          </m:r>
                        </m:e>
                      </m:acc>
                    </m:e>
                  </m:d>
                </m:num>
                <m:den>
                  <m:r>
                    <m:rPr>
                      <m:nor/>
                    </m:rPr>
                    <w:rPr>
                      <w:i/>
                      <w:noProof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N</m:t>
                      </m:r>
                    </m:e>
                  </m:d>
                </m:den>
              </m:f>
            </m:e>
          </m:rad>
        </m:oMath>
      </m:oMathPara>
    </w:p>
    <w:p>
      <w:pPr>
        <w:pStyle w:val="NumPar1"/>
        <w:rPr>
          <w:noProof/>
        </w:rPr>
      </w:pPr>
      <w:r>
        <w:rPr>
          <w:noProof/>
        </w:rPr>
        <w:t xml:space="preserve">Funkcia </w:t>
      </w:r>
      <w:r>
        <w:rPr>
          <w:i/>
          <w:noProof/>
        </w:rPr>
        <w:t>f(N)</w:t>
      </w:r>
      <w:r>
        <w:rPr>
          <w:noProof/>
        </w:rPr>
        <w:t xml:space="preserve"> je definovaná ako </w:t>
      </w:r>
      <w:r>
        <w:rPr>
          <w:i/>
          <w:noProof/>
        </w:rPr>
        <w:t>f(N) = a√N + b</w:t>
      </w:r>
      <w:r>
        <w:rPr>
          <w:noProof/>
        </w:rPr>
        <w:t>.</w:t>
      </w:r>
    </w:p>
    <w:p>
      <w:pPr>
        <w:pStyle w:val="NumPar1"/>
        <w:rPr>
          <w:noProof/>
        </w:rPr>
      </w:pPr>
      <w:r>
        <w:rPr>
          <w:noProof/>
        </w:rPr>
        <w:t xml:space="preserve">Za parametre </w:t>
      </w:r>
      <w:r>
        <w:rPr>
          <w:i/>
          <w:noProof/>
        </w:rPr>
        <w:t>N</w:t>
      </w:r>
      <w:r>
        <w:rPr>
          <w:noProof/>
        </w:rPr>
        <w:t>, a a b sa dosadia tieto hodnoty: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688"/>
        <w:gridCol w:w="1020"/>
        <w:gridCol w:w="91"/>
        <w:gridCol w:w="853"/>
      </w:tblGrid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b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Oblasť pracovného trhu: požiadavky na presnosť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Odhadovaný (vnútroštátny) štvrťročný pomer nezamestnanosti k počtu obyvateľov vo veku 15 – 74 rokov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obyvateľov krajiny vo veku 15 – 74 rokov s bydliskom v domácnostiach v miliónoch osôb a zaokrúhlený na 3 desatinné miesta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7 800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-4 500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Odhadovaný (vnútroštátny) štvrťročný pomer zamestnanosti k počtu obyvateľov vo veku 15 – 74 rokov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obyvateľov krajiny vo veku 15 – 74 rokov s bydliskom v domácnostiach v miliónoch osôb a zaokrúhlený na 3 desatinné miesta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7 800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-4 500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Odhadovaný štvrťročný pomer nezamestnanosti k počtu obyvateľov vo veku 15 – 74 rokov v každom regióne NUTS 2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obyvateľov vo veku 15 – 74 rokov v regióne NUTS 2 s bydliskom v domácnostiach v miliónoch osôb a zaokrúhlený na 3 desatinné miesta</w:t>
            </w:r>
          </w:p>
        </w:tc>
        <w:tc>
          <w:tcPr>
            <w:tcW w:w="1964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pozri bod 6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Oblasť príjmu a životných podmienok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Pomer rizika chudoby alebo sociálneho vylúčenia k počtu obyvateľov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domácností v krajine v miliónoch a zaokrúhlený na 3 desatinné miesta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2 600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Pomer trvalého rizika chudoby počas štyroch rokov k počtu obyvateľov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domácností v krajine v miliónoch a zaokrúhlený na 3 desatinné miesta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350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1 000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Pomer rizika chudoby alebo sociálneho vylúčenia k počtu obyvateľov v každom regióne NUTS 2 (pozri bod 7)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Počet domácností v regióne NUTS 2 v miliónoch a zaokrúhlený na 3 desatinné miesta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Oblasť zdravia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Percento obyvateľov s významným obmedzením bežných činností z dôvodu zdravotných problémov (vo veku 15 rokov alebo viac)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obyvateľov krajiny vo veku 15 rokov alebo viac s bydliskom v domácnostiach v miliónoch osôb a zaokrúhlený na 3 desatinné miesta</w:t>
            </w:r>
          </w:p>
        </w:tc>
        <w:tc>
          <w:tcPr>
            <w:tcW w:w="1111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1 200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2 800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85"/>
        <w:gridCol w:w="2603"/>
        <w:gridCol w:w="130"/>
        <w:gridCol w:w="823"/>
        <w:gridCol w:w="67"/>
        <w:gridCol w:w="77"/>
        <w:gridCol w:w="867"/>
      </w:tblGrid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Oblasť vzdelávania a odbornej prípravy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Miera účasti na formálnom vzdelávaní a odbornej príprave (osoby vo veku 18 – 24 rokov)</w:t>
            </w:r>
          </w:p>
        </w:tc>
        <w:tc>
          <w:tcPr>
            <w:tcW w:w="2688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obyvateľov krajiny vo veku 18 – 24 rokov s bydliskom v domácnostiach v miliónoch osôb a zaokrúhlený na 3 desatinné miesta</w:t>
            </w:r>
          </w:p>
        </w:tc>
        <w:tc>
          <w:tcPr>
            <w:tcW w:w="1020" w:type="dxa"/>
            <w:gridSpan w:val="3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44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1 500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Miera účasti na neformálnom vzdelávaní a odbornej príprave (osoby vo veku 25 – 69 rokov)</w:t>
            </w:r>
          </w:p>
        </w:tc>
        <w:tc>
          <w:tcPr>
            <w:tcW w:w="2688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obyvateľov krajiny vo veku 25 – 69 rokov s bydliskom v domácnostiach v miliónoch osôb a zaokrúhlený na 3 desatinné miesta</w:t>
            </w:r>
          </w:p>
        </w:tc>
        <w:tc>
          <w:tcPr>
            <w:tcW w:w="1020" w:type="dxa"/>
            <w:gridSpan w:val="3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400</w:t>
            </w:r>
          </w:p>
        </w:tc>
        <w:tc>
          <w:tcPr>
            <w:tcW w:w="944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2 000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Oblasť využívania informačných a komunikačných technológií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Percento jednotlivcov, ktorí si za posledný rok objednali tovar alebo služby cez internet na súkromné účely</w:t>
            </w:r>
          </w:p>
        </w:tc>
        <w:tc>
          <w:tcPr>
            <w:tcW w:w="2688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obyvateľov krajiny vo veku 16 – 74 rokov s bydliskom v domácnostiach v miliónoch osôb a zaokrúhlený na 3 desatinné miesta</w:t>
            </w:r>
          </w:p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400 </w:t>
            </w:r>
          </w:p>
        </w:tc>
        <w:tc>
          <w:tcPr>
            <w:tcW w:w="1011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1 300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Oblasť využívania času</w:t>
            </w:r>
          </w:p>
        </w:tc>
      </w:tr>
      <w:tr>
        <w:trPr>
          <w:trHeight w:val="300"/>
        </w:trPr>
        <w:tc>
          <w:tcPr>
            <w:tcW w:w="520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Percento obyvateľov vo veku 15 rokov a viac, ktorí trávia denne v priemere viac ako 10 % času v platenej práci</w:t>
            </w:r>
          </w:p>
        </w:tc>
        <w:tc>
          <w:tcPr>
            <w:tcW w:w="273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obyvateľov krajiny vo veku 15 rokov alebo viac s bydliskom v domácnostiach v miliónoch osôb a zaokrúhlený na 3 desatinné miesta</w:t>
            </w:r>
          </w:p>
        </w:tc>
        <w:tc>
          <w:tcPr>
            <w:tcW w:w="967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3 500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Oblasť spotreby</w:t>
            </w:r>
          </w:p>
        </w:tc>
      </w:tr>
      <w:tr>
        <w:trPr>
          <w:trHeight w:val="300"/>
        </w:trPr>
        <w:tc>
          <w:tcPr>
            <w:tcW w:w="520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Percento domácností, ktorých výdavky na kategórie spojené s bývaním vrátane vody, elektriny, plynu a iných palív sú vyššie ako 50 % z celkových výdavkov (pozri bod 8)</w:t>
            </w:r>
          </w:p>
        </w:tc>
        <w:tc>
          <w:tcPr>
            <w:tcW w:w="273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 domácností v krajine v miliónoch a zaokrúhlený na 3 desatinné miesta</w:t>
            </w:r>
          </w:p>
        </w:tc>
        <w:tc>
          <w:tcPr>
            <w:tcW w:w="967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2 600</w:t>
            </w:r>
          </w:p>
        </w:tc>
      </w:tr>
    </w:tbl>
    <w:p>
      <w:pPr>
        <w:spacing w:before="0" w:after="200" w:line="276" w:lineRule="auto"/>
        <w:jc w:val="left"/>
        <w:rPr>
          <w:rFonts w:eastAsia="Calibri"/>
          <w:noProof/>
          <w:sz w:val="22"/>
        </w:rPr>
      </w:pPr>
    </w:p>
    <w:p>
      <w:pPr>
        <w:pStyle w:val="NumPar1"/>
        <w:rPr>
          <w:noProof/>
        </w:rPr>
      </w:pPr>
      <w:r>
        <w:rPr>
          <w:noProof/>
        </w:rPr>
        <w:t>Ak krajiny</w:t>
      </w:r>
      <w:r>
        <w:rPr>
          <w:i/>
          <w:noProof/>
        </w:rPr>
        <w:t xml:space="preserve"> </w:t>
      </w:r>
      <w:r>
        <w:rPr>
          <w:noProof/>
        </w:rPr>
        <w:t xml:space="preserve">pri použití uvedených parametrov dosiahnu záporné hodnoty </w:t>
      </w:r>
      <w:r>
        <w:rPr>
          <w:i/>
          <w:noProof/>
        </w:rPr>
        <w:t>f(N)</w:t>
      </w:r>
      <w:r>
        <w:rPr>
          <w:noProof/>
        </w:rPr>
        <w:t>, budú oslobodené od príslušnej požiadavky.</w:t>
      </w:r>
    </w:p>
    <w:p>
      <w:pPr>
        <w:pStyle w:val="NumPar1"/>
        <w:rPr>
          <w:noProof/>
        </w:rPr>
      </w:pPr>
      <w:r>
        <w:rPr>
          <w:noProof/>
        </w:rPr>
        <w:t xml:space="preserve">Pre odhadovaný pomer nezamestnanosti k počtu obyvateľov vo veku 15 – 74 rokov v každom regióne NUTS 2 je funkcia </w:t>
      </w:r>
      <w:r>
        <w:rPr>
          <w:i/>
          <w:noProof/>
        </w:rPr>
        <w:t>f(N)</w:t>
      </w:r>
      <w:r>
        <w:rPr>
          <w:noProof/>
        </w:rPr>
        <w:t xml:space="preserve"> definovaná takto:</w:t>
      </w:r>
    </w:p>
    <w:p>
      <w:pPr>
        <w:jc w:val="center"/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59105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umPar1"/>
        <w:rPr>
          <w:noProof/>
        </w:rPr>
      </w:pPr>
      <w:r>
        <w:rPr>
          <w:noProof/>
        </w:rPr>
        <w:t>Pre odhadovaný pomer rizika chudoby alebo sociálneho vylúčenia k počtu obyvateľov v každom regióne NUTS 2 tieto požiadavky nie sú povinné pre regióny NUTS 2 s menším počtom obyvateľov než 0,500 milióna za predpokladu, že príslušný región NUTS 1 vyhovuje tejto požiadavke.</w:t>
      </w:r>
    </w:p>
    <w:p>
      <w:pPr>
        <w:pStyle w:val="NumPar1"/>
        <w:rPr>
          <w:noProof/>
        </w:rPr>
      </w:pPr>
      <w:r>
        <w:rPr>
          <w:noProof/>
        </w:rPr>
        <w:t>V prípade oblasti spotreby možno požiadavky na presnosť dosiahnuť kombináciou mikroúdajov z maximálne troch po sebe nasledujúcich rokov pozorovaní.</w:t>
      </w:r>
    </w:p>
    <w:p>
      <w:pPr>
        <w:widowControl w:val="0"/>
        <w:autoSpaceDE w:val="0"/>
        <w:autoSpaceDN w:val="0"/>
        <w:spacing w:before="0" w:after="0"/>
        <w:jc w:val="left"/>
        <w:rPr>
          <w:rFonts w:eastAsia="Times New Roman"/>
          <w:noProof/>
          <w:sz w:val="16"/>
          <w:szCs w:val="16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Príloha III</w:t>
      </w:r>
    </w:p>
    <w:p>
      <w:pPr>
        <w:jc w:val="center"/>
        <w:rPr>
          <w:b/>
          <w:noProof/>
        </w:rPr>
      </w:pPr>
      <w:r>
        <w:rPr>
          <w:b/>
          <w:noProof/>
        </w:rPr>
        <w:t>Charakteristiky vzoriek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K charakteristikám vzoriek v oblasti trhu práce patria tieto: 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celoštátna vzorka za referenčný štvrťrok (agregácia po sebe nasledujúcich referenčných týždňov) sa rozdelí rovnomerne na všetky týždne štvrťroku. Vzorka za referenčný štvrťrok (v každom regióne NUTS 2) sa rozdelí na 3 mesiace úmerne k počtu týždňov v každom mesiaci;</w:t>
      </w:r>
    </w:p>
    <w:p>
      <w:pPr>
        <w:pStyle w:val="Point1"/>
        <w:rPr>
          <w:rFonts w:eastAsia="Calibri"/>
          <w:noProof/>
        </w:rPr>
      </w:pPr>
      <w:r>
        <w:rPr>
          <w:noProof/>
        </w:rPr>
        <w:t>b)</w:t>
      </w:r>
      <w:r>
        <w:rPr>
          <w:noProof/>
        </w:rPr>
        <w:tab/>
        <w:t>vzorka má mať systém rotácie menej ako jeden rok. Minimálne prekrývanie vzoriek medzi tými istými štvrťrokmi v rokoch idúcich po sebe musí byť 20 % a medzi štvrťrokmi idúcimi po sebe 50 % bez prihliadnutia k miere neodpovedania.</w:t>
      </w:r>
    </w:p>
    <w:p>
      <w:pPr>
        <w:pStyle w:val="Text1"/>
        <w:rPr>
          <w:noProof/>
        </w:rPr>
      </w:pPr>
      <w:r>
        <w:rPr>
          <w:noProof/>
        </w:rPr>
        <w:t xml:space="preserve">Bez toho, aby bol dotknutý článok 5 ods. 1, sa údaje poskytujú pre celú vzorku.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K charakteristikám vzoriek v oblasti príjmov a životných podmienok patria tieto: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vzorka má mať systém rotácie minimálne šesť rokov; </w:t>
      </w:r>
    </w:p>
    <w:p>
      <w:pPr>
        <w:pStyle w:val="Point1"/>
        <w:rPr>
          <w:rFonts w:eastAsia="Calibri"/>
          <w:noProof/>
        </w:rPr>
      </w:pPr>
      <w:r>
        <w:rPr>
          <w:noProof/>
        </w:rPr>
        <w:t>b)</w:t>
      </w:r>
      <w:r>
        <w:rPr>
          <w:noProof/>
        </w:rPr>
        <w:tab/>
        <w:t>bez prihliadnutia k miere neodpovedania má byť vzorka rovnomerne rozložená v priebehu rokov systému rotácie s výnimkou obdobia zmien veľkosti vzorky.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K charakteristikám vzoriek v oblasti využívania času patria tieto: vykazované obdobia pridelené jednotkám vzorky musia: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byť rozložené na obdobie dvanástich po sebe idúcich mesiacov;</w:t>
      </w:r>
    </w:p>
    <w:p>
      <w:pPr>
        <w:pStyle w:val="Point1"/>
        <w:rPr>
          <w:rFonts w:eastAsia="Calibri"/>
          <w:noProof/>
        </w:rPr>
      </w:pPr>
      <w:r>
        <w:rPr>
          <w:noProof/>
        </w:rPr>
        <w:t>b)</w:t>
      </w:r>
      <w:r>
        <w:rPr>
          <w:noProof/>
        </w:rPr>
        <w:tab/>
        <w:t>zahŕňať nepracovné dni;</w:t>
      </w:r>
    </w:p>
    <w:p>
      <w:pPr>
        <w:pStyle w:val="Point1"/>
        <w:rPr>
          <w:rFonts w:eastAsia="Calibri"/>
          <w:noProof/>
        </w:rPr>
      </w:pPr>
      <w:r>
        <w:rPr>
          <w:noProof/>
        </w:rPr>
        <w:t>c)</w:t>
      </w:r>
      <w:r>
        <w:rPr>
          <w:noProof/>
        </w:rPr>
        <w:tab/>
        <w:t>byť založené na náhodnej vzorke.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K charakteristikám vzoriek v oblasti spotreby patria tieto: vykazované obdobia pridelené jednotkám vzorky musia byť rozložené na obdobie dvanástich po sebe idúcich mesiacov.</w:t>
      </w:r>
    </w:p>
    <w:p>
      <w:pPr>
        <w:spacing w:before="0" w:after="0" w:line="276" w:lineRule="auto"/>
        <w:jc w:val="left"/>
        <w:rPr>
          <w:rFonts w:eastAsia="Calibri"/>
          <w:b/>
          <w:noProof/>
          <w:sz w:val="22"/>
          <w:u w:val="single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Príloha IV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Periodicita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V oblasti trhu práce sa súbory údajov skladajú z informácií získavaných štvrťročne, ročne, raz za dva roky a každých 8 rokov. Údaje o premenných týkajúcich sa predmetov </w:t>
      </w:r>
      <w:r>
        <w:rPr>
          <w:i/>
          <w:noProof/>
        </w:rPr>
        <w:t>ad hoc</w:t>
      </w:r>
      <w:r>
        <w:rPr>
          <w:noProof/>
        </w:rPr>
        <w:t xml:space="preserve"> sa získavajú každé štyri roky.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V oblasti príjmov a životných podmienok sa súbory údajov skladajú z ročných, trojročných a šesťročných informácií. Údaje o získaných premenných týkajúcich sa predmetov </w:t>
      </w:r>
      <w:r>
        <w:rPr>
          <w:i/>
          <w:noProof/>
        </w:rPr>
        <w:t>ad hoc</w:t>
      </w:r>
      <w:r>
        <w:rPr>
          <w:noProof/>
        </w:rPr>
        <w:t xml:space="preserve"> sa získavajú každé dva roky.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V oblasti zdravia sa údaje získavajú každých 6 rokov.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V oblasti vzdelávania a odbornej prípravy sa údaje získavajú každých 6 rokov.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V oblasti využívania informačných a komunikačných technológií sa údaje získavajú raz za rok.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V oblasti využívania času sa údaje získavajú každých 10 rokov.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V oblasti spotreby sa údaje získavajú každých 5 rokov.</w:t>
      </w:r>
    </w:p>
    <w:p>
      <w:pPr>
        <w:spacing w:before="0" w:after="200" w:line="276" w:lineRule="auto"/>
        <w:jc w:val="left"/>
        <w:rPr>
          <w:rFonts w:eastAsia="Calibri"/>
          <w:noProof/>
          <w:sz w:val="22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Príloha V</w:t>
      </w:r>
    </w:p>
    <w:p>
      <w:pPr>
        <w:spacing w:before="0" w:after="200" w:line="276" w:lineRule="auto"/>
        <w:jc w:val="center"/>
        <w:rPr>
          <w:rFonts w:eastAsia="Calibri"/>
          <w:noProof/>
          <w:sz w:val="22"/>
        </w:rPr>
      </w:pPr>
      <w:r>
        <w:rPr>
          <w:b/>
          <w:noProof/>
          <w:u w:val="single"/>
        </w:rPr>
        <w:t>Lehoty na prenos údajov</w:t>
      </w:r>
    </w:p>
    <w:p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Členské štáty prenášajú požadované údaje Komisii (Eurostatu) najneskôr v nasledujúcich lehotách.</w:t>
      </w:r>
    </w:p>
    <w:p>
      <w:pPr>
        <w:pStyle w:val="NumPar1"/>
        <w:numPr>
          <w:ilvl w:val="0"/>
          <w:numId w:val="13"/>
        </w:numPr>
        <w:rPr>
          <w:noProof/>
        </w:rPr>
      </w:pPr>
      <w:r>
        <w:rPr>
          <w:noProof/>
        </w:rPr>
        <w:t>V oblasti trhu práce členské štáty prenášajú:</w:t>
      </w:r>
    </w:p>
    <w:p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vopred skontrolované mikroúdaje bez priamych identifikátorov podľa tohto dvojfázového postupu: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počas prvých troch rokov vykonávania tohto nariadenia podľa článku 10 ods. 4:</w:t>
      </w:r>
    </w:p>
    <w:p>
      <w:pPr>
        <w:pStyle w:val="Tiret3"/>
        <w:numPr>
          <w:ilvl w:val="0"/>
          <w:numId w:val="12"/>
        </w:numPr>
        <w:rPr>
          <w:noProof/>
        </w:rPr>
      </w:pPr>
      <w:r>
        <w:rPr>
          <w:noProof/>
        </w:rPr>
        <w:t xml:space="preserve">pre štvrťročné údaje: prenos do desiatich týždňov od skončenia referenčného obdobia, </w:t>
      </w:r>
    </w:p>
    <w:p>
      <w:pPr>
        <w:pStyle w:val="Tiret3"/>
        <w:rPr>
          <w:noProof/>
        </w:rPr>
      </w:pPr>
      <w:r>
        <w:rPr>
          <w:noProof/>
        </w:rPr>
        <w:t>pre ostatné údaje: prenos do 31. marca nasledujúceho roka;</w:t>
      </w:r>
    </w:p>
    <w:p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od štvrtého roka vykonávania sa prenos riadi týmito pravidlami:</w:t>
      </w:r>
    </w:p>
    <w:p>
      <w:pPr>
        <w:pStyle w:val="Tiret3"/>
        <w:rPr>
          <w:noProof/>
        </w:rPr>
      </w:pPr>
      <w:r>
        <w:rPr>
          <w:noProof/>
        </w:rPr>
        <w:t>pre štvrťročné údaje: prenos údajov za 1. štvrťrok do 29. mája, za 2. štvrťrok do 29. augusta a za 3. štvrťrok do 29. novembra toho istého roka a údajov za 4. štvrťrok do 28. februára nasledujúceho roka,</w:t>
      </w:r>
    </w:p>
    <w:p>
      <w:pPr>
        <w:pStyle w:val="Tiret3"/>
        <w:rPr>
          <w:noProof/>
        </w:rPr>
      </w:pPr>
      <w:r>
        <w:rPr>
          <w:noProof/>
        </w:rPr>
        <w:t>pre ostatné údaje: prenos do 15. marca nasledujúceho roka.</w:t>
      </w:r>
    </w:p>
    <w:p>
      <w:pPr>
        <w:rPr>
          <w:rFonts w:eastAsia="Calibri"/>
          <w:noProof/>
        </w:rPr>
      </w:pPr>
      <w:r>
        <w:rPr>
          <w:noProof/>
        </w:rPr>
        <w:t>V rokoch, keď tieto posledné dni lehôt pripadnú na sobotu alebo nedeľu, sa za skutočný koniec lehoty považuje nasledujúci pondelok.</w:t>
      </w:r>
    </w:p>
    <w:p>
      <w:pPr>
        <w:rPr>
          <w:rFonts w:eastAsia="Calibri"/>
          <w:noProof/>
        </w:rPr>
      </w:pPr>
      <w:r>
        <w:rPr>
          <w:noProof/>
        </w:rPr>
        <w:t>Ak sa na poskytnutie údajov pre čiastkovú tému „príjem z práce“ použijú administratívne údaje, tieto údaje môžu byť prenesené Komisii (Eurostatu) do dvadsaťjeden mesiacov od skončenia referenčného obdobia;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agregované výsledky na účely zostavovania mesačnej štatistiky nezamestnanosti do 25 dní od skončenia referenčného mesiaca. Členské štáty nesmú zahrnúť posledný týždeň referenčného mesiaca, ak zasahuje do nasledujúceho mesiaca.</w:t>
      </w:r>
    </w:p>
    <w:p>
      <w:pPr>
        <w:pStyle w:val="NumPar1"/>
        <w:rPr>
          <w:noProof/>
        </w:rPr>
      </w:pPr>
      <w:r>
        <w:rPr>
          <w:noProof/>
        </w:rPr>
        <w:t xml:space="preserve">V oblasti príjmov a životných podmienok členské štáty prenášajú vopred skontrolované mikroúdaje bez priamych identifikátorov v týchto lehotách: 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pokiaľ ide o premenné pre zber údajov z roku N, do konca roka N. Vo výnimočných prípadoch, keď nie sú včas dostupné požadované administratívne údaje, možno predbežné mikroúdaje týkajúce sa príjmu preniesť do konca roka N a konečné údaje do 28. februára roka N + 1;</w:t>
      </w:r>
    </w:p>
    <w:p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pokiaľ ide o premenné týkajúce sa šiestich rokov systému rotácie, ktorý končí v roku N, do 31. októbra roka N + 1. </w:t>
      </w:r>
    </w:p>
    <w:p>
      <w:pPr>
        <w:pStyle w:val="NumPar1"/>
        <w:rPr>
          <w:noProof/>
        </w:rPr>
      </w:pPr>
      <w:r>
        <w:rPr>
          <w:noProof/>
        </w:rPr>
        <w:t>V oblasti zdravia členské štáty prenášajú vopred skontrolované mikroúdaje do deviatich mesiacov od skončenia vnútroštátneho obdobia zberu údajov.</w:t>
      </w:r>
    </w:p>
    <w:p>
      <w:pPr>
        <w:pStyle w:val="NumPar1"/>
        <w:rPr>
          <w:noProof/>
        </w:rPr>
      </w:pPr>
      <w:r>
        <w:rPr>
          <w:noProof/>
        </w:rPr>
        <w:t>V oblasti vzdelávania a odbornej prípravy členské štáty prenášajú vopred skontrolované mikroúdaje do šiestich mesiacov od skončenia vnútroštátneho obdobia zberu údajov.</w:t>
      </w:r>
    </w:p>
    <w:p>
      <w:pPr>
        <w:pStyle w:val="NumPar1"/>
        <w:rPr>
          <w:noProof/>
        </w:rPr>
      </w:pPr>
      <w:r>
        <w:rPr>
          <w:noProof/>
        </w:rPr>
        <w:t>V oblasti využívania informačných a komunikačných technológií členské štáty prenášajú vopred skontrolované mikroúdaje do 5. októbra roka zisťovania N.</w:t>
      </w:r>
    </w:p>
    <w:p>
      <w:pPr>
        <w:pStyle w:val="NumPar1"/>
        <w:rPr>
          <w:noProof/>
        </w:rPr>
      </w:pPr>
      <w:r>
        <w:rPr>
          <w:noProof/>
        </w:rPr>
        <w:t>V oblasti využívania času členské štáty prenášajú vopred skontrolované mikroúdaje najneskôr do pätnástich mesiacov od skončenia terénnej práce.</w:t>
      </w:r>
    </w:p>
    <w:p>
      <w:pPr>
        <w:pStyle w:val="NumPar1"/>
        <w:rPr>
          <w:noProof/>
        </w:rPr>
      </w:pPr>
      <w:r>
        <w:rPr>
          <w:noProof/>
        </w:rPr>
        <w:t>V oblasti spotreby členské štáty prenášajú vopred skontrolované mikroúdaje do pätnástich mesiacov od skončenia referenčného roka.</w:t>
      </w:r>
    </w:p>
    <w:sectPr>
      <w:footerReference w:type="default" r:id="rId17"/>
      <w:footerReference w:type="first" r:id="rId1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27C5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97CBC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AC02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E684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525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2C8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3BC18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7BA7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8-24 15:04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ACCOMPAGNANT" w:val="k"/>
    <w:docVar w:name="LW_ACCOMPAGNANT.CP" w:val="k"/>
    <w:docVar w:name="LW_ANNEX_NBR_FIRST" w:val="1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1A558C36AA4A433680EA4B6A83FFEB37"/>
    <w:docVar w:name="LW_CROSSREFERENCE" w:val="{SWD(2016) 282 final}_x000b_{SWD(2016) 283 final}"/>
    <w:docVar w:name="LW_DocType" w:val="ANNEX"/>
    <w:docVar w:name="LW_EMISSION" w:val="24. 8. 2016"/>
    <w:docVar w:name="LW_EMISSION_ISODATE" w:val="2016-08-24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" w:val="ktorým sa zavádza spolo\u269?ný rámec pre európsku \u353?tatistiku týkajúcu sa osôb a&lt;LWCR:NBS&gt;domácností na základe údajov na individuálnej úrovni získavaných zo vzoriek"/>
    <w:docVar w:name="LW_OBJETACTEPRINCIPAL.CP" w:val="ktorým sa zavádza spolo\u269?ný rámec pre európsku \u353?tatistiku týkajúcu sa osôb a domácností na základe údajov na individuálnej úrovni získavaných zo vzoriek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551"/>
    <w:docVar w:name="LW_REF.INTERNE" w:val="&lt;UNUSED&gt;"/>
    <w:docVar w:name="LW_SUPERTITRE" w:val="&lt;UNUSED&gt;"/>
    <w:docVar w:name="LW_TITRE.OBJ.CP" w:val="&lt;UNUSED&gt;"/>
    <w:docVar w:name="LW_TYPE.DOC" w:val="PRÍLOHY"/>
    <w:docVar w:name="LW_TYPE.DOC.CP" w:val="PRÍLOHY"/>
    <w:docVar w:name="LW_TYPEACTEPRINCIPAL" w:val="návrhu_x000b__x000b_NARIADENIA EURÓPSKEHO PARLAMENTU A RADY,"/>
    <w:docVar w:name="LW_TYPEACTEPRINCIPAL.CP" w:val="návrhu_x000b__x000b_NARIADENIA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13</Pages>
  <Words>2381</Words>
  <Characters>14503</Characters>
  <Application>Microsoft Office Word</Application>
  <DocSecurity>0</DocSecurity>
  <Lines>906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 Isabelle (ESTAT)</dc:creator>
  <cp:lastModifiedBy>DIGIT/A3</cp:lastModifiedBy>
  <cp:revision>9</cp:revision>
  <cp:lastPrinted>2016-06-30T05:36:00Z</cp:lastPrinted>
  <dcterms:created xsi:type="dcterms:W3CDTF">2016-08-16T13:21:00Z</dcterms:created>
  <dcterms:modified xsi:type="dcterms:W3CDTF">2016-08-24T13:04:00Z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