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A9425F5ACC294F5E96B241AB87A176B9" style="width:450.8pt;height:479.3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Anexo I</w:t>
      </w:r>
    </w:p>
    <w:p>
      <w:pPr>
        <w:jc w:val="center"/>
        <w:rPr>
          <w:b/>
          <w:noProof/>
        </w:rPr>
      </w:pPr>
      <w:r>
        <w:rPr>
          <w:b/>
          <w:noProof/>
        </w:rPr>
        <w:t>Temas a abranger</w:t>
      </w:r>
    </w:p>
    <w:p>
      <w:pPr>
        <w:pStyle w:val="Text1"/>
        <w:rPr>
          <w:noProof/>
        </w:rPr>
      </w:pPr>
    </w:p>
    <w:tbl>
      <w:tblPr>
        <w:tblW w:w="9975" w:type="dxa"/>
        <w:tblInd w:w="93" w:type="dxa"/>
        <w:tblLook w:val="04A0" w:firstRow="1" w:lastRow="0" w:firstColumn="1" w:lastColumn="0" w:noHBand="0" w:noVBand="1"/>
      </w:tblPr>
      <w:tblGrid>
        <w:gridCol w:w="2547"/>
        <w:gridCol w:w="3468"/>
        <w:gridCol w:w="3960"/>
      </w:tblGrid>
      <w:tr>
        <w:trPr>
          <w:trHeight w:val="300"/>
        </w:trPr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</w:rPr>
            </w:pPr>
            <w:r>
              <w:rPr>
                <w:noProof/>
              </w:rPr>
              <w:t>Domínio</w:t>
            </w:r>
          </w:p>
        </w:tc>
        <w:tc>
          <w:tcPr>
            <w:tcW w:w="34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</w:rPr>
            </w:pPr>
            <w:r>
              <w:rPr>
                <w:noProof/>
              </w:rPr>
              <w:t>Tema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Cs w:val="24"/>
              </w:rPr>
            </w:pPr>
            <w:r>
              <w:rPr>
                <w:noProof/>
              </w:rPr>
              <w:t>Temas detalhados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Para todos os domínios 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Elementos técnicos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Informação sobre a recolha de dados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Identificação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Ponderadores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Características das entrevistas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Localização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Características das pessoas e dos agregados domésticos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Demografia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Nacionalidade e antecedentes migratórios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Composição do agregado doméstico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Participação no mercado de trabalho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Condição perante o trabalho principal (auto-classificação)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Características básicas do emprego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Nível de escolaridade completo e percurso de educação e formação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Nível de escolaridade completo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Mercado de trabalho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Características das pessoas e dos agregados domésticos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Composição do agregado doméstico - detalhes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Duração da permanência no país </w:t>
            </w:r>
          </w:p>
        </w:tc>
      </w:tr>
      <w:tr>
        <w:trPr>
          <w:trHeight w:val="30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Participação no mercado de trabalho </w:t>
            </w: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Situação na profissão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Duração do contrato de trabalho</w:t>
            </w:r>
          </w:p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Duração do contrato de trabalho - informação secundária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Regime de trabalho (a tempo completo ou a tempo parcial) - motivo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Trabalho por conta própria economicamente dependente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Responsabilidades de supervisão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Dimensão do estabelecimento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Local de trabalho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Trabalho no domicílio 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Procura de emprego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Vontade de trabalhar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Disponibilidade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Atividade secundária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Procura de outro emprego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Conciliação da vida profissional com a vida familiar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Jovens no mercado de trabalho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b/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Situação dos migrantes e dos seus descendentes diretos no mercado de trabalho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Transição para a reforma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Necessidades em matéria de cuidados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Tempo de serviço no emprego e experiência profissional anterior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Data de início do emprego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Como foi encontrado o emprego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Experiência profissional anterior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Condições de trabalho incluindo horário de trabalho e organização do tempo de trabalho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Horário de trabalho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Organização do tempo de trabalho 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Organização do trabalho e do tempo de trabalho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Nível de escolaridade completo e percurso de educação e formação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Nível de escolaridade completo e percurso de educação e formação - detalhes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Participação em atividades de educação e formação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Participação em atividades de educação e formação formal e não formal (4 semanas)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Participação em atividades de educação e formação formal e não formal (12 meses)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Estado de saúde e incapacidade, cuidados de saúde e determinantes da saúde 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Acidentes de trabalho e outros problemas de saúde relacionados com o trabalho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Módulo de saúde europeu mínimo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Rendimento, consumo e riqueza, incluindo dívidas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Rendimentos do trabalho</w:t>
            </w:r>
          </w:p>
        </w:tc>
      </w:tr>
      <w:tr>
        <w:trPr>
          <w:trHeight w:val="284"/>
        </w:trPr>
        <w:tc>
          <w:tcPr>
            <w:tcW w:w="254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Rendimento e condições de vida</w:t>
            </w: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Características das pessoas e dos agregados domésticos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Composição do agregado doméstico - detalhes</w:t>
            </w:r>
          </w:p>
        </w:tc>
      </w:tr>
      <w:tr>
        <w:trPr>
          <w:trHeight w:val="300"/>
        </w:trPr>
        <w:tc>
          <w:tcPr>
            <w:tcW w:w="254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Duração da permanência no país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Participação em atividades de educação e formação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Participação em atividades de educação formal (situação atual)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Nível de escolaridade completo e percurso de educação e formação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Nível de escolaridade completo e percurso de educação e formação - detalhes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Participação no mercado de trabalho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Características do local de trabalho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Duração do contrato de trabalho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Situação na profissão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Detalhe da situação perante o mercado de trabalho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Responsabilidades de supervisão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Tempo de serviço no emprego e experiência profissional anterior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Experiência profissional anterior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Condições de trabalho incluindo horário de trabalho e organização do tempo de trabalho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Calendário de atividades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Horário de trabalho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Estado de saúde e incapacidade, cuidados de saúde e determinantes da saúde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Módulo de saúde europeu mínimo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Estado de saúde e incapacidade 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Saúde infantil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Acesso aos cuidados de saúde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Cuidados de saúde 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Acesso aos cuidados de saúde (crianças)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Determinantes da saúde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Qualidade de vida, incluindo participação social e cultural e bem-estar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Qualidade de vida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Participação social e cultural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Bem-estar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Condições de vida, incluindo </w:t>
            </w:r>
            <w:r>
              <w:rPr>
                <w:noProof/>
              </w:rPr>
              <w:lastRenderedPageBreak/>
              <w:t xml:space="preserve">privação material, habitação, ambiente, acesso aos serviços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lastRenderedPageBreak/>
              <w:t>Privação material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Privação material das crianças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Principais características da habitação 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Condições de habitação detalhadas, incluindo privação habitacional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Custos de habitação, incluindo rendas imputadas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Ambiente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Utilização de serviços, incluindo serviços de cuidados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Capacidade económica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Necessidades não satisfeitas e motivos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Cuidados das crianças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Rendimento, consumo e riqueza, incluindo dívidas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Rendimentos do trabalho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Rendimentos de subsídios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Rendimentos de pensões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Outros rendimentos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Impostos e contribuições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Rendimento total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Sobre-endividamento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Pagamentos em atraso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Riqueza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Principais componentes do consumo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Transmissão intergeracional de desvantagens sociais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Saúde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Estado de saúde e incapacidade, cuidados de saúde e determinantes da saúde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Módulo de saúde europeu mínimo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Doenças e afeções crónicas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Acidentes e lesões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Dor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Saúde mental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Limitações funcionais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Dificuldades na realização dos cuidados pessoais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Dificuldades na realização das atividades domésticas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Limitação temporária na realização das atividades (devido a problemas e saúde)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Barreiras à participação em domínios específicos da vida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Utilização de cuidados de saúde, incluindo cuidados continuados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Consumo de medicamentos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Cuidados preventivos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Acesso aos cuidados de saúde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Altura e peso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Atividade física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Hábitos alimentares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Consumo de tabaco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Consumo de álcool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Fatores sociais e ambientais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Rendimento, consumo e riqueza, incluindo dívidas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Rendimento total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Educação e formação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Características das pessoas e dos agregados domésticos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Duração da permanência no país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Tempo de serviço no emprego e experiência profissional anterior</w:t>
            </w: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Data de início do emprego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Participação no mercado de trabalho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Dimensão do estabelecimento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Nível de escolaridade completo e percurso de educação e formação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Nível de escolaridade completo e percurso de educação e formação - detalhes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Percurso de educação e formação 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Auto-avaliação de competências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Participação em atividades de educação e formação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Acesso à informação e orientação sobre as possibilidades de formação (12 meses)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Participação em ações de educação formal (12 meses)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Atividade de educação formal mais recente - detalhes (12 meses)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Utilização de TIC na atividade de educação formal mais recente (12 meses)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Motivos da participação na atividade de educação formal mais recente (12 meses)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Pagamento e número de horas de participação na atividade de educação formal mais recente (12 meses)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Resultados e utilização das competências adquiridas na atividade de educação formal mais recente (12 meses)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Participação em atividades de educação não formal (12 meses)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Atividades de educação não formal mais recentes - detalhes (12 meses)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Utilização de TIC em atividades de educação não formal (12 meses)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Motivos da participação em atividades de educação não formal (12 meses)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Pagamento e número de horas de participação em atividades de educação não formal (12 meses)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Resultados e utilização das competências adquiridas em atividades de educação formal (12 meses)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Obstáculos à participação em atividades de educação e formação (12 meses) 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Aprendizagem informal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Rendimento, consumo e riqueza, incluindo dívidas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Rendimento total</w:t>
            </w:r>
          </w:p>
        </w:tc>
      </w:tr>
      <w:tr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Utilização das tecnologias de </w:t>
            </w:r>
            <w:r>
              <w:rPr>
                <w:noProof/>
              </w:rPr>
              <w:lastRenderedPageBreak/>
              <w:t>informação e comunicação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lastRenderedPageBreak/>
              <w:t>Participação na sociedade da informação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Acesso às TIC</w:t>
            </w:r>
          </w:p>
        </w:tc>
      </w:tr>
      <w:tr>
        <w:trPr>
          <w:trHeight w:val="300"/>
        </w:trPr>
        <w:tc>
          <w:tcPr>
            <w:tcW w:w="254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Utilização e frequência de utilização das TIC</w:t>
            </w:r>
          </w:p>
        </w:tc>
      </w:tr>
      <w:tr>
        <w:trPr>
          <w:trHeight w:val="300"/>
        </w:trPr>
        <w:tc>
          <w:tcPr>
            <w:tcW w:w="254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Barreiras e problemas da utilização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Efeitos da utilização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Segurança, privacidade, fiabilidade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Ligação à Internet a partir de qualquer sítio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Competências digitais 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Atividades na Internet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Comércio eletrónico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Interação com administrações públicas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Rendimento, consumo e riqueza, incluindo dívidas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Rendimento total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Utilização do tempo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Características das pessoas e dos agregados domésticos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Composição do agregado doméstico - detalhes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Participação em atividades de educação e formação </w:t>
            </w: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Participação em atividades de educação formal (situação atual)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Estado de saúde e incapacidade, cuidados de saúde e determinantes da saúde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Módulo de saúde europeu mínimo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Condições de vida, incluindo privação material, habitação, ambiente, acesso aos serviços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Posse de bens duradouros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Cuidados das crianças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Cuidados a doentes e a idosos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Condições de trabalho incluindo horário de trabalho e organização do tempo de trabalho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Horário de trabalho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Organização do tempo de trabalho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Rendimento, consumo e riqueza, incluindo dívidas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Produção para autoconsumo e venda, reparações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Rendimentos do trabalho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Rendimento total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Ocupação do tempo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Utilização do tempo, tipo de atividades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Atividades secundárias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Local da atividade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Presença de outros durante a atividade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Avaliação da atividade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Consumo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Características das pessoas e dos agregados domésticos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Composição do agregado doméstico - detalhes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Condições de vida, incluindo privação material, habitação, ambiente, acesso aos serviços</w:t>
            </w: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Principais características da habitação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Participação em atividades de educação e formação </w:t>
            </w: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Participação em atividades de educação formal (situação atual)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Participação no mercado de trabalho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Duração do contrato de trabalho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Rendimento, consumo e riqueza, incluindo dívidas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Rendimento total 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Impostos e contribuições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Rendimento em espécies de atividades não assalariadas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Renda imputada 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Principal fonte de rendimento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Riqueza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Dívidas 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Pagamentos em atraso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Consumo por função COICOP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Despesas de consumo transfronteiras por função COICOP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Consumo próprio</w:t>
            </w:r>
          </w:p>
        </w:tc>
      </w:tr>
    </w:tbl>
    <w:p>
      <w:pPr>
        <w:pStyle w:val="Annexetitre"/>
        <w:rPr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w:t>Anexo II</w:t>
      </w:r>
    </w:p>
    <w:p>
      <w:pPr>
        <w:jc w:val="center"/>
        <w:rPr>
          <w:b/>
          <w:noProof/>
        </w:rPr>
      </w:pPr>
      <w:r>
        <w:rPr>
          <w:b/>
          <w:noProof/>
        </w:rPr>
        <w:t>Requisitos de precisão</w:t>
      </w:r>
    </w:p>
    <w:p>
      <w:pPr>
        <w:pStyle w:val="NumPar1"/>
        <w:numPr>
          <w:ilvl w:val="0"/>
          <w:numId w:val="13"/>
        </w:numPr>
        <w:rPr>
          <w:noProof/>
        </w:rPr>
      </w:pPr>
      <w:r>
        <w:rPr>
          <w:noProof/>
        </w:rPr>
        <w:t>Para todos os conjuntos de dados, os critérios de precisão são expressos em erros padrão e definidos como funções contínuas das estimativas concretas e da dimensão da população estatística num país ou numa região NUTS 2</w:t>
      </w:r>
    </w:p>
    <w:p>
      <w:pPr>
        <w:pStyle w:val="NumPar1"/>
        <w:rPr>
          <w:noProof/>
        </w:rPr>
      </w:pPr>
      <w:r>
        <w:rPr>
          <w:noProof/>
          <w:szCs w:val="24"/>
        </w:rPr>
        <w:t xml:space="preserve">O erro padrão estimado para uma dada </w:t>
      </w:r>
      <w:r>
        <w:rPr>
          <w:noProof/>
        </w:rPr>
        <w:t xml:space="preserve">estimativa </w:t>
      </w:r>
      <m:oMath>
        <m:acc>
          <m:accPr>
            <m:ctrlPr>
              <w:rPr>
                <w:rFonts w:ascii="Cambria Math" w:hAnsi="Cambria Math"/>
                <w:noProof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SE</m:t>
            </m:r>
          </m:e>
        </m:acc>
        <m:d>
          <m:dPr>
            <m:ctrlPr>
              <w:rPr>
                <w:rFonts w:ascii="Cambria Math" w:hAnsi="Cambria Math"/>
                <w:noProof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noProof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p</m:t>
                </m:r>
              </m:e>
            </m:acc>
          </m:e>
        </m:d>
      </m:oMath>
      <w:r>
        <w:rPr>
          <w:noProof/>
        </w:rPr>
        <w:t xml:space="preserve"> </w:t>
      </w:r>
      <w:r>
        <w:rPr>
          <w:noProof/>
          <w:szCs w:val="24"/>
        </w:rPr>
        <w:t>não deve ser superior ao valor apurado pela seguinte fórmula</w:t>
      </w:r>
      <w:r>
        <w:rPr>
          <w:noProof/>
        </w:rPr>
        <w:t>:</w:t>
      </w:r>
    </w:p>
    <w:p>
      <w:pPr>
        <w:pStyle w:val="Point1"/>
        <w:rPr>
          <w:rFonts w:ascii="Cambria Math" w:hAnsi="Cambria Math"/>
          <w:noProof/>
          <w:oMath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acc>
                    <m:acc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accPr>
                    <m:e>
                      <m:r>
                        <m:rPr>
                          <m:nor/>
                        </m:rPr>
                        <w:rPr>
                          <w:i/>
                          <w:noProof/>
                        </w:rPr>
                        <m:t>p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i/>
                          <w:noProof/>
                        </w:rPr>
                        <m:t>1-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accPr>
                        <m:e>
                          <m:r>
                            <m:rPr>
                              <m:nor/>
                            </m:rPr>
                            <w:rPr>
                              <w:i/>
                              <w:noProof/>
                            </w:rPr>
                            <m:t>p</m:t>
                          </m:r>
                        </m:e>
                      </m:acc>
                    </m:e>
                  </m:d>
                </m:num>
                <m:den>
                  <m:r>
                    <m:rPr>
                      <m:nor/>
                    </m:rPr>
                    <w:rPr>
                      <w:i/>
                      <w:noProof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i/>
                          <w:noProof/>
                        </w:rPr>
                        <m:t>N</m:t>
                      </m:r>
                    </m:e>
                  </m:d>
                </m:den>
              </m:f>
            </m:e>
          </m:rad>
        </m:oMath>
      </m:oMathPara>
    </w:p>
    <w:p>
      <w:pPr>
        <w:pStyle w:val="NumPar1"/>
        <w:rPr>
          <w:noProof/>
        </w:rPr>
      </w:pPr>
      <w:r>
        <w:rPr>
          <w:noProof/>
        </w:rPr>
        <w:t xml:space="preserve">A função </w:t>
      </w:r>
      <w:r>
        <w:rPr>
          <w:i/>
          <w:noProof/>
        </w:rPr>
        <w:t xml:space="preserve">f(N) </w:t>
      </w:r>
      <w:r>
        <w:rPr>
          <w:noProof/>
        </w:rPr>
        <w:t>deve ter a forma</w:t>
      </w:r>
      <w:r>
        <w:rPr>
          <w:i/>
          <w:noProof/>
        </w:rPr>
        <w:t xml:space="preserve"> f(N)=a√N+b</w:t>
      </w:r>
    </w:p>
    <w:p>
      <w:pPr>
        <w:pStyle w:val="NumPar1"/>
        <w:rPr>
          <w:noProof/>
        </w:rPr>
      </w:pPr>
      <w:r>
        <w:rPr>
          <w:noProof/>
        </w:rPr>
        <w:t xml:space="preserve">Devem ser utilizados os valores a seguir indicados para os parâmetros </w:t>
      </w:r>
      <w:r>
        <w:rPr>
          <w:i/>
          <w:noProof/>
        </w:rPr>
        <w:t>N</w:t>
      </w:r>
      <w:r>
        <w:rPr>
          <w:noProof/>
        </w:rPr>
        <w:t>, a e b .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2688"/>
        <w:gridCol w:w="1020"/>
        <w:gridCol w:w="91"/>
        <w:gridCol w:w="853"/>
      </w:tblGrid>
      <w:tr>
        <w:trPr>
          <w:trHeight w:val="300"/>
        </w:trPr>
        <w:tc>
          <w:tcPr>
            <w:tcW w:w="5118" w:type="dxa"/>
            <w:shd w:val="clear" w:color="auto" w:fill="auto"/>
            <w:noWrap/>
            <w:hideMark/>
          </w:tcPr>
          <w:p>
            <w:pPr>
              <w:rPr>
                <w:b/>
                <w:bCs/>
                <w:noProof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2688" w:type="dxa"/>
            <w:shd w:val="clear" w:color="auto" w:fill="auto"/>
            <w:noWrap/>
            <w:hideMark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noProof/>
              </w:rPr>
              <w:t>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944" w:type="dxa"/>
            <w:gridSpan w:val="2"/>
            <w:shd w:val="clear" w:color="auto" w:fill="auto"/>
            <w:noWrap/>
            <w:hideMark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noProof/>
              </w:rPr>
              <w:t>b</w:t>
            </w:r>
          </w:p>
        </w:tc>
      </w:tr>
      <w:tr>
        <w:trPr>
          <w:trHeight w:val="300"/>
        </w:trPr>
        <w:tc>
          <w:tcPr>
            <w:tcW w:w="9770" w:type="dxa"/>
            <w:gridSpan w:val="5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Domínio Mercado de Trabalho: critérios de precisão</w:t>
            </w:r>
          </w:p>
        </w:tc>
      </w:tr>
      <w:tr>
        <w:trPr>
          <w:trHeight w:val="300"/>
        </w:trPr>
        <w:tc>
          <w:tcPr>
            <w:tcW w:w="511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Estimativa trimestral (nacional) do rácio entre a população desempregada e a população total dos 15 aos 74 anos</w:t>
            </w:r>
          </w:p>
        </w:tc>
        <w:tc>
          <w:tcPr>
            <w:tcW w:w="268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População dos 15 aos 74 anos residente em agregados domésticos privados no país, em milhões de pessoas e com arredondamento a 3 casas decimais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7800</w:t>
            </w:r>
          </w:p>
        </w:tc>
        <w:tc>
          <w:tcPr>
            <w:tcW w:w="944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-4500</w:t>
            </w:r>
          </w:p>
        </w:tc>
      </w:tr>
      <w:tr>
        <w:trPr>
          <w:trHeight w:val="300"/>
        </w:trPr>
        <w:tc>
          <w:tcPr>
            <w:tcW w:w="511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Estimativa trimestral (nacional) do rácio entre a população com emprego e a população total dos 15 aos 74 anos</w:t>
            </w:r>
          </w:p>
        </w:tc>
        <w:tc>
          <w:tcPr>
            <w:tcW w:w="268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População dos 15 aos 74 anos residente em agregados domésticos privados no país, em milhões de pessoas e com arredondamento a 3 casas decimais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7800</w:t>
            </w:r>
          </w:p>
        </w:tc>
        <w:tc>
          <w:tcPr>
            <w:tcW w:w="944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-4500</w:t>
            </w:r>
          </w:p>
        </w:tc>
      </w:tr>
      <w:tr>
        <w:trPr>
          <w:trHeight w:val="300"/>
        </w:trPr>
        <w:tc>
          <w:tcPr>
            <w:tcW w:w="511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Estimativa trimestral do rácio entre a população desempregada e a população total dos 15 aos 74 anos em cada região NUTS 2</w:t>
            </w:r>
          </w:p>
        </w:tc>
        <w:tc>
          <w:tcPr>
            <w:tcW w:w="268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População dos 15 aos 74 anos residente em agregados domésticos privados, em milhões de pessoas e com arredondamento a 3 casas decimais</w:t>
            </w:r>
          </w:p>
        </w:tc>
        <w:tc>
          <w:tcPr>
            <w:tcW w:w="1964" w:type="dxa"/>
            <w:gridSpan w:val="3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Ver o ponto 6.</w:t>
            </w:r>
          </w:p>
        </w:tc>
      </w:tr>
      <w:tr>
        <w:trPr>
          <w:trHeight w:val="300"/>
        </w:trPr>
        <w:tc>
          <w:tcPr>
            <w:tcW w:w="9770" w:type="dxa"/>
            <w:gridSpan w:val="5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Domínio Rendimento e Condições de Vida</w:t>
            </w:r>
          </w:p>
        </w:tc>
      </w:tr>
      <w:tr>
        <w:trPr>
          <w:trHeight w:val="300"/>
        </w:trPr>
        <w:tc>
          <w:tcPr>
            <w:tcW w:w="511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Rácio da população em risco de pobreza ou exclusão social em relação à população residente </w:t>
            </w:r>
          </w:p>
        </w:tc>
        <w:tc>
          <w:tcPr>
            <w:tcW w:w="268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Número de agregados domésticos privados no país, em milhões e com arredondamento a 3 casas decimais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900</w:t>
            </w:r>
          </w:p>
        </w:tc>
        <w:tc>
          <w:tcPr>
            <w:tcW w:w="944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2600</w:t>
            </w:r>
          </w:p>
        </w:tc>
      </w:tr>
      <w:tr>
        <w:trPr>
          <w:trHeight w:val="300"/>
        </w:trPr>
        <w:tc>
          <w:tcPr>
            <w:tcW w:w="511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Rácio da população em pobreza persistente num período de 4 anos em relação à população residente</w:t>
            </w:r>
          </w:p>
        </w:tc>
        <w:tc>
          <w:tcPr>
            <w:tcW w:w="268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Número de agregados domésticos privados no país, em milhões e com arredondamento a 3 casas decimais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350</w:t>
            </w:r>
          </w:p>
        </w:tc>
        <w:tc>
          <w:tcPr>
            <w:tcW w:w="944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1000</w:t>
            </w:r>
          </w:p>
        </w:tc>
      </w:tr>
      <w:tr>
        <w:trPr>
          <w:trHeight w:val="300"/>
        </w:trPr>
        <w:tc>
          <w:tcPr>
            <w:tcW w:w="511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Rácio da população em risco de pobreza ou exclusão social em relação à população em cada região NUTS 2 (ver ponto 7)</w:t>
            </w:r>
          </w:p>
        </w:tc>
        <w:tc>
          <w:tcPr>
            <w:tcW w:w="268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Número de agregados domésticos privados na região NUTS 2, em milhões e com arredondamento a 3 casas decimais 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600</w:t>
            </w:r>
          </w:p>
        </w:tc>
        <w:tc>
          <w:tcPr>
            <w:tcW w:w="944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>
        <w:trPr>
          <w:trHeight w:val="300"/>
        </w:trPr>
        <w:tc>
          <w:tcPr>
            <w:tcW w:w="9770" w:type="dxa"/>
            <w:gridSpan w:val="5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lastRenderedPageBreak/>
              <w:t>Domínio Saúde</w:t>
            </w:r>
          </w:p>
        </w:tc>
      </w:tr>
      <w:tr>
        <w:trPr>
          <w:trHeight w:val="300"/>
        </w:trPr>
        <w:tc>
          <w:tcPr>
            <w:tcW w:w="511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Percentagem da população com limitações severas na realização de atividades habituais devido a problemas de saúde (idade 15 anos ou mais)</w:t>
            </w:r>
          </w:p>
        </w:tc>
        <w:tc>
          <w:tcPr>
            <w:tcW w:w="268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População do país com 15 anos ou mais residente em agregados domésticos privados, em milhões de pessoas e com arredondamento a 3 casas decimais</w:t>
            </w:r>
          </w:p>
        </w:tc>
        <w:tc>
          <w:tcPr>
            <w:tcW w:w="1111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1200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2800</w:t>
            </w:r>
          </w:p>
        </w:tc>
      </w:tr>
    </w:tbl>
    <w:p>
      <w:pPr>
        <w:rPr>
          <w:noProof/>
        </w:rPr>
      </w:pPr>
      <w:r>
        <w:rPr>
          <w:noProof/>
        </w:rPr>
        <w:br w:type="page"/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85"/>
        <w:gridCol w:w="2603"/>
        <w:gridCol w:w="130"/>
        <w:gridCol w:w="823"/>
        <w:gridCol w:w="67"/>
        <w:gridCol w:w="77"/>
        <w:gridCol w:w="867"/>
      </w:tblGrid>
      <w:tr>
        <w:trPr>
          <w:trHeight w:val="300"/>
        </w:trPr>
        <w:tc>
          <w:tcPr>
            <w:tcW w:w="9770" w:type="dxa"/>
            <w:gridSpan w:val="8"/>
            <w:shd w:val="clear" w:color="auto" w:fill="auto"/>
            <w:noWrap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lastRenderedPageBreak/>
              <w:t>Domínio Educação e Formação</w:t>
            </w:r>
          </w:p>
        </w:tc>
      </w:tr>
      <w:tr>
        <w:trPr>
          <w:trHeight w:val="300"/>
        </w:trPr>
        <w:tc>
          <w:tcPr>
            <w:tcW w:w="5118" w:type="dxa"/>
            <w:shd w:val="clear" w:color="auto" w:fill="auto"/>
            <w:noWrap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Taxa de participação em atividades de educação formal (18 a 24 anos)</w:t>
            </w:r>
          </w:p>
        </w:tc>
        <w:tc>
          <w:tcPr>
            <w:tcW w:w="2688" w:type="dxa"/>
            <w:gridSpan w:val="2"/>
            <w:shd w:val="clear" w:color="auto" w:fill="auto"/>
            <w:noWrap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População dos 18 aos 24 anos residente em agregados domésticos privados no país, em milhões de pessoas e com arredondamento a 3 casas decimais</w:t>
            </w:r>
          </w:p>
        </w:tc>
        <w:tc>
          <w:tcPr>
            <w:tcW w:w="1020" w:type="dxa"/>
            <w:gridSpan w:val="3"/>
            <w:shd w:val="clear" w:color="auto" w:fill="auto"/>
            <w:noWrap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944" w:type="dxa"/>
            <w:gridSpan w:val="2"/>
            <w:shd w:val="clear" w:color="auto" w:fill="auto"/>
            <w:noWrap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1500</w:t>
            </w:r>
          </w:p>
        </w:tc>
      </w:tr>
      <w:tr>
        <w:trPr>
          <w:trHeight w:val="300"/>
        </w:trPr>
        <w:tc>
          <w:tcPr>
            <w:tcW w:w="5118" w:type="dxa"/>
            <w:shd w:val="clear" w:color="auto" w:fill="auto"/>
            <w:noWrap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Taxa de participação em atividades de educação não formal (25 a 69 anos)</w:t>
            </w:r>
          </w:p>
        </w:tc>
        <w:tc>
          <w:tcPr>
            <w:tcW w:w="2688" w:type="dxa"/>
            <w:gridSpan w:val="2"/>
            <w:shd w:val="clear" w:color="auto" w:fill="auto"/>
            <w:noWrap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População do país dos 25 aos 69 anos residente em agregados domésticos privados, em milhões de pessoas e com arredondamento a 3 casas decimais</w:t>
            </w:r>
          </w:p>
        </w:tc>
        <w:tc>
          <w:tcPr>
            <w:tcW w:w="1020" w:type="dxa"/>
            <w:gridSpan w:val="3"/>
            <w:shd w:val="clear" w:color="auto" w:fill="auto"/>
            <w:noWrap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400</w:t>
            </w:r>
          </w:p>
        </w:tc>
        <w:tc>
          <w:tcPr>
            <w:tcW w:w="944" w:type="dxa"/>
            <w:gridSpan w:val="2"/>
            <w:shd w:val="clear" w:color="auto" w:fill="auto"/>
            <w:noWrap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2000</w:t>
            </w:r>
          </w:p>
        </w:tc>
      </w:tr>
      <w:tr>
        <w:trPr>
          <w:trHeight w:val="300"/>
        </w:trPr>
        <w:tc>
          <w:tcPr>
            <w:tcW w:w="9770" w:type="dxa"/>
            <w:gridSpan w:val="8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Domínio Utilização das Tecnologias da Informação e Comunicação</w:t>
            </w:r>
          </w:p>
        </w:tc>
      </w:tr>
      <w:tr>
        <w:trPr>
          <w:trHeight w:val="300"/>
        </w:trPr>
        <w:tc>
          <w:tcPr>
            <w:tcW w:w="511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Percentagem de indivíduos que encomendaram bens e serviços na Internet para fins privados no último ano</w:t>
            </w:r>
          </w:p>
        </w:tc>
        <w:tc>
          <w:tcPr>
            <w:tcW w:w="2688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População dos 16 aos 74 anos residente em agregados domésticos privados no país, em milhões de pessoas e com arredondamento a 3 casas decimais</w:t>
            </w:r>
          </w:p>
        </w:tc>
        <w:tc>
          <w:tcPr>
            <w:tcW w:w="953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400 </w:t>
            </w:r>
          </w:p>
        </w:tc>
        <w:tc>
          <w:tcPr>
            <w:tcW w:w="1011" w:type="dxa"/>
            <w:gridSpan w:val="3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1300</w:t>
            </w:r>
          </w:p>
        </w:tc>
      </w:tr>
      <w:tr>
        <w:trPr>
          <w:trHeight w:val="300"/>
        </w:trPr>
        <w:tc>
          <w:tcPr>
            <w:tcW w:w="9770" w:type="dxa"/>
            <w:gridSpan w:val="8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Domínio Utilização do tempo</w:t>
            </w:r>
          </w:p>
        </w:tc>
      </w:tr>
      <w:tr>
        <w:trPr>
          <w:trHeight w:val="300"/>
        </w:trPr>
        <w:tc>
          <w:tcPr>
            <w:tcW w:w="5203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Percentagem da população com 15 anos ou mais que diariamente passa mais de 10% do tempo em trabalho remunerado </w:t>
            </w:r>
          </w:p>
        </w:tc>
        <w:tc>
          <w:tcPr>
            <w:tcW w:w="2733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População com 15 anos ou mais residente em agregados domésticos privados no país, em milhões de pessoas e com arredondamento a 3 casas decimais</w:t>
            </w:r>
          </w:p>
        </w:tc>
        <w:tc>
          <w:tcPr>
            <w:tcW w:w="967" w:type="dxa"/>
            <w:gridSpan w:val="3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900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3500</w:t>
            </w:r>
          </w:p>
        </w:tc>
      </w:tr>
      <w:tr>
        <w:trPr>
          <w:trHeight w:val="300"/>
        </w:trPr>
        <w:tc>
          <w:tcPr>
            <w:tcW w:w="9770" w:type="dxa"/>
            <w:gridSpan w:val="8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Domínio Consumo</w:t>
            </w:r>
          </w:p>
        </w:tc>
      </w:tr>
      <w:tr>
        <w:trPr>
          <w:trHeight w:val="300"/>
        </w:trPr>
        <w:tc>
          <w:tcPr>
            <w:tcW w:w="5203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Percentagem de agregados domésticos cujas despesas em categorias relacionadas com a habitação, incluindo água, eletricidade, gás e outros combustíveis, representam mais de 50% do total das despesas (ver ponto 8)</w:t>
            </w:r>
          </w:p>
        </w:tc>
        <w:tc>
          <w:tcPr>
            <w:tcW w:w="2733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Número de agregados domésticos privados no país, em milhões com arredondamento a 3 casas decimais</w:t>
            </w:r>
          </w:p>
        </w:tc>
        <w:tc>
          <w:tcPr>
            <w:tcW w:w="967" w:type="dxa"/>
            <w:gridSpan w:val="3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900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2600</w:t>
            </w:r>
          </w:p>
        </w:tc>
      </w:tr>
    </w:tbl>
    <w:p>
      <w:pPr>
        <w:spacing w:before="0" w:after="200" w:line="276" w:lineRule="auto"/>
        <w:jc w:val="left"/>
        <w:rPr>
          <w:rFonts w:eastAsia="Calibri"/>
          <w:noProof/>
          <w:sz w:val="22"/>
        </w:rPr>
      </w:pPr>
    </w:p>
    <w:p>
      <w:pPr>
        <w:pStyle w:val="NumPar1"/>
        <w:rPr>
          <w:noProof/>
        </w:rPr>
      </w:pPr>
      <w:r>
        <w:rPr>
          <w:noProof/>
        </w:rPr>
        <w:t>Os países que apresentam</w:t>
      </w:r>
      <w:r>
        <w:rPr>
          <w:i/>
          <w:noProof/>
        </w:rPr>
        <w:t xml:space="preserve"> </w:t>
      </w:r>
      <w:r>
        <w:rPr>
          <w:noProof/>
        </w:rPr>
        <w:t xml:space="preserve">valores </w:t>
      </w:r>
      <w:r>
        <w:rPr>
          <w:i/>
          <w:noProof/>
        </w:rPr>
        <w:t>f(N)</w:t>
      </w:r>
      <w:r>
        <w:rPr>
          <w:noProof/>
        </w:rPr>
        <w:t xml:space="preserve"> negativos com os parâmetros expressos acima estão isentos do cumprimento do critério correspondente.</w:t>
      </w:r>
    </w:p>
    <w:p>
      <w:pPr>
        <w:pStyle w:val="NumPar1"/>
        <w:rPr>
          <w:noProof/>
        </w:rPr>
      </w:pPr>
      <w:r>
        <w:rPr>
          <w:noProof/>
        </w:rPr>
        <w:t xml:space="preserve">Para a estimativa do rácio entre a população desempregada e a população total dos 15 aos 74 anos em cada região NUTS 2, a função </w:t>
      </w:r>
      <w:r>
        <w:rPr>
          <w:i/>
          <w:noProof/>
        </w:rPr>
        <w:t>f(N)</w:t>
      </w:r>
      <w:r>
        <w:rPr>
          <w:noProof/>
        </w:rPr>
        <w:t xml:space="preserve"> é dada por:</w:t>
      </w:r>
    </w:p>
    <w:p>
      <w:pPr>
        <w:spacing w:before="0" w:after="200" w:line="276" w:lineRule="auto"/>
        <w:ind w:left="1417"/>
        <w:jc w:val="left"/>
        <w:rPr>
          <w:rFonts w:eastAsia="Calibri"/>
          <w:i/>
          <w:noProof/>
          <w:szCs w:val="24"/>
        </w:rPr>
      </w:pPr>
      <m:oMath>
        <m:r>
          <m:rPr>
            <m:nor/>
          </m:rPr>
          <w:rPr>
            <w:rFonts w:eastAsia="Calibri"/>
            <w:i/>
            <w:noProof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noProof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noProof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noProof/>
                  </w:rPr>
                  <m:t>r,15-74</m:t>
                </m:r>
              </m:sub>
            </m:sSub>
          </m:e>
        </m:d>
        <m:r>
          <m:rPr>
            <m:nor/>
          </m:rPr>
          <w:rPr>
            <w:i/>
            <w:noProof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</w:rPr>
                </m:ctrlPr>
              </m:eqArrPr>
              <m:e>
                <m:r>
                  <m:rPr>
                    <m:nor/>
                  </m:rPr>
                  <w:rPr>
                    <w:noProof/>
                  </w:rPr>
                  <m:t>1300</m:t>
                </m:r>
                <m:r>
                  <m:rPr>
                    <m:nor/>
                  </m:rPr>
                  <w:rPr>
                    <w:i/>
                    <w:noProof/>
                  </w:rPr>
                  <m:t xml:space="preserve">,  </m:t>
                </m:r>
                <m:r>
                  <m:rPr>
                    <m:nor/>
                  </m:rPr>
                  <w:rPr>
                    <w:noProof/>
                  </w:rPr>
                  <m:t>se</m:t>
                </m:r>
                <m:r>
                  <m:rPr>
                    <m:nor/>
                  </m:rPr>
                  <w:rPr>
                    <w:i/>
                    <w:noProof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noProof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noProof/>
                      </w:rPr>
                      <m:t>r,15-74</m:t>
                    </m:r>
                  </m:sub>
                </m:sSub>
                <m:r>
                  <m:rPr>
                    <m:nor/>
                  </m:rPr>
                  <w:rPr>
                    <w:noProof/>
                  </w:rPr>
                  <m:t>≥ 0,300 milhões de habitantes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noProof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noProof/>
                      </w:rPr>
                      <m:t>1300</m:t>
                    </m:r>
                  </m:num>
                  <m:den>
                    <m:r>
                      <m:rPr>
                        <m:nor/>
                      </m:rPr>
                      <w:rPr>
                        <w:noProof/>
                      </w:rPr>
                      <m:t>0.3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noProof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noProof/>
                      </w:rPr>
                      <m:t>r, 15-7</m:t>
                    </m:r>
                    <m:r>
                      <m:rPr>
                        <m:nor/>
                      </m:rPr>
                      <w:rPr>
                        <w:i/>
                        <w:noProof/>
                      </w:rPr>
                      <m:t>4</m:t>
                    </m:r>
                  </m:sub>
                </m:sSub>
                <m:r>
                  <m:rPr>
                    <m:nor/>
                  </m:rPr>
                  <w:rPr>
                    <w:i/>
                    <w:noProof/>
                  </w:rPr>
                  <m:t xml:space="preserve"> ,  </m:t>
                </m:r>
                <m:r>
                  <m:rPr>
                    <m:nor/>
                  </m:rPr>
                  <w:rPr>
                    <w:noProof/>
                  </w:rPr>
                  <m:t>se</m:t>
                </m:r>
                <m:r>
                  <m:rPr>
                    <m:nor/>
                  </m:rPr>
                  <w:rPr>
                    <w:i/>
                    <w:noProof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noProof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noProof/>
                      </w:rPr>
                      <m:t>r,15-74</m:t>
                    </m:r>
                  </m:sub>
                </m:sSub>
                <m:r>
                  <m:rPr>
                    <m:nor/>
                  </m:rPr>
                  <w:rPr>
                    <w:i/>
                    <w:noProof/>
                  </w:rPr>
                  <m:t xml:space="preserve"> </m:t>
                </m:r>
                <m:r>
                  <m:rPr>
                    <m:nor/>
                  </m:rPr>
                  <w:rPr>
                    <w:noProof/>
                  </w:rPr>
                  <m:t>&lt; 0,300 milhões de habitantes</m:t>
                </m:r>
              </m:e>
            </m:eqArr>
          </m:e>
        </m:d>
      </m:oMath>
      <w:r>
        <w:rPr>
          <w:i/>
          <w:noProof/>
        </w:rPr>
        <w:t xml:space="preserve"> </w:t>
      </w:r>
    </w:p>
    <w:p>
      <w:pPr>
        <w:pStyle w:val="NumPar1"/>
        <w:rPr>
          <w:noProof/>
        </w:rPr>
      </w:pPr>
      <w:r>
        <w:rPr>
          <w:noProof/>
        </w:rPr>
        <w:t>Para a estimativa do rácio do risco de pobreza ou exclusão social em relação à população em cada região NUTS 2, estes critérios não são obrigatórios para as regiões NUTS 2 com menos de 0,500 milhão de habitantes desde que a correspondente região NUTS 1 cumpra este critério.</w:t>
      </w:r>
    </w:p>
    <w:p>
      <w:pPr>
        <w:pStyle w:val="NumPar1"/>
        <w:rPr>
          <w:noProof/>
        </w:rPr>
      </w:pPr>
      <w:r>
        <w:rPr>
          <w:noProof/>
        </w:rPr>
        <w:lastRenderedPageBreak/>
        <w:t>Para o domínio Consumo, os critérios de precisão podem ser cumpridos pela combinação de microdados relativos a um máximo de três anos consecutivos de observações.</w:t>
      </w:r>
    </w:p>
    <w:p>
      <w:pPr>
        <w:widowControl w:val="0"/>
        <w:autoSpaceDE w:val="0"/>
        <w:autoSpaceDN w:val="0"/>
        <w:spacing w:before="0" w:after="0"/>
        <w:ind w:right="85"/>
        <w:jc w:val="left"/>
        <w:rPr>
          <w:rFonts w:eastAsia="Times New Roman"/>
          <w:noProof/>
          <w:sz w:val="16"/>
          <w:szCs w:val="16"/>
        </w:rPr>
      </w:pPr>
      <w:r>
        <w:rPr>
          <w:noProof/>
        </w:rPr>
        <w:br w:type="page"/>
      </w:r>
    </w:p>
    <w:p>
      <w:pPr>
        <w:pStyle w:val="Annexetitre"/>
        <w:rPr>
          <w:noProof/>
        </w:rPr>
      </w:pPr>
      <w:r>
        <w:rPr>
          <w:noProof/>
        </w:rPr>
        <w:lastRenderedPageBreak/>
        <w:t>ANEXO III</w:t>
      </w:r>
    </w:p>
    <w:p>
      <w:pPr>
        <w:jc w:val="center"/>
        <w:rPr>
          <w:b/>
          <w:noProof/>
        </w:rPr>
      </w:pPr>
      <w:r>
        <w:rPr>
          <w:b/>
          <w:noProof/>
        </w:rPr>
        <w:t>Características da amostra</w:t>
      </w:r>
    </w:p>
    <w:p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 xml:space="preserve">As características do domínio Mercado de Trabalho devem incluir: </w:t>
      </w:r>
    </w:p>
    <w:p>
      <w:pPr>
        <w:pStyle w:val="Point1letter"/>
        <w:numPr>
          <w:ilvl w:val="3"/>
          <w:numId w:val="14"/>
        </w:numPr>
        <w:rPr>
          <w:noProof/>
        </w:rPr>
      </w:pPr>
      <w:r>
        <w:rPr>
          <w:noProof/>
        </w:rPr>
        <w:t>A amostra nacional para o trimestre de referência (agregação de semanas de referência consecutivas) deve ser distribuída de modo uniforme por todas as semanas do trimestre. A amostra para o trimestre de referência (em cada região NUTS 2) deve ser distribuída pelos 3 meses proporcionalmente ao número de semanas de cada mês.</w:t>
      </w:r>
    </w:p>
    <w:p>
      <w:pPr>
        <w:pStyle w:val="Point1letter"/>
        <w:rPr>
          <w:rFonts w:eastAsia="Calibri"/>
          <w:noProof/>
        </w:rPr>
      </w:pPr>
      <w:r>
        <w:rPr>
          <w:noProof/>
        </w:rPr>
        <w:t xml:space="preserve">A amostra deve ter um padrão de rotação infra-anual. Deve haver uma sobreposição mínima da amostra de 20% entre os mesmos trimestres em anos consecutivos e de 50% entre trimestres consecutivos sem ter em conta o atrito. </w:t>
      </w:r>
    </w:p>
    <w:p>
      <w:pPr>
        <w:pStyle w:val="Text1"/>
        <w:rPr>
          <w:noProof/>
        </w:rPr>
      </w:pPr>
      <w:r>
        <w:rPr>
          <w:noProof/>
        </w:rPr>
        <w:t xml:space="preserve">Sem prejuízo do disposto no artigo 5.º, n.º1, os dados devem ser fornecidos para a totalidade da amostra.  </w:t>
      </w:r>
    </w:p>
    <w:p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>As características da amostra do domínio Rendimento e Condições de Vida devem incluir:</w:t>
      </w:r>
    </w:p>
    <w:p>
      <w:pPr>
        <w:pStyle w:val="Point1letter"/>
        <w:numPr>
          <w:ilvl w:val="3"/>
          <w:numId w:val="10"/>
        </w:numPr>
        <w:rPr>
          <w:noProof/>
        </w:rPr>
      </w:pPr>
      <w:r>
        <w:rPr>
          <w:noProof/>
        </w:rPr>
        <w:t xml:space="preserve">A amostra terá um esquema de rotação mínimo de 6 anos. </w:t>
      </w:r>
    </w:p>
    <w:p>
      <w:pPr>
        <w:pStyle w:val="Point1letter"/>
        <w:numPr>
          <w:ilvl w:val="3"/>
          <w:numId w:val="10"/>
        </w:numPr>
        <w:rPr>
          <w:rFonts w:eastAsia="Calibri"/>
          <w:noProof/>
        </w:rPr>
      </w:pPr>
      <w:r>
        <w:rPr>
          <w:noProof/>
        </w:rPr>
        <w:t>Sem ter em conta o atrito, a amostra deve ser igualmente distribuída pelos anos que constituem o esquema de rotação, exceto durante o período de mudanças na dimensão da amostra.</w:t>
      </w:r>
    </w:p>
    <w:p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>As características da amostra do domínio Utilização do Tempo devem incluir:  os períodos de reporte de cada unidade da amostra devem</w:t>
      </w:r>
    </w:p>
    <w:p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ser distribuídos num período de 12 meses consecutivos,</w:t>
      </w:r>
    </w:p>
    <w:p>
      <w:pPr>
        <w:pStyle w:val="Point1letter"/>
        <w:numPr>
          <w:ilvl w:val="3"/>
          <w:numId w:val="11"/>
        </w:numPr>
        <w:rPr>
          <w:rFonts w:eastAsia="Calibri"/>
          <w:noProof/>
        </w:rPr>
      </w:pPr>
      <w:r>
        <w:rPr>
          <w:noProof/>
        </w:rPr>
        <w:t>incluir dias não úteis,</w:t>
      </w:r>
    </w:p>
    <w:p>
      <w:pPr>
        <w:pStyle w:val="Point1letter"/>
        <w:numPr>
          <w:ilvl w:val="3"/>
          <w:numId w:val="11"/>
        </w:numPr>
        <w:rPr>
          <w:rFonts w:eastAsia="Calibri"/>
          <w:noProof/>
        </w:rPr>
      </w:pPr>
      <w:r>
        <w:rPr>
          <w:noProof/>
        </w:rPr>
        <w:t>basear-se numa amostra aleatória.</w:t>
      </w:r>
    </w:p>
    <w:p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>As características da amostra do domínio Consumo devem incluir: os períodos de reporte de cada unidade da amostra devem ser distribuídos num período de 12 meses consecutivos.</w:t>
      </w:r>
    </w:p>
    <w:p>
      <w:pPr>
        <w:spacing w:before="0" w:after="0" w:line="276" w:lineRule="auto"/>
        <w:jc w:val="left"/>
        <w:rPr>
          <w:rFonts w:eastAsia="Calibri"/>
          <w:b/>
          <w:noProof/>
          <w:sz w:val="22"/>
          <w:u w:val="single"/>
        </w:rPr>
      </w:pPr>
      <w:r>
        <w:rPr>
          <w:noProof/>
        </w:rPr>
        <w:br w:type="page"/>
      </w:r>
    </w:p>
    <w:p>
      <w:pPr>
        <w:pStyle w:val="Annexetitre"/>
        <w:rPr>
          <w:noProof/>
        </w:rPr>
      </w:pPr>
      <w:r>
        <w:rPr>
          <w:noProof/>
        </w:rPr>
        <w:lastRenderedPageBreak/>
        <w:t>Anexo VI</w:t>
      </w:r>
    </w:p>
    <w:p>
      <w:pPr>
        <w:jc w:val="center"/>
        <w:rPr>
          <w:noProof/>
        </w:rPr>
      </w:pPr>
      <w:r>
        <w:rPr>
          <w:b/>
          <w:noProof/>
          <w:u w:val="single"/>
        </w:rPr>
        <w:t>Periodicidade</w:t>
      </w:r>
    </w:p>
    <w:p>
      <w:pPr>
        <w:pStyle w:val="NumPar1"/>
        <w:numPr>
          <w:ilvl w:val="0"/>
          <w:numId w:val="12"/>
        </w:numPr>
        <w:rPr>
          <w:noProof/>
        </w:rPr>
      </w:pPr>
      <w:r>
        <w:rPr>
          <w:noProof/>
        </w:rPr>
        <w:t>Para o domínio Mercado de Trabalho, os conjuntos de dados devem ser constituídos por informações recolhidas trimestral, anual, bienalmente e de 8 em 8 anos. Os dados relativos às variáveis dos temas ad-hoc devem ser recolhidos de 4 em 4 anos.</w:t>
      </w:r>
    </w:p>
    <w:p>
      <w:pPr>
        <w:pStyle w:val="NumPar1"/>
        <w:numPr>
          <w:ilvl w:val="0"/>
          <w:numId w:val="12"/>
        </w:numPr>
        <w:rPr>
          <w:noProof/>
        </w:rPr>
      </w:pPr>
      <w:r>
        <w:rPr>
          <w:noProof/>
        </w:rPr>
        <w:t>Para o domínio Rendimento e Condições de Vida, os conjuntos de dados devem ser constituídos por informações anuais, trienais e sexenais. Os dados relativos às variáveis dos temas ad-hoc devem ser recolhidos de 2 em 2 anos.</w:t>
      </w:r>
    </w:p>
    <w:p>
      <w:pPr>
        <w:pStyle w:val="NumPar1"/>
        <w:numPr>
          <w:ilvl w:val="0"/>
          <w:numId w:val="12"/>
        </w:numPr>
        <w:rPr>
          <w:noProof/>
        </w:rPr>
      </w:pPr>
      <w:r>
        <w:rPr>
          <w:noProof/>
        </w:rPr>
        <w:t>Para o domínio Saúde, os dados devem ser recolhidos de 6 em 6 anos.</w:t>
      </w:r>
    </w:p>
    <w:p>
      <w:pPr>
        <w:pStyle w:val="NumPar1"/>
        <w:numPr>
          <w:ilvl w:val="0"/>
          <w:numId w:val="12"/>
        </w:numPr>
        <w:rPr>
          <w:noProof/>
        </w:rPr>
      </w:pPr>
      <w:r>
        <w:rPr>
          <w:noProof/>
        </w:rPr>
        <w:t>Para o domínio Educação e Formação, os dados devem ser recolhidos de 6 em 6 anos.</w:t>
      </w:r>
    </w:p>
    <w:p>
      <w:pPr>
        <w:pStyle w:val="NumPar1"/>
        <w:numPr>
          <w:ilvl w:val="0"/>
          <w:numId w:val="12"/>
        </w:numPr>
        <w:rPr>
          <w:noProof/>
        </w:rPr>
      </w:pPr>
      <w:r>
        <w:rPr>
          <w:noProof/>
        </w:rPr>
        <w:t>Para o domínio Utilização das Tecnologias da Informação e Comunicação, os dados devem ser recolhidos anualmente.</w:t>
      </w:r>
    </w:p>
    <w:p>
      <w:pPr>
        <w:pStyle w:val="NumPar1"/>
        <w:numPr>
          <w:ilvl w:val="0"/>
          <w:numId w:val="12"/>
        </w:numPr>
        <w:rPr>
          <w:noProof/>
        </w:rPr>
      </w:pPr>
      <w:r>
        <w:rPr>
          <w:noProof/>
        </w:rPr>
        <w:t>Para o domínio Utilização do Tempo, os dados devem ser recolhidos de 10 em 10 anos.</w:t>
      </w:r>
    </w:p>
    <w:p>
      <w:pPr>
        <w:pStyle w:val="NumPar1"/>
        <w:numPr>
          <w:ilvl w:val="0"/>
          <w:numId w:val="12"/>
        </w:numPr>
        <w:rPr>
          <w:noProof/>
        </w:rPr>
      </w:pPr>
      <w:r>
        <w:rPr>
          <w:noProof/>
        </w:rPr>
        <w:t>Para o domínio Consumo, os dados devem ser recolhidos de 5 em 5 anos.</w:t>
      </w:r>
    </w:p>
    <w:p>
      <w:pPr>
        <w:spacing w:before="0" w:after="200" w:line="276" w:lineRule="auto"/>
        <w:jc w:val="left"/>
        <w:rPr>
          <w:rFonts w:eastAsia="Calibri"/>
          <w:noProof/>
          <w:sz w:val="22"/>
        </w:rPr>
      </w:pPr>
      <w:r>
        <w:rPr>
          <w:noProof/>
        </w:rPr>
        <w:br w:type="page"/>
      </w:r>
    </w:p>
    <w:p>
      <w:pPr>
        <w:pStyle w:val="Annexetitre"/>
        <w:rPr>
          <w:noProof/>
        </w:rPr>
      </w:pPr>
      <w:r>
        <w:rPr>
          <w:noProof/>
        </w:rPr>
        <w:lastRenderedPageBreak/>
        <w:t>Anexo V</w:t>
      </w:r>
    </w:p>
    <w:p>
      <w:pPr>
        <w:spacing w:before="0" w:after="200" w:line="276" w:lineRule="auto"/>
        <w:jc w:val="center"/>
        <w:rPr>
          <w:rFonts w:eastAsia="Calibri"/>
          <w:noProof/>
          <w:sz w:val="22"/>
        </w:rPr>
      </w:pPr>
      <w:r>
        <w:rPr>
          <w:b/>
          <w:noProof/>
          <w:u w:val="single"/>
        </w:rPr>
        <w:t>Prazo de transmissão dos dados</w:t>
      </w:r>
    </w:p>
    <w:p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Os Estados-Membros devem transmitir à Comissão (Eurostat) os dados exigidos dentro dos prazos a seguir indicados.</w:t>
      </w:r>
    </w:p>
    <w:p>
      <w:pPr>
        <w:pStyle w:val="NumPar1"/>
        <w:numPr>
          <w:ilvl w:val="0"/>
          <w:numId w:val="16"/>
        </w:numPr>
        <w:rPr>
          <w:noProof/>
        </w:rPr>
      </w:pPr>
      <w:r>
        <w:rPr>
          <w:noProof/>
        </w:rPr>
        <w:t>Para o domínio Mercado de Trabalho, os Estados-Membros devem transmitir:</w:t>
      </w:r>
    </w:p>
    <w:p>
      <w:pPr>
        <w:pStyle w:val="Point1number"/>
        <w:numPr>
          <w:ilvl w:val="2"/>
          <w:numId w:val="17"/>
        </w:numPr>
        <w:rPr>
          <w:noProof/>
        </w:rPr>
      </w:pPr>
      <w:r>
        <w:rPr>
          <w:noProof/>
        </w:rPr>
        <w:t>Microdados previamente verificados sem identificadores diretos, segundo o seguinte procedimento em duas fases:</w:t>
      </w:r>
    </w:p>
    <w:p>
      <w:pPr>
        <w:pStyle w:val="Point2letter"/>
        <w:rPr>
          <w:noProof/>
        </w:rPr>
      </w:pPr>
      <w:r>
        <w:rPr>
          <w:noProof/>
        </w:rPr>
        <w:t>Durante os primeiros três anos da implementação do presente regulamento, conforme previsto no artigo 10.º, n.º 4:</w:t>
      </w:r>
    </w:p>
    <w:p>
      <w:pPr>
        <w:pStyle w:val="Tiret3"/>
        <w:numPr>
          <w:ilvl w:val="0"/>
          <w:numId w:val="15"/>
        </w:numPr>
        <w:rPr>
          <w:noProof/>
        </w:rPr>
      </w:pPr>
      <w:r>
        <w:rPr>
          <w:noProof/>
        </w:rPr>
        <w:t xml:space="preserve">Para os dados trimestrais: transmissão a efetuar nas dez semanas subsequentes ao final do período de referência, </w:t>
      </w:r>
    </w:p>
    <w:p>
      <w:pPr>
        <w:pStyle w:val="Tiret3"/>
        <w:rPr>
          <w:noProof/>
        </w:rPr>
      </w:pPr>
      <w:r>
        <w:rPr>
          <w:noProof/>
        </w:rPr>
        <w:t>Para os outros dados: transmissão até 31 de março do ano seguinte.</w:t>
      </w:r>
    </w:p>
    <w:p>
      <w:pPr>
        <w:pStyle w:val="Point2letter"/>
        <w:rPr>
          <w:noProof/>
        </w:rPr>
      </w:pPr>
      <w:r>
        <w:rPr>
          <w:noProof/>
        </w:rPr>
        <w:t>A partir do quarto ano de implementação, a transmissão deverá ser feita do seguinte modo:</w:t>
      </w:r>
    </w:p>
    <w:p>
      <w:pPr>
        <w:pStyle w:val="Tiret3"/>
        <w:rPr>
          <w:noProof/>
        </w:rPr>
      </w:pPr>
      <w:r>
        <w:rPr>
          <w:noProof/>
        </w:rPr>
        <w:t xml:space="preserve">Para os dados trimestrais: transmissão dos dados para os trimestres 1, 2 e 3, até 29 de maio, 29 de agosto e 29 de novembro do mesmo ano respetivamente, e dos dados do trimestre 4 até 28 de fevereiro do ano seguinte, </w:t>
      </w:r>
    </w:p>
    <w:p>
      <w:pPr>
        <w:pStyle w:val="Tiret3"/>
        <w:rPr>
          <w:noProof/>
        </w:rPr>
      </w:pPr>
      <w:r>
        <w:rPr>
          <w:noProof/>
        </w:rPr>
        <w:t>Para os outros dados: transmissão até 15 de março do ano seguinte.</w:t>
      </w:r>
    </w:p>
    <w:p>
      <w:pPr>
        <w:ind w:left="1416"/>
        <w:rPr>
          <w:rFonts w:eastAsia="Calibri"/>
          <w:noProof/>
        </w:rPr>
      </w:pPr>
      <w:r>
        <w:rPr>
          <w:noProof/>
        </w:rPr>
        <w:t>Nos anos em que estes prazos caiem ao sábado ou ao domingo, o prazo efetivo será a segunda-feira seguinte.</w:t>
      </w:r>
    </w:p>
    <w:p>
      <w:pPr>
        <w:ind w:left="1416"/>
        <w:rPr>
          <w:rFonts w:eastAsia="Calibri"/>
          <w:noProof/>
        </w:rPr>
      </w:pPr>
      <w:r>
        <w:rPr>
          <w:noProof/>
        </w:rPr>
        <w:t>Se forem usados dados administrativos para fornecer a informação correspondente ao tópico «Rendimento do trabalho», esses dados podem ser transmitidos à Comissão (Eurostat) no prazo de vinte e um meses a contar do final do período de referência.</w:t>
      </w:r>
    </w:p>
    <w:p>
      <w:pPr>
        <w:pStyle w:val="Point1number"/>
        <w:rPr>
          <w:noProof/>
        </w:rPr>
      </w:pPr>
      <w:r>
        <w:rPr>
          <w:noProof/>
        </w:rPr>
        <w:t>Os dados agregados para a compilação de estatísticas mensais do desemprego devem ser transmitidos no prazo de 25 dias após o mês de referência. Os Estados-Membros podem não cobrir a última semana do mês de referência se a mesma passa para o mês seguinte.</w:t>
      </w:r>
    </w:p>
    <w:p>
      <w:pPr>
        <w:pStyle w:val="NumPar1"/>
        <w:rPr>
          <w:noProof/>
        </w:rPr>
      </w:pPr>
      <w:r>
        <w:rPr>
          <w:noProof/>
        </w:rPr>
        <w:t xml:space="preserve">Para o domínio Rendimento e Condições de Vida, os Estados-Membros devem transmitir os microdados previamente verificados sem identificadores diretos, de acordo com os prazos seguintes: </w:t>
      </w:r>
    </w:p>
    <w:p>
      <w:pPr>
        <w:pStyle w:val="Point2letter"/>
        <w:rPr>
          <w:noProof/>
        </w:rPr>
      </w:pPr>
      <w:r>
        <w:rPr>
          <w:noProof/>
        </w:rPr>
        <w:t>em relação às variáveis da recolha de dados do ano N, até ao final do ano N. Em casos excecionais, se os dados administrativos exigidos não estiverem disponíveis a tempo, podem ser transmitidos microdados provisórios até ao final do ano N e os dados finais serão transmitidos até 28 de fevereiro do ano N+1;</w:t>
      </w:r>
    </w:p>
    <w:p>
      <w:pPr>
        <w:pStyle w:val="Point2letter"/>
        <w:rPr>
          <w:noProof/>
        </w:rPr>
      </w:pPr>
      <w:r>
        <w:rPr>
          <w:noProof/>
        </w:rPr>
        <w:t xml:space="preserve">para as variáveis referentes ao período de seis anos do esquema de rotação que termina no ano N, até 31 de outubro do ano N+1.  </w:t>
      </w:r>
    </w:p>
    <w:p>
      <w:pPr>
        <w:pStyle w:val="NumPar1"/>
        <w:rPr>
          <w:noProof/>
        </w:rPr>
      </w:pPr>
      <w:r>
        <w:rPr>
          <w:noProof/>
        </w:rPr>
        <w:lastRenderedPageBreak/>
        <w:t>Para o domínio Saúde, os Estados-Membros devem transmitir microdados previamente verificados nos nove meses subsequentes ao final do período nacional para a recolha dos dados.</w:t>
      </w:r>
    </w:p>
    <w:p>
      <w:pPr>
        <w:pStyle w:val="NumPar1"/>
        <w:rPr>
          <w:noProof/>
        </w:rPr>
      </w:pPr>
      <w:r>
        <w:rPr>
          <w:noProof/>
        </w:rPr>
        <w:t>Para o domínio Educação e Formação, os Estados-Membros devem transmitir microdados previamente verificados nos seis meses subsequentes ao final do período nacional para a recolha dos dados.</w:t>
      </w:r>
    </w:p>
    <w:p>
      <w:pPr>
        <w:pStyle w:val="NumPar1"/>
        <w:rPr>
          <w:noProof/>
        </w:rPr>
      </w:pPr>
      <w:r>
        <w:rPr>
          <w:noProof/>
        </w:rPr>
        <w:t>Para o domínio Utilização das Tecnologias da Informação e Comunicação, os Estados-Membros devem transmitir microdados previamente verificados até 5 de outubro do ano do inquérito N.</w:t>
      </w:r>
    </w:p>
    <w:p>
      <w:pPr>
        <w:pStyle w:val="NumPar1"/>
        <w:rPr>
          <w:noProof/>
        </w:rPr>
      </w:pPr>
      <w:r>
        <w:rPr>
          <w:noProof/>
        </w:rPr>
        <w:t xml:space="preserve">Para o domínio Utilização do Tempo, os Estados-Membros devem transmitir os microdados previamente verificados no prazo máximo de 15 meses após a conclusão do trabalho de campo. </w:t>
      </w:r>
    </w:p>
    <w:p>
      <w:pPr>
        <w:pStyle w:val="NumPar1"/>
        <w:rPr>
          <w:noProof/>
        </w:rPr>
      </w:pPr>
      <w:r>
        <w:rPr>
          <w:noProof/>
        </w:rPr>
        <w:t>Para o domínio Consumo, os Estados-Membros devem transmitir microdados previamente verificados nos 15 meses subsequentes ao final do ano de referência.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27C58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97CBC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0AC02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0E6840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D5256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72C89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3BC18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7BA7D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2"/>
  </w:num>
  <w:num w:numId="20">
    <w:abstractNumId w:val="20"/>
  </w:num>
  <w:num w:numId="21">
    <w:abstractNumId w:val="11"/>
  </w:num>
  <w:num w:numId="22">
    <w:abstractNumId w:val="13"/>
  </w:num>
  <w:num w:numId="23">
    <w:abstractNumId w:val="9"/>
  </w:num>
  <w:num w:numId="24">
    <w:abstractNumId w:val="19"/>
  </w:num>
  <w:num w:numId="25">
    <w:abstractNumId w:val="8"/>
  </w:num>
  <w:num w:numId="26">
    <w:abstractNumId w:val="14"/>
  </w:num>
  <w:num w:numId="27">
    <w:abstractNumId w:val="16"/>
  </w:num>
  <w:num w:numId="28">
    <w:abstractNumId w:val="17"/>
  </w:num>
  <w:num w:numId="29">
    <w:abstractNumId w:val="10"/>
  </w:num>
  <w:num w:numId="30">
    <w:abstractNumId w:val="15"/>
  </w:num>
  <w:num w:numId="31">
    <w:abstractNumId w:val="21"/>
  </w:num>
  <w:num w:numId="32">
    <w:abstractNumId w:val="18"/>
  </w:num>
  <w:num w:numId="33">
    <w:abstractNumId w:val="12"/>
  </w:num>
  <w:num w:numId="34">
    <w:abstractNumId w:val="20"/>
  </w:num>
  <w:num w:numId="35">
    <w:abstractNumId w:val="11"/>
  </w:num>
  <w:num w:numId="36">
    <w:abstractNumId w:val="13"/>
  </w:num>
  <w:num w:numId="37">
    <w:abstractNumId w:val="9"/>
  </w:num>
  <w:num w:numId="38">
    <w:abstractNumId w:val="19"/>
  </w:num>
  <w:num w:numId="39">
    <w:abstractNumId w:val="8"/>
  </w:num>
  <w:num w:numId="40">
    <w:abstractNumId w:val="14"/>
  </w:num>
  <w:num w:numId="41">
    <w:abstractNumId w:val="16"/>
  </w:num>
  <w:num w:numId="42">
    <w:abstractNumId w:val="17"/>
  </w:num>
  <w:num w:numId="43">
    <w:abstractNumId w:val="10"/>
  </w:num>
  <w:num w:numId="44">
    <w:abstractNumId w:val="15"/>
  </w:num>
  <w:num w:numId="45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8-24 15:05:5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FigNum" w:val="1"/>
    <w:docVar w:name="LW_ACCOMPAGNANT" w:val="da"/>
    <w:docVar w:name="LW_ACCOMPAGNANT.CP" w:val="da"/>
    <w:docVar w:name="LW_ANNEX_NBR_FIRST" w:val="1"/>
    <w:docVar w:name="LW_ANNEX_NBR_LAST" w:val="5"/>
    <w:docVar w:name="LW_CONFIDENCE" w:val=" "/>
    <w:docVar w:name="LW_CONST_RESTREINT_UE" w:val="RESTREINT UE"/>
    <w:docVar w:name="LW_CORRIGENDUM" w:val="&lt;UNUSED&gt;"/>
    <w:docVar w:name="LW_COVERPAGE_GUID" w:val="A9425F5ACC294F5E96B241AB87A176B9"/>
    <w:docVar w:name="LW_CROSSREFERENCE" w:val="{SWD(2016) 282 final}_x000b_{SWD(2016) 283 final}"/>
    <w:docVar w:name="LW_DocType" w:val="ANNEX"/>
    <w:docVar w:name="LW_EMISSION" w:val="24.8.2016"/>
    <w:docVar w:name="LW_EMISSION_ISODATE" w:val="2016-08-24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MARKING" w:val="&lt;UNUSED&gt;"/>
    <w:docVar w:name="LW_NOM.INST" w:val="COMISSÃO EUROPEIA"/>
    <w:docVar w:name="LW_NOM.INST_JOINTDOC" w:val="&lt;EMPTY&gt;"/>
    <w:docVar w:name="LW_OBJETACTEPRINCIPAL" w:val="que estabelece um quadro comum para as estatísticas europeias respeitantes às pessoas e aos agregados domésticos, com base em dados individuais recolhidos a partir de amostras_x000b_"/>
    <w:docVar w:name="LW_OBJETACTEPRINCIPAL.CP" w:val="que estabelece um quadro comum para as estatísticas europeias respeitantes às pessoas e aos agregados domésticos, com base em dados individuais recolhidos a partir de amostras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551"/>
    <w:docVar w:name="LW_REF.INTERNE" w:val="&lt;UNUSED&gt;"/>
    <w:docVar w:name="LW_SUPERTITRE" w:val="&lt;UNUSED&gt;"/>
    <w:docVar w:name="LW_TITRE.OBJ.CP" w:val="&lt;UNUSED&gt;"/>
    <w:docVar w:name="LW_TYPE.DOC" w:val="ANEXOS"/>
    <w:docVar w:name="LW_TYPE.DOC.CP" w:val="ANEXOS"/>
    <w:docVar w:name="LW_TYPEACTEPRINCIPAL" w:val="Proposta de_x000b__x000b_REGULAMENTO DO PARLAMENTO EUROPEU E DO CONSELHO_x000b_"/>
    <w:docVar w:name="LW_TYPEACTEPRINCIPAL.CP" w:val="Proposta de_x000b__x000b_REGULAMENTO DO PARLAMENTO EUROPEU E DO CONSELHO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2"/>
      </w:numPr>
    </w:pPr>
  </w:style>
  <w:style w:type="paragraph" w:customStyle="1" w:styleId="Tiret1">
    <w:name w:val="Tiret 1"/>
    <w:basedOn w:val="Point1"/>
    <w:pPr>
      <w:numPr>
        <w:numId w:val="33"/>
      </w:numPr>
    </w:pPr>
  </w:style>
  <w:style w:type="paragraph" w:customStyle="1" w:styleId="Tiret2">
    <w:name w:val="Tiret 2"/>
    <w:basedOn w:val="Point2"/>
    <w:pPr>
      <w:numPr>
        <w:numId w:val="34"/>
      </w:numPr>
    </w:pPr>
  </w:style>
  <w:style w:type="paragraph" w:customStyle="1" w:styleId="Tiret3">
    <w:name w:val="Tiret 3"/>
    <w:basedOn w:val="Point3"/>
    <w:pPr>
      <w:numPr>
        <w:numId w:val="35"/>
      </w:numPr>
    </w:pPr>
  </w:style>
  <w:style w:type="paragraph" w:customStyle="1" w:styleId="Tiret4">
    <w:name w:val="Tiret 4"/>
    <w:basedOn w:val="Point4"/>
    <w:pPr>
      <w:numPr>
        <w:numId w:val="3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9"/>
      </w:numPr>
    </w:pPr>
  </w:style>
  <w:style w:type="paragraph" w:customStyle="1" w:styleId="Point1number">
    <w:name w:val="Point 1 (number)"/>
    <w:basedOn w:val="Normal"/>
    <w:pPr>
      <w:numPr>
        <w:ilvl w:val="2"/>
        <w:numId w:val="39"/>
      </w:numPr>
    </w:pPr>
  </w:style>
  <w:style w:type="paragraph" w:customStyle="1" w:styleId="Point2number">
    <w:name w:val="Point 2 (number)"/>
    <w:basedOn w:val="Normal"/>
    <w:pPr>
      <w:numPr>
        <w:ilvl w:val="4"/>
        <w:numId w:val="39"/>
      </w:numPr>
    </w:pPr>
  </w:style>
  <w:style w:type="paragraph" w:customStyle="1" w:styleId="Point3number">
    <w:name w:val="Point 3 (number)"/>
    <w:basedOn w:val="Normal"/>
    <w:pPr>
      <w:numPr>
        <w:ilvl w:val="6"/>
        <w:numId w:val="39"/>
      </w:numPr>
    </w:pPr>
  </w:style>
  <w:style w:type="paragraph" w:customStyle="1" w:styleId="Point0letter">
    <w:name w:val="Point 0 (letter)"/>
    <w:basedOn w:val="Normal"/>
    <w:pPr>
      <w:numPr>
        <w:ilvl w:val="1"/>
        <w:numId w:val="39"/>
      </w:numPr>
    </w:pPr>
  </w:style>
  <w:style w:type="paragraph" w:customStyle="1" w:styleId="Point1letter">
    <w:name w:val="Point 1 (letter)"/>
    <w:basedOn w:val="Normal"/>
    <w:pPr>
      <w:numPr>
        <w:ilvl w:val="3"/>
        <w:numId w:val="39"/>
      </w:numPr>
    </w:pPr>
  </w:style>
  <w:style w:type="paragraph" w:customStyle="1" w:styleId="Point2letter">
    <w:name w:val="Point 2 (letter)"/>
    <w:basedOn w:val="Normal"/>
    <w:pPr>
      <w:numPr>
        <w:ilvl w:val="5"/>
        <w:numId w:val="39"/>
      </w:numPr>
    </w:pPr>
  </w:style>
  <w:style w:type="paragraph" w:customStyle="1" w:styleId="Point3letter">
    <w:name w:val="Point 3 (letter)"/>
    <w:basedOn w:val="Normal"/>
    <w:pPr>
      <w:numPr>
        <w:ilvl w:val="7"/>
        <w:numId w:val="39"/>
      </w:numPr>
    </w:pPr>
  </w:style>
  <w:style w:type="paragraph" w:customStyle="1" w:styleId="Point4letter">
    <w:name w:val="Point 4 (letter)"/>
    <w:basedOn w:val="Normal"/>
    <w:pPr>
      <w:numPr>
        <w:ilvl w:val="8"/>
        <w:numId w:val="39"/>
      </w:numPr>
    </w:pPr>
  </w:style>
  <w:style w:type="paragraph" w:customStyle="1" w:styleId="Bullet0">
    <w:name w:val="Bullet 0"/>
    <w:basedOn w:val="Normal"/>
    <w:pPr>
      <w:numPr>
        <w:numId w:val="40"/>
      </w:numPr>
    </w:pPr>
  </w:style>
  <w:style w:type="paragraph" w:customStyle="1" w:styleId="Bullet1">
    <w:name w:val="Bullet 1"/>
    <w:basedOn w:val="Normal"/>
    <w:pPr>
      <w:numPr>
        <w:numId w:val="41"/>
      </w:numPr>
    </w:pPr>
  </w:style>
  <w:style w:type="paragraph" w:customStyle="1" w:styleId="Bullet2">
    <w:name w:val="Bullet 2"/>
    <w:basedOn w:val="Normal"/>
    <w:pPr>
      <w:numPr>
        <w:numId w:val="42"/>
      </w:numPr>
    </w:pPr>
  </w:style>
  <w:style w:type="paragraph" w:customStyle="1" w:styleId="Bullet3">
    <w:name w:val="Bullet 3"/>
    <w:basedOn w:val="Normal"/>
    <w:pPr>
      <w:numPr>
        <w:numId w:val="43"/>
      </w:numPr>
    </w:pPr>
  </w:style>
  <w:style w:type="paragraph" w:customStyle="1" w:styleId="Bullet4">
    <w:name w:val="Bullet 4"/>
    <w:basedOn w:val="Normal"/>
    <w:pPr>
      <w:numPr>
        <w:numId w:val="44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2"/>
      </w:numPr>
    </w:pPr>
  </w:style>
  <w:style w:type="paragraph" w:customStyle="1" w:styleId="Tiret1">
    <w:name w:val="Tiret 1"/>
    <w:basedOn w:val="Point1"/>
    <w:pPr>
      <w:numPr>
        <w:numId w:val="33"/>
      </w:numPr>
    </w:pPr>
  </w:style>
  <w:style w:type="paragraph" w:customStyle="1" w:styleId="Tiret2">
    <w:name w:val="Tiret 2"/>
    <w:basedOn w:val="Point2"/>
    <w:pPr>
      <w:numPr>
        <w:numId w:val="34"/>
      </w:numPr>
    </w:pPr>
  </w:style>
  <w:style w:type="paragraph" w:customStyle="1" w:styleId="Tiret3">
    <w:name w:val="Tiret 3"/>
    <w:basedOn w:val="Point3"/>
    <w:pPr>
      <w:numPr>
        <w:numId w:val="35"/>
      </w:numPr>
    </w:pPr>
  </w:style>
  <w:style w:type="paragraph" w:customStyle="1" w:styleId="Tiret4">
    <w:name w:val="Tiret 4"/>
    <w:basedOn w:val="Point4"/>
    <w:pPr>
      <w:numPr>
        <w:numId w:val="3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9"/>
      </w:numPr>
    </w:pPr>
  </w:style>
  <w:style w:type="paragraph" w:customStyle="1" w:styleId="Point1number">
    <w:name w:val="Point 1 (number)"/>
    <w:basedOn w:val="Normal"/>
    <w:pPr>
      <w:numPr>
        <w:ilvl w:val="2"/>
        <w:numId w:val="39"/>
      </w:numPr>
    </w:pPr>
  </w:style>
  <w:style w:type="paragraph" w:customStyle="1" w:styleId="Point2number">
    <w:name w:val="Point 2 (number)"/>
    <w:basedOn w:val="Normal"/>
    <w:pPr>
      <w:numPr>
        <w:ilvl w:val="4"/>
        <w:numId w:val="39"/>
      </w:numPr>
    </w:pPr>
  </w:style>
  <w:style w:type="paragraph" w:customStyle="1" w:styleId="Point3number">
    <w:name w:val="Point 3 (number)"/>
    <w:basedOn w:val="Normal"/>
    <w:pPr>
      <w:numPr>
        <w:ilvl w:val="6"/>
        <w:numId w:val="39"/>
      </w:numPr>
    </w:pPr>
  </w:style>
  <w:style w:type="paragraph" w:customStyle="1" w:styleId="Point0letter">
    <w:name w:val="Point 0 (letter)"/>
    <w:basedOn w:val="Normal"/>
    <w:pPr>
      <w:numPr>
        <w:ilvl w:val="1"/>
        <w:numId w:val="39"/>
      </w:numPr>
    </w:pPr>
  </w:style>
  <w:style w:type="paragraph" w:customStyle="1" w:styleId="Point1letter">
    <w:name w:val="Point 1 (letter)"/>
    <w:basedOn w:val="Normal"/>
    <w:pPr>
      <w:numPr>
        <w:ilvl w:val="3"/>
        <w:numId w:val="39"/>
      </w:numPr>
    </w:pPr>
  </w:style>
  <w:style w:type="paragraph" w:customStyle="1" w:styleId="Point2letter">
    <w:name w:val="Point 2 (letter)"/>
    <w:basedOn w:val="Normal"/>
    <w:pPr>
      <w:numPr>
        <w:ilvl w:val="5"/>
        <w:numId w:val="39"/>
      </w:numPr>
    </w:pPr>
  </w:style>
  <w:style w:type="paragraph" w:customStyle="1" w:styleId="Point3letter">
    <w:name w:val="Point 3 (letter)"/>
    <w:basedOn w:val="Normal"/>
    <w:pPr>
      <w:numPr>
        <w:ilvl w:val="7"/>
        <w:numId w:val="39"/>
      </w:numPr>
    </w:pPr>
  </w:style>
  <w:style w:type="paragraph" w:customStyle="1" w:styleId="Point4letter">
    <w:name w:val="Point 4 (letter)"/>
    <w:basedOn w:val="Normal"/>
    <w:pPr>
      <w:numPr>
        <w:ilvl w:val="8"/>
        <w:numId w:val="39"/>
      </w:numPr>
    </w:pPr>
  </w:style>
  <w:style w:type="paragraph" w:customStyle="1" w:styleId="Bullet0">
    <w:name w:val="Bullet 0"/>
    <w:basedOn w:val="Normal"/>
    <w:pPr>
      <w:numPr>
        <w:numId w:val="40"/>
      </w:numPr>
    </w:pPr>
  </w:style>
  <w:style w:type="paragraph" w:customStyle="1" w:styleId="Bullet1">
    <w:name w:val="Bullet 1"/>
    <w:basedOn w:val="Normal"/>
    <w:pPr>
      <w:numPr>
        <w:numId w:val="41"/>
      </w:numPr>
    </w:pPr>
  </w:style>
  <w:style w:type="paragraph" w:customStyle="1" w:styleId="Bullet2">
    <w:name w:val="Bullet 2"/>
    <w:basedOn w:val="Normal"/>
    <w:pPr>
      <w:numPr>
        <w:numId w:val="42"/>
      </w:numPr>
    </w:pPr>
  </w:style>
  <w:style w:type="paragraph" w:customStyle="1" w:styleId="Bullet3">
    <w:name w:val="Bullet 3"/>
    <w:basedOn w:val="Normal"/>
    <w:pPr>
      <w:numPr>
        <w:numId w:val="43"/>
      </w:numPr>
    </w:pPr>
  </w:style>
  <w:style w:type="paragraph" w:customStyle="1" w:styleId="Bullet4">
    <w:name w:val="Bullet 4"/>
    <w:basedOn w:val="Normal"/>
    <w:pPr>
      <w:numPr>
        <w:numId w:val="44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15</Pages>
  <Words>3007</Words>
  <Characters>16661</Characters>
  <Application>Microsoft Office Word</Application>
  <DocSecurity>0</DocSecurity>
  <Lines>925</Lines>
  <Paragraphs>409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BOUCHET Isabelle (ESTAT)</dc:creator>
  <cp:lastModifiedBy>DIGIT/A3</cp:lastModifiedBy>
  <cp:revision>9</cp:revision>
  <cp:lastPrinted>2016-06-30T05:36:00Z</cp:lastPrinted>
  <dcterms:created xsi:type="dcterms:W3CDTF">2016-08-16T11:38:00Z</dcterms:created>
  <dcterms:modified xsi:type="dcterms:W3CDTF">2016-08-24T13:05:00Z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5.8.3, Build 20130911</vt:lpwstr>
  </property>
  <property fmtid="{D5CDD505-2E9C-101B-9397-08002B2CF9AE}" pid="7" name="First annex">
    <vt:lpwstr>1</vt:lpwstr>
  </property>
  <property fmtid="{D5CDD505-2E9C-101B-9397-08002B2CF9AE}" pid="8" name="Last annex">
    <vt:lpwstr>5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