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663CE6E2711E48B2BAFBF5B922B7D418" style="width:450.75pt;height:438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Bilaga I</w:t>
      </w:r>
    </w:p>
    <w:p>
      <w:pPr>
        <w:jc w:val="center"/>
        <w:rPr>
          <w:b/>
          <w:noProof/>
        </w:rPr>
      </w:pPr>
      <w:r>
        <w:rPr>
          <w:b/>
          <w:noProof/>
        </w:rPr>
        <w:t>Ämnen som ska omfattas</w:t>
      </w:r>
    </w:p>
    <w:p>
      <w:pPr>
        <w:pStyle w:val="Text1"/>
        <w:rPr>
          <w:noProof/>
        </w:rPr>
      </w:pPr>
    </w:p>
    <w:tbl>
      <w:tblPr>
        <w:tblW w:w="9975" w:type="dxa"/>
        <w:tblInd w:w="93" w:type="dxa"/>
        <w:tblLook w:val="04A0" w:firstRow="1" w:lastRow="0" w:firstColumn="1" w:lastColumn="0" w:noHBand="0" w:noVBand="1"/>
      </w:tblPr>
      <w:tblGrid>
        <w:gridCol w:w="2547"/>
        <w:gridCol w:w="3468"/>
        <w:gridCol w:w="3960"/>
      </w:tblGrid>
      <w:tr>
        <w:trPr>
          <w:trHeight w:val="300"/>
        </w:trPr>
        <w:tc>
          <w:tcPr>
            <w:tcW w:w="2547" w:type="dxa"/>
            <w:tcBorders>
              <w:left w:val="nil"/>
              <w:bottom w:val="single" w:sz="4" w:space="0" w:color="auto"/>
              <w:right w:val="nil"/>
            </w:tcBorders>
            <w:shd w:val="clear" w:color="auto" w:fill="auto"/>
            <w:noWrap/>
            <w:hideMark/>
          </w:tcPr>
          <w:p>
            <w:pPr>
              <w:spacing w:before="0" w:afterLines="20" w:after="48"/>
              <w:rPr>
                <w:noProof/>
              </w:rPr>
            </w:pPr>
            <w:r>
              <w:rPr>
                <w:noProof/>
              </w:rPr>
              <w:t>Område</w:t>
            </w:r>
          </w:p>
        </w:tc>
        <w:tc>
          <w:tcPr>
            <w:tcW w:w="3468" w:type="dxa"/>
            <w:tcBorders>
              <w:left w:val="nil"/>
              <w:bottom w:val="single" w:sz="4" w:space="0" w:color="auto"/>
              <w:right w:val="nil"/>
            </w:tcBorders>
            <w:shd w:val="clear" w:color="auto" w:fill="auto"/>
            <w:noWrap/>
            <w:hideMark/>
          </w:tcPr>
          <w:p>
            <w:pPr>
              <w:spacing w:before="0" w:afterLines="20" w:after="48"/>
              <w:rPr>
                <w:noProof/>
              </w:rPr>
            </w:pPr>
            <w:r>
              <w:rPr>
                <w:noProof/>
              </w:rPr>
              <w:t>Ämne</w:t>
            </w:r>
          </w:p>
        </w:tc>
        <w:tc>
          <w:tcPr>
            <w:tcW w:w="3960" w:type="dxa"/>
            <w:tcBorders>
              <w:left w:val="nil"/>
              <w:bottom w:val="single" w:sz="4" w:space="0" w:color="auto"/>
              <w:right w:val="nil"/>
            </w:tcBorders>
            <w:shd w:val="clear" w:color="auto" w:fill="auto"/>
            <w:noWrap/>
            <w:hideMark/>
          </w:tcPr>
          <w:p>
            <w:pPr>
              <w:spacing w:before="0" w:afterLines="20" w:after="48"/>
              <w:rPr>
                <w:noProof/>
                <w:szCs w:val="24"/>
              </w:rPr>
            </w:pPr>
            <w:r>
              <w:rPr>
                <w:noProof/>
              </w:rPr>
              <w:t>Specifika ämnen</w:t>
            </w:r>
          </w:p>
        </w:tc>
      </w:tr>
      <w:tr>
        <w:trPr>
          <w:trHeight w:val="300"/>
        </w:trPr>
        <w:tc>
          <w:tcPr>
            <w:tcW w:w="2547" w:type="dxa"/>
            <w:tcBorders>
              <w:top w:val="single" w:sz="4" w:space="0" w:color="auto"/>
              <w:left w:val="nil"/>
              <w:bottom w:val="nil"/>
              <w:right w:val="nil"/>
            </w:tcBorders>
            <w:shd w:val="clear" w:color="auto" w:fill="auto"/>
            <w:noWrap/>
            <w:hideMark/>
          </w:tcPr>
          <w:p>
            <w:pPr>
              <w:spacing w:before="0" w:after="0"/>
              <w:rPr>
                <w:noProof/>
              </w:rPr>
            </w:pPr>
            <w:r>
              <w:rPr>
                <w:noProof/>
              </w:rPr>
              <w:t xml:space="preserve">Alla områden </w:t>
            </w:r>
          </w:p>
        </w:tc>
        <w:tc>
          <w:tcPr>
            <w:tcW w:w="3468" w:type="dxa"/>
            <w:tcBorders>
              <w:top w:val="single" w:sz="4" w:space="0" w:color="auto"/>
              <w:left w:val="nil"/>
              <w:bottom w:val="nil"/>
              <w:right w:val="nil"/>
            </w:tcBorders>
            <w:shd w:val="clear" w:color="auto" w:fill="auto"/>
            <w:noWrap/>
            <w:hideMark/>
          </w:tcPr>
          <w:p>
            <w:pPr>
              <w:spacing w:before="0" w:after="0"/>
              <w:rPr>
                <w:noProof/>
              </w:rPr>
            </w:pPr>
            <w:r>
              <w:rPr>
                <w:noProof/>
              </w:rPr>
              <w:t>Tekniska detaljer</w:t>
            </w:r>
          </w:p>
        </w:tc>
        <w:tc>
          <w:tcPr>
            <w:tcW w:w="3960" w:type="dxa"/>
            <w:tcBorders>
              <w:top w:val="single" w:sz="4" w:space="0" w:color="auto"/>
              <w:left w:val="nil"/>
              <w:bottom w:val="nil"/>
              <w:right w:val="nil"/>
            </w:tcBorders>
            <w:shd w:val="clear" w:color="auto" w:fill="auto"/>
            <w:noWrap/>
            <w:hideMark/>
          </w:tcPr>
          <w:p>
            <w:pPr>
              <w:spacing w:before="0" w:afterLines="20" w:after="48"/>
              <w:rPr>
                <w:noProof/>
                <w:sz w:val="20"/>
                <w:szCs w:val="20"/>
              </w:rPr>
            </w:pPr>
            <w:r>
              <w:rPr>
                <w:noProof/>
                <w:sz w:val="20"/>
              </w:rPr>
              <w:t>Information om uppgiftsinsamlingen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Identifiering</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Viktning</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Karakteristika för intervjuer</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Lokalisering</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val="restart"/>
            <w:tcBorders>
              <w:top w:val="nil"/>
              <w:left w:val="nil"/>
              <w:right w:val="nil"/>
            </w:tcBorders>
            <w:shd w:val="clear" w:color="auto" w:fill="auto"/>
            <w:noWrap/>
            <w:hideMark/>
          </w:tcPr>
          <w:p>
            <w:pPr>
              <w:spacing w:before="0" w:after="0"/>
              <w:rPr>
                <w:noProof/>
              </w:rPr>
            </w:pPr>
            <w:r>
              <w:rPr>
                <w:noProof/>
              </w:rPr>
              <w:t>Karakteristika för personer och hushåll</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Demografiska uppgifter</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Medborgarskap och migrantbakgrund</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Hushållets sammansättning</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val="restart"/>
            <w:tcBorders>
              <w:top w:val="nil"/>
              <w:left w:val="nil"/>
              <w:right w:val="nil"/>
            </w:tcBorders>
            <w:shd w:val="clear" w:color="auto" w:fill="auto"/>
            <w:noWrap/>
            <w:hideMark/>
          </w:tcPr>
          <w:p>
            <w:pPr>
              <w:spacing w:before="0" w:after="0"/>
              <w:rPr>
                <w:noProof/>
              </w:rPr>
            </w:pPr>
            <w:r>
              <w:rPr>
                <w:noProof/>
              </w:rPr>
              <w:t xml:space="preserve">Arbetsmarknadsdeltagande </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Huvudsaklig förvärvsverksamhet (egen utsago)</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Grundläggande karakteristika för arbete</w:t>
            </w:r>
          </w:p>
        </w:tc>
      </w:tr>
      <w:tr>
        <w:trPr>
          <w:trHeight w:val="300"/>
        </w:trPr>
        <w:tc>
          <w:tcPr>
            <w:tcW w:w="2547" w:type="dxa"/>
            <w:tcBorders>
              <w:top w:val="nil"/>
              <w:left w:val="nil"/>
              <w:bottom w:val="single" w:sz="4" w:space="0" w:color="auto"/>
              <w:right w:val="nil"/>
            </w:tcBorders>
            <w:shd w:val="clear" w:color="auto" w:fill="auto"/>
            <w:noWrap/>
            <w:hideMark/>
          </w:tcPr>
          <w:p>
            <w:pPr>
              <w:spacing w:before="0" w:after="0"/>
              <w:rPr>
                <w:noProof/>
              </w:rPr>
            </w:pPr>
          </w:p>
        </w:tc>
        <w:tc>
          <w:tcPr>
            <w:tcW w:w="3468" w:type="dxa"/>
            <w:tcBorders>
              <w:top w:val="nil"/>
              <w:left w:val="nil"/>
              <w:bottom w:val="single" w:sz="4" w:space="0" w:color="auto"/>
              <w:right w:val="nil"/>
            </w:tcBorders>
            <w:shd w:val="clear" w:color="auto" w:fill="auto"/>
            <w:noWrap/>
            <w:hideMark/>
          </w:tcPr>
          <w:p>
            <w:pPr>
              <w:spacing w:before="0" w:after="0"/>
              <w:rPr>
                <w:noProof/>
              </w:rPr>
            </w:pPr>
            <w:r>
              <w:rPr>
                <w:noProof/>
              </w:rPr>
              <w:t>Utbildningsnivå och bakgrund</w:t>
            </w:r>
          </w:p>
        </w:tc>
        <w:tc>
          <w:tcPr>
            <w:tcW w:w="3960" w:type="dxa"/>
            <w:tcBorders>
              <w:top w:val="nil"/>
              <w:left w:val="nil"/>
              <w:bottom w:val="single" w:sz="4" w:space="0" w:color="auto"/>
              <w:right w:val="nil"/>
            </w:tcBorders>
            <w:shd w:val="clear" w:color="auto" w:fill="auto"/>
            <w:noWrap/>
            <w:hideMark/>
          </w:tcPr>
          <w:p>
            <w:pPr>
              <w:spacing w:before="0" w:afterLines="20" w:after="48"/>
              <w:rPr>
                <w:noProof/>
                <w:sz w:val="20"/>
                <w:szCs w:val="20"/>
              </w:rPr>
            </w:pPr>
            <w:r>
              <w:rPr>
                <w:noProof/>
                <w:sz w:val="20"/>
              </w:rPr>
              <w:t>Uppnådd utbildningsnivå</w:t>
            </w:r>
          </w:p>
        </w:tc>
      </w:tr>
      <w:tr>
        <w:trPr>
          <w:trHeight w:val="300"/>
        </w:trPr>
        <w:tc>
          <w:tcPr>
            <w:tcW w:w="2547" w:type="dxa"/>
            <w:tcBorders>
              <w:top w:val="single" w:sz="4" w:space="0" w:color="auto"/>
              <w:left w:val="nil"/>
              <w:right w:val="nil"/>
            </w:tcBorders>
            <w:shd w:val="clear" w:color="auto" w:fill="auto"/>
            <w:noWrap/>
          </w:tcPr>
          <w:p>
            <w:pPr>
              <w:spacing w:before="0" w:after="0"/>
              <w:rPr>
                <w:noProof/>
              </w:rPr>
            </w:pPr>
            <w:r>
              <w:rPr>
                <w:noProof/>
              </w:rPr>
              <w:t>Arbetsmarknaden</w:t>
            </w:r>
          </w:p>
        </w:tc>
        <w:tc>
          <w:tcPr>
            <w:tcW w:w="3468" w:type="dxa"/>
            <w:vMerge w:val="restart"/>
            <w:tcBorders>
              <w:top w:val="single" w:sz="4" w:space="0" w:color="auto"/>
              <w:left w:val="nil"/>
              <w:right w:val="nil"/>
            </w:tcBorders>
            <w:shd w:val="clear" w:color="auto" w:fill="auto"/>
            <w:noWrap/>
          </w:tcPr>
          <w:p>
            <w:pPr>
              <w:spacing w:before="0" w:after="0"/>
              <w:rPr>
                <w:noProof/>
              </w:rPr>
            </w:pPr>
            <w:r>
              <w:rPr>
                <w:noProof/>
              </w:rPr>
              <w:t>Karakteristika för personer och hushåll</w:t>
            </w:r>
          </w:p>
        </w:tc>
        <w:tc>
          <w:tcPr>
            <w:tcW w:w="3960" w:type="dxa"/>
            <w:tcBorders>
              <w:top w:val="single" w:sz="4" w:space="0" w:color="auto"/>
              <w:left w:val="nil"/>
              <w:right w:val="nil"/>
            </w:tcBorders>
            <w:shd w:val="clear" w:color="auto" w:fill="auto"/>
            <w:noWrap/>
          </w:tcPr>
          <w:p>
            <w:pPr>
              <w:spacing w:before="0" w:afterLines="20" w:after="48"/>
              <w:rPr>
                <w:noProof/>
                <w:sz w:val="20"/>
                <w:szCs w:val="20"/>
              </w:rPr>
            </w:pPr>
            <w:r>
              <w:rPr>
                <w:noProof/>
                <w:sz w:val="20"/>
              </w:rPr>
              <w:t>Hushållets sammansättning – närmare uppgifter</w:t>
            </w:r>
          </w:p>
        </w:tc>
      </w:tr>
      <w:tr>
        <w:trPr>
          <w:trHeight w:val="300"/>
        </w:trPr>
        <w:tc>
          <w:tcPr>
            <w:tcW w:w="2547" w:type="dxa"/>
            <w:tcBorders>
              <w:left w:val="nil"/>
              <w:right w:val="nil"/>
            </w:tcBorders>
            <w:shd w:val="clear" w:color="auto" w:fill="auto"/>
            <w:noWrap/>
          </w:tcPr>
          <w:p>
            <w:pPr>
              <w:spacing w:before="0" w:after="0"/>
              <w:rPr>
                <w:noProof/>
              </w:rPr>
            </w:pPr>
          </w:p>
        </w:tc>
        <w:tc>
          <w:tcPr>
            <w:tcW w:w="3468" w:type="dxa"/>
            <w:vMerge/>
            <w:tcBorders>
              <w:left w:val="nil"/>
              <w:right w:val="nil"/>
            </w:tcBorders>
            <w:shd w:val="clear" w:color="auto" w:fill="auto"/>
            <w:noWrap/>
          </w:tcPr>
          <w:p>
            <w:pPr>
              <w:spacing w:before="0" w:after="0"/>
              <w:rPr>
                <w:noProof/>
              </w:rPr>
            </w:pPr>
          </w:p>
        </w:tc>
        <w:tc>
          <w:tcPr>
            <w:tcW w:w="3960" w:type="dxa"/>
            <w:tcBorders>
              <w:left w:val="nil"/>
              <w:right w:val="nil"/>
            </w:tcBorders>
            <w:shd w:val="clear" w:color="auto" w:fill="auto"/>
            <w:noWrap/>
          </w:tcPr>
          <w:p>
            <w:pPr>
              <w:spacing w:before="0" w:afterLines="20" w:after="48"/>
              <w:rPr>
                <w:noProof/>
                <w:sz w:val="20"/>
                <w:szCs w:val="20"/>
              </w:rPr>
            </w:pPr>
            <w:r>
              <w:rPr>
                <w:noProof/>
                <w:sz w:val="20"/>
              </w:rPr>
              <w:t xml:space="preserve">Vistelsens längd i landet </w:t>
            </w:r>
          </w:p>
        </w:tc>
      </w:tr>
      <w:tr>
        <w:trPr>
          <w:trHeight w:val="300"/>
        </w:trPr>
        <w:tc>
          <w:tcPr>
            <w:tcW w:w="2547" w:type="dxa"/>
            <w:tcBorders>
              <w:left w:val="nil"/>
              <w:bottom w:val="nil"/>
              <w:right w:val="nil"/>
            </w:tcBorders>
            <w:shd w:val="clear" w:color="auto" w:fill="auto"/>
            <w:noWrap/>
            <w:hideMark/>
          </w:tcPr>
          <w:p>
            <w:pPr>
              <w:spacing w:before="0" w:after="0"/>
              <w:rPr>
                <w:noProof/>
              </w:rPr>
            </w:pPr>
          </w:p>
        </w:tc>
        <w:tc>
          <w:tcPr>
            <w:tcW w:w="3468" w:type="dxa"/>
            <w:tcBorders>
              <w:left w:val="nil"/>
              <w:right w:val="nil"/>
            </w:tcBorders>
            <w:shd w:val="clear" w:color="auto" w:fill="auto"/>
            <w:noWrap/>
            <w:hideMark/>
          </w:tcPr>
          <w:p>
            <w:pPr>
              <w:spacing w:before="0" w:after="0"/>
              <w:rPr>
                <w:noProof/>
              </w:rPr>
            </w:pPr>
            <w:r>
              <w:rPr>
                <w:noProof/>
              </w:rPr>
              <w:t xml:space="preserve">Arbetsmarknadsdeltagande </w:t>
            </w:r>
          </w:p>
        </w:tc>
        <w:tc>
          <w:tcPr>
            <w:tcW w:w="3960" w:type="dxa"/>
            <w:tcBorders>
              <w:left w:val="nil"/>
              <w:bottom w:val="nil"/>
              <w:right w:val="nil"/>
            </w:tcBorders>
            <w:shd w:val="clear" w:color="auto" w:fill="auto"/>
            <w:noWrap/>
            <w:hideMark/>
          </w:tcPr>
          <w:p>
            <w:pPr>
              <w:spacing w:before="0" w:afterLines="20" w:after="48"/>
              <w:rPr>
                <w:noProof/>
                <w:sz w:val="20"/>
                <w:szCs w:val="20"/>
              </w:rPr>
            </w:pPr>
            <w:r>
              <w:rPr>
                <w:noProof/>
                <w:sz w:val="20"/>
              </w:rPr>
              <w:t>Sysselsättningsstatus</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Anställningens längd</w:t>
            </w:r>
          </w:p>
          <w:p>
            <w:pPr>
              <w:spacing w:before="0" w:afterLines="20" w:after="48"/>
              <w:rPr>
                <w:noProof/>
                <w:sz w:val="20"/>
                <w:szCs w:val="20"/>
              </w:rPr>
            </w:pPr>
            <w:r>
              <w:rPr>
                <w:noProof/>
                <w:sz w:val="20"/>
              </w:rPr>
              <w:t>Anställningens längd – sekundära uppgifter</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Heltids- eller deltidsanställning – skäl</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Icke självständigt egenföretagande</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Arbetsledande ställning</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Företagets/inrättningens storlek</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Arbetsplats</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 xml:space="preserve">Arbete i hemmet </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Arbetssökande</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Beredvillighet att arbeta</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Tillgänglighet</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Bisyssla</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Söker annat arbete</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Möjlighet att förena arbete och familjeliv</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Unga på arbetsmarknaden</w:t>
            </w:r>
          </w:p>
        </w:tc>
      </w:tr>
      <w:tr>
        <w:trPr>
          <w:trHeight w:val="300"/>
        </w:trPr>
        <w:tc>
          <w:tcPr>
            <w:tcW w:w="2547" w:type="dxa"/>
            <w:tcBorders>
              <w:top w:val="nil"/>
              <w:left w:val="nil"/>
              <w:bottom w:val="nil"/>
              <w:right w:val="nil"/>
            </w:tcBorders>
            <w:shd w:val="clear" w:color="auto" w:fill="auto"/>
            <w:noWrap/>
            <w:hideMark/>
          </w:tcPr>
          <w:p>
            <w:pPr>
              <w:spacing w:before="0" w:after="0"/>
              <w:rPr>
                <w:b/>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Arbetsmarknadssituationen för migranter och deras barn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Övergång till pensionering</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Vård- och omsorgsbehov</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val="restart"/>
            <w:tcBorders>
              <w:top w:val="nil"/>
              <w:left w:val="nil"/>
              <w:right w:val="nil"/>
            </w:tcBorders>
            <w:shd w:val="clear" w:color="auto" w:fill="auto"/>
            <w:noWrap/>
            <w:hideMark/>
          </w:tcPr>
          <w:p>
            <w:pPr>
              <w:spacing w:before="0" w:after="0"/>
              <w:rPr>
                <w:noProof/>
              </w:rPr>
            </w:pPr>
            <w:r>
              <w:rPr>
                <w:noProof/>
              </w:rPr>
              <w:t>Anställningarnas längd och tidigare arbetslivserfarenhet</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Startdatum för arbete</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Hur arbetet hittades</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Tidigare arbetslivserfarenhet</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val="restart"/>
            <w:tcBorders>
              <w:top w:val="nil"/>
              <w:left w:val="nil"/>
              <w:right w:val="nil"/>
            </w:tcBorders>
            <w:shd w:val="clear" w:color="auto" w:fill="auto"/>
            <w:noWrap/>
            <w:hideMark/>
          </w:tcPr>
          <w:p>
            <w:pPr>
              <w:spacing w:before="0" w:after="0"/>
              <w:rPr>
                <w:noProof/>
              </w:rPr>
            </w:pPr>
            <w:r>
              <w:rPr>
                <w:noProof/>
              </w:rPr>
              <w:t>Arbetsvillkor, inbegripet arbetstid och arbetstidsarrangemang</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Arbetstid</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 xml:space="preserve">Arbetstidsarrangemang </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Arbetsorganisation och arbetstidsarrangemang</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r>
              <w:rPr>
                <w:noProof/>
              </w:rPr>
              <w:t>Utbildningsnivå och bakgrund</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Uppnådd utbildningsnivå – närmare uppgifter</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r>
              <w:rPr>
                <w:noProof/>
              </w:rPr>
              <w:t xml:space="preserve">Deltagande i allmän och yrkesinriktad utbildning </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Deltagande i formell och icke-formell utbildning (4 veckor)</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Deltagande i formell och icke-formell utbildning (12 veckor)</w:t>
            </w:r>
          </w:p>
        </w:tc>
      </w:tr>
      <w:tr>
        <w:trPr>
          <w:trHeight w:val="300"/>
        </w:trPr>
        <w:tc>
          <w:tcPr>
            <w:tcW w:w="2547" w:type="dxa"/>
            <w:tcBorders>
              <w:top w:val="nil"/>
              <w:left w:val="nil"/>
              <w:right w:val="nil"/>
            </w:tcBorders>
            <w:shd w:val="clear" w:color="auto" w:fill="auto"/>
            <w:noWrap/>
            <w:hideMark/>
          </w:tcPr>
          <w:p>
            <w:pPr>
              <w:spacing w:before="0" w:after="0"/>
              <w:rPr>
                <w:noProof/>
              </w:rPr>
            </w:pPr>
          </w:p>
        </w:tc>
        <w:tc>
          <w:tcPr>
            <w:tcW w:w="3468" w:type="dxa"/>
            <w:tcBorders>
              <w:top w:val="nil"/>
              <w:left w:val="nil"/>
              <w:right w:val="nil"/>
            </w:tcBorders>
            <w:shd w:val="clear" w:color="auto" w:fill="auto"/>
            <w:noWrap/>
            <w:hideMark/>
          </w:tcPr>
          <w:p>
            <w:pPr>
              <w:spacing w:before="0" w:after="0"/>
              <w:rPr>
                <w:noProof/>
              </w:rPr>
            </w:pPr>
            <w:r>
              <w:rPr>
                <w:noProof/>
              </w:rPr>
              <w:t xml:space="preserve">Hälsa: hälsostatus och funktionsnedsättning, vård och omsorg samt hälsans bestämningsfaktorer </w:t>
            </w:r>
          </w:p>
        </w:tc>
        <w:tc>
          <w:tcPr>
            <w:tcW w:w="3960" w:type="dxa"/>
            <w:tcBorders>
              <w:top w:val="nil"/>
              <w:left w:val="nil"/>
              <w:right w:val="nil"/>
            </w:tcBorders>
            <w:shd w:val="clear" w:color="auto" w:fill="auto"/>
            <w:noWrap/>
            <w:hideMark/>
          </w:tcPr>
          <w:p>
            <w:pPr>
              <w:spacing w:before="0" w:afterLines="20" w:after="48"/>
              <w:rPr>
                <w:noProof/>
                <w:sz w:val="20"/>
                <w:szCs w:val="20"/>
              </w:rPr>
            </w:pPr>
            <w:r>
              <w:rPr>
                <w:noProof/>
                <w:sz w:val="20"/>
              </w:rPr>
              <w:t>Arbetsolyckor och andra arbetsrelaterade hälsoproblem</w:t>
            </w:r>
          </w:p>
        </w:tc>
      </w:tr>
      <w:tr>
        <w:trPr>
          <w:trHeight w:val="300"/>
        </w:trPr>
        <w:tc>
          <w:tcPr>
            <w:tcW w:w="2547" w:type="dxa"/>
            <w:tcBorders>
              <w:top w:val="nil"/>
              <w:left w:val="nil"/>
              <w:right w:val="nil"/>
            </w:tcBorders>
            <w:shd w:val="clear" w:color="auto" w:fill="auto"/>
            <w:noWrap/>
            <w:hideMark/>
          </w:tcPr>
          <w:p>
            <w:pPr>
              <w:spacing w:before="0" w:after="0"/>
              <w:rPr>
                <w:noProof/>
              </w:rPr>
            </w:pPr>
          </w:p>
        </w:tc>
        <w:tc>
          <w:tcPr>
            <w:tcW w:w="3468" w:type="dxa"/>
            <w:tcBorders>
              <w:top w:val="nil"/>
              <w:left w:val="nil"/>
              <w:right w:val="nil"/>
            </w:tcBorders>
            <w:shd w:val="clear" w:color="auto" w:fill="auto"/>
            <w:noWrap/>
            <w:hideMark/>
          </w:tcPr>
          <w:p>
            <w:pPr>
              <w:spacing w:before="0" w:after="0"/>
              <w:rPr>
                <w:noProof/>
              </w:rPr>
            </w:pPr>
          </w:p>
        </w:tc>
        <w:tc>
          <w:tcPr>
            <w:tcW w:w="3960" w:type="dxa"/>
            <w:tcBorders>
              <w:top w:val="nil"/>
              <w:left w:val="nil"/>
              <w:right w:val="nil"/>
            </w:tcBorders>
            <w:shd w:val="clear" w:color="auto" w:fill="auto"/>
            <w:noWrap/>
            <w:hideMark/>
          </w:tcPr>
          <w:p>
            <w:pPr>
              <w:spacing w:before="0" w:afterLines="20" w:after="48"/>
              <w:rPr>
                <w:noProof/>
                <w:sz w:val="20"/>
                <w:szCs w:val="20"/>
              </w:rPr>
            </w:pPr>
            <w:r>
              <w:rPr>
                <w:noProof/>
                <w:sz w:val="20"/>
              </w:rPr>
              <w:t>Det europeiska måttet på miniminormer för hälsa</w:t>
            </w:r>
          </w:p>
        </w:tc>
      </w:tr>
      <w:tr>
        <w:trPr>
          <w:trHeight w:val="300"/>
        </w:trPr>
        <w:tc>
          <w:tcPr>
            <w:tcW w:w="2547" w:type="dxa"/>
            <w:tcBorders>
              <w:top w:val="nil"/>
              <w:left w:val="nil"/>
              <w:bottom w:val="single" w:sz="4" w:space="0" w:color="auto"/>
              <w:right w:val="nil"/>
            </w:tcBorders>
            <w:shd w:val="clear" w:color="auto" w:fill="auto"/>
            <w:noWrap/>
          </w:tcPr>
          <w:p>
            <w:pPr>
              <w:spacing w:before="0" w:after="0"/>
              <w:rPr>
                <w:noProof/>
              </w:rPr>
            </w:pPr>
          </w:p>
        </w:tc>
        <w:tc>
          <w:tcPr>
            <w:tcW w:w="3468" w:type="dxa"/>
            <w:tcBorders>
              <w:top w:val="nil"/>
              <w:left w:val="nil"/>
              <w:bottom w:val="single" w:sz="4" w:space="0" w:color="auto"/>
              <w:right w:val="nil"/>
            </w:tcBorders>
            <w:shd w:val="clear" w:color="auto" w:fill="auto"/>
            <w:noWrap/>
          </w:tcPr>
          <w:p>
            <w:pPr>
              <w:spacing w:before="0" w:after="0"/>
              <w:rPr>
                <w:noProof/>
              </w:rPr>
            </w:pPr>
            <w:r>
              <w:rPr>
                <w:noProof/>
              </w:rPr>
              <w:t>Inkomst, konsumtion och välstånd, inklusive skulder</w:t>
            </w:r>
          </w:p>
        </w:tc>
        <w:tc>
          <w:tcPr>
            <w:tcW w:w="3960" w:type="dxa"/>
            <w:tcBorders>
              <w:top w:val="nil"/>
              <w:left w:val="nil"/>
              <w:bottom w:val="single" w:sz="4" w:space="0" w:color="auto"/>
              <w:right w:val="nil"/>
            </w:tcBorders>
            <w:shd w:val="clear" w:color="auto" w:fill="auto"/>
            <w:noWrap/>
          </w:tcPr>
          <w:p>
            <w:pPr>
              <w:spacing w:before="0" w:afterLines="20" w:after="48"/>
              <w:rPr>
                <w:noProof/>
                <w:sz w:val="20"/>
                <w:szCs w:val="20"/>
              </w:rPr>
            </w:pPr>
            <w:r>
              <w:rPr>
                <w:noProof/>
                <w:sz w:val="20"/>
              </w:rPr>
              <w:t>Förvärvsinkomst</w:t>
            </w:r>
          </w:p>
        </w:tc>
      </w:tr>
      <w:tr>
        <w:trPr>
          <w:trHeight w:val="284"/>
        </w:trPr>
        <w:tc>
          <w:tcPr>
            <w:tcW w:w="2547" w:type="dxa"/>
            <w:vMerge w:val="restart"/>
            <w:tcBorders>
              <w:left w:val="nil"/>
              <w:right w:val="nil"/>
            </w:tcBorders>
            <w:shd w:val="clear" w:color="auto" w:fill="auto"/>
            <w:noWrap/>
          </w:tcPr>
          <w:p>
            <w:pPr>
              <w:spacing w:before="0" w:after="0"/>
              <w:rPr>
                <w:noProof/>
              </w:rPr>
            </w:pPr>
            <w:r>
              <w:rPr>
                <w:noProof/>
              </w:rPr>
              <w:t>Inkomster och levnadsvillkor</w:t>
            </w:r>
          </w:p>
        </w:tc>
        <w:tc>
          <w:tcPr>
            <w:tcW w:w="3468" w:type="dxa"/>
            <w:vMerge w:val="restart"/>
            <w:tcBorders>
              <w:top w:val="nil"/>
              <w:left w:val="nil"/>
              <w:right w:val="nil"/>
            </w:tcBorders>
            <w:shd w:val="clear" w:color="auto" w:fill="auto"/>
            <w:noWrap/>
          </w:tcPr>
          <w:p>
            <w:pPr>
              <w:spacing w:before="0" w:after="0"/>
              <w:rPr>
                <w:noProof/>
              </w:rPr>
            </w:pPr>
            <w:r>
              <w:rPr>
                <w:noProof/>
              </w:rPr>
              <w:t>Karakteristika för personer och hushåll</w:t>
            </w:r>
          </w:p>
        </w:tc>
        <w:tc>
          <w:tcPr>
            <w:tcW w:w="3960" w:type="dxa"/>
            <w:tcBorders>
              <w:top w:val="nil"/>
              <w:left w:val="nil"/>
              <w:bottom w:val="nil"/>
              <w:right w:val="nil"/>
            </w:tcBorders>
            <w:shd w:val="clear" w:color="auto" w:fill="auto"/>
            <w:noWrap/>
          </w:tcPr>
          <w:p>
            <w:pPr>
              <w:spacing w:before="0" w:afterLines="20" w:after="48"/>
              <w:rPr>
                <w:noProof/>
                <w:sz w:val="20"/>
                <w:szCs w:val="20"/>
              </w:rPr>
            </w:pPr>
            <w:r>
              <w:rPr>
                <w:noProof/>
                <w:sz w:val="20"/>
              </w:rPr>
              <w:t>Hushållets sammansättning – närmare uppgifter</w:t>
            </w:r>
          </w:p>
        </w:tc>
      </w:tr>
      <w:tr>
        <w:trPr>
          <w:trHeight w:val="300"/>
        </w:trPr>
        <w:tc>
          <w:tcPr>
            <w:tcW w:w="2547" w:type="dxa"/>
            <w:vMerge/>
            <w:tcBorders>
              <w:left w:val="nil"/>
              <w:bottom w:val="nil"/>
              <w:right w:val="nil"/>
            </w:tcBorders>
            <w:shd w:val="clear" w:color="auto" w:fill="auto"/>
            <w:noWrap/>
          </w:tcPr>
          <w:p>
            <w:pPr>
              <w:spacing w:before="0" w:after="0"/>
              <w:rPr>
                <w:noProof/>
              </w:rPr>
            </w:pPr>
          </w:p>
        </w:tc>
        <w:tc>
          <w:tcPr>
            <w:tcW w:w="3468" w:type="dxa"/>
            <w:vMerge/>
            <w:tcBorders>
              <w:left w:val="nil"/>
              <w:bottom w:val="nil"/>
              <w:right w:val="nil"/>
            </w:tcBorders>
            <w:shd w:val="clear" w:color="auto" w:fill="auto"/>
            <w:noWrap/>
          </w:tcPr>
          <w:p>
            <w:pPr>
              <w:spacing w:before="0" w:after="0"/>
              <w:rPr>
                <w:noProof/>
              </w:rPr>
            </w:pPr>
          </w:p>
        </w:tc>
        <w:tc>
          <w:tcPr>
            <w:tcW w:w="3960" w:type="dxa"/>
            <w:tcBorders>
              <w:top w:val="nil"/>
              <w:left w:val="nil"/>
              <w:bottom w:val="nil"/>
              <w:right w:val="nil"/>
            </w:tcBorders>
            <w:shd w:val="clear" w:color="auto" w:fill="auto"/>
            <w:noWrap/>
          </w:tcPr>
          <w:p>
            <w:pPr>
              <w:spacing w:before="0" w:afterLines="20" w:after="48"/>
              <w:rPr>
                <w:noProof/>
                <w:sz w:val="20"/>
                <w:szCs w:val="20"/>
              </w:rPr>
            </w:pPr>
            <w:r>
              <w:rPr>
                <w:noProof/>
                <w:sz w:val="20"/>
              </w:rPr>
              <w:t>Vistelsens längd i landet</w:t>
            </w:r>
          </w:p>
        </w:tc>
      </w:tr>
      <w:tr>
        <w:trPr>
          <w:trHeight w:val="300"/>
        </w:trPr>
        <w:tc>
          <w:tcPr>
            <w:tcW w:w="2547" w:type="dxa"/>
            <w:tcBorders>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r>
              <w:rPr>
                <w:noProof/>
              </w:rPr>
              <w:t xml:space="preserve">Deltagande i allmän och yrkesinriktad utbildning </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Deltagande i formell utbildning (för närvarande)</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r>
              <w:rPr>
                <w:noProof/>
              </w:rPr>
              <w:t>Utbildningsnivå och bakgrund</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Uppnådd utbildningsnivå – närmare uppgifter</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val="restart"/>
            <w:tcBorders>
              <w:top w:val="nil"/>
              <w:left w:val="nil"/>
              <w:right w:val="nil"/>
            </w:tcBorders>
            <w:shd w:val="clear" w:color="auto" w:fill="auto"/>
            <w:noWrap/>
            <w:hideMark/>
          </w:tcPr>
          <w:p>
            <w:pPr>
              <w:spacing w:before="0" w:after="0"/>
              <w:rPr>
                <w:noProof/>
              </w:rPr>
            </w:pPr>
            <w:r>
              <w:rPr>
                <w:noProof/>
              </w:rPr>
              <w:t xml:space="preserve">Arbetsmarknadsdeltagande </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Karakteristika för arbetsplatsen</w:t>
            </w:r>
          </w:p>
        </w:tc>
      </w:tr>
      <w:tr>
        <w:trPr>
          <w:trHeight w:val="300"/>
        </w:trPr>
        <w:tc>
          <w:tcPr>
            <w:tcW w:w="2547" w:type="dxa"/>
            <w:tcBorders>
              <w:top w:val="nil"/>
              <w:left w:val="nil"/>
              <w:bottom w:val="nil"/>
              <w:right w:val="nil"/>
            </w:tcBorders>
            <w:shd w:val="clear" w:color="auto" w:fill="auto"/>
            <w:noWrap/>
          </w:tcPr>
          <w:p>
            <w:pPr>
              <w:spacing w:before="0" w:after="0"/>
              <w:rPr>
                <w:noProof/>
              </w:rPr>
            </w:pPr>
          </w:p>
        </w:tc>
        <w:tc>
          <w:tcPr>
            <w:tcW w:w="3468" w:type="dxa"/>
            <w:vMerge/>
            <w:tcBorders>
              <w:left w:val="nil"/>
              <w:right w:val="nil"/>
            </w:tcBorders>
            <w:shd w:val="clear" w:color="auto" w:fill="auto"/>
            <w:noWrap/>
          </w:tcPr>
          <w:p>
            <w:pPr>
              <w:spacing w:before="0" w:after="0"/>
              <w:rPr>
                <w:noProof/>
              </w:rPr>
            </w:pPr>
          </w:p>
        </w:tc>
        <w:tc>
          <w:tcPr>
            <w:tcW w:w="3960" w:type="dxa"/>
            <w:tcBorders>
              <w:top w:val="nil"/>
              <w:left w:val="nil"/>
              <w:bottom w:val="nil"/>
              <w:right w:val="nil"/>
            </w:tcBorders>
            <w:shd w:val="clear" w:color="auto" w:fill="auto"/>
            <w:noWrap/>
          </w:tcPr>
          <w:p>
            <w:pPr>
              <w:spacing w:before="0" w:afterLines="20" w:after="48"/>
              <w:rPr>
                <w:noProof/>
                <w:sz w:val="20"/>
                <w:szCs w:val="20"/>
              </w:rPr>
            </w:pPr>
            <w:r>
              <w:rPr>
                <w:noProof/>
                <w:sz w:val="20"/>
              </w:rPr>
              <w:t>Anställningens längd</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p>
        </w:tc>
      </w:tr>
      <w:tr>
        <w:trPr>
          <w:trHeight w:val="300"/>
        </w:trPr>
        <w:tc>
          <w:tcPr>
            <w:tcW w:w="2547" w:type="dxa"/>
            <w:tcBorders>
              <w:top w:val="nil"/>
              <w:left w:val="nil"/>
              <w:bottom w:val="nil"/>
              <w:right w:val="nil"/>
            </w:tcBorders>
            <w:shd w:val="clear" w:color="auto" w:fill="auto"/>
            <w:noWrap/>
          </w:tcPr>
          <w:p>
            <w:pPr>
              <w:spacing w:before="0" w:after="0"/>
              <w:rPr>
                <w:noProof/>
              </w:rPr>
            </w:pPr>
          </w:p>
        </w:tc>
        <w:tc>
          <w:tcPr>
            <w:tcW w:w="3468" w:type="dxa"/>
            <w:vMerge/>
            <w:tcBorders>
              <w:left w:val="nil"/>
              <w:right w:val="nil"/>
            </w:tcBorders>
            <w:shd w:val="clear" w:color="auto" w:fill="auto"/>
            <w:noWrap/>
          </w:tcPr>
          <w:p>
            <w:pPr>
              <w:spacing w:before="0" w:after="0"/>
              <w:rPr>
                <w:noProof/>
              </w:rPr>
            </w:pPr>
          </w:p>
        </w:tc>
        <w:tc>
          <w:tcPr>
            <w:tcW w:w="3960" w:type="dxa"/>
            <w:tcBorders>
              <w:top w:val="nil"/>
              <w:left w:val="nil"/>
              <w:bottom w:val="nil"/>
              <w:right w:val="nil"/>
            </w:tcBorders>
            <w:shd w:val="clear" w:color="auto" w:fill="auto"/>
            <w:noWrap/>
          </w:tcPr>
          <w:p>
            <w:pPr>
              <w:spacing w:before="0" w:afterLines="20" w:after="48"/>
              <w:rPr>
                <w:noProof/>
                <w:sz w:val="20"/>
                <w:szCs w:val="20"/>
              </w:rPr>
            </w:pPr>
            <w:r>
              <w:rPr>
                <w:noProof/>
                <w:sz w:val="20"/>
              </w:rPr>
              <w:t>Sysselsättningsstatus</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Närmare uppgifter om arbetsmarknadssituationen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Arbetsledande ställning</w:t>
            </w:r>
          </w:p>
        </w:tc>
      </w:tr>
      <w:tr>
        <w:trPr>
          <w:trHeight w:val="300"/>
        </w:trPr>
        <w:tc>
          <w:tcPr>
            <w:tcW w:w="2547" w:type="dxa"/>
            <w:tcBorders>
              <w:top w:val="nil"/>
              <w:left w:val="nil"/>
              <w:bottom w:val="nil"/>
              <w:right w:val="nil"/>
            </w:tcBorders>
            <w:shd w:val="clear" w:color="auto" w:fill="auto"/>
            <w:noWrap/>
          </w:tcPr>
          <w:p>
            <w:pPr>
              <w:spacing w:before="0" w:after="0"/>
              <w:rPr>
                <w:noProof/>
              </w:rPr>
            </w:pPr>
          </w:p>
        </w:tc>
        <w:tc>
          <w:tcPr>
            <w:tcW w:w="3468" w:type="dxa"/>
            <w:tcBorders>
              <w:left w:val="nil"/>
              <w:bottom w:val="nil"/>
              <w:right w:val="nil"/>
            </w:tcBorders>
            <w:shd w:val="clear" w:color="auto" w:fill="auto"/>
            <w:noWrap/>
          </w:tcPr>
          <w:p>
            <w:pPr>
              <w:spacing w:before="0" w:after="0"/>
              <w:rPr>
                <w:noProof/>
              </w:rPr>
            </w:pPr>
            <w:r>
              <w:rPr>
                <w:noProof/>
              </w:rPr>
              <w:t>Anställningarnas längd och tidigare arbetslivserfarenhet</w:t>
            </w:r>
          </w:p>
        </w:tc>
        <w:tc>
          <w:tcPr>
            <w:tcW w:w="3960" w:type="dxa"/>
            <w:tcBorders>
              <w:top w:val="nil"/>
              <w:left w:val="nil"/>
              <w:bottom w:val="nil"/>
              <w:right w:val="nil"/>
            </w:tcBorders>
            <w:shd w:val="clear" w:color="auto" w:fill="auto"/>
            <w:noWrap/>
          </w:tcPr>
          <w:p>
            <w:pPr>
              <w:spacing w:before="0" w:afterLines="20" w:after="48"/>
              <w:rPr>
                <w:noProof/>
                <w:sz w:val="20"/>
                <w:szCs w:val="20"/>
              </w:rPr>
            </w:pPr>
            <w:r>
              <w:rPr>
                <w:noProof/>
                <w:sz w:val="20"/>
              </w:rPr>
              <w:t>Tidigare arbetslivserfarenhet</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val="restart"/>
            <w:tcBorders>
              <w:top w:val="nil"/>
              <w:left w:val="nil"/>
              <w:right w:val="nil"/>
            </w:tcBorders>
            <w:shd w:val="clear" w:color="auto" w:fill="auto"/>
            <w:noWrap/>
            <w:hideMark/>
          </w:tcPr>
          <w:p>
            <w:pPr>
              <w:spacing w:before="0" w:after="0"/>
              <w:rPr>
                <w:noProof/>
              </w:rPr>
            </w:pPr>
            <w:r>
              <w:rPr>
                <w:noProof/>
              </w:rPr>
              <w:t>Arbetsvillkor, inbegripet arbetstid och arbetstidsarrangemang</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Aktivitetskalender</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Arbetstid</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val="restart"/>
            <w:tcBorders>
              <w:top w:val="nil"/>
              <w:left w:val="nil"/>
              <w:right w:val="nil"/>
            </w:tcBorders>
            <w:shd w:val="clear" w:color="auto" w:fill="auto"/>
            <w:noWrap/>
            <w:hideMark/>
          </w:tcPr>
          <w:p>
            <w:pPr>
              <w:spacing w:before="0" w:after="0"/>
              <w:rPr>
                <w:noProof/>
              </w:rPr>
            </w:pPr>
            <w:r>
              <w:rPr>
                <w:noProof/>
              </w:rPr>
              <w:t>Hälsa: hälsostatus och funktionsnedsättning, vård och omsorg samt hälsans bestämningsfaktorer</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Det europeiska måttet på miniminormer för hälsa</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 xml:space="preserve">Hälsotillstånd och funktionsnedsättning </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Barns hälsa</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Tillgång till hälso- och sjukvård</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 xml:space="preserve">Hälso- och sjukvård </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Tillgång till hälso- och sjukvård (barn)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Hälsans bestämningsfaktorer</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val="restart"/>
            <w:tcBorders>
              <w:top w:val="nil"/>
              <w:left w:val="nil"/>
              <w:right w:val="nil"/>
            </w:tcBorders>
            <w:shd w:val="clear" w:color="auto" w:fill="auto"/>
            <w:noWrap/>
            <w:hideMark/>
          </w:tcPr>
          <w:p>
            <w:pPr>
              <w:spacing w:before="0" w:after="0"/>
              <w:rPr>
                <w:noProof/>
              </w:rPr>
            </w:pPr>
            <w:r>
              <w:rPr>
                <w:noProof/>
              </w:rPr>
              <w:t>Livskvalitet, inbegripet social och kulturell delaktighet och välbefinnande</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Livskvalitet</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Social och kulturell delaktighet</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Välbefinnande</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val="restart"/>
            <w:tcBorders>
              <w:top w:val="nil"/>
              <w:left w:val="nil"/>
              <w:right w:val="nil"/>
            </w:tcBorders>
            <w:shd w:val="clear" w:color="auto" w:fill="auto"/>
            <w:noWrap/>
            <w:hideMark/>
          </w:tcPr>
          <w:p>
            <w:pPr>
              <w:spacing w:before="0" w:after="0"/>
              <w:rPr>
                <w:noProof/>
              </w:rPr>
            </w:pPr>
            <w:r>
              <w:rPr>
                <w:noProof/>
              </w:rPr>
              <w:t xml:space="preserve">Levnadsvillkor, inbegripet materiell fattigdom, bostäder, levnadsförhållanden och tillgång till tjänster </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Materiell fattigdom</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Barnfattigdom</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Huvudsakliga karakteristika för boendet</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 xml:space="preserve">Närmare uppgifter om bostadsförhållanden, </w:t>
            </w:r>
            <w:r>
              <w:rPr>
                <w:noProof/>
                <w:sz w:val="20"/>
              </w:rPr>
              <w:lastRenderedPageBreak/>
              <w:t>inbegripet fattigdom</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Boendekostnader, inbegripet tillräknad hyra</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Livsmiljö</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Utnyttjande av tjänster, inbegripet vård och omsorg</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Ekonomisk överkomlighet</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Icke tillgodosedda behov och skäl</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Barnomsorg</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val="restart"/>
            <w:tcBorders>
              <w:top w:val="nil"/>
              <w:left w:val="nil"/>
              <w:right w:val="nil"/>
            </w:tcBorders>
            <w:shd w:val="clear" w:color="auto" w:fill="auto"/>
            <w:noWrap/>
            <w:hideMark/>
          </w:tcPr>
          <w:p>
            <w:pPr>
              <w:spacing w:before="0" w:after="0"/>
              <w:rPr>
                <w:noProof/>
              </w:rPr>
            </w:pPr>
            <w:r>
              <w:rPr>
                <w:noProof/>
              </w:rPr>
              <w:t>Inkomst, konsumtion och välstånd, inklusive skulder</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Förvärvsinkomst</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Bidragsinkomst</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Pensionsinkomst</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Andra inkomster</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Skatter och avgifter</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Sammanlagd inkomst</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Överskuldsättning</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Förfallna skulder</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Förmögenhet</w:t>
            </w:r>
          </w:p>
        </w:tc>
      </w:tr>
      <w:tr>
        <w:trPr>
          <w:trHeight w:val="300"/>
        </w:trPr>
        <w:tc>
          <w:tcPr>
            <w:tcW w:w="2547" w:type="dxa"/>
            <w:tcBorders>
              <w:top w:val="nil"/>
              <w:left w:val="nil"/>
              <w:right w:val="nil"/>
            </w:tcBorders>
            <w:shd w:val="clear" w:color="auto" w:fill="auto"/>
            <w:noWrap/>
            <w:hideMark/>
          </w:tcPr>
          <w:p>
            <w:pPr>
              <w:spacing w:before="0" w:after="0"/>
              <w:rPr>
                <w:noProof/>
              </w:rPr>
            </w:pPr>
          </w:p>
        </w:tc>
        <w:tc>
          <w:tcPr>
            <w:tcW w:w="3468" w:type="dxa"/>
            <w:tcBorders>
              <w:top w:val="nil"/>
              <w:left w:val="nil"/>
              <w:right w:val="nil"/>
            </w:tcBorders>
            <w:shd w:val="clear" w:color="auto" w:fill="auto"/>
            <w:noWrap/>
            <w:hideMark/>
          </w:tcPr>
          <w:p>
            <w:pPr>
              <w:spacing w:before="0" w:after="0"/>
              <w:rPr>
                <w:noProof/>
              </w:rPr>
            </w:pPr>
          </w:p>
        </w:tc>
        <w:tc>
          <w:tcPr>
            <w:tcW w:w="3960" w:type="dxa"/>
            <w:tcBorders>
              <w:top w:val="nil"/>
              <w:left w:val="nil"/>
              <w:right w:val="nil"/>
            </w:tcBorders>
            <w:shd w:val="clear" w:color="auto" w:fill="auto"/>
            <w:noWrap/>
            <w:hideMark/>
          </w:tcPr>
          <w:p>
            <w:pPr>
              <w:spacing w:before="0" w:afterLines="20" w:after="48"/>
              <w:rPr>
                <w:noProof/>
                <w:sz w:val="20"/>
                <w:szCs w:val="20"/>
              </w:rPr>
            </w:pPr>
            <w:r>
              <w:rPr>
                <w:noProof/>
                <w:sz w:val="20"/>
              </w:rPr>
              <w:t>Huvudsakliga delar i konsumtionen</w:t>
            </w:r>
          </w:p>
        </w:tc>
      </w:tr>
      <w:tr>
        <w:trPr>
          <w:trHeight w:val="300"/>
        </w:trPr>
        <w:tc>
          <w:tcPr>
            <w:tcW w:w="2547" w:type="dxa"/>
            <w:tcBorders>
              <w:top w:val="nil"/>
              <w:left w:val="nil"/>
              <w:bottom w:val="single" w:sz="4" w:space="0" w:color="auto"/>
              <w:right w:val="nil"/>
            </w:tcBorders>
            <w:shd w:val="clear" w:color="auto" w:fill="auto"/>
            <w:noWrap/>
          </w:tcPr>
          <w:p>
            <w:pPr>
              <w:spacing w:before="0" w:after="0"/>
              <w:rPr>
                <w:noProof/>
              </w:rPr>
            </w:pPr>
          </w:p>
        </w:tc>
        <w:tc>
          <w:tcPr>
            <w:tcW w:w="3468" w:type="dxa"/>
            <w:tcBorders>
              <w:top w:val="nil"/>
              <w:left w:val="nil"/>
              <w:bottom w:val="single" w:sz="4" w:space="0" w:color="auto"/>
              <w:right w:val="nil"/>
            </w:tcBorders>
            <w:shd w:val="clear" w:color="auto" w:fill="auto"/>
            <w:noWrap/>
          </w:tcPr>
          <w:p>
            <w:pPr>
              <w:spacing w:before="0" w:after="0"/>
              <w:rPr>
                <w:noProof/>
              </w:rPr>
            </w:pPr>
          </w:p>
        </w:tc>
        <w:tc>
          <w:tcPr>
            <w:tcW w:w="3960" w:type="dxa"/>
            <w:tcBorders>
              <w:top w:val="nil"/>
              <w:left w:val="nil"/>
              <w:bottom w:val="single" w:sz="4" w:space="0" w:color="auto"/>
              <w:right w:val="nil"/>
            </w:tcBorders>
            <w:shd w:val="clear" w:color="auto" w:fill="auto"/>
            <w:noWrap/>
          </w:tcPr>
          <w:p>
            <w:pPr>
              <w:spacing w:before="0" w:afterLines="20" w:after="48"/>
              <w:rPr>
                <w:noProof/>
                <w:sz w:val="20"/>
                <w:szCs w:val="20"/>
              </w:rPr>
            </w:pPr>
            <w:r>
              <w:rPr>
                <w:noProof/>
                <w:sz w:val="20"/>
              </w:rPr>
              <w:t>Överföring av nackdelar mellan generationer</w:t>
            </w:r>
          </w:p>
        </w:tc>
      </w:tr>
      <w:tr>
        <w:trPr>
          <w:trHeight w:val="300"/>
        </w:trPr>
        <w:tc>
          <w:tcPr>
            <w:tcW w:w="2547" w:type="dxa"/>
            <w:tcBorders>
              <w:top w:val="single" w:sz="4" w:space="0" w:color="auto"/>
              <w:left w:val="nil"/>
              <w:bottom w:val="nil"/>
              <w:right w:val="nil"/>
            </w:tcBorders>
            <w:shd w:val="clear" w:color="auto" w:fill="auto"/>
            <w:noWrap/>
            <w:hideMark/>
          </w:tcPr>
          <w:p>
            <w:pPr>
              <w:spacing w:before="0" w:after="0"/>
              <w:rPr>
                <w:noProof/>
              </w:rPr>
            </w:pPr>
            <w:r>
              <w:rPr>
                <w:noProof/>
              </w:rPr>
              <w:t>Hälsa</w:t>
            </w:r>
          </w:p>
        </w:tc>
        <w:tc>
          <w:tcPr>
            <w:tcW w:w="3468" w:type="dxa"/>
            <w:vMerge w:val="restart"/>
            <w:tcBorders>
              <w:top w:val="single" w:sz="4" w:space="0" w:color="auto"/>
              <w:left w:val="nil"/>
              <w:right w:val="nil"/>
            </w:tcBorders>
            <w:shd w:val="clear" w:color="auto" w:fill="auto"/>
            <w:noWrap/>
            <w:hideMark/>
          </w:tcPr>
          <w:p>
            <w:pPr>
              <w:spacing w:before="0" w:after="0"/>
              <w:rPr>
                <w:noProof/>
              </w:rPr>
            </w:pPr>
            <w:r>
              <w:rPr>
                <w:noProof/>
              </w:rPr>
              <w:t>Hälsa: hälsostatus och funktionsnedsättning, vård och omsorg samt hälsans bestämningsfaktorer</w:t>
            </w:r>
          </w:p>
        </w:tc>
        <w:tc>
          <w:tcPr>
            <w:tcW w:w="3960" w:type="dxa"/>
            <w:tcBorders>
              <w:top w:val="single" w:sz="4" w:space="0" w:color="auto"/>
              <w:left w:val="nil"/>
              <w:bottom w:val="nil"/>
              <w:right w:val="nil"/>
            </w:tcBorders>
            <w:shd w:val="clear" w:color="auto" w:fill="auto"/>
            <w:noWrap/>
            <w:hideMark/>
          </w:tcPr>
          <w:p>
            <w:pPr>
              <w:spacing w:before="0" w:afterLines="20" w:after="48"/>
              <w:rPr>
                <w:noProof/>
                <w:sz w:val="20"/>
                <w:szCs w:val="20"/>
              </w:rPr>
            </w:pPr>
            <w:r>
              <w:rPr>
                <w:noProof/>
                <w:sz w:val="20"/>
              </w:rPr>
              <w:t>Det europeiska måttet på miniminormer för hälsa</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Sjukdomar och kroniska tillstånd</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Olycksfall och skador</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Smärta</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Psykisk hälsa</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Funktionsnedsättningar</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Problem med personlig vård e.d.</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Problem med hushållsaktiviteter</w:t>
            </w:r>
          </w:p>
        </w:tc>
      </w:tr>
      <w:tr>
        <w:trPr>
          <w:trHeight w:val="300"/>
        </w:trPr>
        <w:tc>
          <w:tcPr>
            <w:tcW w:w="2547" w:type="dxa"/>
            <w:tcBorders>
              <w:top w:val="nil"/>
              <w:left w:val="nil"/>
              <w:right w:val="nil"/>
            </w:tcBorders>
            <w:shd w:val="clear" w:color="auto" w:fill="auto"/>
            <w:noWrap/>
            <w:hideMark/>
          </w:tcPr>
          <w:p>
            <w:pPr>
              <w:spacing w:before="0" w:after="0"/>
              <w:rPr>
                <w:noProof/>
              </w:rPr>
            </w:pPr>
          </w:p>
        </w:tc>
        <w:tc>
          <w:tcPr>
            <w:tcW w:w="3468" w:type="dxa"/>
            <w:tcBorders>
              <w:top w:val="nil"/>
              <w:left w:val="nil"/>
              <w:right w:val="nil"/>
            </w:tcBorders>
            <w:shd w:val="clear" w:color="auto" w:fill="auto"/>
            <w:noWrap/>
            <w:hideMark/>
          </w:tcPr>
          <w:p>
            <w:pPr>
              <w:spacing w:before="0" w:after="0"/>
              <w:rPr>
                <w:noProof/>
              </w:rPr>
            </w:pPr>
          </w:p>
        </w:tc>
        <w:tc>
          <w:tcPr>
            <w:tcW w:w="3960" w:type="dxa"/>
            <w:tcBorders>
              <w:top w:val="nil"/>
              <w:left w:val="nil"/>
              <w:right w:val="nil"/>
            </w:tcBorders>
            <w:shd w:val="clear" w:color="auto" w:fill="auto"/>
            <w:noWrap/>
            <w:hideMark/>
          </w:tcPr>
          <w:p>
            <w:pPr>
              <w:spacing w:before="0" w:afterLines="20" w:after="48"/>
              <w:rPr>
                <w:noProof/>
                <w:sz w:val="20"/>
                <w:szCs w:val="20"/>
              </w:rPr>
            </w:pPr>
            <w:r>
              <w:rPr>
                <w:noProof/>
                <w:sz w:val="20"/>
              </w:rPr>
              <w:t>Tillfällig aktivitetsbegränsning (på grund av hälsoproblem)</w:t>
            </w:r>
          </w:p>
        </w:tc>
      </w:tr>
      <w:tr>
        <w:trPr>
          <w:trHeight w:val="300"/>
        </w:trPr>
        <w:tc>
          <w:tcPr>
            <w:tcW w:w="2547" w:type="dxa"/>
            <w:tcBorders>
              <w:top w:val="nil"/>
              <w:left w:val="nil"/>
              <w:right w:val="nil"/>
            </w:tcBorders>
            <w:shd w:val="clear" w:color="auto" w:fill="auto"/>
            <w:noWrap/>
            <w:hideMark/>
          </w:tcPr>
          <w:p>
            <w:pPr>
              <w:spacing w:before="0" w:after="0"/>
              <w:rPr>
                <w:noProof/>
              </w:rPr>
            </w:pPr>
          </w:p>
        </w:tc>
        <w:tc>
          <w:tcPr>
            <w:tcW w:w="3468" w:type="dxa"/>
            <w:tcBorders>
              <w:top w:val="nil"/>
              <w:left w:val="nil"/>
              <w:right w:val="nil"/>
            </w:tcBorders>
            <w:shd w:val="clear" w:color="auto" w:fill="auto"/>
            <w:noWrap/>
            <w:hideMark/>
          </w:tcPr>
          <w:p>
            <w:pPr>
              <w:spacing w:before="0" w:after="0"/>
              <w:rPr>
                <w:noProof/>
              </w:rPr>
            </w:pPr>
          </w:p>
        </w:tc>
        <w:tc>
          <w:tcPr>
            <w:tcW w:w="3960" w:type="dxa"/>
            <w:tcBorders>
              <w:top w:val="nil"/>
              <w:left w:val="nil"/>
              <w:right w:val="nil"/>
            </w:tcBorders>
            <w:shd w:val="clear" w:color="auto" w:fill="auto"/>
            <w:noWrap/>
            <w:hideMark/>
          </w:tcPr>
          <w:p>
            <w:pPr>
              <w:spacing w:before="0" w:afterLines="20" w:after="48"/>
              <w:rPr>
                <w:noProof/>
                <w:sz w:val="20"/>
                <w:szCs w:val="20"/>
              </w:rPr>
            </w:pPr>
            <w:r>
              <w:rPr>
                <w:noProof/>
                <w:sz w:val="20"/>
              </w:rPr>
              <w:t>Hinder för deltagande på särskilda områden i livet</w:t>
            </w:r>
          </w:p>
        </w:tc>
      </w:tr>
      <w:tr>
        <w:trPr>
          <w:trHeight w:val="300"/>
        </w:trPr>
        <w:tc>
          <w:tcPr>
            <w:tcW w:w="2547" w:type="dxa"/>
            <w:tcBorders>
              <w:left w:val="nil"/>
              <w:bottom w:val="nil"/>
              <w:right w:val="nil"/>
            </w:tcBorders>
            <w:shd w:val="clear" w:color="auto" w:fill="auto"/>
            <w:noWrap/>
            <w:hideMark/>
          </w:tcPr>
          <w:p>
            <w:pPr>
              <w:spacing w:before="0" w:after="0"/>
              <w:rPr>
                <w:noProof/>
              </w:rPr>
            </w:pPr>
          </w:p>
        </w:tc>
        <w:tc>
          <w:tcPr>
            <w:tcW w:w="3468" w:type="dxa"/>
            <w:tcBorders>
              <w:left w:val="nil"/>
              <w:bottom w:val="nil"/>
              <w:right w:val="nil"/>
            </w:tcBorders>
            <w:shd w:val="clear" w:color="auto" w:fill="auto"/>
            <w:noWrap/>
            <w:hideMark/>
          </w:tcPr>
          <w:p>
            <w:pPr>
              <w:spacing w:before="0" w:after="0"/>
              <w:rPr>
                <w:noProof/>
              </w:rPr>
            </w:pPr>
          </w:p>
        </w:tc>
        <w:tc>
          <w:tcPr>
            <w:tcW w:w="3960" w:type="dxa"/>
            <w:tcBorders>
              <w:left w:val="nil"/>
              <w:bottom w:val="nil"/>
              <w:right w:val="nil"/>
            </w:tcBorders>
            <w:shd w:val="clear" w:color="auto" w:fill="auto"/>
            <w:noWrap/>
            <w:hideMark/>
          </w:tcPr>
          <w:p>
            <w:pPr>
              <w:spacing w:before="0" w:afterLines="20" w:after="48"/>
              <w:rPr>
                <w:noProof/>
                <w:sz w:val="20"/>
                <w:szCs w:val="20"/>
              </w:rPr>
            </w:pPr>
            <w:r>
              <w:rPr>
                <w:noProof/>
                <w:sz w:val="20"/>
              </w:rPr>
              <w:t>Utnyttjande av hälso- och sjukvård och långvarig vård och omsorg</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Läkemedelsbruk</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right w:val="nil"/>
            </w:tcBorders>
            <w:shd w:val="clear" w:color="auto" w:fill="auto"/>
            <w:noWrap/>
            <w:hideMark/>
          </w:tcPr>
          <w:p>
            <w:pPr>
              <w:spacing w:before="0" w:afterLines="20" w:after="48"/>
              <w:rPr>
                <w:noProof/>
                <w:sz w:val="20"/>
                <w:szCs w:val="20"/>
              </w:rPr>
            </w:pPr>
            <w:r>
              <w:rPr>
                <w:noProof/>
                <w:sz w:val="20"/>
              </w:rPr>
              <w:t>Förebyggande vård</w:t>
            </w:r>
          </w:p>
        </w:tc>
      </w:tr>
      <w:tr>
        <w:trPr>
          <w:trHeight w:val="300"/>
        </w:trPr>
        <w:tc>
          <w:tcPr>
            <w:tcW w:w="2547" w:type="dxa"/>
            <w:tcBorders>
              <w:top w:val="nil"/>
              <w:left w:val="nil"/>
              <w:right w:val="nil"/>
            </w:tcBorders>
            <w:shd w:val="clear" w:color="auto" w:fill="auto"/>
            <w:noWrap/>
            <w:hideMark/>
          </w:tcPr>
          <w:p>
            <w:pPr>
              <w:spacing w:before="0" w:after="0"/>
              <w:rPr>
                <w:noProof/>
              </w:rPr>
            </w:pPr>
          </w:p>
        </w:tc>
        <w:tc>
          <w:tcPr>
            <w:tcW w:w="3468" w:type="dxa"/>
            <w:tcBorders>
              <w:top w:val="nil"/>
              <w:left w:val="nil"/>
              <w:right w:val="nil"/>
            </w:tcBorders>
            <w:shd w:val="clear" w:color="auto" w:fill="auto"/>
            <w:noWrap/>
            <w:hideMark/>
          </w:tcPr>
          <w:p>
            <w:pPr>
              <w:spacing w:before="0" w:after="0"/>
              <w:rPr>
                <w:noProof/>
              </w:rPr>
            </w:pPr>
          </w:p>
        </w:tc>
        <w:tc>
          <w:tcPr>
            <w:tcW w:w="3960" w:type="dxa"/>
            <w:tcBorders>
              <w:top w:val="nil"/>
              <w:left w:val="nil"/>
              <w:right w:val="nil"/>
            </w:tcBorders>
            <w:shd w:val="clear" w:color="auto" w:fill="auto"/>
            <w:noWrap/>
            <w:hideMark/>
          </w:tcPr>
          <w:p>
            <w:pPr>
              <w:spacing w:before="0" w:afterLines="20" w:after="48"/>
              <w:rPr>
                <w:noProof/>
                <w:sz w:val="20"/>
                <w:szCs w:val="20"/>
              </w:rPr>
            </w:pPr>
            <w:r>
              <w:rPr>
                <w:noProof/>
                <w:sz w:val="20"/>
              </w:rPr>
              <w:t>Tillgång till hälso- och sjukvård</w:t>
            </w:r>
          </w:p>
        </w:tc>
      </w:tr>
      <w:tr>
        <w:trPr>
          <w:trHeight w:val="300"/>
        </w:trPr>
        <w:tc>
          <w:tcPr>
            <w:tcW w:w="2547" w:type="dxa"/>
            <w:tcBorders>
              <w:left w:val="nil"/>
              <w:bottom w:val="nil"/>
              <w:right w:val="nil"/>
            </w:tcBorders>
            <w:shd w:val="clear" w:color="auto" w:fill="auto"/>
            <w:noWrap/>
            <w:hideMark/>
          </w:tcPr>
          <w:p>
            <w:pPr>
              <w:spacing w:before="0" w:after="0"/>
              <w:rPr>
                <w:noProof/>
              </w:rPr>
            </w:pPr>
          </w:p>
        </w:tc>
        <w:tc>
          <w:tcPr>
            <w:tcW w:w="3468" w:type="dxa"/>
            <w:tcBorders>
              <w:left w:val="nil"/>
              <w:bottom w:val="nil"/>
              <w:right w:val="nil"/>
            </w:tcBorders>
            <w:shd w:val="clear" w:color="auto" w:fill="auto"/>
            <w:noWrap/>
            <w:hideMark/>
          </w:tcPr>
          <w:p>
            <w:pPr>
              <w:spacing w:before="0" w:after="0"/>
              <w:rPr>
                <w:noProof/>
              </w:rPr>
            </w:pPr>
          </w:p>
        </w:tc>
        <w:tc>
          <w:tcPr>
            <w:tcW w:w="3960" w:type="dxa"/>
            <w:tcBorders>
              <w:left w:val="nil"/>
              <w:bottom w:val="nil"/>
              <w:right w:val="nil"/>
            </w:tcBorders>
            <w:shd w:val="clear" w:color="auto" w:fill="auto"/>
            <w:noWrap/>
            <w:hideMark/>
          </w:tcPr>
          <w:p>
            <w:pPr>
              <w:spacing w:before="0" w:afterLines="20" w:after="48"/>
              <w:rPr>
                <w:noProof/>
                <w:sz w:val="20"/>
                <w:szCs w:val="20"/>
              </w:rPr>
            </w:pPr>
            <w:r>
              <w:rPr>
                <w:noProof/>
                <w:sz w:val="20"/>
              </w:rPr>
              <w:t>Längd och vikt</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Fysisk aktivitet</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Kostvanor</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Rökning</w:t>
            </w:r>
          </w:p>
        </w:tc>
      </w:tr>
      <w:tr>
        <w:trPr>
          <w:trHeight w:val="300"/>
        </w:trPr>
        <w:tc>
          <w:tcPr>
            <w:tcW w:w="2547" w:type="dxa"/>
            <w:tcBorders>
              <w:top w:val="nil"/>
              <w:left w:val="nil"/>
              <w:right w:val="nil"/>
            </w:tcBorders>
            <w:shd w:val="clear" w:color="auto" w:fill="auto"/>
            <w:noWrap/>
            <w:hideMark/>
          </w:tcPr>
          <w:p>
            <w:pPr>
              <w:spacing w:before="0" w:after="0"/>
              <w:rPr>
                <w:noProof/>
              </w:rPr>
            </w:pPr>
          </w:p>
        </w:tc>
        <w:tc>
          <w:tcPr>
            <w:tcW w:w="3468" w:type="dxa"/>
            <w:tcBorders>
              <w:top w:val="nil"/>
              <w:left w:val="nil"/>
              <w:right w:val="nil"/>
            </w:tcBorders>
            <w:shd w:val="clear" w:color="auto" w:fill="auto"/>
            <w:noWrap/>
            <w:hideMark/>
          </w:tcPr>
          <w:p>
            <w:pPr>
              <w:spacing w:before="0" w:after="0"/>
              <w:rPr>
                <w:noProof/>
              </w:rPr>
            </w:pPr>
          </w:p>
        </w:tc>
        <w:tc>
          <w:tcPr>
            <w:tcW w:w="3960" w:type="dxa"/>
            <w:tcBorders>
              <w:top w:val="nil"/>
              <w:left w:val="nil"/>
              <w:right w:val="nil"/>
            </w:tcBorders>
            <w:shd w:val="clear" w:color="auto" w:fill="auto"/>
            <w:noWrap/>
            <w:hideMark/>
          </w:tcPr>
          <w:p>
            <w:pPr>
              <w:spacing w:before="0" w:afterLines="20" w:after="48"/>
              <w:rPr>
                <w:noProof/>
                <w:sz w:val="20"/>
                <w:szCs w:val="20"/>
              </w:rPr>
            </w:pPr>
            <w:r>
              <w:rPr>
                <w:noProof/>
                <w:sz w:val="20"/>
              </w:rPr>
              <w:t>Alkoholkonsumtion</w:t>
            </w:r>
          </w:p>
        </w:tc>
      </w:tr>
      <w:tr>
        <w:trPr>
          <w:trHeight w:val="300"/>
        </w:trPr>
        <w:tc>
          <w:tcPr>
            <w:tcW w:w="2547" w:type="dxa"/>
            <w:tcBorders>
              <w:top w:val="nil"/>
              <w:left w:val="nil"/>
              <w:right w:val="nil"/>
            </w:tcBorders>
            <w:shd w:val="clear" w:color="auto" w:fill="auto"/>
            <w:noWrap/>
            <w:hideMark/>
          </w:tcPr>
          <w:p>
            <w:pPr>
              <w:spacing w:before="0" w:after="0"/>
              <w:rPr>
                <w:noProof/>
              </w:rPr>
            </w:pPr>
          </w:p>
        </w:tc>
        <w:tc>
          <w:tcPr>
            <w:tcW w:w="3468" w:type="dxa"/>
            <w:tcBorders>
              <w:top w:val="nil"/>
              <w:left w:val="nil"/>
              <w:right w:val="nil"/>
            </w:tcBorders>
            <w:shd w:val="clear" w:color="auto" w:fill="auto"/>
            <w:noWrap/>
            <w:hideMark/>
          </w:tcPr>
          <w:p>
            <w:pPr>
              <w:spacing w:before="0" w:after="0"/>
              <w:rPr>
                <w:noProof/>
              </w:rPr>
            </w:pPr>
          </w:p>
        </w:tc>
        <w:tc>
          <w:tcPr>
            <w:tcW w:w="3960" w:type="dxa"/>
            <w:tcBorders>
              <w:top w:val="nil"/>
              <w:left w:val="nil"/>
              <w:right w:val="nil"/>
            </w:tcBorders>
            <w:shd w:val="clear" w:color="auto" w:fill="auto"/>
            <w:noWrap/>
            <w:hideMark/>
          </w:tcPr>
          <w:p>
            <w:pPr>
              <w:spacing w:before="0" w:afterLines="20" w:after="48"/>
              <w:rPr>
                <w:noProof/>
                <w:sz w:val="20"/>
                <w:szCs w:val="20"/>
              </w:rPr>
            </w:pPr>
            <w:r>
              <w:rPr>
                <w:noProof/>
                <w:sz w:val="20"/>
              </w:rPr>
              <w:t>Sociala och miljömässiga faktorer</w:t>
            </w:r>
          </w:p>
        </w:tc>
      </w:tr>
      <w:tr>
        <w:trPr>
          <w:trHeight w:val="300"/>
        </w:trPr>
        <w:tc>
          <w:tcPr>
            <w:tcW w:w="2547" w:type="dxa"/>
            <w:tcBorders>
              <w:top w:val="nil"/>
              <w:left w:val="nil"/>
              <w:bottom w:val="single" w:sz="4" w:space="0" w:color="auto"/>
              <w:right w:val="nil"/>
            </w:tcBorders>
            <w:shd w:val="clear" w:color="auto" w:fill="auto"/>
            <w:noWrap/>
          </w:tcPr>
          <w:p>
            <w:pPr>
              <w:spacing w:before="0" w:after="0"/>
              <w:rPr>
                <w:noProof/>
              </w:rPr>
            </w:pPr>
          </w:p>
        </w:tc>
        <w:tc>
          <w:tcPr>
            <w:tcW w:w="3468" w:type="dxa"/>
            <w:tcBorders>
              <w:top w:val="nil"/>
              <w:left w:val="nil"/>
              <w:bottom w:val="single" w:sz="4" w:space="0" w:color="auto"/>
              <w:right w:val="nil"/>
            </w:tcBorders>
            <w:shd w:val="clear" w:color="auto" w:fill="auto"/>
            <w:noWrap/>
          </w:tcPr>
          <w:p>
            <w:pPr>
              <w:spacing w:before="0" w:after="0"/>
              <w:rPr>
                <w:noProof/>
              </w:rPr>
            </w:pPr>
            <w:r>
              <w:rPr>
                <w:noProof/>
              </w:rPr>
              <w:t>Inkomst, konsumtion och välstånd, inklusive skulder</w:t>
            </w:r>
          </w:p>
        </w:tc>
        <w:tc>
          <w:tcPr>
            <w:tcW w:w="3960" w:type="dxa"/>
            <w:tcBorders>
              <w:top w:val="nil"/>
              <w:left w:val="nil"/>
              <w:bottom w:val="single" w:sz="4" w:space="0" w:color="auto"/>
              <w:right w:val="nil"/>
            </w:tcBorders>
            <w:shd w:val="clear" w:color="auto" w:fill="auto"/>
            <w:noWrap/>
          </w:tcPr>
          <w:p>
            <w:pPr>
              <w:spacing w:before="0" w:afterLines="20" w:after="48"/>
              <w:rPr>
                <w:noProof/>
                <w:sz w:val="20"/>
                <w:szCs w:val="20"/>
              </w:rPr>
            </w:pPr>
            <w:r>
              <w:rPr>
                <w:noProof/>
                <w:sz w:val="20"/>
              </w:rPr>
              <w:t>Sammanlagd inkomst</w:t>
            </w:r>
          </w:p>
        </w:tc>
      </w:tr>
      <w:tr>
        <w:trPr>
          <w:trHeight w:val="300"/>
        </w:trPr>
        <w:tc>
          <w:tcPr>
            <w:tcW w:w="2547" w:type="dxa"/>
            <w:tcBorders>
              <w:top w:val="single" w:sz="4" w:space="0" w:color="auto"/>
              <w:left w:val="nil"/>
              <w:bottom w:val="nil"/>
              <w:right w:val="nil"/>
            </w:tcBorders>
            <w:shd w:val="clear" w:color="auto" w:fill="auto"/>
            <w:noWrap/>
          </w:tcPr>
          <w:p>
            <w:pPr>
              <w:spacing w:before="0" w:after="0"/>
              <w:rPr>
                <w:noProof/>
              </w:rPr>
            </w:pPr>
            <w:r>
              <w:rPr>
                <w:noProof/>
              </w:rPr>
              <w:lastRenderedPageBreak/>
              <w:t>Utbildning</w:t>
            </w:r>
          </w:p>
        </w:tc>
        <w:tc>
          <w:tcPr>
            <w:tcW w:w="3468" w:type="dxa"/>
            <w:tcBorders>
              <w:top w:val="single" w:sz="4" w:space="0" w:color="auto"/>
              <w:left w:val="nil"/>
              <w:right w:val="nil"/>
            </w:tcBorders>
            <w:shd w:val="clear" w:color="auto" w:fill="auto"/>
            <w:noWrap/>
          </w:tcPr>
          <w:p>
            <w:pPr>
              <w:spacing w:before="0" w:after="0"/>
              <w:rPr>
                <w:noProof/>
              </w:rPr>
            </w:pPr>
            <w:r>
              <w:rPr>
                <w:noProof/>
              </w:rPr>
              <w:t>Karakteristika för personer och hushåll</w:t>
            </w:r>
          </w:p>
        </w:tc>
        <w:tc>
          <w:tcPr>
            <w:tcW w:w="3960" w:type="dxa"/>
            <w:tcBorders>
              <w:top w:val="single" w:sz="4" w:space="0" w:color="auto"/>
              <w:left w:val="nil"/>
              <w:bottom w:val="nil"/>
              <w:right w:val="nil"/>
            </w:tcBorders>
            <w:shd w:val="clear" w:color="auto" w:fill="auto"/>
            <w:noWrap/>
          </w:tcPr>
          <w:p>
            <w:pPr>
              <w:spacing w:before="0" w:afterLines="20" w:after="48"/>
              <w:rPr>
                <w:noProof/>
                <w:sz w:val="20"/>
                <w:szCs w:val="20"/>
              </w:rPr>
            </w:pPr>
            <w:r>
              <w:rPr>
                <w:noProof/>
                <w:sz w:val="20"/>
              </w:rPr>
              <w:t>Vistelsens längd i landet</w:t>
            </w:r>
          </w:p>
        </w:tc>
      </w:tr>
      <w:tr>
        <w:trPr>
          <w:trHeight w:val="300"/>
        </w:trPr>
        <w:tc>
          <w:tcPr>
            <w:tcW w:w="2547" w:type="dxa"/>
            <w:tcBorders>
              <w:left w:val="nil"/>
              <w:bottom w:val="nil"/>
              <w:right w:val="nil"/>
            </w:tcBorders>
            <w:shd w:val="clear" w:color="auto" w:fill="auto"/>
            <w:noWrap/>
            <w:hideMark/>
          </w:tcPr>
          <w:p>
            <w:pPr>
              <w:spacing w:before="0" w:after="0"/>
              <w:rPr>
                <w:noProof/>
              </w:rPr>
            </w:pPr>
          </w:p>
        </w:tc>
        <w:tc>
          <w:tcPr>
            <w:tcW w:w="3468" w:type="dxa"/>
            <w:tcBorders>
              <w:left w:val="nil"/>
              <w:bottom w:val="nil"/>
              <w:right w:val="nil"/>
            </w:tcBorders>
            <w:shd w:val="clear" w:color="auto" w:fill="auto"/>
            <w:noWrap/>
            <w:hideMark/>
          </w:tcPr>
          <w:p>
            <w:pPr>
              <w:spacing w:before="0" w:after="0"/>
              <w:rPr>
                <w:noProof/>
              </w:rPr>
            </w:pPr>
            <w:r>
              <w:rPr>
                <w:noProof/>
              </w:rPr>
              <w:t>Anställningarnas längd och tidigare arbetslivserfarenhet</w:t>
            </w:r>
          </w:p>
        </w:tc>
        <w:tc>
          <w:tcPr>
            <w:tcW w:w="3960" w:type="dxa"/>
            <w:tcBorders>
              <w:left w:val="nil"/>
              <w:bottom w:val="nil"/>
              <w:right w:val="nil"/>
            </w:tcBorders>
            <w:shd w:val="clear" w:color="auto" w:fill="auto"/>
            <w:noWrap/>
            <w:hideMark/>
          </w:tcPr>
          <w:p>
            <w:pPr>
              <w:spacing w:before="0" w:afterLines="20" w:after="48"/>
              <w:rPr>
                <w:noProof/>
                <w:sz w:val="20"/>
                <w:szCs w:val="20"/>
              </w:rPr>
            </w:pPr>
            <w:r>
              <w:rPr>
                <w:noProof/>
                <w:sz w:val="20"/>
              </w:rPr>
              <w:t>Startdatum för arbete</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r>
              <w:rPr>
                <w:noProof/>
              </w:rPr>
              <w:t xml:space="preserve">Arbetsmarknadsdeltagande </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Företagets/inrättningens storlek</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right w:val="nil"/>
            </w:tcBorders>
            <w:shd w:val="clear" w:color="auto" w:fill="auto"/>
            <w:noWrap/>
            <w:hideMark/>
          </w:tcPr>
          <w:p>
            <w:pPr>
              <w:spacing w:before="0" w:after="0"/>
              <w:rPr>
                <w:noProof/>
              </w:rPr>
            </w:pPr>
            <w:r>
              <w:rPr>
                <w:noProof/>
              </w:rPr>
              <w:t>Utbildningsnivå och bakgrund</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Uppnådd utbildningsnivå – närmare uppgifter</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 xml:space="preserve">Utbildningsbakgrund </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Självrapporterad kompetens</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r>
              <w:rPr>
                <w:noProof/>
              </w:rPr>
              <w:t xml:space="preserve">Deltagande i allmän och yrkesinriktad utbildning </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Tillgång till information om utbildningsmöjligheter och vägledning (12 månader)</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Deltagande i formell utbildning (12 månader)</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Senaste formella utbildningen – närmare uppgifter (12 månader)</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Användning av informations- och kommunikationsteknik i den senaste formella utbildningen (12 månader)</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Skäl till deltagande i den senaste formella utbildningen (12 månader)</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Betalning och timmar avseende den senaste formella utbildningen (12 månader)</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Resultat och kompetensanvändning från den senaste formella utbildningen (12 månader)</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Deltagande i icke-formell utbildning (12 månader)</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Icke-formell utbildning – närmare uppgifter (12 månader)</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Användning av informations- och kommunikationsteknik i icke-formell utbildning (12 månader)</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Skäl till deltagande i icke-formell utbildning (12 månader)</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Betalning och timmar avseende icke-formell utbildning (12 månader)</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Resultat och kompetensanvändning från icke-formell utbildning (12 månader)</w:t>
            </w:r>
          </w:p>
        </w:tc>
      </w:tr>
      <w:tr>
        <w:trPr>
          <w:trHeight w:val="300"/>
        </w:trPr>
        <w:tc>
          <w:tcPr>
            <w:tcW w:w="2547" w:type="dxa"/>
            <w:tcBorders>
              <w:top w:val="nil"/>
              <w:left w:val="nil"/>
              <w:right w:val="nil"/>
            </w:tcBorders>
            <w:shd w:val="clear" w:color="auto" w:fill="auto"/>
            <w:noWrap/>
            <w:hideMark/>
          </w:tcPr>
          <w:p>
            <w:pPr>
              <w:spacing w:before="0" w:after="0"/>
              <w:rPr>
                <w:noProof/>
              </w:rPr>
            </w:pPr>
          </w:p>
        </w:tc>
        <w:tc>
          <w:tcPr>
            <w:tcW w:w="3468" w:type="dxa"/>
            <w:tcBorders>
              <w:top w:val="nil"/>
              <w:left w:val="nil"/>
              <w:right w:val="nil"/>
            </w:tcBorders>
            <w:shd w:val="clear" w:color="auto" w:fill="auto"/>
            <w:noWrap/>
            <w:hideMark/>
          </w:tcPr>
          <w:p>
            <w:pPr>
              <w:spacing w:before="0" w:after="0"/>
              <w:rPr>
                <w:noProof/>
              </w:rPr>
            </w:pPr>
          </w:p>
        </w:tc>
        <w:tc>
          <w:tcPr>
            <w:tcW w:w="3960" w:type="dxa"/>
            <w:tcBorders>
              <w:top w:val="nil"/>
              <w:left w:val="nil"/>
              <w:right w:val="nil"/>
            </w:tcBorders>
            <w:shd w:val="clear" w:color="auto" w:fill="auto"/>
            <w:noWrap/>
            <w:hideMark/>
          </w:tcPr>
          <w:p>
            <w:pPr>
              <w:spacing w:before="0" w:afterLines="20" w:after="48"/>
              <w:rPr>
                <w:noProof/>
                <w:sz w:val="20"/>
                <w:szCs w:val="20"/>
              </w:rPr>
            </w:pPr>
            <w:r>
              <w:rPr>
                <w:noProof/>
                <w:sz w:val="20"/>
              </w:rPr>
              <w:t>Hinder för deltagande i allmän och yrkesinriktad utbildning (12 månader)</w:t>
            </w:r>
          </w:p>
        </w:tc>
      </w:tr>
      <w:tr>
        <w:trPr>
          <w:trHeight w:val="300"/>
        </w:trPr>
        <w:tc>
          <w:tcPr>
            <w:tcW w:w="2547" w:type="dxa"/>
            <w:tcBorders>
              <w:top w:val="nil"/>
              <w:left w:val="nil"/>
              <w:right w:val="nil"/>
            </w:tcBorders>
            <w:shd w:val="clear" w:color="auto" w:fill="auto"/>
            <w:noWrap/>
            <w:hideMark/>
          </w:tcPr>
          <w:p>
            <w:pPr>
              <w:spacing w:before="0" w:after="0"/>
              <w:rPr>
                <w:noProof/>
              </w:rPr>
            </w:pPr>
          </w:p>
        </w:tc>
        <w:tc>
          <w:tcPr>
            <w:tcW w:w="3468" w:type="dxa"/>
            <w:tcBorders>
              <w:top w:val="nil"/>
              <w:left w:val="nil"/>
              <w:right w:val="nil"/>
            </w:tcBorders>
            <w:shd w:val="clear" w:color="auto" w:fill="auto"/>
            <w:noWrap/>
            <w:hideMark/>
          </w:tcPr>
          <w:p>
            <w:pPr>
              <w:spacing w:before="0" w:after="0"/>
              <w:rPr>
                <w:noProof/>
              </w:rPr>
            </w:pPr>
          </w:p>
        </w:tc>
        <w:tc>
          <w:tcPr>
            <w:tcW w:w="3960" w:type="dxa"/>
            <w:tcBorders>
              <w:top w:val="nil"/>
              <w:left w:val="nil"/>
              <w:right w:val="nil"/>
            </w:tcBorders>
            <w:shd w:val="clear" w:color="auto" w:fill="auto"/>
            <w:noWrap/>
            <w:hideMark/>
          </w:tcPr>
          <w:p>
            <w:pPr>
              <w:spacing w:before="0" w:afterLines="20" w:after="48"/>
              <w:rPr>
                <w:noProof/>
                <w:sz w:val="20"/>
                <w:szCs w:val="20"/>
              </w:rPr>
            </w:pPr>
            <w:r>
              <w:rPr>
                <w:noProof/>
                <w:sz w:val="20"/>
              </w:rPr>
              <w:t>Informellt lärande</w:t>
            </w:r>
          </w:p>
        </w:tc>
      </w:tr>
      <w:tr>
        <w:trPr>
          <w:trHeight w:val="300"/>
        </w:trPr>
        <w:tc>
          <w:tcPr>
            <w:tcW w:w="2547" w:type="dxa"/>
            <w:tcBorders>
              <w:top w:val="nil"/>
              <w:left w:val="nil"/>
              <w:bottom w:val="single" w:sz="4" w:space="0" w:color="auto"/>
              <w:right w:val="nil"/>
            </w:tcBorders>
            <w:shd w:val="clear" w:color="auto" w:fill="auto"/>
            <w:noWrap/>
          </w:tcPr>
          <w:p>
            <w:pPr>
              <w:spacing w:before="0" w:after="0"/>
              <w:rPr>
                <w:noProof/>
              </w:rPr>
            </w:pPr>
          </w:p>
        </w:tc>
        <w:tc>
          <w:tcPr>
            <w:tcW w:w="3468" w:type="dxa"/>
            <w:tcBorders>
              <w:top w:val="nil"/>
              <w:left w:val="nil"/>
              <w:bottom w:val="single" w:sz="4" w:space="0" w:color="auto"/>
              <w:right w:val="nil"/>
            </w:tcBorders>
            <w:shd w:val="clear" w:color="auto" w:fill="auto"/>
            <w:noWrap/>
          </w:tcPr>
          <w:p>
            <w:pPr>
              <w:spacing w:before="0" w:after="0"/>
              <w:rPr>
                <w:noProof/>
              </w:rPr>
            </w:pPr>
            <w:r>
              <w:rPr>
                <w:noProof/>
              </w:rPr>
              <w:t>Inkomst, konsumtion och välstånd, inklusive skulder</w:t>
            </w:r>
          </w:p>
        </w:tc>
        <w:tc>
          <w:tcPr>
            <w:tcW w:w="3960" w:type="dxa"/>
            <w:tcBorders>
              <w:top w:val="nil"/>
              <w:left w:val="nil"/>
              <w:bottom w:val="single" w:sz="4" w:space="0" w:color="auto"/>
              <w:right w:val="nil"/>
            </w:tcBorders>
            <w:shd w:val="clear" w:color="auto" w:fill="auto"/>
            <w:noWrap/>
          </w:tcPr>
          <w:p>
            <w:pPr>
              <w:spacing w:before="0" w:afterLines="20" w:after="48"/>
              <w:rPr>
                <w:noProof/>
                <w:sz w:val="20"/>
                <w:szCs w:val="20"/>
              </w:rPr>
            </w:pPr>
            <w:r>
              <w:rPr>
                <w:noProof/>
                <w:sz w:val="20"/>
              </w:rPr>
              <w:t>Sammanlagd inkomst</w:t>
            </w:r>
          </w:p>
        </w:tc>
      </w:tr>
      <w:tr>
        <w:trPr>
          <w:trHeight w:val="300"/>
        </w:trPr>
        <w:tc>
          <w:tcPr>
            <w:tcW w:w="2547" w:type="dxa"/>
            <w:vMerge w:val="restart"/>
            <w:tcBorders>
              <w:top w:val="single" w:sz="4" w:space="0" w:color="auto"/>
              <w:left w:val="nil"/>
              <w:right w:val="nil"/>
            </w:tcBorders>
            <w:shd w:val="clear" w:color="auto" w:fill="auto"/>
            <w:noWrap/>
            <w:hideMark/>
          </w:tcPr>
          <w:p>
            <w:pPr>
              <w:spacing w:before="0" w:after="0"/>
              <w:rPr>
                <w:noProof/>
              </w:rPr>
            </w:pPr>
            <w:r>
              <w:rPr>
                <w:noProof/>
              </w:rPr>
              <w:t>Användning av informations- och kommunikationsteknik</w:t>
            </w:r>
          </w:p>
        </w:tc>
        <w:tc>
          <w:tcPr>
            <w:tcW w:w="3468" w:type="dxa"/>
            <w:tcBorders>
              <w:top w:val="single" w:sz="4" w:space="0" w:color="auto"/>
              <w:left w:val="nil"/>
              <w:bottom w:val="nil"/>
              <w:right w:val="nil"/>
            </w:tcBorders>
            <w:shd w:val="clear" w:color="auto" w:fill="auto"/>
            <w:noWrap/>
            <w:hideMark/>
          </w:tcPr>
          <w:p>
            <w:pPr>
              <w:spacing w:before="0" w:after="0"/>
              <w:rPr>
                <w:noProof/>
              </w:rPr>
            </w:pPr>
            <w:r>
              <w:rPr>
                <w:noProof/>
              </w:rPr>
              <w:t>Deltagande i informationssamhället</w:t>
            </w:r>
          </w:p>
        </w:tc>
        <w:tc>
          <w:tcPr>
            <w:tcW w:w="3960" w:type="dxa"/>
            <w:tcBorders>
              <w:top w:val="single" w:sz="4" w:space="0" w:color="auto"/>
              <w:left w:val="nil"/>
              <w:bottom w:val="nil"/>
              <w:right w:val="nil"/>
            </w:tcBorders>
            <w:shd w:val="clear" w:color="auto" w:fill="auto"/>
            <w:noWrap/>
            <w:hideMark/>
          </w:tcPr>
          <w:p>
            <w:pPr>
              <w:spacing w:before="0" w:afterLines="20" w:after="48"/>
              <w:rPr>
                <w:noProof/>
                <w:sz w:val="20"/>
                <w:szCs w:val="20"/>
              </w:rPr>
            </w:pPr>
            <w:r>
              <w:rPr>
                <w:noProof/>
                <w:sz w:val="20"/>
              </w:rPr>
              <w:t>Tillgång till informations- och kommunikationsteknik</w:t>
            </w:r>
          </w:p>
        </w:tc>
      </w:tr>
      <w:tr>
        <w:trPr>
          <w:trHeight w:val="300"/>
        </w:trPr>
        <w:tc>
          <w:tcPr>
            <w:tcW w:w="2547" w:type="dxa"/>
            <w:vMerge/>
            <w:tcBorders>
              <w:left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Användning av och användningsfrekvens för informations- och kommunikationsteknik</w:t>
            </w:r>
          </w:p>
        </w:tc>
      </w:tr>
      <w:tr>
        <w:trPr>
          <w:trHeight w:val="300"/>
        </w:trPr>
        <w:tc>
          <w:tcPr>
            <w:tcW w:w="2547" w:type="dxa"/>
            <w:vMerge/>
            <w:tcBorders>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Hinder och problem för användningen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Effekten av användningen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Säkerheten, integritet och förtroende</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Anslutning till internet från alla platser</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 xml:space="preserve">Digital kompetens </w:t>
            </w:r>
          </w:p>
        </w:tc>
      </w:tr>
      <w:tr>
        <w:trPr>
          <w:trHeight w:val="300"/>
        </w:trPr>
        <w:tc>
          <w:tcPr>
            <w:tcW w:w="2547" w:type="dxa"/>
            <w:tcBorders>
              <w:top w:val="nil"/>
              <w:left w:val="nil"/>
              <w:right w:val="nil"/>
            </w:tcBorders>
            <w:shd w:val="clear" w:color="auto" w:fill="auto"/>
            <w:noWrap/>
            <w:hideMark/>
          </w:tcPr>
          <w:p>
            <w:pPr>
              <w:spacing w:before="0" w:after="0"/>
              <w:rPr>
                <w:noProof/>
              </w:rPr>
            </w:pPr>
          </w:p>
        </w:tc>
        <w:tc>
          <w:tcPr>
            <w:tcW w:w="3468" w:type="dxa"/>
            <w:tcBorders>
              <w:top w:val="nil"/>
              <w:left w:val="nil"/>
              <w:right w:val="nil"/>
            </w:tcBorders>
            <w:shd w:val="clear" w:color="auto" w:fill="auto"/>
            <w:noWrap/>
            <w:hideMark/>
          </w:tcPr>
          <w:p>
            <w:pPr>
              <w:spacing w:before="0" w:after="0"/>
              <w:rPr>
                <w:noProof/>
              </w:rPr>
            </w:pPr>
          </w:p>
        </w:tc>
        <w:tc>
          <w:tcPr>
            <w:tcW w:w="3960" w:type="dxa"/>
            <w:tcBorders>
              <w:top w:val="nil"/>
              <w:left w:val="nil"/>
              <w:right w:val="nil"/>
            </w:tcBorders>
            <w:shd w:val="clear" w:color="auto" w:fill="auto"/>
            <w:noWrap/>
            <w:hideMark/>
          </w:tcPr>
          <w:p>
            <w:pPr>
              <w:spacing w:before="0" w:afterLines="20" w:after="48"/>
              <w:rPr>
                <w:noProof/>
                <w:sz w:val="20"/>
                <w:szCs w:val="20"/>
              </w:rPr>
            </w:pPr>
            <w:r>
              <w:rPr>
                <w:noProof/>
                <w:sz w:val="20"/>
              </w:rPr>
              <w:t>Aktivitet på internet</w:t>
            </w:r>
          </w:p>
        </w:tc>
      </w:tr>
      <w:tr>
        <w:trPr>
          <w:trHeight w:val="300"/>
        </w:trPr>
        <w:tc>
          <w:tcPr>
            <w:tcW w:w="2547" w:type="dxa"/>
            <w:tcBorders>
              <w:top w:val="nil"/>
              <w:left w:val="nil"/>
              <w:right w:val="nil"/>
            </w:tcBorders>
            <w:shd w:val="clear" w:color="auto" w:fill="auto"/>
            <w:noWrap/>
          </w:tcPr>
          <w:p>
            <w:pPr>
              <w:spacing w:before="0" w:after="0"/>
              <w:rPr>
                <w:noProof/>
              </w:rPr>
            </w:pPr>
          </w:p>
        </w:tc>
        <w:tc>
          <w:tcPr>
            <w:tcW w:w="3468" w:type="dxa"/>
            <w:tcBorders>
              <w:top w:val="nil"/>
              <w:left w:val="nil"/>
              <w:right w:val="nil"/>
            </w:tcBorders>
            <w:shd w:val="clear" w:color="auto" w:fill="auto"/>
            <w:noWrap/>
          </w:tcPr>
          <w:p>
            <w:pPr>
              <w:spacing w:before="0" w:after="0"/>
              <w:rPr>
                <w:noProof/>
              </w:rPr>
            </w:pPr>
          </w:p>
        </w:tc>
        <w:tc>
          <w:tcPr>
            <w:tcW w:w="3960" w:type="dxa"/>
            <w:tcBorders>
              <w:top w:val="nil"/>
              <w:left w:val="nil"/>
              <w:right w:val="nil"/>
            </w:tcBorders>
            <w:shd w:val="clear" w:color="auto" w:fill="auto"/>
            <w:noWrap/>
          </w:tcPr>
          <w:p>
            <w:pPr>
              <w:spacing w:before="0" w:afterLines="20" w:after="48"/>
              <w:rPr>
                <w:noProof/>
                <w:sz w:val="20"/>
                <w:szCs w:val="20"/>
              </w:rPr>
            </w:pPr>
            <w:r>
              <w:rPr>
                <w:noProof/>
                <w:sz w:val="20"/>
              </w:rPr>
              <w:t>E-handel</w:t>
            </w:r>
          </w:p>
        </w:tc>
      </w:tr>
      <w:tr>
        <w:trPr>
          <w:trHeight w:val="300"/>
        </w:trPr>
        <w:tc>
          <w:tcPr>
            <w:tcW w:w="2547" w:type="dxa"/>
            <w:tcBorders>
              <w:top w:val="nil"/>
              <w:left w:val="nil"/>
              <w:right w:val="nil"/>
            </w:tcBorders>
            <w:shd w:val="clear" w:color="auto" w:fill="auto"/>
            <w:noWrap/>
            <w:hideMark/>
          </w:tcPr>
          <w:p>
            <w:pPr>
              <w:spacing w:before="0" w:after="0"/>
              <w:rPr>
                <w:noProof/>
              </w:rPr>
            </w:pPr>
          </w:p>
        </w:tc>
        <w:tc>
          <w:tcPr>
            <w:tcW w:w="3468" w:type="dxa"/>
            <w:tcBorders>
              <w:top w:val="nil"/>
              <w:left w:val="nil"/>
              <w:right w:val="nil"/>
            </w:tcBorders>
            <w:shd w:val="clear" w:color="auto" w:fill="auto"/>
            <w:noWrap/>
            <w:hideMark/>
          </w:tcPr>
          <w:p>
            <w:pPr>
              <w:spacing w:before="0" w:after="0"/>
              <w:rPr>
                <w:noProof/>
              </w:rPr>
            </w:pPr>
          </w:p>
        </w:tc>
        <w:tc>
          <w:tcPr>
            <w:tcW w:w="3960" w:type="dxa"/>
            <w:tcBorders>
              <w:top w:val="nil"/>
              <w:left w:val="nil"/>
              <w:right w:val="nil"/>
            </w:tcBorders>
            <w:shd w:val="clear" w:color="auto" w:fill="auto"/>
            <w:noWrap/>
            <w:hideMark/>
          </w:tcPr>
          <w:p>
            <w:pPr>
              <w:spacing w:before="0" w:afterLines="20" w:after="48"/>
              <w:rPr>
                <w:noProof/>
                <w:sz w:val="20"/>
                <w:szCs w:val="20"/>
              </w:rPr>
            </w:pPr>
            <w:r>
              <w:rPr>
                <w:noProof/>
                <w:sz w:val="20"/>
              </w:rPr>
              <w:t>Kommunikation med myndigheter</w:t>
            </w:r>
          </w:p>
        </w:tc>
      </w:tr>
      <w:tr>
        <w:trPr>
          <w:trHeight w:val="300"/>
        </w:trPr>
        <w:tc>
          <w:tcPr>
            <w:tcW w:w="2547" w:type="dxa"/>
            <w:tcBorders>
              <w:top w:val="nil"/>
              <w:left w:val="nil"/>
              <w:bottom w:val="single" w:sz="4" w:space="0" w:color="auto"/>
              <w:right w:val="nil"/>
            </w:tcBorders>
            <w:shd w:val="clear" w:color="auto" w:fill="auto"/>
            <w:noWrap/>
          </w:tcPr>
          <w:p>
            <w:pPr>
              <w:spacing w:before="0" w:after="0"/>
              <w:rPr>
                <w:noProof/>
              </w:rPr>
            </w:pPr>
          </w:p>
        </w:tc>
        <w:tc>
          <w:tcPr>
            <w:tcW w:w="3468" w:type="dxa"/>
            <w:tcBorders>
              <w:top w:val="nil"/>
              <w:left w:val="nil"/>
              <w:bottom w:val="single" w:sz="4" w:space="0" w:color="auto"/>
              <w:right w:val="nil"/>
            </w:tcBorders>
            <w:shd w:val="clear" w:color="auto" w:fill="auto"/>
            <w:noWrap/>
          </w:tcPr>
          <w:p>
            <w:pPr>
              <w:spacing w:before="0" w:after="0"/>
              <w:rPr>
                <w:noProof/>
              </w:rPr>
            </w:pPr>
            <w:r>
              <w:rPr>
                <w:noProof/>
              </w:rPr>
              <w:t>Inkomst, konsumtion och välstånd, inklusive skulder</w:t>
            </w:r>
          </w:p>
        </w:tc>
        <w:tc>
          <w:tcPr>
            <w:tcW w:w="3960" w:type="dxa"/>
            <w:tcBorders>
              <w:top w:val="nil"/>
              <w:left w:val="nil"/>
              <w:bottom w:val="single" w:sz="4" w:space="0" w:color="auto"/>
              <w:right w:val="nil"/>
            </w:tcBorders>
            <w:shd w:val="clear" w:color="auto" w:fill="auto"/>
            <w:noWrap/>
          </w:tcPr>
          <w:p>
            <w:pPr>
              <w:spacing w:before="0" w:afterLines="20" w:after="48"/>
              <w:rPr>
                <w:noProof/>
                <w:sz w:val="20"/>
                <w:szCs w:val="20"/>
              </w:rPr>
            </w:pPr>
            <w:r>
              <w:rPr>
                <w:noProof/>
                <w:sz w:val="20"/>
              </w:rPr>
              <w:t>Sammanlagd inkomst</w:t>
            </w:r>
          </w:p>
        </w:tc>
      </w:tr>
      <w:tr>
        <w:trPr>
          <w:trHeight w:val="300"/>
        </w:trPr>
        <w:tc>
          <w:tcPr>
            <w:tcW w:w="2547" w:type="dxa"/>
            <w:tcBorders>
              <w:top w:val="single" w:sz="4" w:space="0" w:color="auto"/>
              <w:left w:val="nil"/>
              <w:bottom w:val="nil"/>
              <w:right w:val="nil"/>
            </w:tcBorders>
            <w:shd w:val="clear" w:color="auto" w:fill="auto"/>
            <w:noWrap/>
            <w:hideMark/>
          </w:tcPr>
          <w:p>
            <w:pPr>
              <w:spacing w:before="0" w:after="0"/>
              <w:rPr>
                <w:noProof/>
              </w:rPr>
            </w:pPr>
            <w:r>
              <w:rPr>
                <w:noProof/>
              </w:rPr>
              <w:t>Tidsanvändning</w:t>
            </w:r>
          </w:p>
        </w:tc>
        <w:tc>
          <w:tcPr>
            <w:tcW w:w="3468" w:type="dxa"/>
            <w:tcBorders>
              <w:top w:val="single" w:sz="4" w:space="0" w:color="auto"/>
              <w:left w:val="nil"/>
              <w:bottom w:val="nil"/>
              <w:right w:val="nil"/>
            </w:tcBorders>
            <w:shd w:val="clear" w:color="auto" w:fill="auto"/>
            <w:noWrap/>
          </w:tcPr>
          <w:p>
            <w:pPr>
              <w:spacing w:before="0" w:after="0"/>
              <w:rPr>
                <w:noProof/>
              </w:rPr>
            </w:pPr>
            <w:r>
              <w:rPr>
                <w:noProof/>
              </w:rPr>
              <w:t>Karakteristika för personer och hushåll</w:t>
            </w:r>
          </w:p>
        </w:tc>
        <w:tc>
          <w:tcPr>
            <w:tcW w:w="3960" w:type="dxa"/>
            <w:tcBorders>
              <w:top w:val="single" w:sz="4" w:space="0" w:color="auto"/>
              <w:left w:val="nil"/>
              <w:bottom w:val="nil"/>
              <w:right w:val="nil"/>
            </w:tcBorders>
            <w:shd w:val="clear" w:color="auto" w:fill="auto"/>
            <w:noWrap/>
          </w:tcPr>
          <w:p>
            <w:pPr>
              <w:spacing w:before="0" w:afterLines="20" w:after="48"/>
              <w:rPr>
                <w:noProof/>
                <w:sz w:val="20"/>
                <w:szCs w:val="20"/>
              </w:rPr>
            </w:pPr>
            <w:r>
              <w:rPr>
                <w:noProof/>
                <w:sz w:val="20"/>
              </w:rPr>
              <w:t>Hushållets sammansättning – närmare uppgifter</w:t>
            </w:r>
          </w:p>
        </w:tc>
      </w:tr>
      <w:tr>
        <w:trPr>
          <w:trHeight w:val="300"/>
        </w:trPr>
        <w:tc>
          <w:tcPr>
            <w:tcW w:w="2547" w:type="dxa"/>
            <w:tcBorders>
              <w:left w:val="nil"/>
              <w:bottom w:val="nil"/>
              <w:right w:val="nil"/>
            </w:tcBorders>
            <w:shd w:val="clear" w:color="auto" w:fill="auto"/>
            <w:noWrap/>
          </w:tcPr>
          <w:p>
            <w:pPr>
              <w:spacing w:before="0" w:after="0"/>
              <w:rPr>
                <w:noProof/>
              </w:rPr>
            </w:pPr>
          </w:p>
        </w:tc>
        <w:tc>
          <w:tcPr>
            <w:tcW w:w="3468" w:type="dxa"/>
            <w:tcBorders>
              <w:left w:val="nil"/>
              <w:bottom w:val="nil"/>
              <w:right w:val="nil"/>
            </w:tcBorders>
            <w:shd w:val="clear" w:color="auto" w:fill="auto"/>
            <w:noWrap/>
          </w:tcPr>
          <w:p>
            <w:pPr>
              <w:spacing w:before="0" w:after="0"/>
              <w:rPr>
                <w:noProof/>
              </w:rPr>
            </w:pPr>
            <w:r>
              <w:rPr>
                <w:noProof/>
              </w:rPr>
              <w:t xml:space="preserve">Deltagande i allmän och yrkesinriktad utbildning </w:t>
            </w:r>
          </w:p>
        </w:tc>
        <w:tc>
          <w:tcPr>
            <w:tcW w:w="3960" w:type="dxa"/>
            <w:tcBorders>
              <w:left w:val="nil"/>
              <w:bottom w:val="nil"/>
              <w:right w:val="nil"/>
            </w:tcBorders>
            <w:shd w:val="clear" w:color="auto" w:fill="auto"/>
            <w:noWrap/>
          </w:tcPr>
          <w:p>
            <w:pPr>
              <w:spacing w:before="0" w:afterLines="20" w:after="48"/>
              <w:rPr>
                <w:noProof/>
                <w:sz w:val="20"/>
                <w:szCs w:val="20"/>
              </w:rPr>
            </w:pPr>
            <w:r>
              <w:rPr>
                <w:noProof/>
                <w:sz w:val="20"/>
              </w:rPr>
              <w:t>Deltagande i formell utbildning (för närvarande)</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r>
              <w:rPr>
                <w:noProof/>
              </w:rPr>
              <w:t>Hälsa: hälsostatus och funktionsnedsättning, vård och omsorg samt hälsans bestämningsfaktorer</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Det europeiska måttet på miniminormer för hälsa</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val="restart"/>
            <w:tcBorders>
              <w:top w:val="nil"/>
              <w:left w:val="nil"/>
              <w:right w:val="nil"/>
            </w:tcBorders>
            <w:shd w:val="clear" w:color="auto" w:fill="auto"/>
            <w:noWrap/>
            <w:hideMark/>
          </w:tcPr>
          <w:p>
            <w:pPr>
              <w:spacing w:before="0" w:after="0"/>
              <w:rPr>
                <w:noProof/>
              </w:rPr>
            </w:pPr>
            <w:r>
              <w:rPr>
                <w:noProof/>
              </w:rPr>
              <w:t xml:space="preserve">Levnadsvillkor, inbegripet materiell fattigdom, bostäder, levnadsförhållanden och tillgång till tjänster </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Innehav av kapitalvaror</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Barnomsorg</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Vård och omsorg för sjuka och äldre</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val="restart"/>
            <w:tcBorders>
              <w:top w:val="nil"/>
              <w:left w:val="nil"/>
              <w:right w:val="nil"/>
            </w:tcBorders>
            <w:shd w:val="clear" w:color="auto" w:fill="auto"/>
            <w:noWrap/>
            <w:hideMark/>
          </w:tcPr>
          <w:p>
            <w:pPr>
              <w:spacing w:before="0" w:after="0"/>
              <w:rPr>
                <w:noProof/>
              </w:rPr>
            </w:pPr>
            <w:r>
              <w:rPr>
                <w:noProof/>
              </w:rPr>
              <w:t>Arbetsvillkor, inbegripet arbetstid och arbetstidsarrangemang</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Arbetstid</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Arbetstidsarrangemang</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r>
              <w:rPr>
                <w:noProof/>
              </w:rPr>
              <w:t>Inkomst, konsumtion och välstånd, inklusive skulder</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Produktion för eget bruk och försäljning, reparationer</w:t>
            </w:r>
          </w:p>
        </w:tc>
      </w:tr>
      <w:tr>
        <w:trPr>
          <w:trHeight w:val="300"/>
        </w:trPr>
        <w:tc>
          <w:tcPr>
            <w:tcW w:w="2547" w:type="dxa"/>
            <w:tcBorders>
              <w:top w:val="nil"/>
              <w:left w:val="nil"/>
              <w:bottom w:val="nil"/>
              <w:right w:val="nil"/>
            </w:tcBorders>
            <w:shd w:val="clear" w:color="auto" w:fill="auto"/>
            <w:noWrap/>
          </w:tcPr>
          <w:p>
            <w:pPr>
              <w:spacing w:before="0" w:after="0"/>
              <w:rPr>
                <w:noProof/>
              </w:rPr>
            </w:pPr>
          </w:p>
        </w:tc>
        <w:tc>
          <w:tcPr>
            <w:tcW w:w="3468" w:type="dxa"/>
            <w:tcBorders>
              <w:top w:val="nil"/>
              <w:left w:val="nil"/>
              <w:bottom w:val="nil"/>
              <w:right w:val="nil"/>
            </w:tcBorders>
            <w:shd w:val="clear" w:color="auto" w:fill="auto"/>
            <w:noWrap/>
          </w:tcPr>
          <w:p>
            <w:pPr>
              <w:spacing w:before="0" w:after="0"/>
              <w:rPr>
                <w:noProof/>
              </w:rPr>
            </w:pPr>
          </w:p>
        </w:tc>
        <w:tc>
          <w:tcPr>
            <w:tcW w:w="3960" w:type="dxa"/>
            <w:tcBorders>
              <w:top w:val="nil"/>
              <w:left w:val="nil"/>
              <w:bottom w:val="nil"/>
              <w:right w:val="nil"/>
            </w:tcBorders>
            <w:shd w:val="clear" w:color="auto" w:fill="auto"/>
            <w:noWrap/>
          </w:tcPr>
          <w:p>
            <w:pPr>
              <w:spacing w:before="0" w:afterLines="20" w:after="48"/>
              <w:rPr>
                <w:noProof/>
                <w:sz w:val="20"/>
                <w:szCs w:val="20"/>
              </w:rPr>
            </w:pPr>
            <w:r>
              <w:rPr>
                <w:noProof/>
                <w:sz w:val="20"/>
              </w:rPr>
              <w:t>Förvärvsinkomst</w:t>
            </w:r>
          </w:p>
        </w:tc>
      </w:tr>
      <w:tr>
        <w:trPr>
          <w:trHeight w:val="300"/>
        </w:trPr>
        <w:tc>
          <w:tcPr>
            <w:tcW w:w="2547" w:type="dxa"/>
            <w:tcBorders>
              <w:top w:val="nil"/>
              <w:left w:val="nil"/>
              <w:bottom w:val="nil"/>
              <w:right w:val="nil"/>
            </w:tcBorders>
            <w:shd w:val="clear" w:color="auto" w:fill="auto"/>
            <w:noWrap/>
          </w:tcPr>
          <w:p>
            <w:pPr>
              <w:spacing w:before="0" w:after="0"/>
              <w:rPr>
                <w:noProof/>
              </w:rPr>
            </w:pPr>
          </w:p>
        </w:tc>
        <w:tc>
          <w:tcPr>
            <w:tcW w:w="3468" w:type="dxa"/>
            <w:tcBorders>
              <w:top w:val="nil"/>
              <w:left w:val="nil"/>
              <w:bottom w:val="nil"/>
              <w:right w:val="nil"/>
            </w:tcBorders>
            <w:shd w:val="clear" w:color="auto" w:fill="auto"/>
            <w:noWrap/>
          </w:tcPr>
          <w:p>
            <w:pPr>
              <w:spacing w:before="0" w:after="0"/>
              <w:rPr>
                <w:noProof/>
              </w:rPr>
            </w:pPr>
          </w:p>
        </w:tc>
        <w:tc>
          <w:tcPr>
            <w:tcW w:w="3960" w:type="dxa"/>
            <w:tcBorders>
              <w:top w:val="nil"/>
              <w:left w:val="nil"/>
              <w:bottom w:val="nil"/>
              <w:right w:val="nil"/>
            </w:tcBorders>
            <w:shd w:val="clear" w:color="auto" w:fill="auto"/>
            <w:noWrap/>
          </w:tcPr>
          <w:p>
            <w:pPr>
              <w:spacing w:before="0" w:afterLines="20" w:after="48"/>
              <w:rPr>
                <w:noProof/>
                <w:sz w:val="20"/>
                <w:szCs w:val="20"/>
              </w:rPr>
            </w:pPr>
            <w:r>
              <w:rPr>
                <w:noProof/>
                <w:sz w:val="20"/>
              </w:rPr>
              <w:t>Sammanlagd inkomst</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r>
              <w:rPr>
                <w:noProof/>
              </w:rPr>
              <w:t>Fördelning av tid</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Tidsanvändning, typ av aktiviteter</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Parallella aktiviteter</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Ort för aktivitet</w:t>
            </w:r>
          </w:p>
        </w:tc>
      </w:tr>
      <w:tr>
        <w:trPr>
          <w:trHeight w:val="300"/>
        </w:trPr>
        <w:tc>
          <w:tcPr>
            <w:tcW w:w="2547" w:type="dxa"/>
            <w:tcBorders>
              <w:top w:val="nil"/>
              <w:left w:val="nil"/>
              <w:right w:val="nil"/>
            </w:tcBorders>
            <w:shd w:val="clear" w:color="auto" w:fill="auto"/>
            <w:noWrap/>
            <w:hideMark/>
          </w:tcPr>
          <w:p>
            <w:pPr>
              <w:spacing w:before="0" w:after="0"/>
              <w:rPr>
                <w:noProof/>
              </w:rPr>
            </w:pPr>
          </w:p>
        </w:tc>
        <w:tc>
          <w:tcPr>
            <w:tcW w:w="3468" w:type="dxa"/>
            <w:tcBorders>
              <w:top w:val="nil"/>
              <w:left w:val="nil"/>
              <w:right w:val="nil"/>
            </w:tcBorders>
            <w:shd w:val="clear" w:color="auto" w:fill="auto"/>
            <w:noWrap/>
            <w:hideMark/>
          </w:tcPr>
          <w:p>
            <w:pPr>
              <w:spacing w:before="0" w:after="0"/>
              <w:rPr>
                <w:noProof/>
              </w:rPr>
            </w:pPr>
          </w:p>
        </w:tc>
        <w:tc>
          <w:tcPr>
            <w:tcW w:w="3960" w:type="dxa"/>
            <w:tcBorders>
              <w:top w:val="nil"/>
              <w:left w:val="nil"/>
              <w:right w:val="nil"/>
            </w:tcBorders>
            <w:shd w:val="clear" w:color="auto" w:fill="auto"/>
            <w:noWrap/>
            <w:hideMark/>
          </w:tcPr>
          <w:p>
            <w:pPr>
              <w:spacing w:before="0" w:afterLines="20" w:after="48"/>
              <w:rPr>
                <w:noProof/>
                <w:sz w:val="20"/>
                <w:szCs w:val="20"/>
              </w:rPr>
            </w:pPr>
            <w:r>
              <w:rPr>
                <w:noProof/>
                <w:sz w:val="20"/>
              </w:rPr>
              <w:t>Närvaro av andra under aktiviteten</w:t>
            </w:r>
          </w:p>
        </w:tc>
      </w:tr>
      <w:tr>
        <w:trPr>
          <w:trHeight w:val="300"/>
        </w:trPr>
        <w:tc>
          <w:tcPr>
            <w:tcW w:w="2547" w:type="dxa"/>
            <w:tcBorders>
              <w:top w:val="nil"/>
              <w:left w:val="nil"/>
              <w:bottom w:val="single" w:sz="4" w:space="0" w:color="auto"/>
              <w:right w:val="nil"/>
            </w:tcBorders>
            <w:shd w:val="clear" w:color="auto" w:fill="auto"/>
            <w:noWrap/>
            <w:hideMark/>
          </w:tcPr>
          <w:p>
            <w:pPr>
              <w:spacing w:before="0" w:after="0"/>
              <w:rPr>
                <w:noProof/>
              </w:rPr>
            </w:pPr>
          </w:p>
        </w:tc>
        <w:tc>
          <w:tcPr>
            <w:tcW w:w="3468" w:type="dxa"/>
            <w:tcBorders>
              <w:top w:val="nil"/>
              <w:left w:val="nil"/>
              <w:bottom w:val="single" w:sz="4" w:space="0" w:color="auto"/>
              <w:right w:val="nil"/>
            </w:tcBorders>
            <w:shd w:val="clear" w:color="auto" w:fill="auto"/>
            <w:noWrap/>
            <w:hideMark/>
          </w:tcPr>
          <w:p>
            <w:pPr>
              <w:spacing w:before="0" w:after="0"/>
              <w:rPr>
                <w:noProof/>
              </w:rPr>
            </w:pPr>
          </w:p>
        </w:tc>
        <w:tc>
          <w:tcPr>
            <w:tcW w:w="3960" w:type="dxa"/>
            <w:tcBorders>
              <w:top w:val="nil"/>
              <w:left w:val="nil"/>
              <w:bottom w:val="single" w:sz="4" w:space="0" w:color="auto"/>
              <w:right w:val="nil"/>
            </w:tcBorders>
            <w:shd w:val="clear" w:color="auto" w:fill="auto"/>
            <w:noWrap/>
            <w:hideMark/>
          </w:tcPr>
          <w:p>
            <w:pPr>
              <w:spacing w:before="0" w:afterLines="20" w:after="48"/>
              <w:rPr>
                <w:noProof/>
                <w:sz w:val="20"/>
                <w:szCs w:val="20"/>
              </w:rPr>
            </w:pPr>
            <w:r>
              <w:rPr>
                <w:noProof/>
                <w:sz w:val="20"/>
              </w:rPr>
              <w:t>Bedömning av aktiviteten</w:t>
            </w:r>
          </w:p>
        </w:tc>
      </w:tr>
      <w:tr>
        <w:trPr>
          <w:trHeight w:val="300"/>
        </w:trPr>
        <w:tc>
          <w:tcPr>
            <w:tcW w:w="2547" w:type="dxa"/>
            <w:tcBorders>
              <w:top w:val="single" w:sz="4" w:space="0" w:color="auto"/>
              <w:left w:val="nil"/>
              <w:right w:val="nil"/>
            </w:tcBorders>
            <w:shd w:val="clear" w:color="auto" w:fill="auto"/>
            <w:noWrap/>
          </w:tcPr>
          <w:p>
            <w:pPr>
              <w:spacing w:before="0" w:after="0"/>
              <w:rPr>
                <w:noProof/>
              </w:rPr>
            </w:pPr>
            <w:r>
              <w:rPr>
                <w:noProof/>
              </w:rPr>
              <w:t>Konsumtion</w:t>
            </w:r>
          </w:p>
        </w:tc>
        <w:tc>
          <w:tcPr>
            <w:tcW w:w="3468" w:type="dxa"/>
            <w:vMerge w:val="restart"/>
            <w:tcBorders>
              <w:top w:val="single" w:sz="4" w:space="0" w:color="auto"/>
              <w:left w:val="nil"/>
              <w:right w:val="nil"/>
            </w:tcBorders>
            <w:shd w:val="clear" w:color="auto" w:fill="auto"/>
            <w:noWrap/>
          </w:tcPr>
          <w:p>
            <w:pPr>
              <w:spacing w:before="0" w:after="0"/>
              <w:rPr>
                <w:noProof/>
              </w:rPr>
            </w:pPr>
            <w:r>
              <w:rPr>
                <w:noProof/>
              </w:rPr>
              <w:t>Karakteristika för personer och hushåll</w:t>
            </w:r>
          </w:p>
        </w:tc>
        <w:tc>
          <w:tcPr>
            <w:tcW w:w="3960" w:type="dxa"/>
            <w:tcBorders>
              <w:top w:val="single" w:sz="4" w:space="0" w:color="auto"/>
              <w:left w:val="nil"/>
              <w:right w:val="nil"/>
            </w:tcBorders>
            <w:shd w:val="clear" w:color="auto" w:fill="auto"/>
            <w:noWrap/>
          </w:tcPr>
          <w:p>
            <w:pPr>
              <w:spacing w:before="0" w:afterLines="20" w:after="48"/>
              <w:rPr>
                <w:noProof/>
                <w:sz w:val="20"/>
                <w:szCs w:val="20"/>
              </w:rPr>
            </w:pPr>
            <w:r>
              <w:rPr>
                <w:noProof/>
                <w:sz w:val="20"/>
              </w:rPr>
              <w:t>Hushållets sammansättning – närmare uppgifter</w:t>
            </w:r>
          </w:p>
        </w:tc>
      </w:tr>
      <w:tr>
        <w:trPr>
          <w:trHeight w:val="300"/>
        </w:trPr>
        <w:tc>
          <w:tcPr>
            <w:tcW w:w="2547" w:type="dxa"/>
            <w:tcBorders>
              <w:left w:val="nil"/>
              <w:bottom w:val="nil"/>
              <w:right w:val="nil"/>
            </w:tcBorders>
            <w:shd w:val="clear" w:color="auto" w:fill="auto"/>
            <w:noWrap/>
          </w:tcPr>
          <w:p>
            <w:pPr>
              <w:spacing w:before="0" w:after="0"/>
              <w:rPr>
                <w:noProof/>
              </w:rPr>
            </w:pPr>
          </w:p>
        </w:tc>
        <w:tc>
          <w:tcPr>
            <w:tcW w:w="3468" w:type="dxa"/>
            <w:vMerge/>
            <w:tcBorders>
              <w:left w:val="nil"/>
              <w:bottom w:val="nil"/>
              <w:right w:val="nil"/>
            </w:tcBorders>
            <w:shd w:val="clear" w:color="auto" w:fill="auto"/>
            <w:noWrap/>
          </w:tcPr>
          <w:p>
            <w:pPr>
              <w:spacing w:before="0" w:after="0"/>
              <w:rPr>
                <w:noProof/>
              </w:rPr>
            </w:pPr>
          </w:p>
        </w:tc>
        <w:tc>
          <w:tcPr>
            <w:tcW w:w="3960" w:type="dxa"/>
            <w:tcBorders>
              <w:left w:val="nil"/>
              <w:bottom w:val="nil"/>
              <w:right w:val="nil"/>
            </w:tcBorders>
            <w:shd w:val="clear" w:color="auto" w:fill="auto"/>
            <w:noWrap/>
          </w:tcPr>
          <w:p>
            <w:pPr>
              <w:spacing w:before="0" w:afterLines="20" w:after="48"/>
              <w:rPr>
                <w:noProof/>
                <w:sz w:val="20"/>
                <w:szCs w:val="20"/>
              </w:rPr>
            </w:pPr>
          </w:p>
        </w:tc>
      </w:tr>
      <w:tr>
        <w:trPr>
          <w:trHeight w:val="300"/>
        </w:trPr>
        <w:tc>
          <w:tcPr>
            <w:tcW w:w="2547" w:type="dxa"/>
            <w:tcBorders>
              <w:left w:val="nil"/>
              <w:bottom w:val="nil"/>
              <w:right w:val="nil"/>
            </w:tcBorders>
            <w:shd w:val="clear" w:color="auto" w:fill="auto"/>
            <w:noWrap/>
          </w:tcPr>
          <w:p>
            <w:pPr>
              <w:spacing w:before="0" w:after="0"/>
              <w:rPr>
                <w:noProof/>
              </w:rPr>
            </w:pPr>
          </w:p>
        </w:tc>
        <w:tc>
          <w:tcPr>
            <w:tcW w:w="3468" w:type="dxa"/>
            <w:tcBorders>
              <w:left w:val="nil"/>
              <w:bottom w:val="nil"/>
              <w:right w:val="nil"/>
            </w:tcBorders>
            <w:shd w:val="clear" w:color="auto" w:fill="auto"/>
            <w:noWrap/>
          </w:tcPr>
          <w:p>
            <w:pPr>
              <w:spacing w:before="0" w:after="0"/>
              <w:rPr>
                <w:noProof/>
              </w:rPr>
            </w:pPr>
            <w:r>
              <w:rPr>
                <w:noProof/>
              </w:rPr>
              <w:t>Levnadsvillkor, inbegripet materiell fattigdom, bostäder, levnadsförhållanden och tillgång till tjänster</w:t>
            </w:r>
          </w:p>
        </w:tc>
        <w:tc>
          <w:tcPr>
            <w:tcW w:w="3960" w:type="dxa"/>
            <w:tcBorders>
              <w:left w:val="nil"/>
              <w:bottom w:val="nil"/>
              <w:right w:val="nil"/>
            </w:tcBorders>
            <w:shd w:val="clear" w:color="auto" w:fill="auto"/>
            <w:noWrap/>
          </w:tcPr>
          <w:p>
            <w:pPr>
              <w:spacing w:before="0" w:afterLines="20" w:after="48"/>
              <w:rPr>
                <w:noProof/>
                <w:sz w:val="20"/>
                <w:szCs w:val="20"/>
              </w:rPr>
            </w:pPr>
            <w:r>
              <w:rPr>
                <w:noProof/>
                <w:sz w:val="20"/>
              </w:rPr>
              <w:t>Huvudsakliga karakteristika för boendet</w:t>
            </w:r>
          </w:p>
        </w:tc>
      </w:tr>
      <w:tr>
        <w:trPr>
          <w:trHeight w:val="300"/>
        </w:trPr>
        <w:tc>
          <w:tcPr>
            <w:tcW w:w="2547" w:type="dxa"/>
            <w:tcBorders>
              <w:left w:val="nil"/>
              <w:bottom w:val="nil"/>
              <w:right w:val="nil"/>
            </w:tcBorders>
            <w:shd w:val="clear" w:color="auto" w:fill="auto"/>
            <w:noWrap/>
            <w:hideMark/>
          </w:tcPr>
          <w:p>
            <w:pPr>
              <w:spacing w:before="0" w:after="0"/>
              <w:rPr>
                <w:noProof/>
              </w:rPr>
            </w:pPr>
          </w:p>
        </w:tc>
        <w:tc>
          <w:tcPr>
            <w:tcW w:w="3468" w:type="dxa"/>
            <w:tcBorders>
              <w:left w:val="nil"/>
              <w:bottom w:val="nil"/>
              <w:right w:val="nil"/>
            </w:tcBorders>
            <w:shd w:val="clear" w:color="auto" w:fill="auto"/>
            <w:noWrap/>
            <w:hideMark/>
          </w:tcPr>
          <w:p>
            <w:pPr>
              <w:spacing w:before="0" w:after="0"/>
              <w:rPr>
                <w:noProof/>
              </w:rPr>
            </w:pPr>
            <w:r>
              <w:rPr>
                <w:noProof/>
              </w:rPr>
              <w:t xml:space="preserve">Deltagande i allmän och yrkesinriktad utbildning </w:t>
            </w:r>
          </w:p>
        </w:tc>
        <w:tc>
          <w:tcPr>
            <w:tcW w:w="3960" w:type="dxa"/>
            <w:tcBorders>
              <w:left w:val="nil"/>
              <w:bottom w:val="nil"/>
              <w:right w:val="nil"/>
            </w:tcBorders>
            <w:shd w:val="clear" w:color="auto" w:fill="auto"/>
            <w:noWrap/>
            <w:hideMark/>
          </w:tcPr>
          <w:p>
            <w:pPr>
              <w:spacing w:before="0" w:afterLines="20" w:after="48"/>
              <w:rPr>
                <w:noProof/>
                <w:sz w:val="20"/>
                <w:szCs w:val="20"/>
              </w:rPr>
            </w:pPr>
            <w:r>
              <w:rPr>
                <w:noProof/>
                <w:sz w:val="20"/>
              </w:rPr>
              <w:t>Deltagande i formell utbildning (för närvarande)</w:t>
            </w:r>
          </w:p>
        </w:tc>
      </w:tr>
      <w:tr>
        <w:trPr>
          <w:trHeight w:val="300"/>
        </w:trPr>
        <w:tc>
          <w:tcPr>
            <w:tcW w:w="2547" w:type="dxa"/>
            <w:tcBorders>
              <w:top w:val="nil"/>
              <w:left w:val="nil"/>
              <w:bottom w:val="nil"/>
              <w:right w:val="nil"/>
            </w:tcBorders>
            <w:shd w:val="clear" w:color="auto" w:fill="auto"/>
            <w:noWrap/>
          </w:tcPr>
          <w:p>
            <w:pPr>
              <w:spacing w:before="0" w:after="0"/>
              <w:rPr>
                <w:noProof/>
              </w:rPr>
            </w:pPr>
          </w:p>
        </w:tc>
        <w:tc>
          <w:tcPr>
            <w:tcW w:w="3468" w:type="dxa"/>
            <w:tcBorders>
              <w:left w:val="nil"/>
              <w:bottom w:val="nil"/>
              <w:right w:val="nil"/>
            </w:tcBorders>
            <w:shd w:val="clear" w:color="auto" w:fill="auto"/>
            <w:noWrap/>
          </w:tcPr>
          <w:p>
            <w:pPr>
              <w:spacing w:before="0" w:after="0"/>
              <w:rPr>
                <w:noProof/>
              </w:rPr>
            </w:pPr>
            <w:r>
              <w:rPr>
                <w:noProof/>
              </w:rPr>
              <w:t>Arbetsmarknadsdeltagande</w:t>
            </w:r>
          </w:p>
        </w:tc>
        <w:tc>
          <w:tcPr>
            <w:tcW w:w="3960" w:type="dxa"/>
            <w:tcBorders>
              <w:top w:val="nil"/>
              <w:left w:val="nil"/>
              <w:bottom w:val="nil"/>
              <w:right w:val="nil"/>
            </w:tcBorders>
            <w:shd w:val="clear" w:color="auto" w:fill="auto"/>
            <w:noWrap/>
          </w:tcPr>
          <w:p>
            <w:pPr>
              <w:spacing w:before="0" w:afterLines="20" w:after="48"/>
              <w:rPr>
                <w:noProof/>
                <w:sz w:val="20"/>
                <w:szCs w:val="20"/>
              </w:rPr>
            </w:pPr>
            <w:r>
              <w:rPr>
                <w:noProof/>
                <w:sz w:val="20"/>
              </w:rPr>
              <w:t>Anställningens längd</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val="restart"/>
            <w:tcBorders>
              <w:top w:val="nil"/>
              <w:left w:val="nil"/>
              <w:right w:val="nil"/>
            </w:tcBorders>
            <w:shd w:val="clear" w:color="auto" w:fill="auto"/>
            <w:noWrap/>
            <w:hideMark/>
          </w:tcPr>
          <w:p>
            <w:pPr>
              <w:spacing w:before="0" w:after="0"/>
              <w:rPr>
                <w:noProof/>
              </w:rPr>
            </w:pPr>
            <w:r>
              <w:rPr>
                <w:noProof/>
              </w:rPr>
              <w:t>Inkomst, konsumtion och välstånd, inklusive skulder</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 xml:space="preserve">Sammanlagd inkomst </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Skatter och avgifter</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Naturainkomster från oavlönad verksamhet</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 xml:space="preserve">Tillräknad hyra </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Huvudsaklig inkomstkälla</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Förmögenhet</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 xml:space="preserve">Skulder </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Förfallna skulder</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Konsumtion enligt FN:s Coicop-klassificering</w:t>
            </w:r>
          </w:p>
        </w:tc>
      </w:tr>
      <w:tr>
        <w:trPr>
          <w:trHeight w:val="300"/>
        </w:trPr>
        <w:tc>
          <w:tcPr>
            <w:tcW w:w="2547" w:type="dxa"/>
            <w:tcBorders>
              <w:top w:val="nil"/>
              <w:left w:val="nil"/>
              <w:right w:val="nil"/>
            </w:tcBorders>
            <w:shd w:val="clear" w:color="auto" w:fill="auto"/>
            <w:noWrap/>
            <w:hideMark/>
          </w:tcPr>
          <w:p>
            <w:pPr>
              <w:spacing w:before="0" w:after="0"/>
              <w:rPr>
                <w:noProof/>
              </w:rPr>
            </w:pPr>
          </w:p>
        </w:tc>
        <w:tc>
          <w:tcPr>
            <w:tcW w:w="3468" w:type="dxa"/>
            <w:tcBorders>
              <w:top w:val="nil"/>
              <w:left w:val="nil"/>
              <w:right w:val="nil"/>
            </w:tcBorders>
            <w:shd w:val="clear" w:color="auto" w:fill="auto"/>
            <w:noWrap/>
            <w:hideMark/>
          </w:tcPr>
          <w:p>
            <w:pPr>
              <w:spacing w:before="0" w:after="0"/>
              <w:rPr>
                <w:noProof/>
              </w:rPr>
            </w:pPr>
          </w:p>
        </w:tc>
        <w:tc>
          <w:tcPr>
            <w:tcW w:w="3960" w:type="dxa"/>
            <w:tcBorders>
              <w:top w:val="nil"/>
              <w:left w:val="nil"/>
              <w:right w:val="nil"/>
            </w:tcBorders>
            <w:shd w:val="clear" w:color="auto" w:fill="auto"/>
            <w:noWrap/>
            <w:hideMark/>
          </w:tcPr>
          <w:p>
            <w:pPr>
              <w:spacing w:before="0" w:afterLines="20" w:after="48"/>
              <w:rPr>
                <w:noProof/>
                <w:sz w:val="20"/>
                <w:szCs w:val="20"/>
              </w:rPr>
            </w:pPr>
            <w:r>
              <w:rPr>
                <w:noProof/>
                <w:sz w:val="20"/>
              </w:rPr>
              <w:t>Utgifter för gränsöverskridande konsumtion enligt FN:s Coicop-klassificering</w:t>
            </w:r>
          </w:p>
        </w:tc>
      </w:tr>
      <w:tr>
        <w:trPr>
          <w:trHeight w:val="300"/>
        </w:trPr>
        <w:tc>
          <w:tcPr>
            <w:tcW w:w="2547" w:type="dxa"/>
            <w:tcBorders>
              <w:top w:val="nil"/>
              <w:left w:val="nil"/>
              <w:bottom w:val="single" w:sz="4" w:space="0" w:color="auto"/>
              <w:right w:val="nil"/>
            </w:tcBorders>
            <w:shd w:val="clear" w:color="auto" w:fill="auto"/>
            <w:noWrap/>
            <w:hideMark/>
          </w:tcPr>
          <w:p>
            <w:pPr>
              <w:spacing w:before="0" w:after="0"/>
              <w:rPr>
                <w:noProof/>
              </w:rPr>
            </w:pPr>
          </w:p>
        </w:tc>
        <w:tc>
          <w:tcPr>
            <w:tcW w:w="3468" w:type="dxa"/>
            <w:tcBorders>
              <w:top w:val="nil"/>
              <w:left w:val="nil"/>
              <w:bottom w:val="single" w:sz="4" w:space="0" w:color="auto"/>
              <w:right w:val="nil"/>
            </w:tcBorders>
            <w:shd w:val="clear" w:color="auto" w:fill="auto"/>
            <w:noWrap/>
            <w:hideMark/>
          </w:tcPr>
          <w:p>
            <w:pPr>
              <w:spacing w:before="0" w:after="0"/>
              <w:rPr>
                <w:noProof/>
              </w:rPr>
            </w:pPr>
          </w:p>
        </w:tc>
        <w:tc>
          <w:tcPr>
            <w:tcW w:w="3960" w:type="dxa"/>
            <w:tcBorders>
              <w:top w:val="nil"/>
              <w:left w:val="nil"/>
              <w:bottom w:val="single" w:sz="4" w:space="0" w:color="auto"/>
              <w:right w:val="nil"/>
            </w:tcBorders>
            <w:shd w:val="clear" w:color="auto" w:fill="auto"/>
            <w:noWrap/>
            <w:hideMark/>
          </w:tcPr>
          <w:p>
            <w:pPr>
              <w:spacing w:before="0" w:afterLines="20" w:after="48"/>
              <w:rPr>
                <w:noProof/>
                <w:sz w:val="20"/>
                <w:szCs w:val="20"/>
              </w:rPr>
            </w:pPr>
            <w:r>
              <w:rPr>
                <w:noProof/>
                <w:sz w:val="20"/>
              </w:rPr>
              <w:t>Egen konsumtion</w:t>
            </w:r>
          </w:p>
        </w:tc>
      </w:tr>
    </w:tbl>
    <w:p>
      <w:pPr>
        <w:pStyle w:val="Annexetitre"/>
        <w:rPr>
          <w:noProof/>
        </w:rPr>
      </w:pPr>
      <w:r>
        <w:rPr>
          <w:noProof/>
        </w:rPr>
        <w:br w:type="page"/>
      </w:r>
      <w:r>
        <w:rPr>
          <w:noProof/>
        </w:rPr>
        <w:lastRenderedPageBreak/>
        <w:t>Bilaga II</w:t>
      </w:r>
    </w:p>
    <w:p>
      <w:pPr>
        <w:jc w:val="center"/>
        <w:rPr>
          <w:b/>
          <w:noProof/>
        </w:rPr>
      </w:pPr>
      <w:r>
        <w:rPr>
          <w:b/>
          <w:noProof/>
        </w:rPr>
        <w:t>Precisionskrav</w:t>
      </w:r>
    </w:p>
    <w:p>
      <w:pPr>
        <w:pStyle w:val="NumPar1"/>
        <w:numPr>
          <w:ilvl w:val="0"/>
          <w:numId w:val="13"/>
        </w:numPr>
        <w:rPr>
          <w:noProof/>
        </w:rPr>
      </w:pPr>
      <w:r>
        <w:rPr>
          <w:noProof/>
        </w:rPr>
        <w:t>Precisionskrav för alla datauppsättningar uttrycks i medelfel och definieras som kontinuerliga funktioner av de faktiska skattningarna och av den statistiska populationens storlek i ett land eller i en Nuts 2-region.</w:t>
      </w:r>
    </w:p>
    <w:p>
      <w:pPr>
        <w:pStyle w:val="NumPar1"/>
        <w:rPr>
          <w:noProof/>
        </w:rPr>
      </w:pPr>
      <w:r>
        <w:rPr>
          <w:noProof/>
        </w:rPr>
        <w:t xml:space="preserve">Det skattade medelfelet för en viss skattning </w:t>
      </w:r>
      <m:oMath>
        <m:acc>
          <m:accPr>
            <m:ctrlPr>
              <w:rPr>
                <w:rFonts w:ascii="Cambria Math" w:hAnsi="Cambria Math"/>
                <w:noProof/>
              </w:rPr>
            </m:ctrlPr>
          </m:accPr>
          <m:e>
            <m:r>
              <m:rPr>
                <m:sty m:val="p"/>
              </m:rPr>
              <w:rPr>
                <w:rFonts w:ascii="Cambria Math" w:hAnsi="Cambria Math"/>
                <w:noProof/>
              </w:rPr>
              <m:t>SE</m:t>
            </m:r>
          </m:e>
        </m:acc>
        <m:d>
          <m:dPr>
            <m:ctrlPr>
              <w:rPr>
                <w:rFonts w:ascii="Cambria Math" w:hAnsi="Cambria Math"/>
                <w:noProof/>
              </w:rPr>
            </m:ctrlPr>
          </m:dPr>
          <m:e>
            <m:acc>
              <m:accPr>
                <m:ctrlPr>
                  <w:rPr>
                    <w:rFonts w:ascii="Cambria Math" w:hAnsi="Cambria Math"/>
                    <w:noProof/>
                  </w:rPr>
                </m:ctrlPr>
              </m:accPr>
              <m:e>
                <m:r>
                  <m:rPr>
                    <m:sty m:val="p"/>
                  </m:rPr>
                  <w:rPr>
                    <w:rFonts w:ascii="Cambria Math" w:hAnsi="Cambria Math"/>
                    <w:noProof/>
                  </w:rPr>
                  <m:t>p</m:t>
                </m:r>
              </m:e>
            </m:acc>
          </m:e>
        </m:d>
      </m:oMath>
      <w:r>
        <w:rPr>
          <w:noProof/>
        </w:rPr>
        <w:t xml:space="preserve"> får inte vara större än följande medelfel:</w:t>
      </w:r>
    </w:p>
    <w:p>
      <w:pPr>
        <w:pStyle w:val="Point1"/>
        <w:rPr>
          <w:rFonts w:ascii="Cambria Math" w:hAnsi="Cambria Math"/>
          <w:noProof/>
          <w:oMath/>
        </w:rPr>
      </w:pPr>
      <m:oMathPara>
        <m:oMath>
          <m:rad>
            <m:radPr>
              <m:degHide m:val="1"/>
              <m:ctrlPr>
                <w:rPr>
                  <w:rFonts w:ascii="Cambria Math" w:hAnsi="Cambria Math"/>
                  <w:i/>
                  <w:noProof/>
                </w:rPr>
              </m:ctrlPr>
            </m:radPr>
            <m:deg/>
            <m:e>
              <m:f>
                <m:fPr>
                  <m:ctrlPr>
                    <w:rPr>
                      <w:rFonts w:ascii="Cambria Math" w:hAnsi="Cambria Math"/>
                      <w:i/>
                      <w:noProof/>
                    </w:rPr>
                  </m:ctrlPr>
                </m:fPr>
                <m:num>
                  <m:acc>
                    <m:accPr>
                      <m:ctrlPr>
                        <w:rPr>
                          <w:rFonts w:ascii="Cambria Math" w:hAnsi="Cambria Math"/>
                          <w:i/>
                          <w:noProof/>
                        </w:rPr>
                      </m:ctrlPr>
                    </m:accPr>
                    <m:e>
                      <m:r>
                        <m:rPr>
                          <m:nor/>
                        </m:rPr>
                        <w:rPr>
                          <w:i/>
                          <w:noProof/>
                        </w:rPr>
                        <m:t>p</m:t>
                      </m:r>
                    </m:e>
                  </m:acc>
                  <m:d>
                    <m:dPr>
                      <m:ctrlPr>
                        <w:rPr>
                          <w:rFonts w:ascii="Cambria Math" w:hAnsi="Cambria Math"/>
                          <w:i/>
                          <w:noProof/>
                        </w:rPr>
                      </m:ctrlPr>
                    </m:dPr>
                    <m:e>
                      <m:r>
                        <m:rPr>
                          <m:nor/>
                        </m:rPr>
                        <w:rPr>
                          <w:i/>
                          <w:noProof/>
                        </w:rPr>
                        <m:t>1-</m:t>
                      </m:r>
                      <m:acc>
                        <m:accPr>
                          <m:ctrlPr>
                            <w:rPr>
                              <w:rFonts w:ascii="Cambria Math" w:hAnsi="Cambria Math"/>
                              <w:i/>
                              <w:noProof/>
                            </w:rPr>
                          </m:ctrlPr>
                        </m:accPr>
                        <m:e>
                          <m:r>
                            <m:rPr>
                              <m:nor/>
                            </m:rPr>
                            <w:rPr>
                              <w:i/>
                              <w:noProof/>
                            </w:rPr>
                            <m:t>p</m:t>
                          </m:r>
                        </m:e>
                      </m:acc>
                    </m:e>
                  </m:d>
                </m:num>
                <m:den>
                  <m:r>
                    <m:rPr>
                      <m:nor/>
                    </m:rPr>
                    <w:rPr>
                      <w:i/>
                      <w:noProof/>
                    </w:rPr>
                    <m:t>f</m:t>
                  </m:r>
                  <m:d>
                    <m:dPr>
                      <m:ctrlPr>
                        <w:rPr>
                          <w:rFonts w:ascii="Cambria Math" w:hAnsi="Cambria Math"/>
                          <w:i/>
                          <w:noProof/>
                        </w:rPr>
                      </m:ctrlPr>
                    </m:dPr>
                    <m:e>
                      <m:r>
                        <m:rPr>
                          <m:nor/>
                        </m:rPr>
                        <w:rPr>
                          <w:i/>
                          <w:noProof/>
                        </w:rPr>
                        <m:t>N</m:t>
                      </m:r>
                    </m:e>
                  </m:d>
                </m:den>
              </m:f>
            </m:e>
          </m:rad>
        </m:oMath>
      </m:oMathPara>
    </w:p>
    <w:p>
      <w:pPr>
        <w:pStyle w:val="NumPar1"/>
        <w:rPr>
          <w:noProof/>
        </w:rPr>
      </w:pPr>
      <w:r>
        <w:rPr>
          <w:noProof/>
        </w:rPr>
        <w:t xml:space="preserve">Funktionen </w:t>
      </w:r>
      <w:r>
        <w:rPr>
          <w:i/>
          <w:noProof/>
        </w:rPr>
        <w:t xml:space="preserve">f(N) </w:t>
      </w:r>
      <w:r>
        <w:rPr>
          <w:noProof/>
        </w:rPr>
        <w:t xml:space="preserve">ska ha formen </w:t>
      </w:r>
      <w:r>
        <w:rPr>
          <w:i/>
          <w:noProof/>
        </w:rPr>
        <w:t>f(N)=a√N+b</w:t>
      </w:r>
    </w:p>
    <w:p>
      <w:pPr>
        <w:pStyle w:val="NumPar1"/>
        <w:rPr>
          <w:noProof/>
        </w:rPr>
      </w:pPr>
      <w:r>
        <w:rPr>
          <w:noProof/>
        </w:rPr>
        <w:t xml:space="preserve">Följande värden för parametrarna </w:t>
      </w:r>
      <w:r>
        <w:rPr>
          <w:i/>
          <w:noProof/>
        </w:rPr>
        <w:t>N</w:t>
      </w:r>
      <w:r>
        <w:rPr>
          <w:noProof/>
        </w:rPr>
        <w:t>, a och b ska användas:</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2688"/>
        <w:gridCol w:w="1020"/>
        <w:gridCol w:w="91"/>
        <w:gridCol w:w="853"/>
      </w:tblGrid>
      <w:tr>
        <w:trPr>
          <w:trHeight w:val="300"/>
        </w:trPr>
        <w:tc>
          <w:tcPr>
            <w:tcW w:w="5118" w:type="dxa"/>
            <w:shd w:val="clear" w:color="auto" w:fill="auto"/>
            <w:noWrap/>
            <w:hideMark/>
          </w:tcPr>
          <w:p>
            <w:pPr>
              <w:rPr>
                <w:b/>
                <w:bCs/>
                <w:noProof/>
              </w:rPr>
            </w:pPr>
            <m:oMathPara>
              <m:oMath>
                <m:acc>
                  <m:accPr>
                    <m:ctrlPr>
                      <w:rPr>
                        <w:rFonts w:ascii="Cambria Math" w:hAnsi="Cambria Math"/>
                        <w:noProof/>
                      </w:rPr>
                    </m:ctrlPr>
                  </m:accPr>
                  <m:e>
                    <m:r>
                      <w:rPr>
                        <w:rFonts w:ascii="Cambria Math" w:hAnsi="Cambria Math"/>
                        <w:noProof/>
                      </w:rPr>
                      <m:t>p</m:t>
                    </m:r>
                  </m:e>
                </m:acc>
              </m:oMath>
            </m:oMathPara>
          </w:p>
        </w:tc>
        <w:tc>
          <w:tcPr>
            <w:tcW w:w="2688" w:type="dxa"/>
            <w:shd w:val="clear" w:color="auto" w:fill="auto"/>
            <w:noWrap/>
            <w:hideMark/>
          </w:tcPr>
          <w:p>
            <w:pPr>
              <w:rPr>
                <w:b/>
                <w:bCs/>
                <w:noProof/>
              </w:rPr>
            </w:pPr>
            <w:r>
              <w:rPr>
                <w:b/>
                <w:noProof/>
              </w:rPr>
              <w:t>N</w:t>
            </w:r>
          </w:p>
        </w:tc>
        <w:tc>
          <w:tcPr>
            <w:tcW w:w="1020" w:type="dxa"/>
            <w:shd w:val="clear" w:color="auto" w:fill="auto"/>
            <w:noWrap/>
            <w:hideMark/>
          </w:tcPr>
          <w:p>
            <w:pPr>
              <w:rPr>
                <w:b/>
                <w:bCs/>
                <w:noProof/>
              </w:rPr>
            </w:pPr>
            <w:r>
              <w:rPr>
                <w:b/>
                <w:noProof/>
              </w:rPr>
              <w:t>a</w:t>
            </w:r>
          </w:p>
        </w:tc>
        <w:tc>
          <w:tcPr>
            <w:tcW w:w="944" w:type="dxa"/>
            <w:gridSpan w:val="2"/>
            <w:shd w:val="clear" w:color="auto" w:fill="auto"/>
            <w:noWrap/>
            <w:hideMark/>
          </w:tcPr>
          <w:p>
            <w:pPr>
              <w:rPr>
                <w:b/>
                <w:bCs/>
                <w:noProof/>
              </w:rPr>
            </w:pPr>
            <w:r>
              <w:rPr>
                <w:b/>
                <w:noProof/>
              </w:rPr>
              <w:t>b</w:t>
            </w:r>
          </w:p>
        </w:tc>
      </w:tr>
      <w:tr>
        <w:trPr>
          <w:trHeight w:val="300"/>
        </w:trPr>
        <w:tc>
          <w:tcPr>
            <w:tcW w:w="9770" w:type="dxa"/>
            <w:gridSpan w:val="5"/>
            <w:shd w:val="clear" w:color="auto" w:fill="auto"/>
            <w:noWrap/>
            <w:hideMark/>
          </w:tcPr>
          <w:p>
            <w:pPr>
              <w:rPr>
                <w:noProof/>
                <w:sz w:val="18"/>
                <w:szCs w:val="18"/>
              </w:rPr>
            </w:pPr>
            <w:r>
              <w:rPr>
                <w:noProof/>
                <w:sz w:val="18"/>
              </w:rPr>
              <w:t>Området Arbetsmarknad: precisionskrav</w:t>
            </w:r>
          </w:p>
        </w:tc>
      </w:tr>
      <w:tr>
        <w:trPr>
          <w:trHeight w:val="300"/>
        </w:trPr>
        <w:tc>
          <w:tcPr>
            <w:tcW w:w="5118" w:type="dxa"/>
            <w:shd w:val="clear" w:color="auto" w:fill="auto"/>
            <w:noWrap/>
            <w:hideMark/>
          </w:tcPr>
          <w:p>
            <w:pPr>
              <w:rPr>
                <w:noProof/>
                <w:sz w:val="18"/>
                <w:szCs w:val="18"/>
              </w:rPr>
            </w:pPr>
            <w:r>
              <w:rPr>
                <w:noProof/>
                <w:sz w:val="18"/>
              </w:rPr>
              <w:t>Skattad kvartalsvis (nationell) arbetslöshet i förhållande till befolkningen i åldersgruppen 15–74 år</w:t>
            </w:r>
          </w:p>
        </w:tc>
        <w:tc>
          <w:tcPr>
            <w:tcW w:w="2688" w:type="dxa"/>
            <w:shd w:val="clear" w:color="auto" w:fill="auto"/>
            <w:noWrap/>
            <w:hideMark/>
          </w:tcPr>
          <w:p>
            <w:pPr>
              <w:rPr>
                <w:noProof/>
                <w:sz w:val="18"/>
                <w:szCs w:val="18"/>
              </w:rPr>
            </w:pPr>
            <w:r>
              <w:rPr>
                <w:noProof/>
                <w:sz w:val="18"/>
              </w:rPr>
              <w:t>Landsbefolkning i åldersgruppen 15–74 år som bor i privathushåll (i miljoner personer, avrundat till 3 decimaler)</w:t>
            </w:r>
          </w:p>
        </w:tc>
        <w:tc>
          <w:tcPr>
            <w:tcW w:w="1020" w:type="dxa"/>
            <w:shd w:val="clear" w:color="auto" w:fill="auto"/>
            <w:noWrap/>
            <w:hideMark/>
          </w:tcPr>
          <w:p>
            <w:pPr>
              <w:rPr>
                <w:noProof/>
                <w:sz w:val="18"/>
                <w:szCs w:val="18"/>
              </w:rPr>
            </w:pPr>
            <w:r>
              <w:rPr>
                <w:noProof/>
                <w:sz w:val="18"/>
              </w:rPr>
              <w:t>7 800</w:t>
            </w:r>
          </w:p>
        </w:tc>
        <w:tc>
          <w:tcPr>
            <w:tcW w:w="944" w:type="dxa"/>
            <w:gridSpan w:val="2"/>
            <w:shd w:val="clear" w:color="auto" w:fill="auto"/>
            <w:noWrap/>
            <w:hideMark/>
          </w:tcPr>
          <w:p>
            <w:pPr>
              <w:rPr>
                <w:noProof/>
                <w:sz w:val="18"/>
                <w:szCs w:val="18"/>
              </w:rPr>
            </w:pPr>
            <w:r>
              <w:rPr>
                <w:noProof/>
                <w:sz w:val="18"/>
              </w:rPr>
              <w:t>-4 500</w:t>
            </w:r>
          </w:p>
        </w:tc>
      </w:tr>
      <w:tr>
        <w:trPr>
          <w:trHeight w:val="300"/>
        </w:trPr>
        <w:tc>
          <w:tcPr>
            <w:tcW w:w="5118" w:type="dxa"/>
            <w:shd w:val="clear" w:color="auto" w:fill="auto"/>
            <w:noWrap/>
            <w:hideMark/>
          </w:tcPr>
          <w:p>
            <w:pPr>
              <w:rPr>
                <w:noProof/>
                <w:sz w:val="18"/>
                <w:szCs w:val="18"/>
              </w:rPr>
            </w:pPr>
            <w:r>
              <w:rPr>
                <w:noProof/>
                <w:sz w:val="18"/>
              </w:rPr>
              <w:t>Skattad kvartalsvis (nationell) sysselsättning i förhållande till befolkningen i åldersgruppen 15–74 år</w:t>
            </w:r>
          </w:p>
        </w:tc>
        <w:tc>
          <w:tcPr>
            <w:tcW w:w="2688" w:type="dxa"/>
            <w:shd w:val="clear" w:color="auto" w:fill="auto"/>
            <w:noWrap/>
            <w:hideMark/>
          </w:tcPr>
          <w:p>
            <w:pPr>
              <w:rPr>
                <w:noProof/>
                <w:sz w:val="18"/>
                <w:szCs w:val="18"/>
              </w:rPr>
            </w:pPr>
            <w:r>
              <w:rPr>
                <w:noProof/>
                <w:sz w:val="18"/>
              </w:rPr>
              <w:t>Landsbefolkning i åldersgruppen 15–74 år som bor i privathushåll (i miljoner personer, avrundat till 3 decimaler)</w:t>
            </w:r>
          </w:p>
        </w:tc>
        <w:tc>
          <w:tcPr>
            <w:tcW w:w="1020" w:type="dxa"/>
            <w:shd w:val="clear" w:color="auto" w:fill="auto"/>
            <w:noWrap/>
            <w:hideMark/>
          </w:tcPr>
          <w:p>
            <w:pPr>
              <w:rPr>
                <w:noProof/>
                <w:sz w:val="18"/>
                <w:szCs w:val="18"/>
              </w:rPr>
            </w:pPr>
            <w:r>
              <w:rPr>
                <w:noProof/>
                <w:sz w:val="18"/>
              </w:rPr>
              <w:t>7 800</w:t>
            </w:r>
          </w:p>
        </w:tc>
        <w:tc>
          <w:tcPr>
            <w:tcW w:w="944" w:type="dxa"/>
            <w:gridSpan w:val="2"/>
            <w:shd w:val="clear" w:color="auto" w:fill="auto"/>
            <w:noWrap/>
            <w:hideMark/>
          </w:tcPr>
          <w:p>
            <w:pPr>
              <w:rPr>
                <w:noProof/>
                <w:sz w:val="18"/>
                <w:szCs w:val="18"/>
              </w:rPr>
            </w:pPr>
            <w:r>
              <w:rPr>
                <w:noProof/>
                <w:sz w:val="18"/>
              </w:rPr>
              <w:t>-4 500</w:t>
            </w:r>
          </w:p>
        </w:tc>
      </w:tr>
      <w:tr>
        <w:trPr>
          <w:trHeight w:val="300"/>
        </w:trPr>
        <w:tc>
          <w:tcPr>
            <w:tcW w:w="5118" w:type="dxa"/>
            <w:shd w:val="clear" w:color="auto" w:fill="auto"/>
            <w:noWrap/>
            <w:hideMark/>
          </w:tcPr>
          <w:p>
            <w:pPr>
              <w:rPr>
                <w:noProof/>
                <w:sz w:val="18"/>
                <w:szCs w:val="18"/>
              </w:rPr>
            </w:pPr>
            <w:r>
              <w:rPr>
                <w:noProof/>
                <w:sz w:val="18"/>
              </w:rPr>
              <w:t>Skattad kvartalsvis arbetslöshet i förhållande till befolkningen i åldersgruppen 15–74 år i varje Nuts 2-region</w:t>
            </w:r>
          </w:p>
        </w:tc>
        <w:tc>
          <w:tcPr>
            <w:tcW w:w="2688" w:type="dxa"/>
            <w:shd w:val="clear" w:color="auto" w:fill="auto"/>
            <w:noWrap/>
            <w:hideMark/>
          </w:tcPr>
          <w:p>
            <w:pPr>
              <w:rPr>
                <w:noProof/>
                <w:sz w:val="18"/>
                <w:szCs w:val="18"/>
              </w:rPr>
            </w:pPr>
            <w:r>
              <w:rPr>
                <w:noProof/>
                <w:sz w:val="18"/>
              </w:rPr>
              <w:t>Befolkning i åldersgruppen 15–74 år i Nuts 2-regionen som bor i privathushåll (i miljoner personer, avrundat till 3 decimaler)</w:t>
            </w:r>
          </w:p>
        </w:tc>
        <w:tc>
          <w:tcPr>
            <w:tcW w:w="1964" w:type="dxa"/>
            <w:gridSpan w:val="3"/>
            <w:shd w:val="clear" w:color="auto" w:fill="auto"/>
            <w:noWrap/>
            <w:hideMark/>
          </w:tcPr>
          <w:p>
            <w:pPr>
              <w:rPr>
                <w:noProof/>
                <w:sz w:val="18"/>
                <w:szCs w:val="18"/>
              </w:rPr>
            </w:pPr>
            <w:r>
              <w:rPr>
                <w:noProof/>
                <w:sz w:val="18"/>
              </w:rPr>
              <w:t>Se punkt 6</w:t>
            </w:r>
          </w:p>
        </w:tc>
      </w:tr>
      <w:tr>
        <w:trPr>
          <w:trHeight w:val="300"/>
        </w:trPr>
        <w:tc>
          <w:tcPr>
            <w:tcW w:w="9770" w:type="dxa"/>
            <w:gridSpan w:val="5"/>
            <w:shd w:val="clear" w:color="auto" w:fill="auto"/>
            <w:noWrap/>
            <w:hideMark/>
          </w:tcPr>
          <w:p>
            <w:pPr>
              <w:rPr>
                <w:noProof/>
                <w:sz w:val="18"/>
                <w:szCs w:val="18"/>
              </w:rPr>
            </w:pPr>
            <w:r>
              <w:rPr>
                <w:noProof/>
                <w:sz w:val="18"/>
              </w:rPr>
              <w:t>Området Inkomster och levnadsvillkor</w:t>
            </w:r>
          </w:p>
        </w:tc>
      </w:tr>
      <w:tr>
        <w:trPr>
          <w:trHeight w:val="300"/>
        </w:trPr>
        <w:tc>
          <w:tcPr>
            <w:tcW w:w="5118" w:type="dxa"/>
            <w:shd w:val="clear" w:color="auto" w:fill="auto"/>
            <w:noWrap/>
            <w:hideMark/>
          </w:tcPr>
          <w:p>
            <w:pPr>
              <w:rPr>
                <w:noProof/>
                <w:sz w:val="18"/>
                <w:szCs w:val="18"/>
              </w:rPr>
            </w:pPr>
            <w:r>
              <w:rPr>
                <w:noProof/>
                <w:sz w:val="18"/>
              </w:rPr>
              <w:t>Andel av befolkningen som riskerar fattigdom eller social utestängning</w:t>
            </w:r>
          </w:p>
        </w:tc>
        <w:tc>
          <w:tcPr>
            <w:tcW w:w="2688" w:type="dxa"/>
            <w:shd w:val="clear" w:color="auto" w:fill="auto"/>
            <w:noWrap/>
            <w:hideMark/>
          </w:tcPr>
          <w:p>
            <w:pPr>
              <w:rPr>
                <w:noProof/>
                <w:sz w:val="18"/>
                <w:szCs w:val="18"/>
              </w:rPr>
            </w:pPr>
            <w:r>
              <w:rPr>
                <w:noProof/>
                <w:sz w:val="18"/>
              </w:rPr>
              <w:t>Antal privathushåll i landet (i miljoner, avrundat till 3 decimaler)</w:t>
            </w:r>
          </w:p>
        </w:tc>
        <w:tc>
          <w:tcPr>
            <w:tcW w:w="1020" w:type="dxa"/>
            <w:shd w:val="clear" w:color="auto" w:fill="auto"/>
            <w:noWrap/>
            <w:hideMark/>
          </w:tcPr>
          <w:p>
            <w:pPr>
              <w:rPr>
                <w:noProof/>
                <w:sz w:val="18"/>
                <w:szCs w:val="18"/>
              </w:rPr>
            </w:pPr>
            <w:r>
              <w:rPr>
                <w:noProof/>
                <w:sz w:val="18"/>
              </w:rPr>
              <w:t>900</w:t>
            </w:r>
          </w:p>
        </w:tc>
        <w:tc>
          <w:tcPr>
            <w:tcW w:w="944" w:type="dxa"/>
            <w:gridSpan w:val="2"/>
            <w:shd w:val="clear" w:color="auto" w:fill="auto"/>
            <w:noWrap/>
            <w:hideMark/>
          </w:tcPr>
          <w:p>
            <w:pPr>
              <w:rPr>
                <w:noProof/>
                <w:sz w:val="18"/>
                <w:szCs w:val="18"/>
              </w:rPr>
            </w:pPr>
            <w:r>
              <w:rPr>
                <w:noProof/>
                <w:sz w:val="18"/>
              </w:rPr>
              <w:t>2 600</w:t>
            </w:r>
          </w:p>
        </w:tc>
      </w:tr>
      <w:tr>
        <w:trPr>
          <w:trHeight w:val="300"/>
        </w:trPr>
        <w:tc>
          <w:tcPr>
            <w:tcW w:w="5118" w:type="dxa"/>
            <w:shd w:val="clear" w:color="auto" w:fill="auto"/>
            <w:noWrap/>
            <w:hideMark/>
          </w:tcPr>
          <w:p>
            <w:pPr>
              <w:rPr>
                <w:noProof/>
                <w:sz w:val="18"/>
                <w:szCs w:val="18"/>
              </w:rPr>
            </w:pPr>
            <w:r>
              <w:rPr>
                <w:noProof/>
                <w:sz w:val="18"/>
              </w:rPr>
              <w:t>Andel av befolkningen som riskerat fattigdom under fyra års tid</w:t>
            </w:r>
          </w:p>
        </w:tc>
        <w:tc>
          <w:tcPr>
            <w:tcW w:w="2688" w:type="dxa"/>
            <w:shd w:val="clear" w:color="auto" w:fill="auto"/>
            <w:noWrap/>
            <w:hideMark/>
          </w:tcPr>
          <w:p>
            <w:pPr>
              <w:rPr>
                <w:noProof/>
                <w:sz w:val="18"/>
                <w:szCs w:val="18"/>
              </w:rPr>
            </w:pPr>
            <w:r>
              <w:rPr>
                <w:noProof/>
                <w:sz w:val="18"/>
              </w:rPr>
              <w:t>Antal privathushåll i landet (i miljoner, avrundat till 3 decimaler)</w:t>
            </w:r>
          </w:p>
        </w:tc>
        <w:tc>
          <w:tcPr>
            <w:tcW w:w="1020" w:type="dxa"/>
            <w:shd w:val="clear" w:color="auto" w:fill="auto"/>
            <w:noWrap/>
            <w:hideMark/>
          </w:tcPr>
          <w:p>
            <w:pPr>
              <w:rPr>
                <w:noProof/>
                <w:sz w:val="18"/>
                <w:szCs w:val="18"/>
              </w:rPr>
            </w:pPr>
            <w:r>
              <w:rPr>
                <w:noProof/>
                <w:sz w:val="18"/>
              </w:rPr>
              <w:t>350</w:t>
            </w:r>
          </w:p>
        </w:tc>
        <w:tc>
          <w:tcPr>
            <w:tcW w:w="944" w:type="dxa"/>
            <w:gridSpan w:val="2"/>
            <w:shd w:val="clear" w:color="auto" w:fill="auto"/>
            <w:noWrap/>
            <w:hideMark/>
          </w:tcPr>
          <w:p>
            <w:pPr>
              <w:rPr>
                <w:noProof/>
                <w:sz w:val="18"/>
                <w:szCs w:val="18"/>
              </w:rPr>
            </w:pPr>
            <w:r>
              <w:rPr>
                <w:noProof/>
                <w:sz w:val="18"/>
              </w:rPr>
              <w:t>1 000</w:t>
            </w:r>
          </w:p>
        </w:tc>
      </w:tr>
      <w:tr>
        <w:trPr>
          <w:trHeight w:val="300"/>
        </w:trPr>
        <w:tc>
          <w:tcPr>
            <w:tcW w:w="5118" w:type="dxa"/>
            <w:shd w:val="clear" w:color="auto" w:fill="auto"/>
            <w:noWrap/>
            <w:hideMark/>
          </w:tcPr>
          <w:p>
            <w:pPr>
              <w:rPr>
                <w:noProof/>
                <w:sz w:val="18"/>
                <w:szCs w:val="18"/>
              </w:rPr>
            </w:pPr>
            <w:r>
              <w:rPr>
                <w:noProof/>
                <w:sz w:val="18"/>
              </w:rPr>
              <w:t>Andel av befolkningen i varje Nuts 2-region som riskerar fattigdom eller social utestängning (se punkt 7)</w:t>
            </w:r>
          </w:p>
        </w:tc>
        <w:tc>
          <w:tcPr>
            <w:tcW w:w="2688" w:type="dxa"/>
            <w:shd w:val="clear" w:color="auto" w:fill="auto"/>
            <w:noWrap/>
            <w:hideMark/>
          </w:tcPr>
          <w:p>
            <w:pPr>
              <w:rPr>
                <w:noProof/>
                <w:sz w:val="18"/>
                <w:szCs w:val="18"/>
              </w:rPr>
            </w:pPr>
            <w:r>
              <w:rPr>
                <w:noProof/>
                <w:sz w:val="18"/>
              </w:rPr>
              <w:t xml:space="preserve">Antal privathushåll i Nuts 2-regionen (i miljoner, avrundat till 3 decimaler) </w:t>
            </w:r>
          </w:p>
        </w:tc>
        <w:tc>
          <w:tcPr>
            <w:tcW w:w="1020" w:type="dxa"/>
            <w:shd w:val="clear" w:color="auto" w:fill="auto"/>
            <w:noWrap/>
            <w:hideMark/>
          </w:tcPr>
          <w:p>
            <w:pPr>
              <w:rPr>
                <w:noProof/>
                <w:sz w:val="18"/>
                <w:szCs w:val="18"/>
              </w:rPr>
            </w:pPr>
            <w:r>
              <w:rPr>
                <w:noProof/>
                <w:sz w:val="18"/>
              </w:rPr>
              <w:t>600</w:t>
            </w:r>
          </w:p>
        </w:tc>
        <w:tc>
          <w:tcPr>
            <w:tcW w:w="944" w:type="dxa"/>
            <w:gridSpan w:val="2"/>
            <w:shd w:val="clear" w:color="auto" w:fill="auto"/>
            <w:noWrap/>
            <w:hideMark/>
          </w:tcPr>
          <w:p>
            <w:pPr>
              <w:rPr>
                <w:noProof/>
                <w:sz w:val="18"/>
                <w:szCs w:val="18"/>
              </w:rPr>
            </w:pPr>
            <w:r>
              <w:rPr>
                <w:noProof/>
                <w:sz w:val="18"/>
              </w:rPr>
              <w:t>0</w:t>
            </w:r>
          </w:p>
        </w:tc>
      </w:tr>
      <w:tr>
        <w:trPr>
          <w:trHeight w:val="300"/>
        </w:trPr>
        <w:tc>
          <w:tcPr>
            <w:tcW w:w="9770" w:type="dxa"/>
            <w:gridSpan w:val="5"/>
            <w:shd w:val="clear" w:color="auto" w:fill="auto"/>
            <w:noWrap/>
            <w:hideMark/>
          </w:tcPr>
          <w:p>
            <w:pPr>
              <w:rPr>
                <w:noProof/>
                <w:sz w:val="18"/>
                <w:szCs w:val="18"/>
              </w:rPr>
            </w:pPr>
            <w:r>
              <w:rPr>
                <w:noProof/>
                <w:sz w:val="18"/>
              </w:rPr>
              <w:t>Området Hälsa</w:t>
            </w:r>
          </w:p>
        </w:tc>
      </w:tr>
      <w:tr>
        <w:trPr>
          <w:trHeight w:val="300"/>
        </w:trPr>
        <w:tc>
          <w:tcPr>
            <w:tcW w:w="5118" w:type="dxa"/>
            <w:shd w:val="clear" w:color="auto" w:fill="auto"/>
            <w:noWrap/>
            <w:hideMark/>
          </w:tcPr>
          <w:p>
            <w:pPr>
              <w:rPr>
                <w:noProof/>
                <w:sz w:val="18"/>
                <w:szCs w:val="18"/>
              </w:rPr>
            </w:pPr>
            <w:r>
              <w:rPr>
                <w:noProof/>
                <w:sz w:val="18"/>
              </w:rPr>
              <w:t>Andel av befolkningen som allvarligt begränsas i sina normala aktiviteter på grund av hälsoproblem (15 år eller äldre)</w:t>
            </w:r>
          </w:p>
        </w:tc>
        <w:tc>
          <w:tcPr>
            <w:tcW w:w="2688" w:type="dxa"/>
            <w:shd w:val="clear" w:color="auto" w:fill="auto"/>
            <w:noWrap/>
            <w:hideMark/>
          </w:tcPr>
          <w:p>
            <w:pPr>
              <w:rPr>
                <w:noProof/>
                <w:sz w:val="18"/>
                <w:szCs w:val="18"/>
              </w:rPr>
            </w:pPr>
            <w:r>
              <w:rPr>
                <w:noProof/>
                <w:sz w:val="18"/>
              </w:rPr>
              <w:t>Landsbefolkning i åldersgruppen 15 år och över som bor i privathushåll (i miljoner personer, avrundat till 3 decimaler)</w:t>
            </w:r>
          </w:p>
        </w:tc>
        <w:tc>
          <w:tcPr>
            <w:tcW w:w="1111" w:type="dxa"/>
            <w:gridSpan w:val="2"/>
            <w:shd w:val="clear" w:color="auto" w:fill="auto"/>
            <w:noWrap/>
            <w:hideMark/>
          </w:tcPr>
          <w:p>
            <w:pPr>
              <w:rPr>
                <w:noProof/>
                <w:sz w:val="18"/>
                <w:szCs w:val="18"/>
              </w:rPr>
            </w:pPr>
            <w:r>
              <w:rPr>
                <w:noProof/>
                <w:sz w:val="18"/>
              </w:rPr>
              <w:t>1 200</w:t>
            </w:r>
          </w:p>
        </w:tc>
        <w:tc>
          <w:tcPr>
            <w:tcW w:w="853" w:type="dxa"/>
            <w:shd w:val="clear" w:color="auto" w:fill="auto"/>
            <w:noWrap/>
            <w:hideMark/>
          </w:tcPr>
          <w:p>
            <w:pPr>
              <w:rPr>
                <w:noProof/>
                <w:sz w:val="18"/>
                <w:szCs w:val="18"/>
              </w:rPr>
            </w:pPr>
            <w:r>
              <w:rPr>
                <w:noProof/>
                <w:sz w:val="18"/>
              </w:rPr>
              <w:t>2 800</w:t>
            </w:r>
          </w:p>
        </w:tc>
      </w:tr>
    </w:tbl>
    <w:p>
      <w:pPr>
        <w:rPr>
          <w:noProof/>
        </w:rPr>
      </w:pPr>
      <w:r>
        <w:rPr>
          <w:noProof/>
        </w:rPr>
        <w:lastRenderedPageBreak/>
        <w:br w:type="page"/>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85"/>
        <w:gridCol w:w="2603"/>
        <w:gridCol w:w="130"/>
        <w:gridCol w:w="823"/>
        <w:gridCol w:w="67"/>
        <w:gridCol w:w="77"/>
        <w:gridCol w:w="867"/>
      </w:tblGrid>
      <w:tr>
        <w:trPr>
          <w:trHeight w:val="300"/>
        </w:trPr>
        <w:tc>
          <w:tcPr>
            <w:tcW w:w="9770" w:type="dxa"/>
            <w:gridSpan w:val="8"/>
            <w:shd w:val="clear" w:color="auto" w:fill="auto"/>
            <w:noWrap/>
          </w:tcPr>
          <w:p>
            <w:pPr>
              <w:rPr>
                <w:noProof/>
                <w:sz w:val="18"/>
                <w:szCs w:val="18"/>
              </w:rPr>
            </w:pPr>
            <w:r>
              <w:rPr>
                <w:noProof/>
                <w:sz w:val="18"/>
              </w:rPr>
              <w:lastRenderedPageBreak/>
              <w:t>Området Utbildning</w:t>
            </w:r>
          </w:p>
        </w:tc>
      </w:tr>
      <w:tr>
        <w:trPr>
          <w:trHeight w:val="300"/>
        </w:trPr>
        <w:tc>
          <w:tcPr>
            <w:tcW w:w="5118" w:type="dxa"/>
            <w:shd w:val="clear" w:color="auto" w:fill="auto"/>
            <w:noWrap/>
          </w:tcPr>
          <w:p>
            <w:pPr>
              <w:rPr>
                <w:noProof/>
                <w:sz w:val="18"/>
                <w:szCs w:val="18"/>
              </w:rPr>
            </w:pPr>
            <w:r>
              <w:rPr>
                <w:noProof/>
                <w:sz w:val="18"/>
              </w:rPr>
              <w:t>Andelen deltagare i formell allmän och yrkesinriktad utbildning (i åldersgruppen 18–24 år)</w:t>
            </w:r>
          </w:p>
        </w:tc>
        <w:tc>
          <w:tcPr>
            <w:tcW w:w="2688" w:type="dxa"/>
            <w:gridSpan w:val="2"/>
            <w:shd w:val="clear" w:color="auto" w:fill="auto"/>
            <w:noWrap/>
          </w:tcPr>
          <w:p>
            <w:pPr>
              <w:rPr>
                <w:noProof/>
                <w:sz w:val="18"/>
                <w:szCs w:val="18"/>
              </w:rPr>
            </w:pPr>
            <w:r>
              <w:rPr>
                <w:noProof/>
                <w:sz w:val="18"/>
              </w:rPr>
              <w:t>Landsbefolkning i åldersgruppen 18–24 år som bor i privathushåll (i miljoner personer, avrundat till 3 decimaler)</w:t>
            </w:r>
          </w:p>
        </w:tc>
        <w:tc>
          <w:tcPr>
            <w:tcW w:w="1020" w:type="dxa"/>
            <w:gridSpan w:val="3"/>
            <w:shd w:val="clear" w:color="auto" w:fill="auto"/>
            <w:noWrap/>
          </w:tcPr>
          <w:p>
            <w:pPr>
              <w:rPr>
                <w:noProof/>
                <w:sz w:val="18"/>
                <w:szCs w:val="18"/>
              </w:rPr>
            </w:pPr>
            <w:r>
              <w:rPr>
                <w:noProof/>
                <w:sz w:val="18"/>
              </w:rPr>
              <w:t>200</w:t>
            </w:r>
          </w:p>
        </w:tc>
        <w:tc>
          <w:tcPr>
            <w:tcW w:w="944" w:type="dxa"/>
            <w:gridSpan w:val="2"/>
            <w:shd w:val="clear" w:color="auto" w:fill="auto"/>
            <w:noWrap/>
          </w:tcPr>
          <w:p>
            <w:pPr>
              <w:rPr>
                <w:noProof/>
                <w:sz w:val="18"/>
                <w:szCs w:val="18"/>
              </w:rPr>
            </w:pPr>
            <w:r>
              <w:rPr>
                <w:noProof/>
                <w:sz w:val="18"/>
              </w:rPr>
              <w:t>1 500</w:t>
            </w:r>
          </w:p>
        </w:tc>
      </w:tr>
      <w:tr>
        <w:trPr>
          <w:trHeight w:val="300"/>
        </w:trPr>
        <w:tc>
          <w:tcPr>
            <w:tcW w:w="5118" w:type="dxa"/>
            <w:shd w:val="clear" w:color="auto" w:fill="auto"/>
            <w:noWrap/>
          </w:tcPr>
          <w:p>
            <w:pPr>
              <w:rPr>
                <w:noProof/>
                <w:sz w:val="18"/>
                <w:szCs w:val="18"/>
              </w:rPr>
            </w:pPr>
            <w:r>
              <w:rPr>
                <w:noProof/>
                <w:sz w:val="18"/>
              </w:rPr>
              <w:t>Andelen deltagare i icke-formell allmän och yrkesinriktad utbildning (i åldersgruppen 25–69 år)</w:t>
            </w:r>
          </w:p>
        </w:tc>
        <w:tc>
          <w:tcPr>
            <w:tcW w:w="2688" w:type="dxa"/>
            <w:gridSpan w:val="2"/>
            <w:shd w:val="clear" w:color="auto" w:fill="auto"/>
            <w:noWrap/>
          </w:tcPr>
          <w:p>
            <w:pPr>
              <w:rPr>
                <w:noProof/>
                <w:sz w:val="18"/>
                <w:szCs w:val="18"/>
              </w:rPr>
            </w:pPr>
            <w:r>
              <w:rPr>
                <w:noProof/>
                <w:sz w:val="18"/>
              </w:rPr>
              <w:t>Landsbefolkning i åldersgruppen 25–69 år som bor i privathushåll (i miljoner personer, avrundat till 3 decimaler)</w:t>
            </w:r>
          </w:p>
        </w:tc>
        <w:tc>
          <w:tcPr>
            <w:tcW w:w="1020" w:type="dxa"/>
            <w:gridSpan w:val="3"/>
            <w:shd w:val="clear" w:color="auto" w:fill="auto"/>
            <w:noWrap/>
          </w:tcPr>
          <w:p>
            <w:pPr>
              <w:rPr>
                <w:noProof/>
                <w:sz w:val="18"/>
                <w:szCs w:val="18"/>
              </w:rPr>
            </w:pPr>
            <w:r>
              <w:rPr>
                <w:noProof/>
                <w:sz w:val="18"/>
              </w:rPr>
              <w:t>400</w:t>
            </w:r>
          </w:p>
        </w:tc>
        <w:tc>
          <w:tcPr>
            <w:tcW w:w="944" w:type="dxa"/>
            <w:gridSpan w:val="2"/>
            <w:shd w:val="clear" w:color="auto" w:fill="auto"/>
            <w:noWrap/>
          </w:tcPr>
          <w:p>
            <w:pPr>
              <w:rPr>
                <w:noProof/>
                <w:sz w:val="18"/>
                <w:szCs w:val="18"/>
              </w:rPr>
            </w:pPr>
            <w:r>
              <w:rPr>
                <w:noProof/>
                <w:sz w:val="18"/>
              </w:rPr>
              <w:t>2 000</w:t>
            </w:r>
          </w:p>
        </w:tc>
      </w:tr>
      <w:tr>
        <w:trPr>
          <w:trHeight w:val="300"/>
        </w:trPr>
        <w:tc>
          <w:tcPr>
            <w:tcW w:w="9770" w:type="dxa"/>
            <w:gridSpan w:val="8"/>
            <w:shd w:val="clear" w:color="auto" w:fill="auto"/>
            <w:noWrap/>
            <w:hideMark/>
          </w:tcPr>
          <w:p>
            <w:pPr>
              <w:rPr>
                <w:noProof/>
                <w:sz w:val="18"/>
                <w:szCs w:val="18"/>
              </w:rPr>
            </w:pPr>
            <w:r>
              <w:rPr>
                <w:noProof/>
                <w:sz w:val="18"/>
              </w:rPr>
              <w:t>Området Användning av informations- och kommunikationsteknik</w:t>
            </w:r>
          </w:p>
        </w:tc>
      </w:tr>
      <w:tr>
        <w:trPr>
          <w:trHeight w:val="300"/>
        </w:trPr>
        <w:tc>
          <w:tcPr>
            <w:tcW w:w="5118" w:type="dxa"/>
            <w:shd w:val="clear" w:color="auto" w:fill="auto"/>
            <w:noWrap/>
            <w:hideMark/>
          </w:tcPr>
          <w:p>
            <w:pPr>
              <w:rPr>
                <w:noProof/>
                <w:sz w:val="18"/>
                <w:szCs w:val="18"/>
              </w:rPr>
            </w:pPr>
            <w:r>
              <w:rPr>
                <w:noProof/>
                <w:sz w:val="18"/>
              </w:rPr>
              <w:t>Andelen personer som beställt varor eller tjänster via internet för privat bruk under det senaste året</w:t>
            </w:r>
          </w:p>
        </w:tc>
        <w:tc>
          <w:tcPr>
            <w:tcW w:w="2688" w:type="dxa"/>
            <w:gridSpan w:val="2"/>
            <w:shd w:val="clear" w:color="auto" w:fill="auto"/>
            <w:noWrap/>
            <w:hideMark/>
          </w:tcPr>
          <w:p>
            <w:pPr>
              <w:rPr>
                <w:noProof/>
                <w:sz w:val="18"/>
                <w:szCs w:val="18"/>
              </w:rPr>
            </w:pPr>
            <w:r>
              <w:rPr>
                <w:noProof/>
                <w:sz w:val="18"/>
              </w:rPr>
              <w:t>Landsbefolkning i åldersgruppen 16–74 år som bor i privathushåll (i miljoner personer, avrundat till 3 decimaler)</w:t>
            </w:r>
          </w:p>
        </w:tc>
        <w:tc>
          <w:tcPr>
            <w:tcW w:w="953" w:type="dxa"/>
            <w:gridSpan w:val="2"/>
            <w:shd w:val="clear" w:color="auto" w:fill="auto"/>
            <w:noWrap/>
            <w:hideMark/>
          </w:tcPr>
          <w:p>
            <w:pPr>
              <w:rPr>
                <w:noProof/>
                <w:sz w:val="18"/>
                <w:szCs w:val="18"/>
              </w:rPr>
            </w:pPr>
            <w:r>
              <w:rPr>
                <w:noProof/>
                <w:sz w:val="18"/>
              </w:rPr>
              <w:t xml:space="preserve">400 </w:t>
            </w:r>
          </w:p>
        </w:tc>
        <w:tc>
          <w:tcPr>
            <w:tcW w:w="1011" w:type="dxa"/>
            <w:gridSpan w:val="3"/>
            <w:shd w:val="clear" w:color="auto" w:fill="auto"/>
            <w:noWrap/>
            <w:hideMark/>
          </w:tcPr>
          <w:p>
            <w:pPr>
              <w:rPr>
                <w:noProof/>
                <w:sz w:val="18"/>
                <w:szCs w:val="18"/>
              </w:rPr>
            </w:pPr>
            <w:r>
              <w:rPr>
                <w:noProof/>
                <w:sz w:val="18"/>
              </w:rPr>
              <w:t>1 300</w:t>
            </w:r>
          </w:p>
        </w:tc>
      </w:tr>
      <w:tr>
        <w:trPr>
          <w:trHeight w:val="300"/>
        </w:trPr>
        <w:tc>
          <w:tcPr>
            <w:tcW w:w="9770" w:type="dxa"/>
            <w:gridSpan w:val="8"/>
            <w:shd w:val="clear" w:color="auto" w:fill="auto"/>
            <w:noWrap/>
            <w:hideMark/>
          </w:tcPr>
          <w:p>
            <w:pPr>
              <w:rPr>
                <w:noProof/>
                <w:sz w:val="18"/>
                <w:szCs w:val="18"/>
              </w:rPr>
            </w:pPr>
            <w:r>
              <w:rPr>
                <w:noProof/>
                <w:sz w:val="18"/>
              </w:rPr>
              <w:t>Området Tidsanvändning</w:t>
            </w:r>
          </w:p>
        </w:tc>
      </w:tr>
      <w:tr>
        <w:trPr>
          <w:trHeight w:val="300"/>
        </w:trPr>
        <w:tc>
          <w:tcPr>
            <w:tcW w:w="5203" w:type="dxa"/>
            <w:gridSpan w:val="2"/>
            <w:shd w:val="clear" w:color="auto" w:fill="auto"/>
            <w:noWrap/>
            <w:hideMark/>
          </w:tcPr>
          <w:p>
            <w:pPr>
              <w:rPr>
                <w:noProof/>
                <w:sz w:val="18"/>
                <w:szCs w:val="18"/>
              </w:rPr>
            </w:pPr>
            <w:r>
              <w:rPr>
                <w:noProof/>
                <w:sz w:val="18"/>
              </w:rPr>
              <w:t>Andel av befolkningen i åldern 15 och över som varje dag i genomsnitt arbetar mer än 10 % i avlönat arbete</w:t>
            </w:r>
          </w:p>
        </w:tc>
        <w:tc>
          <w:tcPr>
            <w:tcW w:w="2733" w:type="dxa"/>
            <w:gridSpan w:val="2"/>
            <w:shd w:val="clear" w:color="auto" w:fill="auto"/>
            <w:noWrap/>
            <w:hideMark/>
          </w:tcPr>
          <w:p>
            <w:pPr>
              <w:rPr>
                <w:noProof/>
                <w:sz w:val="18"/>
                <w:szCs w:val="18"/>
              </w:rPr>
            </w:pPr>
            <w:r>
              <w:rPr>
                <w:noProof/>
                <w:sz w:val="18"/>
              </w:rPr>
              <w:t>Landsbefolkning i åldersgruppen 15 år och över som bor i privathushåll (i miljoner personer, avrundat till 3 decimaler)</w:t>
            </w:r>
          </w:p>
        </w:tc>
        <w:tc>
          <w:tcPr>
            <w:tcW w:w="967" w:type="dxa"/>
            <w:gridSpan w:val="3"/>
            <w:shd w:val="clear" w:color="auto" w:fill="auto"/>
            <w:noWrap/>
            <w:hideMark/>
          </w:tcPr>
          <w:p>
            <w:pPr>
              <w:rPr>
                <w:noProof/>
                <w:sz w:val="18"/>
                <w:szCs w:val="18"/>
              </w:rPr>
            </w:pPr>
            <w:r>
              <w:rPr>
                <w:noProof/>
                <w:sz w:val="18"/>
              </w:rPr>
              <w:t>900</w:t>
            </w:r>
          </w:p>
        </w:tc>
        <w:tc>
          <w:tcPr>
            <w:tcW w:w="867" w:type="dxa"/>
            <w:shd w:val="clear" w:color="auto" w:fill="auto"/>
            <w:noWrap/>
            <w:hideMark/>
          </w:tcPr>
          <w:p>
            <w:pPr>
              <w:rPr>
                <w:noProof/>
                <w:sz w:val="18"/>
                <w:szCs w:val="18"/>
              </w:rPr>
            </w:pPr>
            <w:r>
              <w:rPr>
                <w:noProof/>
                <w:sz w:val="18"/>
              </w:rPr>
              <w:t>3 500</w:t>
            </w:r>
          </w:p>
        </w:tc>
      </w:tr>
      <w:tr>
        <w:trPr>
          <w:trHeight w:val="300"/>
        </w:trPr>
        <w:tc>
          <w:tcPr>
            <w:tcW w:w="9770" w:type="dxa"/>
            <w:gridSpan w:val="8"/>
            <w:shd w:val="clear" w:color="auto" w:fill="auto"/>
            <w:noWrap/>
            <w:hideMark/>
          </w:tcPr>
          <w:p>
            <w:pPr>
              <w:rPr>
                <w:noProof/>
                <w:sz w:val="18"/>
                <w:szCs w:val="18"/>
              </w:rPr>
            </w:pPr>
            <w:r>
              <w:rPr>
                <w:noProof/>
                <w:sz w:val="18"/>
              </w:rPr>
              <w:t>Området Konsumtion</w:t>
            </w:r>
          </w:p>
        </w:tc>
      </w:tr>
      <w:tr>
        <w:trPr>
          <w:trHeight w:val="300"/>
        </w:trPr>
        <w:tc>
          <w:tcPr>
            <w:tcW w:w="5203" w:type="dxa"/>
            <w:gridSpan w:val="2"/>
            <w:shd w:val="clear" w:color="auto" w:fill="auto"/>
            <w:noWrap/>
            <w:hideMark/>
          </w:tcPr>
          <w:p>
            <w:pPr>
              <w:rPr>
                <w:noProof/>
                <w:sz w:val="18"/>
                <w:szCs w:val="18"/>
              </w:rPr>
            </w:pPr>
            <w:r>
              <w:rPr>
                <w:noProof/>
                <w:sz w:val="18"/>
              </w:rPr>
              <w:t>Andelen hushåll vars bostadsrelaterade utgifter, inbegripet vatten, el, gas och andra bränslen, uppgår till över 50 % av de totala utgifterna (se punkt 8)</w:t>
            </w:r>
          </w:p>
        </w:tc>
        <w:tc>
          <w:tcPr>
            <w:tcW w:w="2733" w:type="dxa"/>
            <w:gridSpan w:val="2"/>
            <w:shd w:val="clear" w:color="auto" w:fill="auto"/>
            <w:noWrap/>
            <w:hideMark/>
          </w:tcPr>
          <w:p>
            <w:pPr>
              <w:rPr>
                <w:noProof/>
                <w:sz w:val="18"/>
                <w:szCs w:val="18"/>
              </w:rPr>
            </w:pPr>
            <w:r>
              <w:rPr>
                <w:noProof/>
                <w:sz w:val="18"/>
              </w:rPr>
              <w:t>Antal privata hushåll i landet (i miljoner, avrundat till 3 decimaler)</w:t>
            </w:r>
          </w:p>
        </w:tc>
        <w:tc>
          <w:tcPr>
            <w:tcW w:w="967" w:type="dxa"/>
            <w:gridSpan w:val="3"/>
            <w:shd w:val="clear" w:color="auto" w:fill="auto"/>
            <w:noWrap/>
            <w:hideMark/>
          </w:tcPr>
          <w:p>
            <w:pPr>
              <w:rPr>
                <w:noProof/>
                <w:sz w:val="18"/>
                <w:szCs w:val="18"/>
              </w:rPr>
            </w:pPr>
            <w:r>
              <w:rPr>
                <w:noProof/>
                <w:sz w:val="18"/>
              </w:rPr>
              <w:t>900</w:t>
            </w:r>
          </w:p>
        </w:tc>
        <w:tc>
          <w:tcPr>
            <w:tcW w:w="867" w:type="dxa"/>
            <w:shd w:val="clear" w:color="auto" w:fill="auto"/>
            <w:noWrap/>
            <w:hideMark/>
          </w:tcPr>
          <w:p>
            <w:pPr>
              <w:rPr>
                <w:noProof/>
                <w:sz w:val="18"/>
                <w:szCs w:val="18"/>
              </w:rPr>
            </w:pPr>
            <w:r>
              <w:rPr>
                <w:noProof/>
                <w:sz w:val="18"/>
              </w:rPr>
              <w:t>2 600</w:t>
            </w:r>
          </w:p>
        </w:tc>
      </w:tr>
    </w:tbl>
    <w:p>
      <w:pPr>
        <w:spacing w:before="0" w:after="200" w:line="276" w:lineRule="auto"/>
        <w:jc w:val="left"/>
        <w:rPr>
          <w:rFonts w:eastAsia="Calibri"/>
          <w:noProof/>
          <w:sz w:val="22"/>
        </w:rPr>
      </w:pPr>
    </w:p>
    <w:p>
      <w:pPr>
        <w:pStyle w:val="NumPar1"/>
        <w:rPr>
          <w:noProof/>
        </w:rPr>
      </w:pPr>
      <w:r>
        <w:rPr>
          <w:noProof/>
        </w:rPr>
        <w:t xml:space="preserve">Om länderna får negativa </w:t>
      </w:r>
      <w:r>
        <w:rPr>
          <w:i/>
          <w:noProof/>
        </w:rPr>
        <w:t>f(N)</w:t>
      </w:r>
      <w:r>
        <w:rPr>
          <w:noProof/>
        </w:rPr>
        <w:t>-värden med de parametrar som uttrycks ovan kommer de att undantas från motsvarande krav.</w:t>
      </w:r>
    </w:p>
    <w:p>
      <w:pPr>
        <w:pStyle w:val="NumPar1"/>
        <w:numPr>
          <w:ilvl w:val="0"/>
          <w:numId w:val="18"/>
        </w:numPr>
        <w:rPr>
          <w:noProof/>
        </w:rPr>
      </w:pPr>
      <w:r>
        <w:rPr>
          <w:noProof/>
        </w:rPr>
        <w:t xml:space="preserve">För den skattade arbetslösheten i förhållande till åldersgruppen 15–74 år i varje Nuts 2-region definieras </w:t>
      </w:r>
      <w:r>
        <w:rPr>
          <w:i/>
          <w:noProof/>
        </w:rPr>
        <w:t>f(N)</w:t>
      </w:r>
      <w:r>
        <w:rPr>
          <w:noProof/>
        </w:rPr>
        <w:t xml:space="preserve">- funktionen enligt följande: </w:t>
      </w:r>
    </w:p>
    <w:p>
      <w:pPr>
        <w:rPr>
          <w:rFonts w:eastAsia="Calibri" w:cs="Times New Roman"/>
          <w:i/>
          <w:noProof/>
          <w:szCs w:val="24"/>
        </w:rPr>
      </w:pPr>
      <m:oMathPara>
        <m:oMath>
          <m:r>
            <m:rPr>
              <m:nor/>
            </m:rPr>
            <w:rPr>
              <w:rFonts w:eastAsia="Calibri" w:cs="Times New Roman"/>
              <w:i/>
              <w:noProof/>
              <w:szCs w:val="24"/>
            </w:rPr>
            <m:t>f</m:t>
          </m:r>
          <m:d>
            <m:dPr>
              <m:ctrlPr>
                <w:rPr>
                  <w:rFonts w:ascii="Cambria Math" w:hAnsi="Cambria Math" w:cs="Times New Roman"/>
                  <w:i/>
                  <w:noProof/>
                </w:rPr>
              </m:ctrlPr>
            </m:dPr>
            <m:e>
              <m:sSub>
                <m:sSubPr>
                  <m:ctrlPr>
                    <w:rPr>
                      <w:rFonts w:ascii="Cambria Math" w:hAnsi="Cambria Math" w:cs="Times New Roman"/>
                      <w:i/>
                      <w:noProof/>
                    </w:rPr>
                  </m:ctrlPr>
                </m:sSubPr>
                <m:e>
                  <m:r>
                    <m:rPr>
                      <m:nor/>
                    </m:rPr>
                    <w:rPr>
                      <w:rFonts w:cs="Times New Roman"/>
                      <w:i/>
                      <w:noProof/>
                    </w:rPr>
                    <m:t>N</m:t>
                  </m:r>
                </m:e>
                <m:sub>
                  <m:r>
                    <m:rPr>
                      <m:nor/>
                    </m:rPr>
                    <w:rPr>
                      <w:rFonts w:cs="Times New Roman"/>
                      <w:noProof/>
                    </w:rPr>
                    <m:t>r,15-74</m:t>
                  </m:r>
                </m:sub>
              </m:sSub>
            </m:e>
          </m:d>
          <m:r>
            <m:rPr>
              <m:nor/>
            </m:rPr>
            <w:rPr>
              <w:rFonts w:cs="Times New Roman"/>
              <w:i/>
              <w:noProof/>
            </w:rPr>
            <m:t>=</m:t>
          </m:r>
          <m:d>
            <m:dPr>
              <m:begChr m:val="{"/>
              <m:endChr m:val=""/>
              <m:ctrlPr>
                <w:rPr>
                  <w:rFonts w:ascii="Cambria Math" w:hAnsi="Cambria Math" w:cs="Times New Roman"/>
                  <w:i/>
                  <w:noProof/>
                </w:rPr>
              </m:ctrlPr>
            </m:dPr>
            <m:e>
              <m:eqArr>
                <m:eqArrPr>
                  <m:ctrlPr>
                    <w:rPr>
                      <w:rFonts w:ascii="Cambria Math" w:hAnsi="Cambria Math" w:cs="Times New Roman"/>
                      <w:i/>
                      <w:noProof/>
                    </w:rPr>
                  </m:ctrlPr>
                </m:eqArrPr>
                <m:e>
                  <m:r>
                    <m:rPr>
                      <m:nor/>
                    </m:rPr>
                    <w:rPr>
                      <w:rFonts w:cs="Times New Roman"/>
                      <w:noProof/>
                    </w:rPr>
                    <m:t>1300 om</m:t>
                  </m:r>
                  <m:r>
                    <m:rPr>
                      <m:nor/>
                    </m:rPr>
                    <w:rPr>
                      <w:rFonts w:cs="Times New Roman"/>
                      <w:i/>
                      <w:noProof/>
                    </w:rPr>
                    <m:t xml:space="preserve"> </m:t>
                  </m:r>
                  <m:sSub>
                    <m:sSubPr>
                      <m:ctrlPr>
                        <w:rPr>
                          <w:rFonts w:ascii="Cambria Math" w:hAnsi="Cambria Math" w:cs="Times New Roman"/>
                          <w:i/>
                          <w:noProof/>
                        </w:rPr>
                      </m:ctrlPr>
                    </m:sSubPr>
                    <m:e>
                      <m:r>
                        <m:rPr>
                          <m:nor/>
                        </m:rPr>
                        <w:rPr>
                          <w:rFonts w:cs="Times New Roman"/>
                          <w:i/>
                          <w:noProof/>
                        </w:rPr>
                        <m:t>N</m:t>
                      </m:r>
                    </m:e>
                    <m:sub>
                      <m:r>
                        <m:rPr>
                          <m:nor/>
                        </m:rPr>
                        <w:rPr>
                          <w:rFonts w:cs="Times New Roman"/>
                          <w:noProof/>
                        </w:rPr>
                        <m:t>r,15-74</m:t>
                      </m:r>
                    </m:sub>
                  </m:sSub>
                  <m:r>
                    <m:rPr>
                      <m:nor/>
                    </m:rPr>
                    <w:rPr>
                      <w:rFonts w:ascii="Cambria Math" w:cs="Times New Roman"/>
                      <w:noProof/>
                    </w:rPr>
                    <m:t xml:space="preserve"> </m:t>
                  </m:r>
                  <m:r>
                    <m:rPr>
                      <m:nor/>
                    </m:rPr>
                    <w:rPr>
                      <w:rFonts w:cs="Times New Roman"/>
                      <w:noProof/>
                    </w:rPr>
                    <m:t>≥ 0.300 miljoner invånare</m:t>
                  </m:r>
                </m:e>
                <m:e>
                  <m:f>
                    <m:fPr>
                      <m:ctrlPr>
                        <w:rPr>
                          <w:rFonts w:ascii="Cambria Math" w:hAnsi="Cambria Math" w:cs="Times New Roman"/>
                          <w:noProof/>
                        </w:rPr>
                      </m:ctrlPr>
                    </m:fPr>
                    <m:num>
                      <m:r>
                        <m:rPr>
                          <m:nor/>
                        </m:rPr>
                        <w:rPr>
                          <w:rFonts w:cs="Times New Roman"/>
                          <w:noProof/>
                        </w:rPr>
                        <m:t>1300</m:t>
                      </m:r>
                    </m:num>
                    <m:den>
                      <m:r>
                        <m:rPr>
                          <m:nor/>
                        </m:rPr>
                        <w:rPr>
                          <w:rFonts w:cs="Times New Roman"/>
                          <w:noProof/>
                        </w:rPr>
                        <m:t>0.3</m:t>
                      </m:r>
                    </m:den>
                  </m:f>
                  <m:sSub>
                    <m:sSubPr>
                      <m:ctrlPr>
                        <w:rPr>
                          <w:rFonts w:ascii="Cambria Math" w:hAnsi="Cambria Math" w:cs="Times New Roman"/>
                          <w:i/>
                          <w:noProof/>
                        </w:rPr>
                      </m:ctrlPr>
                    </m:sSubPr>
                    <m:e>
                      <m:r>
                        <m:rPr>
                          <m:nor/>
                        </m:rPr>
                        <w:rPr>
                          <w:rFonts w:cs="Times New Roman"/>
                          <w:i/>
                          <w:noProof/>
                        </w:rPr>
                        <m:t>N</m:t>
                      </m:r>
                    </m:e>
                    <m:sub>
                      <m:r>
                        <m:rPr>
                          <m:nor/>
                        </m:rPr>
                        <w:rPr>
                          <w:rFonts w:cs="Times New Roman"/>
                          <w:noProof/>
                        </w:rPr>
                        <m:t xml:space="preserve">r, </m:t>
                      </m:r>
                      <m:r>
                        <m:rPr>
                          <m:nor/>
                        </m:rPr>
                        <w:rPr>
                          <w:rFonts w:cs="Times New Roman"/>
                          <w:i/>
                          <w:noProof/>
                        </w:rPr>
                        <m:t>15-</m:t>
                      </m:r>
                      <m:r>
                        <m:rPr>
                          <m:nor/>
                        </m:rPr>
                        <w:rPr>
                          <w:rFonts w:cs="Times New Roman"/>
                          <w:noProof/>
                        </w:rPr>
                        <m:t>7</m:t>
                      </m:r>
                      <m:r>
                        <m:rPr>
                          <m:nor/>
                        </m:rPr>
                        <w:rPr>
                          <w:rFonts w:cs="Times New Roman"/>
                          <w:i/>
                          <w:noProof/>
                        </w:rPr>
                        <m:t>4</m:t>
                      </m:r>
                    </m:sub>
                  </m:sSub>
                  <m:r>
                    <m:rPr>
                      <m:nor/>
                    </m:rPr>
                    <w:rPr>
                      <w:rFonts w:cs="Times New Roman"/>
                      <w:i/>
                      <w:noProof/>
                    </w:rPr>
                    <m:t xml:space="preserve"> , </m:t>
                  </m:r>
                  <m:r>
                    <m:rPr>
                      <m:nor/>
                    </m:rPr>
                    <w:rPr>
                      <w:rFonts w:cs="Times New Roman"/>
                      <w:noProof/>
                    </w:rPr>
                    <m:t>om</m:t>
                  </m:r>
                  <m:r>
                    <m:rPr>
                      <m:nor/>
                    </m:rPr>
                    <w:rPr>
                      <w:noProof/>
                    </w:rPr>
                    <m:t xml:space="preserve"> </m:t>
                  </m:r>
                  <m:sSub>
                    <m:sSubPr>
                      <m:ctrlPr>
                        <w:rPr>
                          <w:rFonts w:ascii="Cambria Math" w:hAnsi="Cambria Math" w:cs="Times New Roman"/>
                          <w:i/>
                          <w:noProof/>
                        </w:rPr>
                      </m:ctrlPr>
                    </m:sSubPr>
                    <m:e>
                      <m:r>
                        <m:rPr>
                          <m:nor/>
                        </m:rPr>
                        <w:rPr>
                          <w:rFonts w:cs="Times New Roman"/>
                          <w:i/>
                          <w:noProof/>
                        </w:rPr>
                        <m:t>N</m:t>
                      </m:r>
                    </m:e>
                    <m:sub>
                      <m:r>
                        <m:rPr>
                          <m:nor/>
                        </m:rPr>
                        <w:rPr>
                          <w:rFonts w:cs="Times New Roman"/>
                          <w:noProof/>
                        </w:rPr>
                        <m:t>r,15-74</m:t>
                      </m:r>
                    </m:sub>
                  </m:sSub>
                  <m:r>
                    <m:rPr>
                      <m:nor/>
                    </m:rPr>
                    <w:rPr>
                      <w:rFonts w:cs="Times New Roman"/>
                      <w:noProof/>
                    </w:rPr>
                    <m:t>&lt; 0.300 miljoner invånare</m:t>
                  </m:r>
                </m:e>
              </m:eqArr>
            </m:e>
          </m:d>
        </m:oMath>
      </m:oMathPara>
    </w:p>
    <w:p>
      <w:pPr>
        <w:pStyle w:val="NumPar1"/>
        <w:numPr>
          <w:ilvl w:val="0"/>
          <w:numId w:val="18"/>
        </w:numPr>
        <w:rPr>
          <w:noProof/>
        </w:rPr>
      </w:pPr>
      <w:r>
        <w:rPr>
          <w:noProof/>
        </w:rPr>
        <w:t>För den skattade andelen personer som riskerar fattigdom eller social utestängning i förhållande till befolkningen i varje Nuts 2-region är dessa krav inte obligatoriska för Nuts 2-regioner med färre än 0,500 miljoner invånare, under förutsättning att motsvarande Nuts 1-region uppfyller detta krav.</w:t>
      </w:r>
    </w:p>
    <w:p>
      <w:pPr>
        <w:pStyle w:val="NumPar1"/>
        <w:rPr>
          <w:noProof/>
        </w:rPr>
      </w:pPr>
      <w:r>
        <w:rPr>
          <w:noProof/>
        </w:rPr>
        <w:t>För området Konsumtion kan precisionskraven uppfyllas genom en kombination av mikrodata avseende observationer under högst tre på varandra följande år.</w:t>
      </w:r>
    </w:p>
    <w:p>
      <w:pPr>
        <w:widowControl w:val="0"/>
        <w:autoSpaceDE w:val="0"/>
        <w:autoSpaceDN w:val="0"/>
        <w:spacing w:before="0" w:after="0"/>
        <w:ind w:right="85"/>
        <w:jc w:val="left"/>
        <w:rPr>
          <w:rFonts w:eastAsia="Times New Roman"/>
          <w:noProof/>
          <w:sz w:val="16"/>
          <w:szCs w:val="16"/>
        </w:rPr>
      </w:pPr>
      <w:r>
        <w:rPr>
          <w:noProof/>
        </w:rPr>
        <w:br w:type="page"/>
      </w:r>
    </w:p>
    <w:p>
      <w:pPr>
        <w:pStyle w:val="Annexetitre"/>
        <w:rPr>
          <w:noProof/>
        </w:rPr>
      </w:pPr>
      <w:r>
        <w:rPr>
          <w:noProof/>
        </w:rPr>
        <w:lastRenderedPageBreak/>
        <w:t>Bilaga III</w:t>
      </w:r>
    </w:p>
    <w:p>
      <w:pPr>
        <w:jc w:val="center"/>
        <w:rPr>
          <w:b/>
          <w:noProof/>
        </w:rPr>
      </w:pPr>
      <w:r>
        <w:rPr>
          <w:b/>
          <w:noProof/>
        </w:rPr>
        <w:t>Urvalskarakteristika</w:t>
      </w:r>
    </w:p>
    <w:p>
      <w:pPr>
        <w:pStyle w:val="NumPar1"/>
        <w:numPr>
          <w:ilvl w:val="0"/>
          <w:numId w:val="9"/>
        </w:numPr>
        <w:rPr>
          <w:noProof/>
        </w:rPr>
      </w:pPr>
      <w:r>
        <w:rPr>
          <w:noProof/>
        </w:rPr>
        <w:t xml:space="preserve">Urvalskarakteristika för området Arbetsmarknad ska omfatta följande: </w:t>
      </w:r>
    </w:p>
    <w:p>
      <w:pPr>
        <w:pStyle w:val="Point1letter"/>
        <w:numPr>
          <w:ilvl w:val="3"/>
          <w:numId w:val="14"/>
        </w:numPr>
        <w:rPr>
          <w:noProof/>
        </w:rPr>
      </w:pPr>
      <w:r>
        <w:rPr>
          <w:noProof/>
        </w:rPr>
        <w:t>Det nationella urvalet för referenskvartalet (aggregering av på varandra följande referensveckor) ska vara jämnt fördelat över alla veckor i kvartalet. Urvalet för referenskvartalet (i varje Nuts 2-region) ska fördelas på de tre månaderna i proportion till antalet veckor i varje månad.</w:t>
      </w:r>
    </w:p>
    <w:p>
      <w:pPr>
        <w:pStyle w:val="Point1letter"/>
        <w:rPr>
          <w:rFonts w:eastAsia="Calibri"/>
          <w:noProof/>
        </w:rPr>
      </w:pPr>
      <w:r>
        <w:rPr>
          <w:noProof/>
        </w:rPr>
        <w:t>Urvalet ska följa ett rotationsmönster som är kortare än ett år. Urvalen ska överlappa varandra med minst 20 % mellan samma kvartal under på varandra följande år och med 50 % mellan på varandra följande kvartal utan hänsyn till attrition.</w:t>
      </w:r>
    </w:p>
    <w:p>
      <w:pPr>
        <w:pStyle w:val="Text1"/>
        <w:rPr>
          <w:noProof/>
        </w:rPr>
      </w:pPr>
      <w:r>
        <w:rPr>
          <w:noProof/>
        </w:rPr>
        <w:t xml:space="preserve">Utan att det påverkar tillämpningen av artikel 5.1 ska uppgifter tillhandahållas för hela urvalet.  </w:t>
      </w:r>
    </w:p>
    <w:p>
      <w:pPr>
        <w:pStyle w:val="NumPar1"/>
        <w:numPr>
          <w:ilvl w:val="0"/>
          <w:numId w:val="9"/>
        </w:numPr>
        <w:rPr>
          <w:noProof/>
        </w:rPr>
      </w:pPr>
      <w:r>
        <w:rPr>
          <w:noProof/>
        </w:rPr>
        <w:t>Urvalskarakteristika för området Inkomster och levnadsvillkor ska omfatta följande:</w:t>
      </w:r>
    </w:p>
    <w:p>
      <w:pPr>
        <w:pStyle w:val="Point1letter"/>
        <w:numPr>
          <w:ilvl w:val="3"/>
          <w:numId w:val="10"/>
        </w:numPr>
        <w:rPr>
          <w:noProof/>
        </w:rPr>
      </w:pPr>
      <w:r>
        <w:rPr>
          <w:noProof/>
        </w:rPr>
        <w:t xml:space="preserve">Urvalet ska ha ett roterande schema på minst sex år. </w:t>
      </w:r>
    </w:p>
    <w:p>
      <w:pPr>
        <w:pStyle w:val="Point1letter"/>
        <w:numPr>
          <w:ilvl w:val="3"/>
          <w:numId w:val="10"/>
        </w:numPr>
        <w:rPr>
          <w:rFonts w:eastAsia="Calibri"/>
          <w:noProof/>
        </w:rPr>
      </w:pPr>
      <w:r>
        <w:rPr>
          <w:noProof/>
        </w:rPr>
        <w:t>Utan hänsyn till attrition ska urvalet vara jämnt fördelat över åren i det roterande schemat, utom under den period då förändringar görs av urvalets storlek.</w:t>
      </w:r>
    </w:p>
    <w:p>
      <w:pPr>
        <w:pStyle w:val="NumPar1"/>
        <w:numPr>
          <w:ilvl w:val="0"/>
          <w:numId w:val="9"/>
        </w:numPr>
        <w:rPr>
          <w:noProof/>
        </w:rPr>
      </w:pPr>
      <w:r>
        <w:rPr>
          <w:noProof/>
        </w:rPr>
        <w:t>Urvalskarakteristika för området Tidsanvändning ska omfatta följande: Rapporteringsperioderna för urvalsenheterna ska</w:t>
      </w:r>
    </w:p>
    <w:p>
      <w:pPr>
        <w:pStyle w:val="Point1letter"/>
        <w:numPr>
          <w:ilvl w:val="3"/>
          <w:numId w:val="11"/>
        </w:numPr>
        <w:rPr>
          <w:noProof/>
        </w:rPr>
      </w:pPr>
      <w:r>
        <w:rPr>
          <w:noProof/>
        </w:rPr>
        <w:t>fördelas över en sammanhängande period på tolv månader,</w:t>
      </w:r>
    </w:p>
    <w:p>
      <w:pPr>
        <w:pStyle w:val="Point1letter"/>
        <w:numPr>
          <w:ilvl w:val="3"/>
          <w:numId w:val="11"/>
        </w:numPr>
        <w:rPr>
          <w:rFonts w:eastAsia="Calibri"/>
          <w:noProof/>
        </w:rPr>
      </w:pPr>
      <w:r>
        <w:rPr>
          <w:noProof/>
        </w:rPr>
        <w:t>inbegripa icke-arbetsdagar, och</w:t>
      </w:r>
    </w:p>
    <w:p>
      <w:pPr>
        <w:pStyle w:val="Point1letter"/>
        <w:numPr>
          <w:ilvl w:val="3"/>
          <w:numId w:val="11"/>
        </w:numPr>
        <w:rPr>
          <w:rFonts w:eastAsia="Calibri"/>
          <w:noProof/>
        </w:rPr>
      </w:pPr>
      <w:r>
        <w:rPr>
          <w:noProof/>
        </w:rPr>
        <w:t>grundas på ett slumpmässigt urval.</w:t>
      </w:r>
    </w:p>
    <w:p>
      <w:pPr>
        <w:pStyle w:val="NumPar1"/>
        <w:numPr>
          <w:ilvl w:val="0"/>
          <w:numId w:val="9"/>
        </w:numPr>
        <w:rPr>
          <w:noProof/>
        </w:rPr>
      </w:pPr>
      <w:r>
        <w:rPr>
          <w:noProof/>
        </w:rPr>
        <w:t>Urvalskarakteristika för området Konsumtion ska omfatta följande: Rapporteringsperioderna för urvalsenheterna ska fördelas över en sammanhängande period på tolv månader.</w:t>
      </w:r>
    </w:p>
    <w:p>
      <w:pPr>
        <w:spacing w:before="0" w:after="0" w:line="276" w:lineRule="auto"/>
        <w:jc w:val="left"/>
        <w:rPr>
          <w:rFonts w:eastAsia="Calibri"/>
          <w:b/>
          <w:noProof/>
          <w:sz w:val="22"/>
          <w:u w:val="single"/>
        </w:rPr>
      </w:pPr>
      <w:r>
        <w:rPr>
          <w:noProof/>
        </w:rPr>
        <w:br w:type="page"/>
      </w:r>
    </w:p>
    <w:p>
      <w:pPr>
        <w:pStyle w:val="Annexetitre"/>
        <w:rPr>
          <w:noProof/>
        </w:rPr>
      </w:pPr>
      <w:r>
        <w:rPr>
          <w:noProof/>
        </w:rPr>
        <w:lastRenderedPageBreak/>
        <w:t>Bilaga IV</w:t>
      </w:r>
    </w:p>
    <w:p>
      <w:pPr>
        <w:jc w:val="center"/>
        <w:rPr>
          <w:noProof/>
        </w:rPr>
      </w:pPr>
      <w:r>
        <w:rPr>
          <w:b/>
          <w:noProof/>
          <w:u w:val="single"/>
        </w:rPr>
        <w:t>Periodicitet</w:t>
      </w:r>
    </w:p>
    <w:p>
      <w:pPr>
        <w:pStyle w:val="NumPar1"/>
        <w:numPr>
          <w:ilvl w:val="0"/>
          <w:numId w:val="12"/>
        </w:numPr>
        <w:rPr>
          <w:noProof/>
        </w:rPr>
      </w:pPr>
      <w:r>
        <w:rPr>
          <w:noProof/>
        </w:rPr>
        <w:t>För området Arbetsmarknad ska datauppsättningarna bestå av uppgifter som samlas in kvartalsvis, årsvis, vartannat år och vart åttonde år. Uppgifter om variabler som rör de särskilda ämnena ska samlas in vart fjärde år.</w:t>
      </w:r>
    </w:p>
    <w:p>
      <w:pPr>
        <w:pStyle w:val="NumPar1"/>
        <w:numPr>
          <w:ilvl w:val="0"/>
          <w:numId w:val="12"/>
        </w:numPr>
        <w:rPr>
          <w:noProof/>
        </w:rPr>
      </w:pPr>
      <w:r>
        <w:rPr>
          <w:noProof/>
        </w:rPr>
        <w:t>För området Inkomster och levnadsvillkor ska datauppsättningarna bestå av årliga uppgifter samt uppgifter vart tredje och vart sjätte år. Uppgifter om variabler som rör de särskilda ämnena ska samlas in vartannat år.</w:t>
      </w:r>
    </w:p>
    <w:p>
      <w:pPr>
        <w:pStyle w:val="NumPar1"/>
        <w:numPr>
          <w:ilvl w:val="0"/>
          <w:numId w:val="12"/>
        </w:numPr>
        <w:rPr>
          <w:noProof/>
        </w:rPr>
      </w:pPr>
      <w:r>
        <w:rPr>
          <w:noProof/>
        </w:rPr>
        <w:t>För området Hälsa ska uppgifter samlas in vart sjätte år.</w:t>
      </w:r>
    </w:p>
    <w:p>
      <w:pPr>
        <w:pStyle w:val="NumPar1"/>
        <w:numPr>
          <w:ilvl w:val="0"/>
          <w:numId w:val="12"/>
        </w:numPr>
        <w:rPr>
          <w:noProof/>
        </w:rPr>
      </w:pPr>
      <w:r>
        <w:rPr>
          <w:noProof/>
        </w:rPr>
        <w:t>För området Utbildning ska uppgifter samlas in vart sjätte år.</w:t>
      </w:r>
    </w:p>
    <w:p>
      <w:pPr>
        <w:pStyle w:val="NumPar1"/>
        <w:numPr>
          <w:ilvl w:val="0"/>
          <w:numId w:val="12"/>
        </w:numPr>
        <w:rPr>
          <w:noProof/>
        </w:rPr>
      </w:pPr>
      <w:r>
        <w:rPr>
          <w:noProof/>
        </w:rPr>
        <w:t>För området Användning av informations- och kommunikationsteknik ska uppgifter samlas in varje år.</w:t>
      </w:r>
    </w:p>
    <w:p>
      <w:pPr>
        <w:pStyle w:val="NumPar1"/>
        <w:numPr>
          <w:ilvl w:val="0"/>
          <w:numId w:val="12"/>
        </w:numPr>
        <w:rPr>
          <w:noProof/>
        </w:rPr>
      </w:pPr>
      <w:r>
        <w:rPr>
          <w:noProof/>
        </w:rPr>
        <w:t>För området Tidsanvändning ska uppgifter samlas in vart tionde år.</w:t>
      </w:r>
    </w:p>
    <w:p>
      <w:pPr>
        <w:pStyle w:val="NumPar1"/>
        <w:numPr>
          <w:ilvl w:val="0"/>
          <w:numId w:val="12"/>
        </w:numPr>
        <w:rPr>
          <w:noProof/>
        </w:rPr>
      </w:pPr>
      <w:r>
        <w:rPr>
          <w:noProof/>
        </w:rPr>
        <w:t>För området Konsumtion ska uppgifter samlas in vart femte år.</w:t>
      </w:r>
    </w:p>
    <w:p>
      <w:pPr>
        <w:spacing w:before="0" w:after="200" w:line="276" w:lineRule="auto"/>
        <w:jc w:val="left"/>
        <w:rPr>
          <w:rFonts w:eastAsia="Calibri"/>
          <w:noProof/>
          <w:sz w:val="22"/>
        </w:rPr>
      </w:pPr>
      <w:r>
        <w:rPr>
          <w:noProof/>
        </w:rPr>
        <w:br w:type="page"/>
      </w:r>
    </w:p>
    <w:p>
      <w:pPr>
        <w:pStyle w:val="Annexetitre"/>
        <w:rPr>
          <w:noProof/>
        </w:rPr>
      </w:pPr>
      <w:r>
        <w:rPr>
          <w:noProof/>
        </w:rPr>
        <w:lastRenderedPageBreak/>
        <w:t>Bilaga V</w:t>
      </w:r>
    </w:p>
    <w:p>
      <w:pPr>
        <w:spacing w:before="0" w:after="200" w:line="276" w:lineRule="auto"/>
        <w:jc w:val="center"/>
        <w:rPr>
          <w:rFonts w:eastAsia="Calibri"/>
          <w:noProof/>
          <w:sz w:val="22"/>
        </w:rPr>
      </w:pPr>
      <w:r>
        <w:rPr>
          <w:b/>
          <w:noProof/>
          <w:u w:val="single"/>
        </w:rPr>
        <w:t>Tidsfrister för uppgiftsöverföring</w:t>
      </w:r>
    </w:p>
    <w:p>
      <w:pPr>
        <w:spacing w:before="0" w:after="200" w:line="276" w:lineRule="auto"/>
        <w:rPr>
          <w:rFonts w:eastAsia="Calibri"/>
          <w:noProof/>
          <w:szCs w:val="24"/>
        </w:rPr>
      </w:pPr>
      <w:r>
        <w:rPr>
          <w:noProof/>
        </w:rPr>
        <w:t>Medlemsstaterna ska översända de uppgifter som krävs till kommissionen (Eurostat) enligt följande tidsfrister:</w:t>
      </w:r>
    </w:p>
    <w:p>
      <w:pPr>
        <w:pStyle w:val="NumPar1"/>
        <w:numPr>
          <w:ilvl w:val="0"/>
          <w:numId w:val="16"/>
        </w:numPr>
        <w:rPr>
          <w:noProof/>
        </w:rPr>
      </w:pPr>
      <w:r>
        <w:rPr>
          <w:noProof/>
        </w:rPr>
        <w:t>För området Arbetsmarknad ska medlemsstaterna översända följande:</w:t>
      </w:r>
    </w:p>
    <w:p>
      <w:pPr>
        <w:pStyle w:val="Point1number"/>
        <w:numPr>
          <w:ilvl w:val="2"/>
          <w:numId w:val="17"/>
        </w:numPr>
        <w:rPr>
          <w:noProof/>
        </w:rPr>
      </w:pPr>
      <w:r>
        <w:rPr>
          <w:noProof/>
        </w:rPr>
        <w:t>Förhandskontrollerade mikrodata utan direkt identifiering enligt följande förfarande i två steg:</w:t>
      </w:r>
    </w:p>
    <w:p>
      <w:pPr>
        <w:pStyle w:val="Point2letter"/>
        <w:rPr>
          <w:noProof/>
        </w:rPr>
      </w:pPr>
      <w:r>
        <w:rPr>
          <w:noProof/>
        </w:rPr>
        <w:t>Under de första tre åren av förordningens genomförande, i enlighet med artikel 10.4 på följande sätt:</w:t>
      </w:r>
    </w:p>
    <w:p>
      <w:pPr>
        <w:pStyle w:val="Tiret3"/>
        <w:numPr>
          <w:ilvl w:val="0"/>
          <w:numId w:val="15"/>
        </w:numPr>
        <w:rPr>
          <w:noProof/>
        </w:rPr>
      </w:pPr>
      <w:r>
        <w:rPr>
          <w:noProof/>
        </w:rPr>
        <w:t xml:space="preserve">Kvartalsvisa uppgifter översänds senast tio veckor efter referensperiodens utgång. </w:t>
      </w:r>
    </w:p>
    <w:p>
      <w:pPr>
        <w:pStyle w:val="Tiret3"/>
        <w:rPr>
          <w:noProof/>
        </w:rPr>
      </w:pPr>
      <w:r>
        <w:rPr>
          <w:noProof/>
        </w:rPr>
        <w:t>Övriga uppgifter översänds senast den 31 mars under påföljande år.</w:t>
      </w:r>
    </w:p>
    <w:p>
      <w:pPr>
        <w:pStyle w:val="Point2letter"/>
        <w:rPr>
          <w:noProof/>
        </w:rPr>
      </w:pPr>
      <w:r>
        <w:rPr>
          <w:noProof/>
        </w:rPr>
        <w:t>Från och med det fjärde året av förordningens genomförande ska översändningen ske på följande sätt:</w:t>
      </w:r>
    </w:p>
    <w:p>
      <w:pPr>
        <w:pStyle w:val="Tiret3"/>
        <w:rPr>
          <w:noProof/>
        </w:rPr>
      </w:pPr>
      <w:r>
        <w:rPr>
          <w:noProof/>
        </w:rPr>
        <w:t>Kvartalsvisa uppgifter för kvartalen 1, 2 respektive 3 ska översändas senast den 29 maj, den 29 augusti respektive den 29 november under samma år, och uppgifter för kvartal 4 senast den 28 februari påföljande år.</w:t>
      </w:r>
    </w:p>
    <w:p>
      <w:pPr>
        <w:pStyle w:val="Tiret3"/>
        <w:rPr>
          <w:noProof/>
        </w:rPr>
      </w:pPr>
      <w:r>
        <w:rPr>
          <w:noProof/>
        </w:rPr>
        <w:t>Övriga uppgifter ska översändas senast den 15 mars under påföljande år.</w:t>
      </w:r>
    </w:p>
    <w:p>
      <w:pPr>
        <w:ind w:left="1416"/>
        <w:rPr>
          <w:rFonts w:eastAsia="Calibri"/>
          <w:noProof/>
        </w:rPr>
      </w:pPr>
      <w:r>
        <w:rPr>
          <w:noProof/>
        </w:rPr>
        <w:t>Under de år då dessa tidsfrister infaller på en lördag eller söndag ska den faktiska tidsfristen vara påföljande måndag.</w:t>
      </w:r>
    </w:p>
    <w:p>
      <w:pPr>
        <w:ind w:left="1416"/>
        <w:rPr>
          <w:rFonts w:eastAsia="Calibri"/>
          <w:noProof/>
        </w:rPr>
      </w:pPr>
      <w:r>
        <w:rPr>
          <w:noProof/>
        </w:rPr>
        <w:t>Om administrativa uppgifter används för att tillhandahålla uppgifter för det specifika ämnet ”förvärvsinkomst” får dessa uppgifter översändas till kommissionen (Eurostat) senast 21 månader efter referensperiodens utgång.</w:t>
      </w:r>
    </w:p>
    <w:p>
      <w:pPr>
        <w:pStyle w:val="Point1number"/>
        <w:rPr>
          <w:noProof/>
        </w:rPr>
      </w:pPr>
      <w:r>
        <w:rPr>
          <w:noProof/>
        </w:rPr>
        <w:t>Aggregerade resultat för sammanställning av den månatliga arbetslöshetsstatistiken ska översändas senast 25 dagar efter referensmånadens utgång. Medlemsstaterna ska inte inbegripa den sista veckan i referensmånaden när den övergår i nästa månad.</w:t>
      </w:r>
    </w:p>
    <w:p>
      <w:pPr>
        <w:pStyle w:val="NumPar1"/>
        <w:rPr>
          <w:noProof/>
        </w:rPr>
      </w:pPr>
      <w:r>
        <w:rPr>
          <w:noProof/>
        </w:rPr>
        <w:t xml:space="preserve">För området Inkomster och levnadsvillkor ska medlemsstaterna översända förhandskontrollerade mikrodata utan direkt identifiering enligt följande tidsfrister: </w:t>
      </w:r>
    </w:p>
    <w:p>
      <w:pPr>
        <w:pStyle w:val="Point2letter"/>
        <w:rPr>
          <w:noProof/>
        </w:rPr>
      </w:pPr>
      <w:r>
        <w:rPr>
          <w:noProof/>
        </w:rPr>
        <w:t>Variablerna för uppgiftsinsamlingen för år N ska översändas senast i slutet av år N. I exceptionella fall, när de administrativa uppgifter som krävs inte är tillgängliga i tid, får preliminära mikrodata avseende inkomster översändas senast i slutet av år N och de slutliga uppgifterna senast den 28 februari under år N+1.</w:t>
      </w:r>
    </w:p>
    <w:p>
      <w:pPr>
        <w:pStyle w:val="Point2letter"/>
        <w:rPr>
          <w:noProof/>
        </w:rPr>
      </w:pPr>
      <w:r>
        <w:rPr>
          <w:noProof/>
        </w:rPr>
        <w:t xml:space="preserve">Variablerna som avser det rotationsschema på sex år som löper ut under år N ska översändas senast den 31 oktober under år N+1.  </w:t>
      </w:r>
    </w:p>
    <w:p>
      <w:pPr>
        <w:pStyle w:val="NumPar1"/>
        <w:rPr>
          <w:noProof/>
        </w:rPr>
      </w:pPr>
      <w:r>
        <w:rPr>
          <w:noProof/>
        </w:rPr>
        <w:t>För området Hälsa ska medlemsstaterna översända förhandskontrollerade mikrodata senast nio månader efter utgången av den nationella perioden för uppgiftsinsamling.</w:t>
      </w:r>
    </w:p>
    <w:p>
      <w:pPr>
        <w:pStyle w:val="NumPar1"/>
        <w:rPr>
          <w:noProof/>
        </w:rPr>
      </w:pPr>
      <w:r>
        <w:rPr>
          <w:noProof/>
        </w:rPr>
        <w:lastRenderedPageBreak/>
        <w:t>För området Utbildning ska medlemsstaterna översända förhandskontrollerade mikrodata senast sex månader efter utgången av den nationella perioden för uppgiftsinsamling.</w:t>
      </w:r>
    </w:p>
    <w:p>
      <w:pPr>
        <w:pStyle w:val="NumPar1"/>
        <w:rPr>
          <w:noProof/>
        </w:rPr>
      </w:pPr>
      <w:r>
        <w:rPr>
          <w:noProof/>
        </w:rPr>
        <w:t>För området Användning av informations- och kommunikationsteknik ska medlemsstaterna översända förhandskontrollerade mikrodata senast den 5 oktober under undersökningsåret N.</w:t>
      </w:r>
    </w:p>
    <w:p>
      <w:pPr>
        <w:pStyle w:val="NumPar1"/>
        <w:rPr>
          <w:noProof/>
        </w:rPr>
      </w:pPr>
      <w:r>
        <w:rPr>
          <w:noProof/>
        </w:rPr>
        <w:t>För området Tidsanvändning ska medlemsstaterna översända förhandskontrollerade mikrodata senast 15 månader efter avslutat fältarbete.</w:t>
      </w:r>
    </w:p>
    <w:p>
      <w:pPr>
        <w:pStyle w:val="NumPar1"/>
        <w:rPr>
          <w:noProof/>
        </w:rPr>
      </w:pPr>
      <w:r>
        <w:rPr>
          <w:noProof/>
        </w:rPr>
        <w:t>För området Konsumtion ska medlemsstaterna översända förhandskontrollerade mikrodata senast 15 månader efter referensårets utgång.</w:t>
      </w:r>
    </w:p>
    <w:sectPr>
      <w:footerReference w:type="default" r:id="rId15"/>
      <w:footerReference w:type="first" r:id="rId16"/>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27C587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97CBCCE"/>
    <w:lvl w:ilvl="0">
      <w:start w:val="1"/>
      <w:numFmt w:val="decimal"/>
      <w:pStyle w:val="ListNumber3"/>
      <w:lvlText w:val="%1."/>
      <w:lvlJc w:val="left"/>
      <w:pPr>
        <w:tabs>
          <w:tab w:val="num" w:pos="926"/>
        </w:tabs>
        <w:ind w:left="926" w:hanging="360"/>
      </w:pPr>
    </w:lvl>
  </w:abstractNum>
  <w:abstractNum w:abstractNumId="2">
    <w:nsid w:val="FFFFFF7F"/>
    <w:multiLevelType w:val="singleLevel"/>
    <w:tmpl w:val="C0AC02C2"/>
    <w:lvl w:ilvl="0">
      <w:start w:val="1"/>
      <w:numFmt w:val="decimal"/>
      <w:pStyle w:val="ListNumber2"/>
      <w:lvlText w:val="%1."/>
      <w:lvlJc w:val="left"/>
      <w:pPr>
        <w:tabs>
          <w:tab w:val="num" w:pos="643"/>
        </w:tabs>
        <w:ind w:left="643" w:hanging="360"/>
      </w:pPr>
    </w:lvl>
  </w:abstractNum>
  <w:abstractNum w:abstractNumId="3">
    <w:nsid w:val="FFFFFF81"/>
    <w:multiLevelType w:val="singleLevel"/>
    <w:tmpl w:val="20E6840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D5256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72C89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3BC1834"/>
    <w:lvl w:ilvl="0">
      <w:start w:val="1"/>
      <w:numFmt w:val="decimal"/>
      <w:pStyle w:val="ListNumber"/>
      <w:lvlText w:val="%1."/>
      <w:lvlJc w:val="left"/>
      <w:pPr>
        <w:tabs>
          <w:tab w:val="num" w:pos="360"/>
        </w:tabs>
        <w:ind w:left="360" w:hanging="360"/>
      </w:pPr>
    </w:lvl>
  </w:abstractNum>
  <w:abstractNum w:abstractNumId="7">
    <w:nsid w:val="FFFFFF89"/>
    <w:multiLevelType w:val="singleLevel"/>
    <w:tmpl w:val="E7BA7D5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D577A08"/>
    <w:multiLevelType w:val="multilevel"/>
    <w:tmpl w:val="BD0277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9"/>
  </w:num>
  <w:num w:numId="20">
    <w:abstractNumId w:val="13"/>
  </w:num>
  <w:num w:numId="21">
    <w:abstractNumId w:val="21"/>
  </w:num>
  <w:num w:numId="22">
    <w:abstractNumId w:val="11"/>
  </w:num>
  <w:num w:numId="23">
    <w:abstractNumId w:val="14"/>
  </w:num>
  <w:num w:numId="24">
    <w:abstractNumId w:val="9"/>
  </w:num>
  <w:num w:numId="25">
    <w:abstractNumId w:val="8"/>
  </w:num>
  <w:num w:numId="26">
    <w:abstractNumId w:val="15"/>
  </w:num>
  <w:num w:numId="27">
    <w:abstractNumId w:val="17"/>
  </w:num>
  <w:num w:numId="28">
    <w:abstractNumId w:val="18"/>
  </w:num>
  <w:num w:numId="29">
    <w:abstractNumId w:val="10"/>
  </w:num>
  <w:num w:numId="30">
    <w:abstractNumId w:val="16"/>
  </w:num>
  <w:num w:numId="31">
    <w:abstractNumId w:val="22"/>
  </w:num>
  <w:num w:numId="32">
    <w:abstractNumId w:val="20"/>
  </w:num>
  <w:num w:numId="33">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24 15:05:51"/>
    <w:docVar w:name="DQCRepairStyles" w:val=";Heading 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FigNum" w:val="1"/>
    <w:docVar w:name="LW_ACCOMPAGNANT" w:val="till"/>
    <w:docVar w:name="LW_ACCOMPAGNANT.CP" w:val="till"/>
    <w:docVar w:name="LW_ANNEX_NBR_FIRST" w:val="1"/>
    <w:docVar w:name="LW_ANNEX_NBR_LAST" w:val="5"/>
    <w:docVar w:name="LW_CONFIDENCE" w:val=" "/>
    <w:docVar w:name="LW_CONST_RESTREINT_UE" w:val="RESTREINT UE"/>
    <w:docVar w:name="LW_CORRIGENDUM" w:val="&lt;UNUSED&gt;"/>
    <w:docVar w:name="LW_COVERPAGE_GUID" w:val="663CE6E2711E48B2BAFBF5B922B7D418"/>
    <w:docVar w:name="LW_CROSSREFERENCE" w:val="{SWD(2016) 282 final}_x000b_{SWD(2016) 283 final}"/>
    <w:docVar w:name="LW_DocType" w:val="ANNEX"/>
    <w:docVar w:name="LW_EMISSION" w:val="24.8.2016"/>
    <w:docVar w:name="LW_EMISSION_ISODATE" w:val="2016-08-24"/>
    <w:docVar w:name="LW_EMISSION_LOCATION" w:val="BRX"/>
    <w:docVar w:name="LW_EMISSION_PREFIX" w:val="Bryssel den "/>
    <w:docVar w:name="LW_EMISSION_SUFFIX" w:val=" "/>
    <w:docVar w:name="LW_ID_DOCSTRUCTURE" w:val="COM/ANNEX"/>
    <w:docVar w:name="LW_ID_DOCTYPE" w:val="SG-017"/>
    <w:docVar w:name="LW_LANGUE" w:val="SV"/>
    <w:docVar w:name="LW_MARKING" w:val="&lt;UNUSED&gt;"/>
    <w:docVar w:name="LW_NOM.INST" w:val="EUROPEISKA KOMMISSIONEN"/>
    <w:docVar w:name="LW_NOM.INST_JOINTDOC" w:val="&lt;EMPTY&gt;"/>
    <w:docVar w:name="LW_OBJETACTEPRINCIPAL" w:val="om fastställande av en gemensam ram för europeisk statistik om personer och hushåll, som grundas på uppgifter på individnivå som samlas in genom urvalsundersökningar"/>
    <w:docVar w:name="LW_OBJETACTEPRINCIPAL.CP" w:val="om fastställande av en gemensam ram för europeisk statistik om personer och hushåll, som grundas på uppgifter på individnivå som samlas in genom urvalsundersökningar"/>
    <w:docVar w:name="LW_PART_NBR" w:val="&lt;UNUSED&gt;"/>
    <w:docVar w:name="LW_PART_NBR_TOTAL" w:val="&lt;UNUSED&gt;"/>
    <w:docVar w:name="LW_REF.INST.NEW" w:val="COM"/>
    <w:docVar w:name="LW_REF.INST.NEW_ADOPTED" w:val="final"/>
    <w:docVar w:name="LW_REF.INST.NEW_TEXT" w:val="(2016) 551"/>
    <w:docVar w:name="LW_REF.INTERNE" w:val="&lt;UNUSED&gt;"/>
    <w:docVar w:name="LW_SUPERTITRE" w:val="&lt;UNUSED&gt;"/>
    <w:docVar w:name="LW_TITRE.OBJ.CP" w:val="&lt;UNUSED&gt;"/>
    <w:docVar w:name="LW_TYPE.DOC" w:val="BILAGOR"/>
    <w:docVar w:name="LW_TYPE.DOC.CP" w:val="BILAGOR"/>
    <w:docVar w:name="LW_TYPEACTEPRINCIPAL" w:val="förslaget till_x000b__x000b_EUROPAPARLAMENTETS OCH RÅDETS FÖRORDNING"/>
    <w:docVar w:name="LW_TYPEACTEPRINCIPAL.CP" w:val="förslaget till_x000b__x000b_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lang w:val="en-GB"/>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lang w:val="en-GB"/>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lang w:val="en-GB"/>
    </w:rPr>
  </w:style>
  <w:style w:type="paragraph" w:styleId="Heading4">
    <w:name w:val="heading 4"/>
    <w:basedOn w:val="Normal"/>
    <w:next w:val="Text1"/>
    <w:link w:val="Heading4Char"/>
    <w:uiPriority w:val="9"/>
    <w:semiHidden/>
    <w:unhideWhenUsed/>
    <w:qFormat/>
    <w:pPr>
      <w:keepNext/>
      <w:numPr>
        <w:ilvl w:val="3"/>
        <w:numId w:val="33"/>
      </w:numPr>
      <w:tabs>
        <w:tab w:val="num" w:pos="850"/>
      </w:tabs>
      <w:ind w:left="850" w:hanging="850"/>
      <w:outlineLvl w:val="3"/>
    </w:pPr>
    <w:rPr>
      <w:rFonts w:eastAsiaTheme="majorEastAsia"/>
      <w:bCs/>
      <w:iC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rFonts w:cs="Times New Roman"/>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cs="Times New Roman"/>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styleId="Caption">
    <w:name w:val="caption"/>
    <w:basedOn w:val="Normal"/>
    <w:next w:val="Normal"/>
    <w:uiPriority w:val="35"/>
    <w:semiHidden/>
    <w:unhideWhenUsed/>
    <w:qFormat/>
    <w:pPr>
      <w:spacing w:before="0" w:after="200"/>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lang w:val="en-GB"/>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lang w:val="en-GB"/>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lang w:val="en-GB"/>
    </w:rPr>
  </w:style>
  <w:style w:type="paragraph" w:styleId="Heading4">
    <w:name w:val="heading 4"/>
    <w:basedOn w:val="Normal"/>
    <w:next w:val="Text1"/>
    <w:link w:val="Heading4Char"/>
    <w:uiPriority w:val="9"/>
    <w:semiHidden/>
    <w:unhideWhenUsed/>
    <w:qFormat/>
    <w:pPr>
      <w:keepNext/>
      <w:numPr>
        <w:ilvl w:val="3"/>
        <w:numId w:val="33"/>
      </w:numPr>
      <w:tabs>
        <w:tab w:val="num" w:pos="850"/>
      </w:tabs>
      <w:ind w:left="850" w:hanging="850"/>
      <w:outlineLvl w:val="3"/>
    </w:pPr>
    <w:rPr>
      <w:rFonts w:eastAsiaTheme="majorEastAsia"/>
      <w:bCs/>
      <w:iC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rFonts w:cs="Times New Roman"/>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cs="Times New Roman"/>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styleId="Caption">
    <w:name w:val="caption"/>
    <w:basedOn w:val="Normal"/>
    <w:next w:val="Normal"/>
    <w:uiPriority w:val="35"/>
    <w:semiHidden/>
    <w:unhideWhenUsed/>
    <w:qFormat/>
    <w:pPr>
      <w:spacing w:before="0" w:after="200"/>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14</Pages>
  <Words>2278</Words>
  <Characters>15610</Characters>
  <Application>Microsoft Office Word</Application>
  <DocSecurity>0</DocSecurity>
  <Lines>918</Lines>
  <Paragraphs>397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Pär Svensson</dc:creator>
  <cp:lastModifiedBy>DIGIT/A3</cp:lastModifiedBy>
  <cp:revision>9</cp:revision>
  <cp:lastPrinted>2016-06-30T05:36:00Z</cp:lastPrinted>
  <dcterms:created xsi:type="dcterms:W3CDTF">2016-08-17T08:42:00Z</dcterms:created>
  <dcterms:modified xsi:type="dcterms:W3CDTF">2016-08-24T13:05:00Z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20130911</vt:lpwstr>
  </property>
  <property fmtid="{D5CDD505-2E9C-101B-9397-08002B2CF9AE}" pid="7" name="First annex">
    <vt:lpwstr>1</vt:lpwstr>
  </property>
  <property fmtid="{D5CDD505-2E9C-101B-9397-08002B2CF9AE}" pid="8" name="Last annex">
    <vt:lpwstr>5</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