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DB07EBB780741A497E76B9FDCB64B84" style="width:450.75pt;height:45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Bijlage I</w:t>
      </w:r>
    </w:p>
    <w:p>
      <w:pPr>
        <w:jc w:val="center"/>
        <w:rPr>
          <w:b/>
          <w:noProof/>
        </w:rPr>
      </w:pPr>
      <w:r>
        <w:rPr>
          <w:b/>
          <w:noProof/>
        </w:rPr>
        <w:t>Te bestrijken onderwerpen</w:t>
      </w:r>
    </w:p>
    <w:p>
      <w:pPr>
        <w:pStyle w:val="Text1"/>
        <w:rPr>
          <w:noProof/>
        </w:rPr>
      </w:pPr>
    </w:p>
    <w:tbl>
      <w:tblPr>
        <w:tblW w:w="9975" w:type="dxa"/>
        <w:tblInd w:w="93" w:type="dxa"/>
        <w:tblLook w:val="04A0" w:firstRow="1" w:lastRow="0" w:firstColumn="1" w:lastColumn="0" w:noHBand="0" w:noVBand="1"/>
      </w:tblPr>
      <w:tblGrid>
        <w:gridCol w:w="2696"/>
        <w:gridCol w:w="3468"/>
        <w:gridCol w:w="3960"/>
      </w:tblGrid>
      <w:tr>
        <w:trPr>
          <w:trHeight w:val="300"/>
        </w:trPr>
        <w:tc>
          <w:tcPr>
            <w:tcW w:w="2547" w:type="dxa"/>
            <w:tcBorders>
              <w:left w:val="nil"/>
              <w:bottom w:val="single" w:sz="4" w:space="0" w:color="auto"/>
              <w:right w:val="nil"/>
            </w:tcBorders>
            <w:shd w:val="clear" w:color="auto" w:fill="auto"/>
            <w:noWrap/>
            <w:hideMark/>
          </w:tcPr>
          <w:p>
            <w:pPr>
              <w:spacing w:before="0" w:afterLines="20" w:after="48"/>
              <w:rPr>
                <w:noProof/>
              </w:rPr>
            </w:pPr>
            <w:r>
              <w:rPr>
                <w:noProof/>
              </w:rPr>
              <w:t>Deelgebied</w:t>
            </w:r>
          </w:p>
        </w:tc>
        <w:tc>
          <w:tcPr>
            <w:tcW w:w="3468" w:type="dxa"/>
            <w:tcBorders>
              <w:left w:val="nil"/>
              <w:bottom w:val="single" w:sz="4" w:space="0" w:color="auto"/>
              <w:right w:val="nil"/>
            </w:tcBorders>
            <w:shd w:val="clear" w:color="auto" w:fill="auto"/>
            <w:noWrap/>
            <w:hideMark/>
          </w:tcPr>
          <w:p>
            <w:pPr>
              <w:spacing w:before="0" w:afterLines="20" w:after="48"/>
              <w:rPr>
                <w:noProof/>
              </w:rPr>
            </w:pPr>
            <w:r>
              <w:rPr>
                <w:noProof/>
              </w:rPr>
              <w:t>Onderwerp</w:t>
            </w:r>
          </w:p>
        </w:tc>
        <w:tc>
          <w:tcPr>
            <w:tcW w:w="3960" w:type="dxa"/>
            <w:tcBorders>
              <w:left w:val="nil"/>
              <w:bottom w:val="single" w:sz="4" w:space="0" w:color="auto"/>
              <w:right w:val="nil"/>
            </w:tcBorders>
            <w:shd w:val="clear" w:color="auto" w:fill="auto"/>
            <w:noWrap/>
            <w:hideMark/>
          </w:tcPr>
          <w:p>
            <w:pPr>
              <w:spacing w:before="0" w:afterLines="20" w:after="48"/>
              <w:rPr>
                <w:noProof/>
                <w:szCs w:val="24"/>
              </w:rPr>
            </w:pPr>
            <w:r>
              <w:rPr>
                <w:noProof/>
              </w:rPr>
              <w:t>Gedetailleerde onderwerpen</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 xml:space="preserve">Voor alle deelgebieden </w:t>
            </w:r>
          </w:p>
        </w:tc>
        <w:tc>
          <w:tcPr>
            <w:tcW w:w="3468" w:type="dxa"/>
            <w:tcBorders>
              <w:top w:val="single" w:sz="4" w:space="0" w:color="auto"/>
              <w:left w:val="nil"/>
              <w:bottom w:val="nil"/>
              <w:right w:val="nil"/>
            </w:tcBorders>
            <w:shd w:val="clear" w:color="auto" w:fill="auto"/>
            <w:noWrap/>
            <w:hideMark/>
          </w:tcPr>
          <w:p>
            <w:pPr>
              <w:spacing w:before="0" w:after="0"/>
              <w:rPr>
                <w:noProof/>
              </w:rPr>
            </w:pPr>
            <w:r>
              <w:rPr>
                <w:noProof/>
              </w:rPr>
              <w:t>Technische gegevens</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Informatie over gegevensverzameling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Identificatie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Gewichten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Kenmerken van het interview</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Lokalisatie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Kenmerken van de persoon en het huishouden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Bevolking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Staatsburgerschap en migratieachtergrond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Samenstelling van het huishouden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Arbeidsmarktparticipatie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Status hoofdactiviteit (eigen verklaring)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Elementaire kenmerken van de baan</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r>
              <w:rPr>
                <w:noProof/>
              </w:rPr>
              <w:t>Opleidingsniveau en achtergrond</w:t>
            </w: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Opleidingsniveau</w:t>
            </w:r>
          </w:p>
        </w:tc>
      </w:tr>
      <w:tr>
        <w:trPr>
          <w:trHeight w:val="300"/>
        </w:trPr>
        <w:tc>
          <w:tcPr>
            <w:tcW w:w="2547" w:type="dxa"/>
            <w:tcBorders>
              <w:top w:val="single" w:sz="4" w:space="0" w:color="auto"/>
              <w:left w:val="nil"/>
              <w:right w:val="nil"/>
            </w:tcBorders>
            <w:shd w:val="clear" w:color="auto" w:fill="auto"/>
            <w:noWrap/>
          </w:tcPr>
          <w:p>
            <w:pPr>
              <w:spacing w:before="0" w:after="0"/>
              <w:rPr>
                <w:noProof/>
              </w:rPr>
            </w:pPr>
            <w:r>
              <w:rPr>
                <w:noProof/>
              </w:rPr>
              <w:t>Arbeidsmarkt</w:t>
            </w:r>
          </w:p>
        </w:tc>
        <w:tc>
          <w:tcPr>
            <w:tcW w:w="3468" w:type="dxa"/>
            <w:vMerge w:val="restart"/>
            <w:tcBorders>
              <w:top w:val="single" w:sz="4" w:space="0" w:color="auto"/>
              <w:left w:val="nil"/>
              <w:right w:val="nil"/>
            </w:tcBorders>
            <w:shd w:val="clear" w:color="auto" w:fill="auto"/>
            <w:noWrap/>
          </w:tcPr>
          <w:p>
            <w:pPr>
              <w:spacing w:before="0" w:after="0"/>
              <w:rPr>
                <w:noProof/>
              </w:rPr>
            </w:pPr>
            <w:r>
              <w:rPr>
                <w:noProof/>
              </w:rPr>
              <w:t>Kenmerken van de persoon en het huishouden</w:t>
            </w:r>
          </w:p>
        </w:tc>
        <w:tc>
          <w:tcPr>
            <w:tcW w:w="3960" w:type="dxa"/>
            <w:tcBorders>
              <w:top w:val="single" w:sz="4" w:space="0" w:color="auto"/>
              <w:left w:val="nil"/>
              <w:right w:val="nil"/>
            </w:tcBorders>
            <w:shd w:val="clear" w:color="auto" w:fill="auto"/>
            <w:noWrap/>
          </w:tcPr>
          <w:p>
            <w:pPr>
              <w:spacing w:before="0" w:afterLines="20" w:after="48"/>
              <w:rPr>
                <w:noProof/>
                <w:sz w:val="20"/>
                <w:szCs w:val="20"/>
              </w:rPr>
            </w:pPr>
            <w:r>
              <w:rPr>
                <w:noProof/>
                <w:sz w:val="20"/>
              </w:rPr>
              <w:t>Samenstelling van het huishouden — details</w:t>
            </w:r>
          </w:p>
        </w:tc>
      </w:tr>
      <w:tr>
        <w:trPr>
          <w:trHeight w:val="300"/>
        </w:trPr>
        <w:tc>
          <w:tcPr>
            <w:tcW w:w="2547" w:type="dxa"/>
            <w:tcBorders>
              <w:left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left w:val="nil"/>
              <w:right w:val="nil"/>
            </w:tcBorders>
            <w:shd w:val="clear" w:color="auto" w:fill="auto"/>
            <w:noWrap/>
          </w:tcPr>
          <w:p>
            <w:pPr>
              <w:spacing w:before="0" w:afterLines="20" w:after="48"/>
              <w:rPr>
                <w:noProof/>
                <w:sz w:val="20"/>
                <w:szCs w:val="20"/>
              </w:rPr>
            </w:pPr>
            <w:r>
              <w:rPr>
                <w:noProof/>
                <w:sz w:val="20"/>
              </w:rPr>
              <w:t xml:space="preserve">Duur van het verblijf in het land </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right w:val="nil"/>
            </w:tcBorders>
            <w:shd w:val="clear" w:color="auto" w:fill="auto"/>
            <w:noWrap/>
            <w:hideMark/>
          </w:tcPr>
          <w:p>
            <w:pPr>
              <w:spacing w:before="0" w:after="0"/>
              <w:rPr>
                <w:noProof/>
              </w:rPr>
            </w:pPr>
            <w:r>
              <w:rPr>
                <w:noProof/>
              </w:rPr>
              <w:t xml:space="preserve">Arbeidsmarktparticipatie </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Beroepsstatus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Looptijd van het contract</w:t>
            </w:r>
          </w:p>
          <w:p>
            <w:pPr>
              <w:spacing w:before="0" w:afterLines="20" w:after="48"/>
              <w:rPr>
                <w:noProof/>
                <w:sz w:val="20"/>
                <w:szCs w:val="20"/>
              </w:rPr>
            </w:pPr>
            <w:r>
              <w:rPr>
                <w:noProof/>
                <w:sz w:val="20"/>
              </w:rPr>
              <w:t>Looptijd van het contract — secundaire informatie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Voltijd of deeltijd — reden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Afhankelijke zelfstandige arbeid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Toezichthoudende taken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Grootte van de onderneming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Werkplek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Thuiswerk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Zoektocht naar werk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Bereidheid tot werken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Beschikbaarheid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Tweede werkkring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Op zoek naar ander werk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Combinatie van werk en gezin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Jongeren op de arbeidsmarkt</w:t>
            </w:r>
          </w:p>
        </w:tc>
      </w:tr>
      <w:tr>
        <w:trPr>
          <w:trHeight w:val="300"/>
        </w:trPr>
        <w:tc>
          <w:tcPr>
            <w:tcW w:w="2547" w:type="dxa"/>
            <w:tcBorders>
              <w:top w:val="nil"/>
              <w:left w:val="nil"/>
              <w:bottom w:val="nil"/>
              <w:right w:val="nil"/>
            </w:tcBorders>
            <w:shd w:val="clear" w:color="auto" w:fill="auto"/>
            <w:noWrap/>
            <w:hideMark/>
          </w:tcPr>
          <w:p>
            <w:pPr>
              <w:spacing w:before="0" w:after="0"/>
              <w:rPr>
                <w:b/>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Arbeidsmarktsituatie van migranten en hun directe nakomelingen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Overgang naar pensionering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Behoefte aan zorg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Duur van het arbeidsverband en eerdere werkervaring</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Begin van de baan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Manier waarop de baan is gevonden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Eerdere werkervaring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Arbeidsvoorwaarden, met inbegrip van werktijden en werktijdregelingen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Werktijden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Werktijdregelingen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Werkorganisatie en werktijdregelingen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Opleidingsniveau en achtergrond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Opleidingsniveau — details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Deelname aan onderwijs en opleiding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Deelname aan formele en niet-formele onderwijs- en opleidingsactiviteiten (4 weken)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Deelname aan formele en niet-formele onderwijs- en opleidingsactiviteiten (12 maanden)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r>
              <w:rPr>
                <w:noProof/>
              </w:rPr>
              <w:t xml:space="preserve">Gezondheid: status en arbeidsongeschiktheid, zorg en determinanten </w:t>
            </w: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Arbeidsongevallen en andere werkgerelateerde gezondheidsproblemen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Minimum Europese gezondheidsmodule</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Inkomen, verbruik en vermogen, met inbegrip van schulden</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Inkomen uit arbeid</w:t>
            </w:r>
          </w:p>
        </w:tc>
      </w:tr>
      <w:tr>
        <w:trPr>
          <w:trHeight w:val="284"/>
        </w:trPr>
        <w:tc>
          <w:tcPr>
            <w:tcW w:w="2547" w:type="dxa"/>
            <w:vMerge w:val="restart"/>
            <w:tcBorders>
              <w:left w:val="nil"/>
              <w:right w:val="nil"/>
            </w:tcBorders>
            <w:shd w:val="clear" w:color="auto" w:fill="auto"/>
            <w:noWrap/>
          </w:tcPr>
          <w:p>
            <w:pPr>
              <w:spacing w:before="0" w:after="0"/>
              <w:rPr>
                <w:noProof/>
              </w:rPr>
            </w:pPr>
            <w:r>
              <w:rPr>
                <w:noProof/>
              </w:rPr>
              <w:t>Inkomen en levensomstandigheden</w:t>
            </w:r>
          </w:p>
        </w:tc>
        <w:tc>
          <w:tcPr>
            <w:tcW w:w="3468" w:type="dxa"/>
            <w:vMerge w:val="restart"/>
            <w:tcBorders>
              <w:top w:val="nil"/>
              <w:left w:val="nil"/>
              <w:right w:val="nil"/>
            </w:tcBorders>
            <w:shd w:val="clear" w:color="auto" w:fill="auto"/>
            <w:noWrap/>
          </w:tcPr>
          <w:p>
            <w:pPr>
              <w:spacing w:before="0" w:after="0"/>
              <w:rPr>
                <w:noProof/>
              </w:rPr>
            </w:pPr>
            <w:r>
              <w:rPr>
                <w:noProof/>
              </w:rPr>
              <w:t>Kenmerken van de persoon en het huishouden</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Samenstelling van het huishouden — details</w:t>
            </w:r>
          </w:p>
        </w:tc>
      </w:tr>
      <w:tr>
        <w:trPr>
          <w:trHeight w:val="300"/>
        </w:trPr>
        <w:tc>
          <w:tcPr>
            <w:tcW w:w="2547" w:type="dxa"/>
            <w:vMerge/>
            <w:tcBorders>
              <w:left w:val="nil"/>
              <w:bottom w:val="nil"/>
              <w:right w:val="nil"/>
            </w:tcBorders>
            <w:shd w:val="clear" w:color="auto" w:fill="auto"/>
            <w:noWrap/>
          </w:tcPr>
          <w:p>
            <w:pPr>
              <w:spacing w:before="0" w:after="0"/>
              <w:rPr>
                <w:noProof/>
              </w:rPr>
            </w:pPr>
          </w:p>
        </w:tc>
        <w:tc>
          <w:tcPr>
            <w:tcW w:w="3468" w:type="dxa"/>
            <w:vMerge/>
            <w:tcBorders>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Duur van het verblijf in het land</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Deelname aan onderwijs en opleiding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Deelname aan formele onderwijsactiviteiten (momenteel)</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Opleidingsniveau en achtergrond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Opleidingsniveau — details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Arbeidsmarktparticipatie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Kenmerken van de werkplek</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Looptijd van het contract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vMerge/>
            <w:tcBorders>
              <w:left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Beroepsstatus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Gedetailleerde arbeidsmarktsituatie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Toezichthoudende taken</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Duur van het arbeidsverband en eerdere werkervaring</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Eerdere werkervaring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Arbeidsvoorwaarden, met inbegrip van werktijden en werktijdregelingen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Kalender van bezigheden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Werktijden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Gezondheid: status en arbeidsongeschiktheid, zorg en determinanten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Minimum Europese gezondheidsmodule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Gezondheidstoestand en arbeidsongeschiktheid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Gezondheid van kinderen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Toegang tot gezondheidszorg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Gezondheidszorg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Toegang tot gezondheidszorg (kinderen)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Gezondheidsdeterminanten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Levenskwaliteit, met inbegrip van sociale en culturele participatie en welzijn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Levenskwaliteit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Sociale en culturele participatie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Welzijn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Levensomstandigheden, met inbegrip van materiële deprivatie, huisvesting, leefomgeving, toegang tot diensten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Materiële deprivatie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Deprivatie van kinderen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Belangrijkste kenmerken van de huisvesting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Details woonomstandigheden, met inbegrip van deprivatie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Woonkosten, met inbegrip van huurwaarde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Leefomgeving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Gebruik van diensten, met inbegrip van </w:t>
            </w:r>
            <w:r>
              <w:rPr>
                <w:noProof/>
                <w:sz w:val="20"/>
              </w:rPr>
              <w:lastRenderedPageBreak/>
              <w:t>zorgdiensten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Betaalbaarheid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Onvervulde behoeften en redenen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Kinderopvang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Inkomen, verbruik en vermogen, met inbegrip van schulden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Inkomen uit arbeid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Inkomen uit toelagen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Inkomen uit pensioenen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Overig inkomen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Belastingen en bijdragen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Totaal inkomen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Overmatige schuldenlast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Betalingsachterstanden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Vermogen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Voornaamste verbruikscomponenten</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Intergenerationele overdracht van achterstand</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Gezondheid</w:t>
            </w:r>
          </w:p>
        </w:tc>
        <w:tc>
          <w:tcPr>
            <w:tcW w:w="3468" w:type="dxa"/>
            <w:vMerge w:val="restart"/>
            <w:tcBorders>
              <w:top w:val="single" w:sz="4" w:space="0" w:color="auto"/>
              <w:left w:val="nil"/>
              <w:right w:val="nil"/>
            </w:tcBorders>
            <w:shd w:val="clear" w:color="auto" w:fill="auto"/>
            <w:noWrap/>
            <w:hideMark/>
          </w:tcPr>
          <w:p>
            <w:pPr>
              <w:spacing w:before="0" w:after="0"/>
              <w:rPr>
                <w:noProof/>
              </w:rPr>
            </w:pPr>
            <w:r>
              <w:rPr>
                <w:noProof/>
              </w:rPr>
              <w:t>Gezondheid: status en arbeidsongeschiktheid, zorg en determinanten</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Minimum Europese gezondheidsmodule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Ziekten en chronische aandoeningen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Ongelukken en verwondingen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Pijn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Geestelijke gezondheid</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Functiebeperkingen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Moeilijkheden bij persoonlijke verzorging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Moeilijkheden bij huishoudelijke activiteiten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Tijdelijke beperking van activiteit (vanwege gezondheidsproblemen)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Belemmeringen voor deelname in specifieke deelgebieden van het leven</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Gebruik van gezondheidszorg en langdurige zorg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Geneesmiddelengebruik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Preventieve zorg</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Toegang tot gezondheidszorg</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Lengte en gewicht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Fysieke activiteit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Voedingsgewoonten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Roken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Alcoholconsumptie</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Sociale en milieufactoren</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Inkomen, verbruik en vermogen, met inbegrip van schulden</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Totaal inkomen</w:t>
            </w:r>
          </w:p>
        </w:tc>
      </w:tr>
      <w:tr>
        <w:trPr>
          <w:trHeight w:val="300"/>
        </w:trPr>
        <w:tc>
          <w:tcPr>
            <w:tcW w:w="2547" w:type="dxa"/>
            <w:tcBorders>
              <w:top w:val="single" w:sz="4" w:space="0" w:color="auto"/>
              <w:left w:val="nil"/>
              <w:bottom w:val="nil"/>
              <w:right w:val="nil"/>
            </w:tcBorders>
            <w:shd w:val="clear" w:color="auto" w:fill="auto"/>
            <w:noWrap/>
          </w:tcPr>
          <w:p>
            <w:pPr>
              <w:spacing w:before="0" w:after="0"/>
              <w:rPr>
                <w:noProof/>
              </w:rPr>
            </w:pPr>
            <w:r>
              <w:rPr>
                <w:noProof/>
              </w:rPr>
              <w:t>Onderwijs en opleiding</w:t>
            </w:r>
          </w:p>
        </w:tc>
        <w:tc>
          <w:tcPr>
            <w:tcW w:w="3468" w:type="dxa"/>
            <w:tcBorders>
              <w:top w:val="single" w:sz="4" w:space="0" w:color="auto"/>
              <w:left w:val="nil"/>
              <w:right w:val="nil"/>
            </w:tcBorders>
            <w:shd w:val="clear" w:color="auto" w:fill="auto"/>
            <w:noWrap/>
          </w:tcPr>
          <w:p>
            <w:pPr>
              <w:spacing w:before="0" w:after="0"/>
              <w:rPr>
                <w:noProof/>
              </w:rPr>
            </w:pPr>
            <w:r>
              <w:rPr>
                <w:noProof/>
              </w:rPr>
              <w:t>Kenmerken van de persoon en het huishouden</w:t>
            </w:r>
          </w:p>
        </w:tc>
        <w:tc>
          <w:tcPr>
            <w:tcW w:w="3960" w:type="dxa"/>
            <w:tcBorders>
              <w:top w:val="single" w:sz="4" w:space="0" w:color="auto"/>
              <w:left w:val="nil"/>
              <w:bottom w:val="nil"/>
              <w:right w:val="nil"/>
            </w:tcBorders>
            <w:shd w:val="clear" w:color="auto" w:fill="auto"/>
            <w:noWrap/>
          </w:tcPr>
          <w:p>
            <w:pPr>
              <w:spacing w:before="0" w:afterLines="20" w:after="48"/>
              <w:rPr>
                <w:noProof/>
                <w:sz w:val="20"/>
                <w:szCs w:val="20"/>
              </w:rPr>
            </w:pPr>
            <w:r>
              <w:rPr>
                <w:noProof/>
                <w:sz w:val="20"/>
              </w:rPr>
              <w:t>Duur van het verblijf in het land</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r>
              <w:rPr>
                <w:noProof/>
              </w:rPr>
              <w:t>Duur van het arbeidsverband en eerdere werkervaring</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Begin van de baan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Arbeidsmarktparticipatie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Grootte van de onderneming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r>
              <w:rPr>
                <w:noProof/>
              </w:rPr>
              <w:t>Opleidingsniveau en achtergrond</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Opleidingsniveau — details</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Onderwijsachtergrond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Zelfgerapporteerde vaardigheden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 xml:space="preserve">Deelname aan onderwijs en opleiding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Toegang tot informatie over opleidingsmogelijkheden en advies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Deelname aan formele onderwijsactiviteiten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Recentste activiteit op het gebied van formeel onderwijs — details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Gebruik van ICT tijdens de recentste activiteit op het gebied van formeel onderwijs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Redenen om aan de recentste activiteit op het gebied van formeel onderwijs deel te nemen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Kosten en uren van de recentste activiteit op het gebied van formeel onderwijs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Resultaten en gebruik van vaardigheden van de recentste activiteit op het gebied van formeel onderwijs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Deelname aan niet-formele onderwijsactiviteiten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Niet-formele onderwijsactiviteiten — details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Gebruik van ICT in niet-formele onderwijsactiviteiten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Redenen voor deelname aan niet-formele onderwijsactiviteiten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Kosten en uren van de niet-formele onderwijsactiviteiten (12 maanden)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Resultaten en gebruik van vaardigheden van niet-formele onderwijsactiviteiten (12 maanden)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Belemmeringen voor deelname aan onderwijs- en opleidingsactiviteiten (12 maanden)</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Informeel leren</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Inkomen, verbruik en vermogen, met inbegrip van schulden</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Totaal inkomen</w:t>
            </w:r>
          </w:p>
        </w:tc>
      </w:tr>
      <w:tr>
        <w:trPr>
          <w:trHeight w:val="300"/>
        </w:trPr>
        <w:tc>
          <w:tcPr>
            <w:tcW w:w="2547" w:type="dxa"/>
            <w:vMerge w:val="restart"/>
            <w:tcBorders>
              <w:top w:val="single" w:sz="4" w:space="0" w:color="auto"/>
              <w:left w:val="nil"/>
              <w:right w:val="nil"/>
            </w:tcBorders>
            <w:shd w:val="clear" w:color="auto" w:fill="auto"/>
            <w:noWrap/>
            <w:hideMark/>
          </w:tcPr>
          <w:p>
            <w:pPr>
              <w:spacing w:before="0" w:after="0"/>
              <w:rPr>
                <w:noProof/>
              </w:rPr>
            </w:pPr>
            <w:r>
              <w:rPr>
                <w:noProof/>
              </w:rPr>
              <w:t>Gebruik van informatie- en communicatietechnologie</w:t>
            </w:r>
          </w:p>
        </w:tc>
        <w:tc>
          <w:tcPr>
            <w:tcW w:w="3468" w:type="dxa"/>
            <w:tcBorders>
              <w:top w:val="single" w:sz="4" w:space="0" w:color="auto"/>
              <w:left w:val="nil"/>
              <w:bottom w:val="nil"/>
              <w:right w:val="nil"/>
            </w:tcBorders>
            <w:shd w:val="clear" w:color="auto" w:fill="auto"/>
            <w:noWrap/>
            <w:hideMark/>
          </w:tcPr>
          <w:p>
            <w:pPr>
              <w:spacing w:before="0" w:after="0"/>
              <w:rPr>
                <w:noProof/>
              </w:rPr>
            </w:pPr>
            <w:r>
              <w:rPr>
                <w:noProof/>
              </w:rPr>
              <w:t>Deelname aan de informatiemaatschappij</w:t>
            </w:r>
          </w:p>
        </w:tc>
        <w:tc>
          <w:tcPr>
            <w:tcW w:w="3960" w:type="dxa"/>
            <w:tcBorders>
              <w:top w:val="single" w:sz="4" w:space="0" w:color="auto"/>
              <w:left w:val="nil"/>
              <w:bottom w:val="nil"/>
              <w:right w:val="nil"/>
            </w:tcBorders>
            <w:shd w:val="clear" w:color="auto" w:fill="auto"/>
            <w:noWrap/>
            <w:hideMark/>
          </w:tcPr>
          <w:p>
            <w:pPr>
              <w:spacing w:before="0" w:afterLines="20" w:after="48"/>
              <w:rPr>
                <w:noProof/>
                <w:sz w:val="20"/>
                <w:szCs w:val="20"/>
              </w:rPr>
            </w:pPr>
            <w:r>
              <w:rPr>
                <w:noProof/>
                <w:sz w:val="20"/>
              </w:rPr>
              <w:t>Toegang tot ICT</w:t>
            </w:r>
          </w:p>
        </w:tc>
      </w:tr>
      <w:tr>
        <w:trPr>
          <w:trHeight w:val="300"/>
        </w:trPr>
        <w:tc>
          <w:tcPr>
            <w:tcW w:w="2547" w:type="dxa"/>
            <w:vMerge/>
            <w:tcBorders>
              <w:left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Gebruik en gebruiksfrequentie van ICT</w:t>
            </w:r>
          </w:p>
        </w:tc>
      </w:tr>
      <w:tr>
        <w:trPr>
          <w:trHeight w:val="300"/>
        </w:trPr>
        <w:tc>
          <w:tcPr>
            <w:tcW w:w="2547" w:type="dxa"/>
            <w:vMerge/>
            <w:tcBorders>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Belemmeringen voor en problemen bij het gebruik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Effect van het gebruik</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Veiligheid, privacy, vertrouwen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Overal verbinding met internet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Digitale vaardigheden </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Internetactiviteiten</w:t>
            </w:r>
          </w:p>
        </w:tc>
      </w:tr>
      <w:tr>
        <w:trPr>
          <w:trHeight w:val="300"/>
        </w:trPr>
        <w:tc>
          <w:tcPr>
            <w:tcW w:w="2547" w:type="dxa"/>
            <w:tcBorders>
              <w:top w:val="nil"/>
              <w:left w:val="nil"/>
              <w:right w:val="nil"/>
            </w:tcBorders>
            <w:shd w:val="clear" w:color="auto" w:fill="auto"/>
            <w:noWrap/>
          </w:tcPr>
          <w:p>
            <w:pPr>
              <w:spacing w:before="0" w:after="0"/>
              <w:rPr>
                <w:noProof/>
              </w:rPr>
            </w:pPr>
          </w:p>
        </w:tc>
        <w:tc>
          <w:tcPr>
            <w:tcW w:w="3468" w:type="dxa"/>
            <w:tcBorders>
              <w:top w:val="nil"/>
              <w:left w:val="nil"/>
              <w:right w:val="nil"/>
            </w:tcBorders>
            <w:shd w:val="clear" w:color="auto" w:fill="auto"/>
            <w:noWrap/>
          </w:tcPr>
          <w:p>
            <w:pPr>
              <w:spacing w:before="0" w:after="0"/>
              <w:rPr>
                <w:noProof/>
              </w:rPr>
            </w:pPr>
          </w:p>
        </w:tc>
        <w:tc>
          <w:tcPr>
            <w:tcW w:w="3960" w:type="dxa"/>
            <w:tcBorders>
              <w:top w:val="nil"/>
              <w:left w:val="nil"/>
              <w:right w:val="nil"/>
            </w:tcBorders>
            <w:shd w:val="clear" w:color="auto" w:fill="auto"/>
            <w:noWrap/>
          </w:tcPr>
          <w:p>
            <w:pPr>
              <w:spacing w:before="0" w:afterLines="20" w:after="48"/>
              <w:rPr>
                <w:noProof/>
                <w:sz w:val="20"/>
                <w:szCs w:val="20"/>
              </w:rPr>
            </w:pPr>
            <w:r>
              <w:rPr>
                <w:noProof/>
                <w:sz w:val="20"/>
              </w:rPr>
              <w:t>Elektronische handel (e-commerce)</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Interactie met overheden</w:t>
            </w:r>
          </w:p>
        </w:tc>
      </w:tr>
      <w:tr>
        <w:trPr>
          <w:trHeight w:val="300"/>
        </w:trPr>
        <w:tc>
          <w:tcPr>
            <w:tcW w:w="2547" w:type="dxa"/>
            <w:tcBorders>
              <w:top w:val="nil"/>
              <w:left w:val="nil"/>
              <w:bottom w:val="single" w:sz="4" w:space="0" w:color="auto"/>
              <w:right w:val="nil"/>
            </w:tcBorders>
            <w:shd w:val="clear" w:color="auto" w:fill="auto"/>
            <w:noWrap/>
          </w:tcPr>
          <w:p>
            <w:pPr>
              <w:spacing w:before="0" w:after="0"/>
              <w:rPr>
                <w:noProof/>
              </w:rPr>
            </w:pPr>
          </w:p>
        </w:tc>
        <w:tc>
          <w:tcPr>
            <w:tcW w:w="3468" w:type="dxa"/>
            <w:tcBorders>
              <w:top w:val="nil"/>
              <w:left w:val="nil"/>
              <w:bottom w:val="single" w:sz="4" w:space="0" w:color="auto"/>
              <w:right w:val="nil"/>
            </w:tcBorders>
            <w:shd w:val="clear" w:color="auto" w:fill="auto"/>
            <w:noWrap/>
          </w:tcPr>
          <w:p>
            <w:pPr>
              <w:spacing w:before="0" w:after="0"/>
              <w:rPr>
                <w:noProof/>
              </w:rPr>
            </w:pPr>
            <w:r>
              <w:rPr>
                <w:noProof/>
              </w:rPr>
              <w:t>Inkomen, verbruik en vermogen, met inbegrip van schulden</w:t>
            </w:r>
          </w:p>
        </w:tc>
        <w:tc>
          <w:tcPr>
            <w:tcW w:w="3960" w:type="dxa"/>
            <w:tcBorders>
              <w:top w:val="nil"/>
              <w:left w:val="nil"/>
              <w:bottom w:val="single" w:sz="4" w:space="0" w:color="auto"/>
              <w:right w:val="nil"/>
            </w:tcBorders>
            <w:shd w:val="clear" w:color="auto" w:fill="auto"/>
            <w:noWrap/>
          </w:tcPr>
          <w:p>
            <w:pPr>
              <w:spacing w:before="0" w:afterLines="20" w:after="48"/>
              <w:rPr>
                <w:noProof/>
                <w:sz w:val="20"/>
                <w:szCs w:val="20"/>
              </w:rPr>
            </w:pPr>
            <w:r>
              <w:rPr>
                <w:noProof/>
                <w:sz w:val="20"/>
              </w:rPr>
              <w:t>Totaal inkomen</w:t>
            </w:r>
          </w:p>
        </w:tc>
      </w:tr>
      <w:tr>
        <w:trPr>
          <w:trHeight w:val="300"/>
        </w:trPr>
        <w:tc>
          <w:tcPr>
            <w:tcW w:w="2547" w:type="dxa"/>
            <w:tcBorders>
              <w:top w:val="single" w:sz="4" w:space="0" w:color="auto"/>
              <w:left w:val="nil"/>
              <w:bottom w:val="nil"/>
              <w:right w:val="nil"/>
            </w:tcBorders>
            <w:shd w:val="clear" w:color="auto" w:fill="auto"/>
            <w:noWrap/>
            <w:hideMark/>
          </w:tcPr>
          <w:p>
            <w:pPr>
              <w:spacing w:before="0" w:after="0"/>
              <w:rPr>
                <w:noProof/>
              </w:rPr>
            </w:pPr>
            <w:r>
              <w:rPr>
                <w:noProof/>
              </w:rPr>
              <w:t>Tijdsbesteding</w:t>
            </w:r>
          </w:p>
        </w:tc>
        <w:tc>
          <w:tcPr>
            <w:tcW w:w="3468" w:type="dxa"/>
            <w:tcBorders>
              <w:top w:val="single" w:sz="4" w:space="0" w:color="auto"/>
              <w:left w:val="nil"/>
              <w:bottom w:val="nil"/>
              <w:right w:val="nil"/>
            </w:tcBorders>
            <w:shd w:val="clear" w:color="auto" w:fill="auto"/>
            <w:noWrap/>
          </w:tcPr>
          <w:p>
            <w:pPr>
              <w:spacing w:before="0" w:after="0"/>
              <w:rPr>
                <w:noProof/>
              </w:rPr>
            </w:pPr>
            <w:r>
              <w:rPr>
                <w:noProof/>
              </w:rPr>
              <w:t>Kenmerken van de persoon en het huishouden</w:t>
            </w:r>
          </w:p>
        </w:tc>
        <w:tc>
          <w:tcPr>
            <w:tcW w:w="3960" w:type="dxa"/>
            <w:tcBorders>
              <w:top w:val="single" w:sz="4" w:space="0" w:color="auto"/>
              <w:left w:val="nil"/>
              <w:bottom w:val="nil"/>
              <w:right w:val="nil"/>
            </w:tcBorders>
            <w:shd w:val="clear" w:color="auto" w:fill="auto"/>
            <w:noWrap/>
          </w:tcPr>
          <w:p>
            <w:pPr>
              <w:spacing w:before="0" w:afterLines="20" w:after="48"/>
              <w:rPr>
                <w:noProof/>
                <w:sz w:val="20"/>
                <w:szCs w:val="20"/>
              </w:rPr>
            </w:pPr>
            <w:r>
              <w:rPr>
                <w:noProof/>
                <w:sz w:val="20"/>
              </w:rPr>
              <w:t>Samenstelling van het huishouden — details</w:t>
            </w: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 xml:space="preserve">Deelname aan onderwijs en opleiding </w:t>
            </w:r>
          </w:p>
        </w:tc>
        <w:tc>
          <w:tcPr>
            <w:tcW w:w="3960" w:type="dxa"/>
            <w:tcBorders>
              <w:left w:val="nil"/>
              <w:bottom w:val="nil"/>
              <w:right w:val="nil"/>
            </w:tcBorders>
            <w:shd w:val="clear" w:color="auto" w:fill="auto"/>
            <w:noWrap/>
          </w:tcPr>
          <w:p>
            <w:pPr>
              <w:spacing w:before="0" w:afterLines="20" w:after="48"/>
              <w:rPr>
                <w:noProof/>
                <w:sz w:val="20"/>
                <w:szCs w:val="20"/>
              </w:rPr>
            </w:pPr>
            <w:r>
              <w:rPr>
                <w:noProof/>
                <w:sz w:val="20"/>
              </w:rPr>
              <w:t>Deelname aan formele onderwijsactiviteiten (momenteel)</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Gezondheid: status en arbeidsongeschiktheid, zorg en determinanten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Minimum Europese gezondheidsmodule</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 xml:space="preserve">Levensomstandigheden, met inbegrip van materiële deprivatie, huisvesting, leefomgeving, toegang tot diensten </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Bezit van duurzame goederen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Kinderopvang</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Zorg voor zieken en ouderen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Arbeidsvoorwaarden, met inbegrip van werktijden en werktijdregelingen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Werktijden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Werktijdregelingen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Inkomen, verbruik en vermogen, met inbegrip van schulden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Productie voor eigen gebruik en verkoop, reparaties</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Inkomen uit arbeid</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top w:val="nil"/>
              <w:left w:val="nil"/>
              <w:bottom w:val="nil"/>
              <w:right w:val="nil"/>
            </w:tcBorders>
            <w:shd w:val="clear" w:color="auto" w:fill="auto"/>
            <w:noWrap/>
          </w:tcPr>
          <w:p>
            <w:pPr>
              <w:spacing w:before="0" w:after="0"/>
              <w:rPr>
                <w:noProof/>
              </w:rPr>
            </w:pP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Totaal inkomen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r>
              <w:rPr>
                <w:noProof/>
              </w:rPr>
              <w:t>Tijdsverdeling</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Tijdsbesteding, soorten activiteiten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Parallelle activiteiten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Standplaats</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Aanwezigheid van anderen tijdens de activiteit</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Beoordeling van de activiteit</w:t>
            </w:r>
          </w:p>
        </w:tc>
      </w:tr>
      <w:tr>
        <w:trPr>
          <w:trHeight w:val="300"/>
        </w:trPr>
        <w:tc>
          <w:tcPr>
            <w:tcW w:w="2547" w:type="dxa"/>
            <w:tcBorders>
              <w:top w:val="single" w:sz="4" w:space="0" w:color="auto"/>
              <w:left w:val="nil"/>
              <w:right w:val="nil"/>
            </w:tcBorders>
            <w:shd w:val="clear" w:color="auto" w:fill="auto"/>
            <w:noWrap/>
          </w:tcPr>
          <w:p>
            <w:pPr>
              <w:spacing w:before="0" w:after="0"/>
              <w:rPr>
                <w:noProof/>
              </w:rPr>
            </w:pPr>
            <w:r>
              <w:rPr>
                <w:noProof/>
              </w:rPr>
              <w:t>Verbruik</w:t>
            </w:r>
          </w:p>
        </w:tc>
        <w:tc>
          <w:tcPr>
            <w:tcW w:w="3468" w:type="dxa"/>
            <w:vMerge w:val="restart"/>
            <w:tcBorders>
              <w:top w:val="single" w:sz="4" w:space="0" w:color="auto"/>
              <w:left w:val="nil"/>
              <w:right w:val="nil"/>
            </w:tcBorders>
            <w:shd w:val="clear" w:color="auto" w:fill="auto"/>
            <w:noWrap/>
          </w:tcPr>
          <w:p>
            <w:pPr>
              <w:spacing w:before="0" w:after="0"/>
              <w:rPr>
                <w:noProof/>
              </w:rPr>
            </w:pPr>
            <w:r>
              <w:rPr>
                <w:noProof/>
              </w:rPr>
              <w:t>Kenmerken van de persoon en het huishouden</w:t>
            </w:r>
          </w:p>
        </w:tc>
        <w:tc>
          <w:tcPr>
            <w:tcW w:w="3960" w:type="dxa"/>
            <w:tcBorders>
              <w:top w:val="single" w:sz="4" w:space="0" w:color="auto"/>
              <w:left w:val="nil"/>
              <w:right w:val="nil"/>
            </w:tcBorders>
            <w:shd w:val="clear" w:color="auto" w:fill="auto"/>
            <w:noWrap/>
          </w:tcPr>
          <w:p>
            <w:pPr>
              <w:spacing w:before="0" w:afterLines="20" w:after="48"/>
              <w:rPr>
                <w:noProof/>
                <w:sz w:val="20"/>
                <w:szCs w:val="20"/>
              </w:rPr>
            </w:pPr>
            <w:r>
              <w:rPr>
                <w:noProof/>
                <w:sz w:val="20"/>
              </w:rPr>
              <w:t>Samenstelling van het huishouden — details</w:t>
            </w: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vMerge/>
            <w:tcBorders>
              <w:left w:val="nil"/>
              <w:bottom w:val="nil"/>
              <w:right w:val="nil"/>
            </w:tcBorders>
            <w:shd w:val="clear" w:color="auto" w:fill="auto"/>
            <w:noWrap/>
          </w:tcPr>
          <w:p>
            <w:pPr>
              <w:spacing w:before="0" w:after="0"/>
              <w:rPr>
                <w:noProof/>
              </w:rPr>
            </w:pPr>
          </w:p>
        </w:tc>
        <w:tc>
          <w:tcPr>
            <w:tcW w:w="3960" w:type="dxa"/>
            <w:tcBorders>
              <w:left w:val="nil"/>
              <w:bottom w:val="nil"/>
              <w:right w:val="nil"/>
            </w:tcBorders>
            <w:shd w:val="clear" w:color="auto" w:fill="auto"/>
            <w:noWrap/>
          </w:tcPr>
          <w:p>
            <w:pPr>
              <w:spacing w:before="0" w:afterLines="20" w:after="48"/>
              <w:rPr>
                <w:noProof/>
                <w:sz w:val="20"/>
                <w:szCs w:val="20"/>
              </w:rPr>
            </w:pPr>
          </w:p>
        </w:tc>
      </w:tr>
      <w:tr>
        <w:trPr>
          <w:trHeight w:val="300"/>
        </w:trPr>
        <w:tc>
          <w:tcPr>
            <w:tcW w:w="2547" w:type="dxa"/>
            <w:tcBorders>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Levensomstandigheden, met inbegrip van materiële deprivatie, huisvesting, leefomgeving, toegang tot diensten</w:t>
            </w:r>
          </w:p>
        </w:tc>
        <w:tc>
          <w:tcPr>
            <w:tcW w:w="3960" w:type="dxa"/>
            <w:tcBorders>
              <w:left w:val="nil"/>
              <w:bottom w:val="nil"/>
              <w:right w:val="nil"/>
            </w:tcBorders>
            <w:shd w:val="clear" w:color="auto" w:fill="auto"/>
            <w:noWrap/>
          </w:tcPr>
          <w:p>
            <w:pPr>
              <w:spacing w:before="0" w:afterLines="20" w:after="48"/>
              <w:rPr>
                <w:noProof/>
                <w:sz w:val="20"/>
                <w:szCs w:val="20"/>
              </w:rPr>
            </w:pPr>
            <w:r>
              <w:rPr>
                <w:noProof/>
                <w:sz w:val="20"/>
              </w:rPr>
              <w:t>Belangrijkste kenmerken van de huisvesting</w:t>
            </w:r>
          </w:p>
        </w:tc>
      </w:tr>
      <w:tr>
        <w:trPr>
          <w:trHeight w:val="300"/>
        </w:trPr>
        <w:tc>
          <w:tcPr>
            <w:tcW w:w="2547" w:type="dxa"/>
            <w:tcBorders>
              <w:left w:val="nil"/>
              <w:bottom w:val="nil"/>
              <w:right w:val="nil"/>
            </w:tcBorders>
            <w:shd w:val="clear" w:color="auto" w:fill="auto"/>
            <w:noWrap/>
            <w:hideMark/>
          </w:tcPr>
          <w:p>
            <w:pPr>
              <w:spacing w:before="0" w:after="0"/>
              <w:rPr>
                <w:noProof/>
              </w:rPr>
            </w:pPr>
          </w:p>
        </w:tc>
        <w:tc>
          <w:tcPr>
            <w:tcW w:w="3468" w:type="dxa"/>
            <w:tcBorders>
              <w:left w:val="nil"/>
              <w:bottom w:val="nil"/>
              <w:right w:val="nil"/>
            </w:tcBorders>
            <w:shd w:val="clear" w:color="auto" w:fill="auto"/>
            <w:noWrap/>
            <w:hideMark/>
          </w:tcPr>
          <w:p>
            <w:pPr>
              <w:spacing w:before="0" w:after="0"/>
              <w:rPr>
                <w:noProof/>
              </w:rPr>
            </w:pPr>
            <w:r>
              <w:rPr>
                <w:noProof/>
              </w:rPr>
              <w:t xml:space="preserve">Deelname aan onderwijs en opleiding </w:t>
            </w:r>
          </w:p>
        </w:tc>
        <w:tc>
          <w:tcPr>
            <w:tcW w:w="3960" w:type="dxa"/>
            <w:tcBorders>
              <w:left w:val="nil"/>
              <w:bottom w:val="nil"/>
              <w:right w:val="nil"/>
            </w:tcBorders>
            <w:shd w:val="clear" w:color="auto" w:fill="auto"/>
            <w:noWrap/>
            <w:hideMark/>
          </w:tcPr>
          <w:p>
            <w:pPr>
              <w:spacing w:before="0" w:afterLines="20" w:after="48"/>
              <w:rPr>
                <w:noProof/>
                <w:sz w:val="20"/>
                <w:szCs w:val="20"/>
              </w:rPr>
            </w:pPr>
            <w:r>
              <w:rPr>
                <w:noProof/>
                <w:sz w:val="20"/>
              </w:rPr>
              <w:t>Deelname aan formele onderwijsactiviteiten (momenteel)</w:t>
            </w:r>
          </w:p>
        </w:tc>
      </w:tr>
      <w:tr>
        <w:trPr>
          <w:trHeight w:val="300"/>
        </w:trPr>
        <w:tc>
          <w:tcPr>
            <w:tcW w:w="2547" w:type="dxa"/>
            <w:tcBorders>
              <w:top w:val="nil"/>
              <w:left w:val="nil"/>
              <w:bottom w:val="nil"/>
              <w:right w:val="nil"/>
            </w:tcBorders>
            <w:shd w:val="clear" w:color="auto" w:fill="auto"/>
            <w:noWrap/>
          </w:tcPr>
          <w:p>
            <w:pPr>
              <w:spacing w:before="0" w:after="0"/>
              <w:rPr>
                <w:noProof/>
              </w:rPr>
            </w:pPr>
          </w:p>
        </w:tc>
        <w:tc>
          <w:tcPr>
            <w:tcW w:w="3468" w:type="dxa"/>
            <w:tcBorders>
              <w:left w:val="nil"/>
              <w:bottom w:val="nil"/>
              <w:right w:val="nil"/>
            </w:tcBorders>
            <w:shd w:val="clear" w:color="auto" w:fill="auto"/>
            <w:noWrap/>
          </w:tcPr>
          <w:p>
            <w:pPr>
              <w:spacing w:before="0" w:after="0"/>
              <w:rPr>
                <w:noProof/>
              </w:rPr>
            </w:pPr>
            <w:r>
              <w:rPr>
                <w:noProof/>
              </w:rPr>
              <w:t>Arbeidsmarktparticipatie</w:t>
            </w:r>
          </w:p>
        </w:tc>
        <w:tc>
          <w:tcPr>
            <w:tcW w:w="3960" w:type="dxa"/>
            <w:tcBorders>
              <w:top w:val="nil"/>
              <w:left w:val="nil"/>
              <w:bottom w:val="nil"/>
              <w:right w:val="nil"/>
            </w:tcBorders>
            <w:shd w:val="clear" w:color="auto" w:fill="auto"/>
            <w:noWrap/>
          </w:tcPr>
          <w:p>
            <w:pPr>
              <w:spacing w:before="0" w:afterLines="20" w:after="48"/>
              <w:rPr>
                <w:noProof/>
                <w:sz w:val="20"/>
                <w:szCs w:val="20"/>
              </w:rPr>
            </w:pPr>
            <w:r>
              <w:rPr>
                <w:noProof/>
                <w:sz w:val="20"/>
              </w:rPr>
              <w:t>Looptijd van het contract</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val="restart"/>
            <w:tcBorders>
              <w:top w:val="nil"/>
              <w:left w:val="nil"/>
              <w:right w:val="nil"/>
            </w:tcBorders>
            <w:shd w:val="clear" w:color="auto" w:fill="auto"/>
            <w:noWrap/>
            <w:hideMark/>
          </w:tcPr>
          <w:p>
            <w:pPr>
              <w:spacing w:before="0" w:after="0"/>
              <w:rPr>
                <w:noProof/>
              </w:rPr>
            </w:pPr>
            <w:r>
              <w:rPr>
                <w:noProof/>
              </w:rPr>
              <w:t>Inkomen, verbruik en vermogen, met inbegrip van schulden</w:t>
            </w: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Totaal inkomen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vMerge/>
            <w:tcBorders>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Belastingen en bijdragen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Inkomen in natura uit onbetaalde activiteiten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Huurwaarde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Belangrijkste inkomstenbron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Vermogen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 xml:space="preserve">Schulden </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Betalingsachterstanden</w:t>
            </w:r>
          </w:p>
        </w:tc>
      </w:tr>
      <w:tr>
        <w:trPr>
          <w:trHeight w:val="300"/>
        </w:trPr>
        <w:tc>
          <w:tcPr>
            <w:tcW w:w="2547" w:type="dxa"/>
            <w:tcBorders>
              <w:top w:val="nil"/>
              <w:left w:val="nil"/>
              <w:bottom w:val="nil"/>
              <w:right w:val="nil"/>
            </w:tcBorders>
            <w:shd w:val="clear" w:color="auto" w:fill="auto"/>
            <w:noWrap/>
            <w:hideMark/>
          </w:tcPr>
          <w:p>
            <w:pPr>
              <w:spacing w:before="0" w:after="0"/>
              <w:rPr>
                <w:noProof/>
              </w:rPr>
            </w:pPr>
          </w:p>
        </w:tc>
        <w:tc>
          <w:tcPr>
            <w:tcW w:w="3468" w:type="dxa"/>
            <w:tcBorders>
              <w:top w:val="nil"/>
              <w:left w:val="nil"/>
              <w:bottom w:val="nil"/>
              <w:right w:val="nil"/>
            </w:tcBorders>
            <w:shd w:val="clear" w:color="auto" w:fill="auto"/>
            <w:noWrap/>
            <w:hideMark/>
          </w:tcPr>
          <w:p>
            <w:pPr>
              <w:spacing w:before="0" w:after="0"/>
              <w:rPr>
                <w:noProof/>
              </w:rPr>
            </w:pPr>
          </w:p>
        </w:tc>
        <w:tc>
          <w:tcPr>
            <w:tcW w:w="3960" w:type="dxa"/>
            <w:tcBorders>
              <w:top w:val="nil"/>
              <w:left w:val="nil"/>
              <w:bottom w:val="nil"/>
              <w:right w:val="nil"/>
            </w:tcBorders>
            <w:shd w:val="clear" w:color="auto" w:fill="auto"/>
            <w:noWrap/>
            <w:hideMark/>
          </w:tcPr>
          <w:p>
            <w:pPr>
              <w:spacing w:before="0" w:afterLines="20" w:after="48"/>
              <w:rPr>
                <w:noProof/>
                <w:sz w:val="20"/>
                <w:szCs w:val="20"/>
              </w:rPr>
            </w:pPr>
            <w:r>
              <w:rPr>
                <w:noProof/>
                <w:sz w:val="20"/>
              </w:rPr>
              <w:t>Verbruik ingedeeld volgens COICOP</w:t>
            </w:r>
          </w:p>
        </w:tc>
      </w:tr>
      <w:tr>
        <w:trPr>
          <w:trHeight w:val="300"/>
        </w:trPr>
        <w:tc>
          <w:tcPr>
            <w:tcW w:w="2547" w:type="dxa"/>
            <w:tcBorders>
              <w:top w:val="nil"/>
              <w:left w:val="nil"/>
              <w:right w:val="nil"/>
            </w:tcBorders>
            <w:shd w:val="clear" w:color="auto" w:fill="auto"/>
            <w:noWrap/>
            <w:hideMark/>
          </w:tcPr>
          <w:p>
            <w:pPr>
              <w:spacing w:before="0" w:after="0"/>
              <w:rPr>
                <w:noProof/>
              </w:rPr>
            </w:pPr>
          </w:p>
        </w:tc>
        <w:tc>
          <w:tcPr>
            <w:tcW w:w="3468" w:type="dxa"/>
            <w:tcBorders>
              <w:top w:val="nil"/>
              <w:left w:val="nil"/>
              <w:right w:val="nil"/>
            </w:tcBorders>
            <w:shd w:val="clear" w:color="auto" w:fill="auto"/>
            <w:noWrap/>
            <w:hideMark/>
          </w:tcPr>
          <w:p>
            <w:pPr>
              <w:spacing w:before="0" w:after="0"/>
              <w:rPr>
                <w:noProof/>
              </w:rPr>
            </w:pPr>
          </w:p>
        </w:tc>
        <w:tc>
          <w:tcPr>
            <w:tcW w:w="3960" w:type="dxa"/>
            <w:tcBorders>
              <w:top w:val="nil"/>
              <w:left w:val="nil"/>
              <w:right w:val="nil"/>
            </w:tcBorders>
            <w:shd w:val="clear" w:color="auto" w:fill="auto"/>
            <w:noWrap/>
            <w:hideMark/>
          </w:tcPr>
          <w:p>
            <w:pPr>
              <w:spacing w:before="0" w:afterLines="20" w:after="48"/>
              <w:rPr>
                <w:noProof/>
                <w:sz w:val="20"/>
                <w:szCs w:val="20"/>
              </w:rPr>
            </w:pPr>
            <w:r>
              <w:rPr>
                <w:noProof/>
                <w:sz w:val="20"/>
              </w:rPr>
              <w:t>Grensoverschrijdende uitgaven voor verbruik ingedeeld volgens COICOP</w:t>
            </w:r>
          </w:p>
        </w:tc>
      </w:tr>
      <w:tr>
        <w:trPr>
          <w:trHeight w:val="300"/>
        </w:trPr>
        <w:tc>
          <w:tcPr>
            <w:tcW w:w="2547" w:type="dxa"/>
            <w:tcBorders>
              <w:top w:val="nil"/>
              <w:left w:val="nil"/>
              <w:bottom w:val="single" w:sz="4" w:space="0" w:color="auto"/>
              <w:right w:val="nil"/>
            </w:tcBorders>
            <w:shd w:val="clear" w:color="auto" w:fill="auto"/>
            <w:noWrap/>
            <w:hideMark/>
          </w:tcPr>
          <w:p>
            <w:pPr>
              <w:spacing w:before="0" w:after="0"/>
              <w:rPr>
                <w:noProof/>
              </w:rPr>
            </w:pPr>
          </w:p>
        </w:tc>
        <w:tc>
          <w:tcPr>
            <w:tcW w:w="3468" w:type="dxa"/>
            <w:tcBorders>
              <w:top w:val="nil"/>
              <w:left w:val="nil"/>
              <w:bottom w:val="single" w:sz="4" w:space="0" w:color="auto"/>
              <w:right w:val="nil"/>
            </w:tcBorders>
            <w:shd w:val="clear" w:color="auto" w:fill="auto"/>
            <w:noWrap/>
            <w:hideMark/>
          </w:tcPr>
          <w:p>
            <w:pPr>
              <w:spacing w:before="0" w:after="0"/>
              <w:rPr>
                <w:noProof/>
              </w:rPr>
            </w:pPr>
          </w:p>
        </w:tc>
        <w:tc>
          <w:tcPr>
            <w:tcW w:w="3960" w:type="dxa"/>
            <w:tcBorders>
              <w:top w:val="nil"/>
              <w:left w:val="nil"/>
              <w:bottom w:val="single" w:sz="4" w:space="0" w:color="auto"/>
              <w:right w:val="nil"/>
            </w:tcBorders>
            <w:shd w:val="clear" w:color="auto" w:fill="auto"/>
            <w:noWrap/>
            <w:hideMark/>
          </w:tcPr>
          <w:p>
            <w:pPr>
              <w:spacing w:before="0" w:afterLines="20" w:after="48"/>
              <w:rPr>
                <w:noProof/>
                <w:sz w:val="20"/>
                <w:szCs w:val="20"/>
              </w:rPr>
            </w:pPr>
            <w:r>
              <w:rPr>
                <w:noProof/>
                <w:sz w:val="20"/>
              </w:rPr>
              <w:t>Eigen verbruik</w:t>
            </w:r>
          </w:p>
        </w:tc>
      </w:tr>
    </w:tbl>
    <w:p>
      <w:pPr>
        <w:pStyle w:val="Annexetitre"/>
        <w:rPr>
          <w:noProof/>
        </w:rPr>
      </w:pPr>
      <w:r>
        <w:rPr>
          <w:noProof/>
        </w:rPr>
        <w:br w:type="page"/>
      </w:r>
      <w:r>
        <w:rPr>
          <w:noProof/>
        </w:rPr>
        <w:lastRenderedPageBreak/>
        <w:t>Bijlage II</w:t>
      </w:r>
    </w:p>
    <w:p>
      <w:pPr>
        <w:jc w:val="center"/>
        <w:rPr>
          <w:b/>
          <w:noProof/>
        </w:rPr>
      </w:pPr>
      <w:r>
        <w:rPr>
          <w:b/>
          <w:noProof/>
        </w:rPr>
        <w:t>Nauwkeurigheidseisen</w:t>
      </w:r>
    </w:p>
    <w:p>
      <w:pPr>
        <w:pStyle w:val="NumPar1"/>
        <w:numPr>
          <w:ilvl w:val="0"/>
          <w:numId w:val="11"/>
        </w:numPr>
        <w:rPr>
          <w:noProof/>
        </w:rPr>
      </w:pPr>
      <w:r>
        <w:rPr>
          <w:noProof/>
        </w:rPr>
        <w:t>De nauwkeurigheidseisen voor alle gegevensreeksen worden uitgedrukt in standaardafwijkingen en worden gedefinieerd als continue functies van de werkelijke ramingen en de werkelijke omvang van de statistische populatie in een land of in een NUTS 2-regio.</w:t>
      </w:r>
    </w:p>
    <w:p>
      <w:pPr>
        <w:pStyle w:val="NumPar1"/>
        <w:rPr>
          <w:noProof/>
        </w:rPr>
      </w:pPr>
      <w:r>
        <w:rPr>
          <w:noProof/>
        </w:rPr>
        <w:t xml:space="preserve">De geschatte standaardafwijking van een bepaalde raming </w:t>
      </w:r>
      <m:oMath>
        <m:acc>
          <m:accPr>
            <m:ctrlPr>
              <w:rPr>
                <w:rFonts w:ascii="Cambria Math" w:hAnsi="Cambria Math"/>
                <w:noProof/>
              </w:rPr>
            </m:ctrlPr>
          </m:accPr>
          <m:e>
            <m:r>
              <m:rPr>
                <m:sty m:val="p"/>
              </m:rPr>
              <w:rPr>
                <w:rFonts w:ascii="Cambria Math" w:hAnsi="Cambria Math"/>
                <w:noProof/>
              </w:rPr>
              <m:t>SE</m:t>
            </m:r>
          </m:e>
        </m:acc>
        <m:d>
          <m:dPr>
            <m:ctrlPr>
              <w:rPr>
                <w:rFonts w:ascii="Cambria Math" w:hAnsi="Cambria Math"/>
                <w:noProof/>
              </w:rPr>
            </m:ctrlPr>
          </m:dPr>
          <m:e>
            <m:acc>
              <m:accPr>
                <m:ctrlPr>
                  <w:rPr>
                    <w:rFonts w:ascii="Cambria Math" w:hAnsi="Cambria Math"/>
                    <w:noProof/>
                  </w:rPr>
                </m:ctrlPr>
              </m:accPr>
              <m:e>
                <m:r>
                  <m:rPr>
                    <m:sty m:val="p"/>
                  </m:rPr>
                  <w:rPr>
                    <w:rFonts w:ascii="Cambria Math" w:hAnsi="Cambria Math"/>
                    <w:noProof/>
                  </w:rPr>
                  <m:t>p</m:t>
                </m:r>
              </m:e>
            </m:acc>
          </m:e>
        </m:d>
      </m:oMath>
      <w:r>
        <w:rPr>
          <w:noProof/>
        </w:rPr>
        <w:t xml:space="preserve"> mag niet hoger zijn dan de volgende waarde:</w:t>
      </w:r>
    </w:p>
    <w:p>
      <w:pPr>
        <w:pStyle w:val="Point1"/>
        <w:rPr>
          <w:rFonts w:ascii="Cambria Math" w:hAnsi="Cambria Math"/>
          <w:noProof/>
          <w:oMath/>
        </w:rPr>
      </w:pPr>
      <m:oMathPara>
        <m:oMath>
          <m:rad>
            <m:radPr>
              <m:degHide m:val="1"/>
              <m:ctrlPr>
                <w:rPr>
                  <w:rFonts w:ascii="Cambria Math" w:hAnsi="Cambria Math"/>
                  <w:i/>
                  <w:noProof/>
                </w:rPr>
              </m:ctrlPr>
            </m:radPr>
            <m:deg/>
            <m:e>
              <m:f>
                <m:fPr>
                  <m:ctrlPr>
                    <w:rPr>
                      <w:rFonts w:ascii="Cambria Math" w:hAnsi="Cambria Math"/>
                      <w:i/>
                      <w:noProof/>
                    </w:rPr>
                  </m:ctrlPr>
                </m:fPr>
                <m:num>
                  <m:acc>
                    <m:accPr>
                      <m:ctrlPr>
                        <w:rPr>
                          <w:rFonts w:ascii="Cambria Math" w:hAnsi="Cambria Math"/>
                          <w:i/>
                          <w:noProof/>
                        </w:rPr>
                      </m:ctrlPr>
                    </m:accPr>
                    <m:e>
                      <m:r>
                        <m:rPr>
                          <m:nor/>
                        </m:rPr>
                        <w:rPr>
                          <w:i/>
                          <w:noProof/>
                        </w:rPr>
                        <m:t>p</m:t>
                      </m:r>
                    </m:e>
                  </m:acc>
                  <m:d>
                    <m:dPr>
                      <m:ctrlPr>
                        <w:rPr>
                          <w:rFonts w:ascii="Cambria Math" w:hAnsi="Cambria Math"/>
                          <w:i/>
                          <w:noProof/>
                        </w:rPr>
                      </m:ctrlPr>
                    </m:dPr>
                    <m:e>
                      <m:r>
                        <m:rPr>
                          <m:nor/>
                        </m:rPr>
                        <w:rPr>
                          <w:i/>
                          <w:noProof/>
                        </w:rPr>
                        <m:t>1-</m:t>
                      </m:r>
                      <m:acc>
                        <m:accPr>
                          <m:ctrlPr>
                            <w:rPr>
                              <w:rFonts w:ascii="Cambria Math" w:hAnsi="Cambria Math"/>
                              <w:i/>
                              <w:noProof/>
                            </w:rPr>
                          </m:ctrlPr>
                        </m:accPr>
                        <m:e>
                          <m:r>
                            <m:rPr>
                              <m:nor/>
                            </m:rPr>
                            <w:rPr>
                              <w:i/>
                              <w:noProof/>
                            </w:rPr>
                            <m:t>p</m:t>
                          </m:r>
                        </m:e>
                      </m:acc>
                    </m:e>
                  </m:d>
                </m:num>
                <m:den>
                  <m:r>
                    <m:rPr>
                      <m:nor/>
                    </m:rPr>
                    <w:rPr>
                      <w:i/>
                      <w:noProof/>
                    </w:rPr>
                    <m:t>f</m:t>
                  </m:r>
                  <m:d>
                    <m:dPr>
                      <m:ctrlPr>
                        <w:rPr>
                          <w:rFonts w:ascii="Cambria Math" w:hAnsi="Cambria Math"/>
                          <w:i/>
                          <w:noProof/>
                        </w:rPr>
                      </m:ctrlPr>
                    </m:dPr>
                    <m:e>
                      <m:r>
                        <m:rPr>
                          <m:nor/>
                        </m:rPr>
                        <w:rPr>
                          <w:i/>
                          <w:noProof/>
                        </w:rPr>
                        <m:t>N</m:t>
                      </m:r>
                    </m:e>
                  </m:d>
                </m:den>
              </m:f>
            </m:e>
          </m:rad>
        </m:oMath>
      </m:oMathPara>
    </w:p>
    <w:p>
      <w:pPr>
        <w:pStyle w:val="NumPar1"/>
        <w:rPr>
          <w:noProof/>
        </w:rPr>
      </w:pPr>
      <w:r>
        <w:rPr>
          <w:noProof/>
        </w:rPr>
        <w:t xml:space="preserve">De functie </w:t>
      </w:r>
      <w:r>
        <w:rPr>
          <w:i/>
          <w:noProof/>
        </w:rPr>
        <w:t xml:space="preserve">f(N) </w:t>
      </w:r>
      <w:r>
        <w:rPr>
          <w:noProof/>
        </w:rPr>
        <w:t>heeft de vorm</w:t>
      </w:r>
      <w:r>
        <w:rPr>
          <w:i/>
          <w:noProof/>
        </w:rPr>
        <w:t xml:space="preserve"> f(N)=a√N+b</w:t>
      </w:r>
    </w:p>
    <w:p>
      <w:pPr>
        <w:pStyle w:val="NumPar1"/>
        <w:rPr>
          <w:noProof/>
        </w:rPr>
      </w:pPr>
      <w:r>
        <w:rPr>
          <w:noProof/>
        </w:rPr>
        <w:t xml:space="preserve">Voor de parameters </w:t>
      </w:r>
      <w:r>
        <w:rPr>
          <w:i/>
          <w:noProof/>
        </w:rPr>
        <w:t>N</w:t>
      </w:r>
      <w:r>
        <w:rPr>
          <w:noProof/>
        </w:rPr>
        <w:t>, a en b worden de volgende waarden gebruikt:</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688"/>
        <w:gridCol w:w="1020"/>
        <w:gridCol w:w="91"/>
        <w:gridCol w:w="853"/>
      </w:tblGrid>
      <w:tr>
        <w:trPr>
          <w:trHeight w:val="300"/>
        </w:trPr>
        <w:tc>
          <w:tcPr>
            <w:tcW w:w="5118" w:type="dxa"/>
            <w:shd w:val="clear" w:color="auto" w:fill="auto"/>
            <w:noWrap/>
            <w:hideMark/>
          </w:tcPr>
          <w:p>
            <w:pPr>
              <w:rPr>
                <w:b/>
                <w:bCs/>
                <w:noProof/>
              </w:rPr>
            </w:pPr>
            <m:oMathPara>
              <m:oMath>
                <m:acc>
                  <m:accPr>
                    <m:ctrlPr>
                      <w:rPr>
                        <w:rFonts w:ascii="Cambria Math" w:hAnsi="Cambria Math"/>
                        <w:noProof/>
                      </w:rPr>
                    </m:ctrlPr>
                  </m:accPr>
                  <m:e>
                    <m:r>
                      <w:rPr>
                        <w:rFonts w:ascii="Cambria Math" w:hAnsi="Cambria Math"/>
                        <w:noProof/>
                      </w:rPr>
                      <m:t>p</m:t>
                    </m:r>
                  </m:e>
                </m:acc>
              </m:oMath>
            </m:oMathPara>
          </w:p>
        </w:tc>
        <w:tc>
          <w:tcPr>
            <w:tcW w:w="2688" w:type="dxa"/>
            <w:shd w:val="clear" w:color="auto" w:fill="auto"/>
            <w:noWrap/>
            <w:hideMark/>
          </w:tcPr>
          <w:p>
            <w:pPr>
              <w:rPr>
                <w:b/>
                <w:bCs/>
                <w:noProof/>
              </w:rPr>
            </w:pPr>
            <w:r>
              <w:rPr>
                <w:b/>
                <w:noProof/>
              </w:rPr>
              <w:t>N</w:t>
            </w:r>
          </w:p>
        </w:tc>
        <w:tc>
          <w:tcPr>
            <w:tcW w:w="1020" w:type="dxa"/>
            <w:shd w:val="clear" w:color="auto" w:fill="auto"/>
            <w:noWrap/>
            <w:hideMark/>
          </w:tcPr>
          <w:p>
            <w:pPr>
              <w:rPr>
                <w:b/>
                <w:bCs/>
                <w:noProof/>
              </w:rPr>
            </w:pPr>
            <w:r>
              <w:rPr>
                <w:b/>
                <w:noProof/>
              </w:rPr>
              <w:t>a</w:t>
            </w:r>
          </w:p>
        </w:tc>
        <w:tc>
          <w:tcPr>
            <w:tcW w:w="944" w:type="dxa"/>
            <w:gridSpan w:val="2"/>
            <w:shd w:val="clear" w:color="auto" w:fill="auto"/>
            <w:noWrap/>
            <w:hideMark/>
          </w:tcPr>
          <w:p>
            <w:pPr>
              <w:rPr>
                <w:b/>
                <w:bCs/>
                <w:noProof/>
              </w:rPr>
            </w:pPr>
            <w:r>
              <w:rPr>
                <w:b/>
                <w:noProof/>
              </w:rPr>
              <w:t>b</w:t>
            </w:r>
          </w:p>
        </w:tc>
      </w:tr>
      <w:tr>
        <w:trPr>
          <w:trHeight w:val="300"/>
        </w:trPr>
        <w:tc>
          <w:tcPr>
            <w:tcW w:w="9770" w:type="dxa"/>
            <w:gridSpan w:val="5"/>
            <w:shd w:val="clear" w:color="auto" w:fill="auto"/>
            <w:noWrap/>
            <w:hideMark/>
          </w:tcPr>
          <w:p>
            <w:pPr>
              <w:rPr>
                <w:noProof/>
                <w:sz w:val="18"/>
                <w:szCs w:val="18"/>
              </w:rPr>
            </w:pPr>
            <w:r>
              <w:rPr>
                <w:noProof/>
                <w:sz w:val="18"/>
              </w:rPr>
              <w:t>Deelgebied arbeidsmarkt: nauwkeurigheidseisen</w:t>
            </w:r>
          </w:p>
        </w:tc>
      </w:tr>
      <w:tr>
        <w:trPr>
          <w:trHeight w:val="300"/>
        </w:trPr>
        <w:tc>
          <w:tcPr>
            <w:tcW w:w="5118" w:type="dxa"/>
            <w:shd w:val="clear" w:color="auto" w:fill="auto"/>
            <w:noWrap/>
            <w:hideMark/>
          </w:tcPr>
          <w:p>
            <w:pPr>
              <w:rPr>
                <w:noProof/>
                <w:sz w:val="18"/>
                <w:szCs w:val="18"/>
              </w:rPr>
            </w:pPr>
            <w:r>
              <w:rPr>
                <w:noProof/>
                <w:sz w:val="18"/>
              </w:rPr>
              <w:t>Geraamde (nationale) driemaandelijkse ratio tussen werkloosheid en bevolking in de leeftijdsklasse 15 tot en met 74 jaar</w:t>
            </w:r>
          </w:p>
        </w:tc>
        <w:tc>
          <w:tcPr>
            <w:tcW w:w="2688" w:type="dxa"/>
            <w:shd w:val="clear" w:color="auto" w:fill="auto"/>
            <w:noWrap/>
            <w:hideMark/>
          </w:tcPr>
          <w:p>
            <w:pPr>
              <w:rPr>
                <w:noProof/>
                <w:sz w:val="18"/>
                <w:szCs w:val="18"/>
              </w:rPr>
            </w:pPr>
            <w:r>
              <w:rPr>
                <w:noProof/>
                <w:sz w:val="18"/>
              </w:rPr>
              <w:t>Bevolking in de leeftijdsklasse 15 tot en met 74 jaar, woonachtig in particuliere huishoudens, in miljoenen personen, afgerond op drie decimalen</w:t>
            </w:r>
          </w:p>
        </w:tc>
        <w:tc>
          <w:tcPr>
            <w:tcW w:w="1020" w:type="dxa"/>
            <w:shd w:val="clear" w:color="auto" w:fill="auto"/>
            <w:noWrap/>
            <w:hideMark/>
          </w:tcPr>
          <w:p>
            <w:pPr>
              <w:rPr>
                <w:noProof/>
                <w:sz w:val="18"/>
                <w:szCs w:val="18"/>
              </w:rPr>
            </w:pPr>
            <w:r>
              <w:rPr>
                <w:noProof/>
                <w:sz w:val="18"/>
              </w:rPr>
              <w:t>7 800</w:t>
            </w:r>
          </w:p>
        </w:tc>
        <w:tc>
          <w:tcPr>
            <w:tcW w:w="944" w:type="dxa"/>
            <w:gridSpan w:val="2"/>
            <w:shd w:val="clear" w:color="auto" w:fill="auto"/>
            <w:noWrap/>
            <w:hideMark/>
          </w:tcPr>
          <w:p>
            <w:pPr>
              <w:rPr>
                <w:noProof/>
                <w:sz w:val="18"/>
                <w:szCs w:val="18"/>
              </w:rPr>
            </w:pPr>
            <w:r>
              <w:rPr>
                <w:noProof/>
                <w:sz w:val="18"/>
              </w:rPr>
              <w:t>-4 500</w:t>
            </w:r>
          </w:p>
        </w:tc>
      </w:tr>
      <w:tr>
        <w:trPr>
          <w:trHeight w:val="300"/>
        </w:trPr>
        <w:tc>
          <w:tcPr>
            <w:tcW w:w="5118" w:type="dxa"/>
            <w:shd w:val="clear" w:color="auto" w:fill="auto"/>
            <w:noWrap/>
            <w:hideMark/>
          </w:tcPr>
          <w:p>
            <w:pPr>
              <w:rPr>
                <w:noProof/>
                <w:sz w:val="18"/>
                <w:szCs w:val="18"/>
              </w:rPr>
            </w:pPr>
            <w:r>
              <w:rPr>
                <w:noProof/>
                <w:sz w:val="18"/>
              </w:rPr>
              <w:t>Geraamde (nationale) driemaandelijkse ratio tussen werk en bevolking in de leeftijdsklasse 15 tot en met 74 jaar</w:t>
            </w:r>
          </w:p>
        </w:tc>
        <w:tc>
          <w:tcPr>
            <w:tcW w:w="2688" w:type="dxa"/>
            <w:shd w:val="clear" w:color="auto" w:fill="auto"/>
            <w:noWrap/>
            <w:hideMark/>
          </w:tcPr>
          <w:p>
            <w:pPr>
              <w:rPr>
                <w:noProof/>
                <w:sz w:val="18"/>
                <w:szCs w:val="18"/>
              </w:rPr>
            </w:pPr>
            <w:r>
              <w:rPr>
                <w:noProof/>
                <w:sz w:val="18"/>
              </w:rPr>
              <w:t>Bevolking in de leeftijdsklasse 15 tot en met 74 jaar, woonachtig in particuliere huishoudens, in miljoenen personen, afgerond op drie decimalen</w:t>
            </w:r>
          </w:p>
        </w:tc>
        <w:tc>
          <w:tcPr>
            <w:tcW w:w="1020" w:type="dxa"/>
            <w:shd w:val="clear" w:color="auto" w:fill="auto"/>
            <w:noWrap/>
            <w:hideMark/>
          </w:tcPr>
          <w:p>
            <w:pPr>
              <w:rPr>
                <w:noProof/>
                <w:sz w:val="18"/>
                <w:szCs w:val="18"/>
              </w:rPr>
            </w:pPr>
            <w:r>
              <w:rPr>
                <w:noProof/>
                <w:sz w:val="18"/>
              </w:rPr>
              <w:t>7 800</w:t>
            </w:r>
          </w:p>
        </w:tc>
        <w:tc>
          <w:tcPr>
            <w:tcW w:w="944" w:type="dxa"/>
            <w:gridSpan w:val="2"/>
            <w:shd w:val="clear" w:color="auto" w:fill="auto"/>
            <w:noWrap/>
            <w:hideMark/>
          </w:tcPr>
          <w:p>
            <w:pPr>
              <w:rPr>
                <w:noProof/>
                <w:sz w:val="18"/>
                <w:szCs w:val="18"/>
              </w:rPr>
            </w:pPr>
            <w:r>
              <w:rPr>
                <w:noProof/>
                <w:sz w:val="18"/>
              </w:rPr>
              <w:t>-4 500</w:t>
            </w:r>
          </w:p>
        </w:tc>
      </w:tr>
      <w:tr>
        <w:trPr>
          <w:trHeight w:val="300"/>
        </w:trPr>
        <w:tc>
          <w:tcPr>
            <w:tcW w:w="5118" w:type="dxa"/>
            <w:shd w:val="clear" w:color="auto" w:fill="auto"/>
            <w:noWrap/>
            <w:hideMark/>
          </w:tcPr>
          <w:p>
            <w:pPr>
              <w:rPr>
                <w:noProof/>
                <w:sz w:val="18"/>
                <w:szCs w:val="18"/>
              </w:rPr>
            </w:pPr>
            <w:r>
              <w:rPr>
                <w:noProof/>
                <w:sz w:val="18"/>
              </w:rPr>
              <w:t>Geraamde driemaandelijkse ratio tussen werkloosheid en bevolking in de leeftijdsklasse 15 tot en met 74 jaar in elke NUTS 2-regio</w:t>
            </w:r>
          </w:p>
        </w:tc>
        <w:tc>
          <w:tcPr>
            <w:tcW w:w="2688" w:type="dxa"/>
            <w:shd w:val="clear" w:color="auto" w:fill="auto"/>
            <w:noWrap/>
            <w:hideMark/>
          </w:tcPr>
          <w:p>
            <w:pPr>
              <w:rPr>
                <w:noProof/>
                <w:sz w:val="18"/>
                <w:szCs w:val="18"/>
              </w:rPr>
            </w:pPr>
            <w:r>
              <w:rPr>
                <w:noProof/>
                <w:sz w:val="18"/>
              </w:rPr>
              <w:t>Bevolking in de leeftijdsklasse 15 tot en met 74 jaar in de NUTS 2-regio, woonachtig in particuliere huishoudens, in miljoenen personen, afgerond op drie decimalen</w:t>
            </w:r>
          </w:p>
        </w:tc>
        <w:tc>
          <w:tcPr>
            <w:tcW w:w="1964" w:type="dxa"/>
            <w:gridSpan w:val="3"/>
            <w:shd w:val="clear" w:color="auto" w:fill="auto"/>
            <w:noWrap/>
            <w:hideMark/>
          </w:tcPr>
          <w:p>
            <w:pPr>
              <w:rPr>
                <w:noProof/>
                <w:sz w:val="18"/>
                <w:szCs w:val="18"/>
              </w:rPr>
            </w:pPr>
            <w:r>
              <w:rPr>
                <w:noProof/>
                <w:sz w:val="18"/>
              </w:rPr>
              <w:t>Zie punt 6</w:t>
            </w:r>
          </w:p>
        </w:tc>
      </w:tr>
      <w:tr>
        <w:trPr>
          <w:trHeight w:val="300"/>
        </w:trPr>
        <w:tc>
          <w:tcPr>
            <w:tcW w:w="9770" w:type="dxa"/>
            <w:gridSpan w:val="5"/>
            <w:shd w:val="clear" w:color="auto" w:fill="auto"/>
            <w:noWrap/>
            <w:hideMark/>
          </w:tcPr>
          <w:p>
            <w:pPr>
              <w:rPr>
                <w:noProof/>
                <w:sz w:val="18"/>
                <w:szCs w:val="18"/>
              </w:rPr>
            </w:pPr>
            <w:r>
              <w:rPr>
                <w:noProof/>
                <w:sz w:val="18"/>
              </w:rPr>
              <w:t>Deelgebied inkomen en levensomstandigheden</w:t>
            </w:r>
          </w:p>
        </w:tc>
      </w:tr>
      <w:tr>
        <w:trPr>
          <w:trHeight w:val="300"/>
        </w:trPr>
        <w:tc>
          <w:tcPr>
            <w:tcW w:w="5118" w:type="dxa"/>
            <w:shd w:val="clear" w:color="auto" w:fill="auto"/>
            <w:noWrap/>
            <w:hideMark/>
          </w:tcPr>
          <w:p>
            <w:pPr>
              <w:rPr>
                <w:noProof/>
                <w:sz w:val="18"/>
                <w:szCs w:val="18"/>
              </w:rPr>
            </w:pPr>
            <w:r>
              <w:rPr>
                <w:noProof/>
                <w:sz w:val="18"/>
              </w:rPr>
              <w:t>Percentage van de bevolking dat risico loopt op armoede of sociale uitsluiting</w:t>
            </w:r>
          </w:p>
        </w:tc>
        <w:tc>
          <w:tcPr>
            <w:tcW w:w="2688" w:type="dxa"/>
            <w:shd w:val="clear" w:color="auto" w:fill="auto"/>
            <w:noWrap/>
            <w:hideMark/>
          </w:tcPr>
          <w:p>
            <w:pPr>
              <w:rPr>
                <w:noProof/>
                <w:sz w:val="18"/>
                <w:szCs w:val="18"/>
              </w:rPr>
            </w:pPr>
            <w:r>
              <w:rPr>
                <w:noProof/>
                <w:sz w:val="18"/>
              </w:rPr>
              <w:t>Aantal particuliere huishoudens in het land, in miljoenen, afgerond op drie decimalen</w:t>
            </w:r>
          </w:p>
        </w:tc>
        <w:tc>
          <w:tcPr>
            <w:tcW w:w="1020" w:type="dxa"/>
            <w:shd w:val="clear" w:color="auto" w:fill="auto"/>
            <w:noWrap/>
            <w:hideMark/>
          </w:tcPr>
          <w:p>
            <w:pPr>
              <w:rPr>
                <w:noProof/>
                <w:sz w:val="18"/>
                <w:szCs w:val="18"/>
              </w:rPr>
            </w:pPr>
            <w:r>
              <w:rPr>
                <w:noProof/>
                <w:sz w:val="18"/>
              </w:rPr>
              <w:t>900</w:t>
            </w:r>
          </w:p>
        </w:tc>
        <w:tc>
          <w:tcPr>
            <w:tcW w:w="944" w:type="dxa"/>
            <w:gridSpan w:val="2"/>
            <w:shd w:val="clear" w:color="auto" w:fill="auto"/>
            <w:noWrap/>
            <w:hideMark/>
          </w:tcPr>
          <w:p>
            <w:pPr>
              <w:rPr>
                <w:noProof/>
                <w:sz w:val="18"/>
                <w:szCs w:val="18"/>
              </w:rPr>
            </w:pPr>
            <w:r>
              <w:rPr>
                <w:noProof/>
                <w:sz w:val="18"/>
              </w:rPr>
              <w:t>2 600</w:t>
            </w:r>
          </w:p>
        </w:tc>
      </w:tr>
      <w:tr>
        <w:trPr>
          <w:trHeight w:val="300"/>
        </w:trPr>
        <w:tc>
          <w:tcPr>
            <w:tcW w:w="5118" w:type="dxa"/>
            <w:shd w:val="clear" w:color="auto" w:fill="auto"/>
            <w:noWrap/>
            <w:hideMark/>
          </w:tcPr>
          <w:p>
            <w:pPr>
              <w:rPr>
                <w:noProof/>
                <w:sz w:val="18"/>
                <w:szCs w:val="18"/>
              </w:rPr>
            </w:pPr>
            <w:r>
              <w:rPr>
                <w:noProof/>
                <w:sz w:val="18"/>
              </w:rPr>
              <w:t>Percentage van de bevolking dat risico loopt op een aanhoudende armoede van meer dan vier jaar</w:t>
            </w:r>
          </w:p>
        </w:tc>
        <w:tc>
          <w:tcPr>
            <w:tcW w:w="2688" w:type="dxa"/>
            <w:shd w:val="clear" w:color="auto" w:fill="auto"/>
            <w:noWrap/>
            <w:hideMark/>
          </w:tcPr>
          <w:p>
            <w:pPr>
              <w:rPr>
                <w:noProof/>
                <w:sz w:val="18"/>
                <w:szCs w:val="18"/>
              </w:rPr>
            </w:pPr>
            <w:r>
              <w:rPr>
                <w:noProof/>
                <w:sz w:val="18"/>
              </w:rPr>
              <w:t>Aantal particuliere huishoudens in het land, in miljoenen, afgerond op drie decimalen</w:t>
            </w:r>
          </w:p>
        </w:tc>
        <w:tc>
          <w:tcPr>
            <w:tcW w:w="1020" w:type="dxa"/>
            <w:shd w:val="clear" w:color="auto" w:fill="auto"/>
            <w:noWrap/>
            <w:hideMark/>
          </w:tcPr>
          <w:p>
            <w:pPr>
              <w:rPr>
                <w:noProof/>
                <w:sz w:val="18"/>
                <w:szCs w:val="18"/>
              </w:rPr>
            </w:pPr>
            <w:r>
              <w:rPr>
                <w:noProof/>
                <w:sz w:val="18"/>
              </w:rPr>
              <w:t>350</w:t>
            </w:r>
          </w:p>
        </w:tc>
        <w:tc>
          <w:tcPr>
            <w:tcW w:w="944" w:type="dxa"/>
            <w:gridSpan w:val="2"/>
            <w:shd w:val="clear" w:color="auto" w:fill="auto"/>
            <w:noWrap/>
            <w:hideMark/>
          </w:tcPr>
          <w:p>
            <w:pPr>
              <w:rPr>
                <w:noProof/>
                <w:sz w:val="18"/>
                <w:szCs w:val="18"/>
              </w:rPr>
            </w:pPr>
            <w:r>
              <w:rPr>
                <w:noProof/>
                <w:sz w:val="18"/>
              </w:rPr>
              <w:t>1 000</w:t>
            </w:r>
          </w:p>
        </w:tc>
      </w:tr>
      <w:tr>
        <w:trPr>
          <w:trHeight w:val="300"/>
        </w:trPr>
        <w:tc>
          <w:tcPr>
            <w:tcW w:w="5118" w:type="dxa"/>
            <w:shd w:val="clear" w:color="auto" w:fill="auto"/>
            <w:noWrap/>
            <w:hideMark/>
          </w:tcPr>
          <w:p>
            <w:pPr>
              <w:rPr>
                <w:noProof/>
                <w:sz w:val="18"/>
                <w:szCs w:val="18"/>
              </w:rPr>
            </w:pPr>
            <w:r>
              <w:rPr>
                <w:noProof/>
                <w:sz w:val="18"/>
              </w:rPr>
              <w:t>Percentage van de bevolking dat risico loopt op armoede of sociale uitsluiting in elke NUTS 2-regio (zie punt 7)</w:t>
            </w:r>
          </w:p>
        </w:tc>
        <w:tc>
          <w:tcPr>
            <w:tcW w:w="2688" w:type="dxa"/>
            <w:shd w:val="clear" w:color="auto" w:fill="auto"/>
            <w:noWrap/>
            <w:hideMark/>
          </w:tcPr>
          <w:p>
            <w:pPr>
              <w:rPr>
                <w:noProof/>
                <w:sz w:val="18"/>
                <w:szCs w:val="18"/>
              </w:rPr>
            </w:pPr>
            <w:r>
              <w:rPr>
                <w:noProof/>
                <w:sz w:val="18"/>
              </w:rPr>
              <w:t xml:space="preserve">Aantal particuliere huishoudens in de NUTS 2-regio, in miljoenen, afgerond op drie decimalen </w:t>
            </w:r>
          </w:p>
        </w:tc>
        <w:tc>
          <w:tcPr>
            <w:tcW w:w="1020" w:type="dxa"/>
            <w:shd w:val="clear" w:color="auto" w:fill="auto"/>
            <w:noWrap/>
            <w:hideMark/>
          </w:tcPr>
          <w:p>
            <w:pPr>
              <w:rPr>
                <w:noProof/>
                <w:sz w:val="18"/>
                <w:szCs w:val="18"/>
              </w:rPr>
            </w:pPr>
            <w:r>
              <w:rPr>
                <w:noProof/>
                <w:sz w:val="18"/>
              </w:rPr>
              <w:t>600</w:t>
            </w:r>
          </w:p>
        </w:tc>
        <w:tc>
          <w:tcPr>
            <w:tcW w:w="944" w:type="dxa"/>
            <w:gridSpan w:val="2"/>
            <w:shd w:val="clear" w:color="auto" w:fill="auto"/>
            <w:noWrap/>
            <w:hideMark/>
          </w:tcPr>
          <w:p>
            <w:pPr>
              <w:rPr>
                <w:noProof/>
                <w:sz w:val="18"/>
                <w:szCs w:val="18"/>
              </w:rPr>
            </w:pPr>
            <w:r>
              <w:rPr>
                <w:noProof/>
                <w:sz w:val="18"/>
              </w:rPr>
              <w:t>0</w:t>
            </w:r>
          </w:p>
        </w:tc>
      </w:tr>
      <w:tr>
        <w:trPr>
          <w:trHeight w:val="300"/>
        </w:trPr>
        <w:tc>
          <w:tcPr>
            <w:tcW w:w="9770" w:type="dxa"/>
            <w:gridSpan w:val="5"/>
            <w:shd w:val="clear" w:color="auto" w:fill="auto"/>
            <w:noWrap/>
            <w:hideMark/>
          </w:tcPr>
          <w:p>
            <w:pPr>
              <w:rPr>
                <w:noProof/>
                <w:sz w:val="18"/>
                <w:szCs w:val="18"/>
              </w:rPr>
            </w:pPr>
            <w:r>
              <w:rPr>
                <w:noProof/>
                <w:sz w:val="18"/>
              </w:rPr>
              <w:t>Deelgebied gezondheid</w:t>
            </w:r>
          </w:p>
        </w:tc>
      </w:tr>
      <w:tr>
        <w:trPr>
          <w:trHeight w:val="300"/>
        </w:trPr>
        <w:tc>
          <w:tcPr>
            <w:tcW w:w="5118" w:type="dxa"/>
            <w:shd w:val="clear" w:color="auto" w:fill="auto"/>
            <w:noWrap/>
            <w:hideMark/>
          </w:tcPr>
          <w:p>
            <w:pPr>
              <w:rPr>
                <w:noProof/>
                <w:sz w:val="18"/>
                <w:szCs w:val="18"/>
              </w:rPr>
            </w:pPr>
            <w:r>
              <w:rPr>
                <w:noProof/>
                <w:sz w:val="18"/>
              </w:rPr>
              <w:lastRenderedPageBreak/>
              <w:t>Percentage van de bevolking dat ernstig beperkt wordt in gewone activiteiten door gezondheidsproblemen (15 jaar en ouder)</w:t>
            </w:r>
          </w:p>
        </w:tc>
        <w:tc>
          <w:tcPr>
            <w:tcW w:w="2688" w:type="dxa"/>
            <w:shd w:val="clear" w:color="auto" w:fill="auto"/>
            <w:noWrap/>
            <w:hideMark/>
          </w:tcPr>
          <w:p>
            <w:pPr>
              <w:rPr>
                <w:noProof/>
                <w:sz w:val="18"/>
                <w:szCs w:val="18"/>
              </w:rPr>
            </w:pPr>
            <w:r>
              <w:rPr>
                <w:noProof/>
                <w:sz w:val="18"/>
              </w:rPr>
              <w:t>Bevolking in de leeftijdsklasse 15 jaar of ouder, woonachtig in particuliere huishoudens, in miljoenen personen, afgerond op drie decimalen</w:t>
            </w:r>
          </w:p>
        </w:tc>
        <w:tc>
          <w:tcPr>
            <w:tcW w:w="1111" w:type="dxa"/>
            <w:gridSpan w:val="2"/>
            <w:shd w:val="clear" w:color="auto" w:fill="auto"/>
            <w:noWrap/>
            <w:hideMark/>
          </w:tcPr>
          <w:p>
            <w:pPr>
              <w:rPr>
                <w:noProof/>
                <w:sz w:val="18"/>
                <w:szCs w:val="18"/>
              </w:rPr>
            </w:pPr>
            <w:r>
              <w:rPr>
                <w:noProof/>
                <w:sz w:val="18"/>
              </w:rPr>
              <w:t>1 200</w:t>
            </w:r>
          </w:p>
        </w:tc>
        <w:tc>
          <w:tcPr>
            <w:tcW w:w="853" w:type="dxa"/>
            <w:shd w:val="clear" w:color="auto" w:fill="auto"/>
            <w:noWrap/>
            <w:hideMark/>
          </w:tcPr>
          <w:p>
            <w:pPr>
              <w:rPr>
                <w:noProof/>
                <w:sz w:val="18"/>
                <w:szCs w:val="18"/>
              </w:rPr>
            </w:pPr>
            <w:r>
              <w:rPr>
                <w:noProof/>
                <w:sz w:val="18"/>
              </w:rPr>
              <w:t>2 800</w:t>
            </w:r>
          </w:p>
        </w:tc>
      </w:tr>
    </w:tbl>
    <w:p>
      <w:pPr>
        <w:rPr>
          <w:noProof/>
        </w:rPr>
      </w:pPr>
      <w:r>
        <w:rPr>
          <w:noProof/>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85"/>
        <w:gridCol w:w="2603"/>
        <w:gridCol w:w="130"/>
        <w:gridCol w:w="823"/>
        <w:gridCol w:w="67"/>
        <w:gridCol w:w="77"/>
        <w:gridCol w:w="867"/>
      </w:tblGrid>
      <w:tr>
        <w:trPr>
          <w:trHeight w:val="300"/>
        </w:trPr>
        <w:tc>
          <w:tcPr>
            <w:tcW w:w="9770" w:type="dxa"/>
            <w:gridSpan w:val="8"/>
            <w:shd w:val="clear" w:color="auto" w:fill="auto"/>
            <w:noWrap/>
          </w:tcPr>
          <w:p>
            <w:pPr>
              <w:rPr>
                <w:noProof/>
                <w:sz w:val="18"/>
                <w:szCs w:val="18"/>
              </w:rPr>
            </w:pPr>
            <w:r>
              <w:rPr>
                <w:noProof/>
                <w:sz w:val="18"/>
              </w:rPr>
              <w:lastRenderedPageBreak/>
              <w:t>Deelgebied onderwijs en opleiding</w:t>
            </w:r>
          </w:p>
        </w:tc>
      </w:tr>
      <w:tr>
        <w:trPr>
          <w:trHeight w:val="300"/>
        </w:trPr>
        <w:tc>
          <w:tcPr>
            <w:tcW w:w="5118" w:type="dxa"/>
            <w:shd w:val="clear" w:color="auto" w:fill="auto"/>
            <w:noWrap/>
          </w:tcPr>
          <w:p>
            <w:pPr>
              <w:rPr>
                <w:noProof/>
                <w:sz w:val="18"/>
                <w:szCs w:val="18"/>
              </w:rPr>
            </w:pPr>
            <w:r>
              <w:rPr>
                <w:noProof/>
                <w:sz w:val="18"/>
              </w:rPr>
              <w:t>Participatiegraad in formele onderwijs- en opleidingsactiviteiten (leeftijdsgroep van 18-24 jaar)</w:t>
            </w:r>
          </w:p>
        </w:tc>
        <w:tc>
          <w:tcPr>
            <w:tcW w:w="2688" w:type="dxa"/>
            <w:gridSpan w:val="2"/>
            <w:shd w:val="clear" w:color="auto" w:fill="auto"/>
            <w:noWrap/>
          </w:tcPr>
          <w:p>
            <w:pPr>
              <w:rPr>
                <w:noProof/>
                <w:sz w:val="18"/>
                <w:szCs w:val="18"/>
              </w:rPr>
            </w:pPr>
            <w:r>
              <w:rPr>
                <w:noProof/>
                <w:sz w:val="18"/>
              </w:rPr>
              <w:t>Bevolking in de leeftijdsklasse 18 tot en met 24 jaar, woonachtig in particuliere huishoudens, in miljoenen personen, afgerond op drie decimalen</w:t>
            </w:r>
          </w:p>
        </w:tc>
        <w:tc>
          <w:tcPr>
            <w:tcW w:w="1020" w:type="dxa"/>
            <w:gridSpan w:val="3"/>
            <w:shd w:val="clear" w:color="auto" w:fill="auto"/>
            <w:noWrap/>
          </w:tcPr>
          <w:p>
            <w:pPr>
              <w:rPr>
                <w:noProof/>
                <w:sz w:val="18"/>
                <w:szCs w:val="18"/>
              </w:rPr>
            </w:pPr>
            <w:r>
              <w:rPr>
                <w:noProof/>
                <w:sz w:val="18"/>
              </w:rPr>
              <w:t>200</w:t>
            </w:r>
          </w:p>
        </w:tc>
        <w:tc>
          <w:tcPr>
            <w:tcW w:w="944" w:type="dxa"/>
            <w:gridSpan w:val="2"/>
            <w:shd w:val="clear" w:color="auto" w:fill="auto"/>
            <w:noWrap/>
          </w:tcPr>
          <w:p>
            <w:pPr>
              <w:rPr>
                <w:noProof/>
                <w:sz w:val="18"/>
                <w:szCs w:val="18"/>
              </w:rPr>
            </w:pPr>
            <w:r>
              <w:rPr>
                <w:noProof/>
                <w:sz w:val="18"/>
              </w:rPr>
              <w:t>1 500</w:t>
            </w:r>
          </w:p>
        </w:tc>
      </w:tr>
      <w:tr>
        <w:trPr>
          <w:trHeight w:val="300"/>
        </w:trPr>
        <w:tc>
          <w:tcPr>
            <w:tcW w:w="5118" w:type="dxa"/>
            <w:shd w:val="clear" w:color="auto" w:fill="auto"/>
            <w:noWrap/>
          </w:tcPr>
          <w:p>
            <w:pPr>
              <w:rPr>
                <w:noProof/>
                <w:sz w:val="18"/>
                <w:szCs w:val="18"/>
              </w:rPr>
            </w:pPr>
            <w:r>
              <w:rPr>
                <w:noProof/>
                <w:sz w:val="18"/>
              </w:rPr>
              <w:t>Participatiegraad in niet-formele onderwijs- en opleidingsactiviteiten (leeftijdsgroep van 25-69 jaar)</w:t>
            </w:r>
          </w:p>
        </w:tc>
        <w:tc>
          <w:tcPr>
            <w:tcW w:w="2688" w:type="dxa"/>
            <w:gridSpan w:val="2"/>
            <w:shd w:val="clear" w:color="auto" w:fill="auto"/>
            <w:noWrap/>
          </w:tcPr>
          <w:p>
            <w:pPr>
              <w:rPr>
                <w:noProof/>
                <w:sz w:val="18"/>
                <w:szCs w:val="18"/>
              </w:rPr>
            </w:pPr>
            <w:r>
              <w:rPr>
                <w:noProof/>
                <w:sz w:val="18"/>
              </w:rPr>
              <w:t>Bevolking in de leeftijdsklasse 25 tot en met 69 jaar, woonachtig in particuliere huishoudens, in miljoenen personen, afgerond op drie decimalen</w:t>
            </w:r>
          </w:p>
        </w:tc>
        <w:tc>
          <w:tcPr>
            <w:tcW w:w="1020" w:type="dxa"/>
            <w:gridSpan w:val="3"/>
            <w:shd w:val="clear" w:color="auto" w:fill="auto"/>
            <w:noWrap/>
          </w:tcPr>
          <w:p>
            <w:pPr>
              <w:rPr>
                <w:noProof/>
                <w:sz w:val="18"/>
                <w:szCs w:val="18"/>
              </w:rPr>
            </w:pPr>
            <w:r>
              <w:rPr>
                <w:noProof/>
                <w:sz w:val="18"/>
              </w:rPr>
              <w:t>400</w:t>
            </w:r>
          </w:p>
        </w:tc>
        <w:tc>
          <w:tcPr>
            <w:tcW w:w="944" w:type="dxa"/>
            <w:gridSpan w:val="2"/>
            <w:shd w:val="clear" w:color="auto" w:fill="auto"/>
            <w:noWrap/>
          </w:tcPr>
          <w:p>
            <w:pPr>
              <w:rPr>
                <w:noProof/>
                <w:sz w:val="18"/>
                <w:szCs w:val="18"/>
              </w:rPr>
            </w:pPr>
            <w:r>
              <w:rPr>
                <w:noProof/>
                <w:sz w:val="18"/>
              </w:rPr>
              <w:t>2 000</w:t>
            </w:r>
          </w:p>
        </w:tc>
      </w:tr>
      <w:tr>
        <w:trPr>
          <w:trHeight w:val="300"/>
        </w:trPr>
        <w:tc>
          <w:tcPr>
            <w:tcW w:w="9770" w:type="dxa"/>
            <w:gridSpan w:val="8"/>
            <w:shd w:val="clear" w:color="auto" w:fill="auto"/>
            <w:noWrap/>
            <w:hideMark/>
          </w:tcPr>
          <w:p>
            <w:pPr>
              <w:rPr>
                <w:noProof/>
                <w:sz w:val="18"/>
                <w:szCs w:val="18"/>
              </w:rPr>
            </w:pPr>
            <w:r>
              <w:rPr>
                <w:noProof/>
                <w:sz w:val="18"/>
              </w:rPr>
              <w:t>Deelgebied gebruik van informatie- en communicatietechnologie</w:t>
            </w:r>
          </w:p>
        </w:tc>
      </w:tr>
      <w:tr>
        <w:trPr>
          <w:trHeight w:val="300"/>
        </w:trPr>
        <w:tc>
          <w:tcPr>
            <w:tcW w:w="5118" w:type="dxa"/>
            <w:shd w:val="clear" w:color="auto" w:fill="auto"/>
            <w:noWrap/>
            <w:hideMark/>
          </w:tcPr>
          <w:p>
            <w:pPr>
              <w:rPr>
                <w:noProof/>
                <w:sz w:val="18"/>
                <w:szCs w:val="18"/>
              </w:rPr>
            </w:pPr>
            <w:r>
              <w:rPr>
                <w:noProof/>
                <w:sz w:val="18"/>
              </w:rPr>
              <w:t>Het percentage personen dat in het afgelopen jaar via internet goederen of diensten voor particulier gebruik bestelde</w:t>
            </w:r>
          </w:p>
        </w:tc>
        <w:tc>
          <w:tcPr>
            <w:tcW w:w="2688" w:type="dxa"/>
            <w:gridSpan w:val="2"/>
            <w:shd w:val="clear" w:color="auto" w:fill="auto"/>
            <w:noWrap/>
            <w:hideMark/>
          </w:tcPr>
          <w:p>
            <w:pPr>
              <w:rPr>
                <w:noProof/>
                <w:sz w:val="18"/>
                <w:szCs w:val="18"/>
              </w:rPr>
            </w:pPr>
            <w:r>
              <w:rPr>
                <w:noProof/>
                <w:sz w:val="18"/>
              </w:rPr>
              <w:t>Bevolking in de leeftijdsklasse 16 tot en met 74 jaar, woonachtig in particuliere huishoudens, in miljoenen personen, afgerond op drie decimalen</w:t>
            </w:r>
          </w:p>
        </w:tc>
        <w:tc>
          <w:tcPr>
            <w:tcW w:w="953" w:type="dxa"/>
            <w:gridSpan w:val="2"/>
            <w:shd w:val="clear" w:color="auto" w:fill="auto"/>
            <w:noWrap/>
            <w:hideMark/>
          </w:tcPr>
          <w:p>
            <w:pPr>
              <w:rPr>
                <w:noProof/>
                <w:sz w:val="18"/>
                <w:szCs w:val="18"/>
              </w:rPr>
            </w:pPr>
            <w:r>
              <w:rPr>
                <w:noProof/>
                <w:sz w:val="18"/>
              </w:rPr>
              <w:t xml:space="preserve">400 </w:t>
            </w:r>
          </w:p>
        </w:tc>
        <w:tc>
          <w:tcPr>
            <w:tcW w:w="1011" w:type="dxa"/>
            <w:gridSpan w:val="3"/>
            <w:shd w:val="clear" w:color="auto" w:fill="auto"/>
            <w:noWrap/>
            <w:hideMark/>
          </w:tcPr>
          <w:p>
            <w:pPr>
              <w:rPr>
                <w:noProof/>
                <w:sz w:val="18"/>
                <w:szCs w:val="18"/>
              </w:rPr>
            </w:pPr>
            <w:r>
              <w:rPr>
                <w:noProof/>
                <w:sz w:val="18"/>
              </w:rPr>
              <w:t>1 300</w:t>
            </w:r>
          </w:p>
        </w:tc>
      </w:tr>
      <w:tr>
        <w:trPr>
          <w:trHeight w:val="300"/>
        </w:trPr>
        <w:tc>
          <w:tcPr>
            <w:tcW w:w="9770" w:type="dxa"/>
            <w:gridSpan w:val="8"/>
            <w:shd w:val="clear" w:color="auto" w:fill="auto"/>
            <w:noWrap/>
            <w:hideMark/>
          </w:tcPr>
          <w:p>
            <w:pPr>
              <w:rPr>
                <w:noProof/>
                <w:sz w:val="18"/>
                <w:szCs w:val="18"/>
              </w:rPr>
            </w:pPr>
            <w:r>
              <w:rPr>
                <w:noProof/>
                <w:sz w:val="18"/>
              </w:rPr>
              <w:t>Deelgebied tijdsbesteding</w:t>
            </w:r>
          </w:p>
        </w:tc>
      </w:tr>
      <w:tr>
        <w:trPr>
          <w:trHeight w:val="300"/>
        </w:trPr>
        <w:tc>
          <w:tcPr>
            <w:tcW w:w="5203" w:type="dxa"/>
            <w:gridSpan w:val="2"/>
            <w:shd w:val="clear" w:color="auto" w:fill="auto"/>
            <w:noWrap/>
            <w:hideMark/>
          </w:tcPr>
          <w:p>
            <w:pPr>
              <w:rPr>
                <w:noProof/>
                <w:sz w:val="18"/>
                <w:szCs w:val="18"/>
              </w:rPr>
            </w:pPr>
            <w:r>
              <w:rPr>
                <w:noProof/>
                <w:sz w:val="18"/>
              </w:rPr>
              <w:t>Percentage van de bevolking van 15 jaar en ouder dat dagelijks gemiddeld meer dan 10 % van de tijd betaald werk verricht</w:t>
            </w:r>
          </w:p>
        </w:tc>
        <w:tc>
          <w:tcPr>
            <w:tcW w:w="2733" w:type="dxa"/>
            <w:gridSpan w:val="2"/>
            <w:shd w:val="clear" w:color="auto" w:fill="auto"/>
            <w:noWrap/>
            <w:hideMark/>
          </w:tcPr>
          <w:p>
            <w:pPr>
              <w:rPr>
                <w:noProof/>
                <w:sz w:val="18"/>
                <w:szCs w:val="18"/>
              </w:rPr>
            </w:pPr>
            <w:r>
              <w:rPr>
                <w:noProof/>
                <w:sz w:val="18"/>
              </w:rPr>
              <w:t>Bevolking in de leeftijdsklasse 15 jaar of ouder, woonachtig in particuliere huishoudens, in miljoenen personen, afgerond op drie decimalen</w:t>
            </w:r>
          </w:p>
        </w:tc>
        <w:tc>
          <w:tcPr>
            <w:tcW w:w="967" w:type="dxa"/>
            <w:gridSpan w:val="3"/>
            <w:shd w:val="clear" w:color="auto" w:fill="auto"/>
            <w:noWrap/>
            <w:hideMark/>
          </w:tcPr>
          <w:p>
            <w:pPr>
              <w:rPr>
                <w:noProof/>
                <w:sz w:val="18"/>
                <w:szCs w:val="18"/>
              </w:rPr>
            </w:pPr>
            <w:r>
              <w:rPr>
                <w:noProof/>
                <w:sz w:val="18"/>
              </w:rPr>
              <w:t>900</w:t>
            </w:r>
          </w:p>
        </w:tc>
        <w:tc>
          <w:tcPr>
            <w:tcW w:w="867" w:type="dxa"/>
            <w:shd w:val="clear" w:color="auto" w:fill="auto"/>
            <w:noWrap/>
            <w:hideMark/>
          </w:tcPr>
          <w:p>
            <w:pPr>
              <w:rPr>
                <w:noProof/>
                <w:sz w:val="18"/>
                <w:szCs w:val="18"/>
              </w:rPr>
            </w:pPr>
            <w:r>
              <w:rPr>
                <w:noProof/>
                <w:sz w:val="18"/>
              </w:rPr>
              <w:t>3 500</w:t>
            </w:r>
          </w:p>
        </w:tc>
      </w:tr>
      <w:tr>
        <w:trPr>
          <w:trHeight w:val="300"/>
        </w:trPr>
        <w:tc>
          <w:tcPr>
            <w:tcW w:w="9770" w:type="dxa"/>
            <w:gridSpan w:val="8"/>
            <w:shd w:val="clear" w:color="auto" w:fill="auto"/>
            <w:noWrap/>
            <w:hideMark/>
          </w:tcPr>
          <w:p>
            <w:pPr>
              <w:rPr>
                <w:noProof/>
                <w:sz w:val="18"/>
                <w:szCs w:val="18"/>
              </w:rPr>
            </w:pPr>
            <w:r>
              <w:rPr>
                <w:noProof/>
                <w:sz w:val="18"/>
              </w:rPr>
              <w:t>Deelgebied verbruik</w:t>
            </w:r>
          </w:p>
        </w:tc>
      </w:tr>
      <w:tr>
        <w:trPr>
          <w:trHeight w:val="300"/>
        </w:trPr>
        <w:tc>
          <w:tcPr>
            <w:tcW w:w="5203" w:type="dxa"/>
            <w:gridSpan w:val="2"/>
            <w:shd w:val="clear" w:color="auto" w:fill="auto"/>
            <w:noWrap/>
            <w:hideMark/>
          </w:tcPr>
          <w:p>
            <w:pPr>
              <w:rPr>
                <w:noProof/>
                <w:sz w:val="18"/>
                <w:szCs w:val="18"/>
              </w:rPr>
            </w:pPr>
            <w:r>
              <w:rPr>
                <w:noProof/>
                <w:sz w:val="18"/>
              </w:rPr>
              <w:t>Percentage huishoudens waarvoor de uitgaven in aan huisvesting gerelateerde categorieën, met inbegrip van water, elektriciteit, gas en andere brandstoffen, meer dan 50 % van de totale uitgaven bedragen (zie punt 8)</w:t>
            </w:r>
          </w:p>
        </w:tc>
        <w:tc>
          <w:tcPr>
            <w:tcW w:w="2733" w:type="dxa"/>
            <w:gridSpan w:val="2"/>
            <w:shd w:val="clear" w:color="auto" w:fill="auto"/>
            <w:noWrap/>
            <w:hideMark/>
          </w:tcPr>
          <w:p>
            <w:pPr>
              <w:rPr>
                <w:noProof/>
                <w:sz w:val="18"/>
                <w:szCs w:val="18"/>
              </w:rPr>
            </w:pPr>
            <w:r>
              <w:rPr>
                <w:noProof/>
                <w:sz w:val="18"/>
              </w:rPr>
              <w:t>Aantal particuliere huishoudens in het land, in miljoenen, afgerond op drie decimalen</w:t>
            </w:r>
          </w:p>
        </w:tc>
        <w:tc>
          <w:tcPr>
            <w:tcW w:w="967" w:type="dxa"/>
            <w:gridSpan w:val="3"/>
            <w:shd w:val="clear" w:color="auto" w:fill="auto"/>
            <w:noWrap/>
            <w:hideMark/>
          </w:tcPr>
          <w:p>
            <w:pPr>
              <w:rPr>
                <w:noProof/>
                <w:sz w:val="18"/>
                <w:szCs w:val="18"/>
              </w:rPr>
            </w:pPr>
            <w:r>
              <w:rPr>
                <w:noProof/>
                <w:sz w:val="18"/>
              </w:rPr>
              <w:t>900</w:t>
            </w:r>
          </w:p>
        </w:tc>
        <w:tc>
          <w:tcPr>
            <w:tcW w:w="867" w:type="dxa"/>
            <w:shd w:val="clear" w:color="auto" w:fill="auto"/>
            <w:noWrap/>
            <w:hideMark/>
          </w:tcPr>
          <w:p>
            <w:pPr>
              <w:rPr>
                <w:noProof/>
                <w:sz w:val="18"/>
                <w:szCs w:val="18"/>
              </w:rPr>
            </w:pPr>
            <w:r>
              <w:rPr>
                <w:noProof/>
                <w:sz w:val="18"/>
              </w:rPr>
              <w:t>2 600</w:t>
            </w:r>
          </w:p>
        </w:tc>
      </w:tr>
    </w:tbl>
    <w:p>
      <w:pPr>
        <w:spacing w:before="0" w:after="200" w:line="276" w:lineRule="auto"/>
        <w:jc w:val="left"/>
        <w:rPr>
          <w:rFonts w:eastAsia="Calibri"/>
          <w:noProof/>
          <w:sz w:val="22"/>
        </w:rPr>
      </w:pPr>
    </w:p>
    <w:p>
      <w:pPr>
        <w:pStyle w:val="NumPar1"/>
        <w:rPr>
          <w:noProof/>
        </w:rPr>
      </w:pPr>
      <w:r>
        <w:rPr>
          <w:noProof/>
        </w:rPr>
        <w:t xml:space="preserve">Wanneer landen negatieve waarden voor </w:t>
      </w:r>
      <w:r>
        <w:rPr>
          <w:i/>
          <w:noProof/>
        </w:rPr>
        <w:t>f(N)</w:t>
      </w:r>
      <w:r>
        <w:rPr>
          <w:noProof/>
        </w:rPr>
        <w:t xml:space="preserve"> verkrijgen met hierboven genoemde parameters, worden zij vrijgesteld van de bijbehorende eis.</w:t>
      </w:r>
    </w:p>
    <w:p>
      <w:pPr>
        <w:pStyle w:val="NumPar1"/>
        <w:rPr>
          <w:noProof/>
        </w:rPr>
      </w:pPr>
      <w:r>
        <w:rPr>
          <w:noProof/>
        </w:rPr>
        <w:t xml:space="preserve">Voor de geraamde ratio tussen werkloosheid en bevolking in de leeftijdsklasse 15 tot en met 74 jaar in elke NUTS 2-regio, wordt de functie </w:t>
      </w:r>
      <w:r>
        <w:rPr>
          <w:i/>
          <w:noProof/>
        </w:rPr>
        <w:t>f(N)</w:t>
      </w:r>
      <w:r>
        <w:rPr>
          <w:noProof/>
        </w:rPr>
        <w:t xml:space="preserve"> als volgt gedefinieerd:</w:t>
      </w:r>
    </w:p>
    <w:p>
      <w:pPr>
        <w:spacing w:before="0" w:after="200" w:line="276" w:lineRule="auto"/>
        <w:ind w:left="1417"/>
        <w:jc w:val="left"/>
        <w:rPr>
          <w:rFonts w:eastAsia="Calibri"/>
          <w:i/>
          <w:noProof/>
          <w:szCs w:val="24"/>
        </w:rPr>
      </w:pPr>
      <m:oMath>
        <m:r>
          <m:rPr>
            <m:nor/>
          </m:rPr>
          <w:rPr>
            <w:rFonts w:eastAsia="Calibri"/>
            <w:i/>
            <w:noProof/>
            <w:szCs w:val="24"/>
          </w:rPr>
          <m:t>f</m:t>
        </m:r>
        <m:d>
          <m:dPr>
            <m:ctrlPr>
              <w:rPr>
                <w:rFonts w:ascii="Cambria Math" w:hAnsi="Cambria Math"/>
                <w:i/>
                <w:noProof/>
              </w:rPr>
            </m:ctrlPr>
          </m:dPr>
          <m:e>
            <m:sSub>
              <m:sSubPr>
                <m:ctrlPr>
                  <w:rPr>
                    <w:rFonts w:ascii="Cambria Math" w:hAnsi="Cambria Math"/>
                    <w:i/>
                    <w:noProof/>
                  </w:rPr>
                </m:ctrlPr>
              </m:sSubPr>
              <m:e>
                <m:r>
                  <m:rPr>
                    <m:nor/>
                  </m:rPr>
                  <w:rPr>
                    <w:i/>
                    <w:noProof/>
                  </w:rPr>
                  <m:t>N</m:t>
                </m:r>
              </m:e>
              <m:sub>
                <m:r>
                  <m:rPr>
                    <m:nor/>
                  </m:rPr>
                  <w:rPr>
                    <w:noProof/>
                  </w:rPr>
                  <m:t>r,15-74</m:t>
                </m:r>
              </m:sub>
            </m:sSub>
          </m:e>
        </m:d>
        <m:r>
          <m:rPr>
            <m:nor/>
          </m:rPr>
          <w:rPr>
            <w:i/>
            <w:noProof/>
          </w:rPr>
          <m:t>=</m:t>
        </m:r>
        <m:d>
          <m:dPr>
            <m:begChr m:val="{"/>
            <m:endChr m:val=""/>
            <m:ctrlPr>
              <w:rPr>
                <w:rFonts w:ascii="Cambria Math" w:hAnsi="Cambria Math"/>
                <w:i/>
                <w:noProof/>
              </w:rPr>
            </m:ctrlPr>
          </m:dPr>
          <m:e>
            <m:eqArr>
              <m:eqArrPr>
                <m:ctrlPr>
                  <w:rPr>
                    <w:rFonts w:ascii="Cambria Math" w:hAnsi="Cambria Math"/>
                    <w:i/>
                    <w:noProof/>
                  </w:rPr>
                </m:ctrlPr>
              </m:eqArrPr>
              <m:e>
                <m:r>
                  <m:rPr>
                    <m:nor/>
                  </m:rPr>
                  <w:rPr>
                    <w:noProof/>
                  </w:rPr>
                  <m:t>1300</m:t>
                </m:r>
                <m:r>
                  <m:rPr>
                    <m:nor/>
                  </m:rPr>
                  <w:rPr>
                    <w:i/>
                    <w:noProof/>
                  </w:rPr>
                  <m:t xml:space="preserve">, </m:t>
                </m:r>
                <m:r>
                  <m:rPr>
                    <m:nor/>
                  </m:rPr>
                  <w:rPr>
                    <w:iCs/>
                    <w:noProof/>
                  </w:rPr>
                  <m:t>als</m:t>
                </m:r>
                <m:r>
                  <m:rPr>
                    <m:nor/>
                  </m:rPr>
                  <w:rPr>
                    <w:i/>
                    <w:noProof/>
                  </w:rPr>
                  <m:t xml:space="preserve">   </m:t>
                </m:r>
                <m:sSub>
                  <m:sSubPr>
                    <m:ctrlPr>
                      <w:rPr>
                        <w:rFonts w:ascii="Cambria Math" w:hAnsi="Cambria Math"/>
                        <w:i/>
                        <w:noProof/>
                      </w:rPr>
                    </m:ctrlPr>
                  </m:sSubPr>
                  <m:e>
                    <m:r>
                      <m:rPr>
                        <m:nor/>
                      </m:rPr>
                      <w:rPr>
                        <w:i/>
                        <w:noProof/>
                      </w:rPr>
                      <m:t>N</m:t>
                    </m:r>
                  </m:e>
                  <m:sub>
                    <m:r>
                      <m:rPr>
                        <m:nor/>
                      </m:rPr>
                      <w:rPr>
                        <w:noProof/>
                      </w:rPr>
                      <m:t>r,15-74</m:t>
                    </m:r>
                  </m:sub>
                </m:sSub>
                <m:r>
                  <m:rPr>
                    <m:nor/>
                  </m:rPr>
                  <w:rPr>
                    <w:noProof/>
                  </w:rPr>
                  <m:t>≥ 0,300 miljoen inwoners</m:t>
                </m:r>
              </m:e>
              <m:e>
                <m:f>
                  <m:fPr>
                    <m:ctrlPr>
                      <w:rPr>
                        <w:rFonts w:ascii="Cambria Math" w:hAnsi="Cambria Math"/>
                        <w:noProof/>
                      </w:rPr>
                    </m:ctrlPr>
                  </m:fPr>
                  <m:num>
                    <m:r>
                      <m:rPr>
                        <m:nor/>
                      </m:rPr>
                      <w:rPr>
                        <w:noProof/>
                      </w:rPr>
                      <m:t>1300</m:t>
                    </m:r>
                  </m:num>
                  <m:den>
                    <m:r>
                      <m:rPr>
                        <m:nor/>
                      </m:rPr>
                      <w:rPr>
                        <w:noProof/>
                      </w:rPr>
                      <m:t>0.3</m:t>
                    </m:r>
                  </m:den>
                </m:f>
                <m:sSub>
                  <m:sSubPr>
                    <m:ctrlPr>
                      <w:rPr>
                        <w:rFonts w:ascii="Cambria Math" w:hAnsi="Cambria Math"/>
                        <w:i/>
                        <w:noProof/>
                      </w:rPr>
                    </m:ctrlPr>
                  </m:sSubPr>
                  <m:e>
                    <m:r>
                      <m:rPr>
                        <m:nor/>
                      </m:rPr>
                      <w:rPr>
                        <w:i/>
                        <w:noProof/>
                      </w:rPr>
                      <m:t>N</m:t>
                    </m:r>
                  </m:e>
                  <m:sub>
                    <m:r>
                      <m:rPr>
                        <m:nor/>
                      </m:rPr>
                      <w:rPr>
                        <w:noProof/>
                      </w:rPr>
                      <m:t>r, 15-7</m:t>
                    </m:r>
                    <m:r>
                      <m:rPr>
                        <m:nor/>
                      </m:rPr>
                      <w:rPr>
                        <w:iCs/>
                        <w:noProof/>
                      </w:rPr>
                      <m:t>4</m:t>
                    </m:r>
                  </m:sub>
                </m:sSub>
                <m:r>
                  <m:rPr>
                    <m:nor/>
                  </m:rPr>
                  <w:rPr>
                    <w:i/>
                    <w:noProof/>
                  </w:rPr>
                  <m:t xml:space="preserve"> ,  </m:t>
                </m:r>
                <m:r>
                  <m:rPr>
                    <m:nor/>
                  </m:rPr>
                  <w:rPr>
                    <w:iCs/>
                    <w:noProof/>
                  </w:rPr>
                  <m:t>als</m:t>
                </m:r>
                <m:r>
                  <m:rPr>
                    <m:nor/>
                  </m:rPr>
                  <w:rPr>
                    <w:i/>
                    <w:noProof/>
                  </w:rPr>
                  <m:t xml:space="preserve"> </m:t>
                </m:r>
                <m:sSub>
                  <m:sSubPr>
                    <m:ctrlPr>
                      <w:rPr>
                        <w:rFonts w:ascii="Cambria Math" w:hAnsi="Cambria Math"/>
                        <w:i/>
                        <w:noProof/>
                      </w:rPr>
                    </m:ctrlPr>
                  </m:sSubPr>
                  <m:e>
                    <m:r>
                      <m:rPr>
                        <m:nor/>
                      </m:rPr>
                      <w:rPr>
                        <w:i/>
                        <w:noProof/>
                      </w:rPr>
                      <m:t>N</m:t>
                    </m:r>
                  </m:e>
                  <m:sub>
                    <m:r>
                      <m:rPr>
                        <m:nor/>
                      </m:rPr>
                      <w:rPr>
                        <w:noProof/>
                      </w:rPr>
                      <m:t>r,15-74</m:t>
                    </m:r>
                  </m:sub>
                </m:sSub>
                <m:r>
                  <m:rPr>
                    <m:nor/>
                  </m:rPr>
                  <w:rPr>
                    <w:i/>
                    <w:noProof/>
                  </w:rPr>
                  <m:t xml:space="preserve"> </m:t>
                </m:r>
                <m:r>
                  <m:rPr>
                    <m:nor/>
                  </m:rPr>
                  <w:rPr>
                    <w:noProof/>
                  </w:rPr>
                  <m:t>&lt; 0,300 miljoen inwoners</m:t>
                </m:r>
              </m:e>
            </m:eqArr>
          </m:e>
        </m:d>
      </m:oMath>
      <w:r>
        <w:rPr>
          <w:i/>
          <w:noProof/>
        </w:rPr>
        <w:t xml:space="preserve"> </w:t>
      </w:r>
    </w:p>
    <w:p>
      <w:pPr>
        <w:pStyle w:val="NumPar1"/>
        <w:rPr>
          <w:noProof/>
        </w:rPr>
      </w:pPr>
      <w:r>
        <w:rPr>
          <w:noProof/>
        </w:rPr>
        <w:t>Voor het geraamde percentage van de bevolking in elk NUTS 2-regio dat risico loopt op armoede of sociale uitsluiting, zijn deze eisen niet verplicht voor NUTS 2-regio’s met minder dan 0,500 miljoen inwoners, mits de bijbehorende NUTS 1-regio aan deze eis voldoet.</w:t>
      </w:r>
    </w:p>
    <w:p>
      <w:pPr>
        <w:pStyle w:val="NumPar1"/>
        <w:rPr>
          <w:noProof/>
        </w:rPr>
      </w:pPr>
      <w:r>
        <w:rPr>
          <w:noProof/>
        </w:rPr>
        <w:t>Voor het deelgebied verbruik kan aan de nauwkeurigheidseisen worden voldaan door een combinatie van de microgegevens voor maximaal drie opeenvolgende jaren van waarnemingen.</w:t>
      </w:r>
    </w:p>
    <w:p>
      <w:pPr>
        <w:widowControl w:val="0"/>
        <w:autoSpaceDE w:val="0"/>
        <w:autoSpaceDN w:val="0"/>
        <w:spacing w:before="0" w:after="0"/>
        <w:ind w:right="85"/>
        <w:jc w:val="left"/>
        <w:rPr>
          <w:rFonts w:eastAsia="Times New Roman"/>
          <w:noProof/>
          <w:sz w:val="16"/>
          <w:szCs w:val="16"/>
        </w:rPr>
      </w:pPr>
      <w:r>
        <w:rPr>
          <w:noProof/>
        </w:rPr>
        <w:br w:type="page"/>
      </w:r>
    </w:p>
    <w:p>
      <w:pPr>
        <w:pStyle w:val="Annexetitre"/>
        <w:rPr>
          <w:noProof/>
        </w:rPr>
      </w:pPr>
      <w:r>
        <w:rPr>
          <w:noProof/>
        </w:rPr>
        <w:lastRenderedPageBreak/>
        <w:t>Bijlage III</w:t>
      </w:r>
    </w:p>
    <w:p>
      <w:pPr>
        <w:jc w:val="center"/>
        <w:rPr>
          <w:b/>
          <w:noProof/>
        </w:rPr>
      </w:pPr>
      <w:r>
        <w:rPr>
          <w:b/>
          <w:noProof/>
        </w:rPr>
        <w:t>Kenmerken van de steekproef</w:t>
      </w:r>
    </w:p>
    <w:p>
      <w:pPr>
        <w:pStyle w:val="NumPar1"/>
        <w:numPr>
          <w:ilvl w:val="0"/>
          <w:numId w:val="9"/>
        </w:numPr>
        <w:rPr>
          <w:noProof/>
        </w:rPr>
      </w:pPr>
      <w:r>
        <w:rPr>
          <w:noProof/>
        </w:rPr>
        <w:t xml:space="preserve">Kenmerken van de steekproef van het deelgebied arbeidsmarkt moeten het volgende omvatten: </w:t>
      </w:r>
    </w:p>
    <w:p>
      <w:pPr>
        <w:pStyle w:val="Point1"/>
        <w:rPr>
          <w:noProof/>
        </w:rPr>
      </w:pPr>
      <w:r>
        <w:rPr>
          <w:noProof/>
        </w:rPr>
        <w:t>a)</w:t>
      </w:r>
      <w:r>
        <w:rPr>
          <w:noProof/>
        </w:rPr>
        <w:tab/>
        <w:t>de nationale steekproef voor het referentiekwartaal (aggregatie van opeenvolgende referentieweken) wordt gelijkmatig verspreid over alle weken van het kwartaal. De steekproef voor het referentiekwartaal (per NUTS 2-regio) wordt over de drie maanden verdeeld naar evenredigheid van het aantal weken per maand;</w:t>
      </w:r>
    </w:p>
    <w:p>
      <w:pPr>
        <w:pStyle w:val="Point1"/>
        <w:rPr>
          <w:rFonts w:eastAsia="Calibri"/>
          <w:noProof/>
        </w:rPr>
      </w:pPr>
      <w:r>
        <w:rPr>
          <w:noProof/>
        </w:rPr>
        <w:t>b)</w:t>
      </w:r>
      <w:r>
        <w:rPr>
          <w:noProof/>
        </w:rPr>
        <w:tab/>
        <w:t>de steekproef heeft een rotatiepatroon van minder dan een jaar. Er moet echter wel een minimale overlapping van 20 % zijn voor de steekproef in opeenvolgende jaren en van 50 % in opeenvolgende kwartalen zonder rekening te houden met verloop.</w:t>
      </w:r>
    </w:p>
    <w:p>
      <w:pPr>
        <w:pStyle w:val="Text1"/>
        <w:rPr>
          <w:noProof/>
        </w:rPr>
      </w:pPr>
      <w:r>
        <w:rPr>
          <w:noProof/>
        </w:rPr>
        <w:t>Onverminderd artikel 5, lid 1, worden gegevens verstrekt voor de volledige steekproef.</w:t>
      </w:r>
    </w:p>
    <w:p>
      <w:pPr>
        <w:pStyle w:val="NumPar1"/>
        <w:numPr>
          <w:ilvl w:val="0"/>
          <w:numId w:val="9"/>
        </w:numPr>
        <w:rPr>
          <w:noProof/>
        </w:rPr>
      </w:pPr>
      <w:r>
        <w:rPr>
          <w:noProof/>
        </w:rPr>
        <w:t>Kenmerken van de steekproef van het deelgebied inkomen en levensomstandigheden moeten het volgende omvatten:</w:t>
      </w:r>
    </w:p>
    <w:p>
      <w:pPr>
        <w:pStyle w:val="Point1"/>
        <w:rPr>
          <w:noProof/>
        </w:rPr>
      </w:pPr>
      <w:r>
        <w:rPr>
          <w:noProof/>
        </w:rPr>
        <w:t>a)</w:t>
      </w:r>
      <w:r>
        <w:rPr>
          <w:noProof/>
        </w:rPr>
        <w:tab/>
        <w:t xml:space="preserve">de steekproef heeft een rotatiesysteem van minstens zes jaar; </w:t>
      </w:r>
    </w:p>
    <w:p>
      <w:pPr>
        <w:pStyle w:val="Point1"/>
        <w:rPr>
          <w:rFonts w:eastAsia="Calibri"/>
          <w:noProof/>
        </w:rPr>
      </w:pPr>
      <w:r>
        <w:rPr>
          <w:noProof/>
        </w:rPr>
        <w:t>b)</w:t>
      </w:r>
      <w:r>
        <w:rPr>
          <w:noProof/>
        </w:rPr>
        <w:tab/>
        <w:t>zonder rekening te houden met verloop wordt de steekproef gelijkelijk verdeeld over de jaren van het rotatiesysteem, behalve gedurende de periode waarin de steekproefgrootte wordt gewijzigd.</w:t>
      </w:r>
    </w:p>
    <w:p>
      <w:pPr>
        <w:pStyle w:val="NumPar1"/>
        <w:numPr>
          <w:ilvl w:val="0"/>
          <w:numId w:val="9"/>
        </w:numPr>
        <w:rPr>
          <w:noProof/>
        </w:rPr>
      </w:pPr>
      <w:r>
        <w:rPr>
          <w:noProof/>
        </w:rPr>
        <w:t>Kenmerken van de steekproef van het deelgebied tijdsbesteding moeten het volgende omvatten: de aan de steekproefeenheden toegewezen verslagleggingsperioden:</w:t>
      </w:r>
    </w:p>
    <w:p>
      <w:pPr>
        <w:pStyle w:val="Point1"/>
        <w:rPr>
          <w:noProof/>
        </w:rPr>
      </w:pPr>
      <w:r>
        <w:rPr>
          <w:noProof/>
        </w:rPr>
        <w:t>a)</w:t>
      </w:r>
      <w:r>
        <w:rPr>
          <w:noProof/>
        </w:rPr>
        <w:tab/>
        <w:t>zijn verspreid over een aaneengesloten periode van twaalf maanden;</w:t>
      </w:r>
    </w:p>
    <w:p>
      <w:pPr>
        <w:pStyle w:val="Point1"/>
        <w:rPr>
          <w:rFonts w:eastAsia="Calibri"/>
          <w:noProof/>
        </w:rPr>
      </w:pPr>
      <w:r>
        <w:rPr>
          <w:noProof/>
        </w:rPr>
        <w:t>b)</w:t>
      </w:r>
      <w:r>
        <w:rPr>
          <w:noProof/>
        </w:rPr>
        <w:tab/>
        <w:t>omvatten vrije dagen;</w:t>
      </w:r>
    </w:p>
    <w:p>
      <w:pPr>
        <w:pStyle w:val="Point1"/>
        <w:rPr>
          <w:rFonts w:eastAsia="Calibri"/>
          <w:noProof/>
        </w:rPr>
      </w:pPr>
      <w:r>
        <w:rPr>
          <w:noProof/>
        </w:rPr>
        <w:t>c)</w:t>
      </w:r>
      <w:r>
        <w:rPr>
          <w:noProof/>
        </w:rPr>
        <w:tab/>
        <w:t>zijn gebaseerd op een willekeurige steekproef.</w:t>
      </w:r>
    </w:p>
    <w:p>
      <w:pPr>
        <w:pStyle w:val="NumPar1"/>
        <w:numPr>
          <w:ilvl w:val="0"/>
          <w:numId w:val="9"/>
        </w:numPr>
        <w:rPr>
          <w:noProof/>
        </w:rPr>
      </w:pPr>
      <w:r>
        <w:rPr>
          <w:noProof/>
        </w:rPr>
        <w:t>Kenmerken van de steekproef van het deelgebied verbruik moeten het volgende omvatten: de aan de eenheden van de steekproef toegewezen verslagperioden worden verspreid over een periode van twaalf opeenvolgende maanden.</w:t>
      </w:r>
    </w:p>
    <w:p>
      <w:pPr>
        <w:spacing w:before="0" w:after="0" w:line="276" w:lineRule="auto"/>
        <w:jc w:val="left"/>
        <w:rPr>
          <w:rFonts w:eastAsia="Calibri"/>
          <w:b/>
          <w:noProof/>
          <w:sz w:val="22"/>
          <w:u w:val="single"/>
        </w:rPr>
      </w:pPr>
      <w:r>
        <w:rPr>
          <w:noProof/>
        </w:rPr>
        <w:br w:type="page"/>
      </w:r>
    </w:p>
    <w:p>
      <w:pPr>
        <w:pStyle w:val="Annexetitre"/>
        <w:rPr>
          <w:noProof/>
        </w:rPr>
      </w:pPr>
      <w:r>
        <w:rPr>
          <w:noProof/>
        </w:rPr>
        <w:lastRenderedPageBreak/>
        <w:t>Bijlage IV</w:t>
      </w:r>
    </w:p>
    <w:p>
      <w:pPr>
        <w:jc w:val="center"/>
        <w:rPr>
          <w:noProof/>
        </w:rPr>
      </w:pPr>
      <w:r>
        <w:rPr>
          <w:b/>
          <w:noProof/>
          <w:u w:val="single"/>
        </w:rPr>
        <w:t>Frequentie</w:t>
      </w:r>
    </w:p>
    <w:p>
      <w:pPr>
        <w:pStyle w:val="NumPar1"/>
        <w:numPr>
          <w:ilvl w:val="0"/>
          <w:numId w:val="10"/>
        </w:numPr>
        <w:rPr>
          <w:noProof/>
        </w:rPr>
      </w:pPr>
      <w:r>
        <w:rPr>
          <w:noProof/>
        </w:rPr>
        <w:t>Voor het deelgebied arbeidsmarkt bestaan de gegevensreeksen uit informatie die driemaandelijks, jaarlijks, tweejaarlijks en om de acht jaar wordt verzameld. Gegevens over variabelen met betrekking tot ad-hoconderwerpen worden om de vier jaar verzameld.</w:t>
      </w:r>
    </w:p>
    <w:p>
      <w:pPr>
        <w:pStyle w:val="NumPar1"/>
        <w:numPr>
          <w:ilvl w:val="0"/>
          <w:numId w:val="10"/>
        </w:numPr>
        <w:rPr>
          <w:noProof/>
        </w:rPr>
      </w:pPr>
      <w:r>
        <w:rPr>
          <w:noProof/>
        </w:rPr>
        <w:t>Voor het deelgebied inkomen en levensomstandigheden bestaan de gegevensreeksen uit jaarlijkse, driejaarlijkse en zesjaarlijkse informatie. Gegevens over verzamelde variabelen met betrekking tot ad-hoconderwerpen worden om de twee jaar verzameld.</w:t>
      </w:r>
    </w:p>
    <w:p>
      <w:pPr>
        <w:pStyle w:val="NumPar1"/>
        <w:numPr>
          <w:ilvl w:val="0"/>
          <w:numId w:val="10"/>
        </w:numPr>
        <w:rPr>
          <w:noProof/>
        </w:rPr>
      </w:pPr>
      <w:r>
        <w:rPr>
          <w:noProof/>
        </w:rPr>
        <w:t>Voor het deelgebied gezondheid worden de gegevens om de zes jaar verzameld.</w:t>
      </w:r>
    </w:p>
    <w:p>
      <w:pPr>
        <w:pStyle w:val="NumPar1"/>
        <w:numPr>
          <w:ilvl w:val="0"/>
          <w:numId w:val="10"/>
        </w:numPr>
        <w:rPr>
          <w:noProof/>
        </w:rPr>
      </w:pPr>
      <w:r>
        <w:rPr>
          <w:noProof/>
        </w:rPr>
        <w:t>Voor het deelgebied onderwijs en opleiding worden de gegevens om de zes jaar verzameld.</w:t>
      </w:r>
    </w:p>
    <w:p>
      <w:pPr>
        <w:pStyle w:val="NumPar1"/>
        <w:numPr>
          <w:ilvl w:val="0"/>
          <w:numId w:val="10"/>
        </w:numPr>
        <w:rPr>
          <w:noProof/>
        </w:rPr>
      </w:pPr>
      <w:r>
        <w:rPr>
          <w:noProof/>
        </w:rPr>
        <w:t>Voor het deelgebied gebruik van informatie- en communicatietechnologie worden de gegevens om het jaar verzameld.</w:t>
      </w:r>
    </w:p>
    <w:p>
      <w:pPr>
        <w:pStyle w:val="NumPar1"/>
        <w:numPr>
          <w:ilvl w:val="0"/>
          <w:numId w:val="10"/>
        </w:numPr>
        <w:rPr>
          <w:noProof/>
        </w:rPr>
      </w:pPr>
      <w:r>
        <w:rPr>
          <w:noProof/>
        </w:rPr>
        <w:t>Voor het deelgebied tijdsbesteding worden de gegevens om de tien jaar verzameld.</w:t>
      </w:r>
    </w:p>
    <w:p>
      <w:pPr>
        <w:pStyle w:val="NumPar1"/>
        <w:numPr>
          <w:ilvl w:val="0"/>
          <w:numId w:val="10"/>
        </w:numPr>
        <w:rPr>
          <w:noProof/>
        </w:rPr>
      </w:pPr>
      <w:r>
        <w:rPr>
          <w:noProof/>
        </w:rPr>
        <w:t>Voor het deelgebied verbruik worden de gegevens om de vijf jaar verzameld.</w:t>
      </w:r>
    </w:p>
    <w:p>
      <w:pPr>
        <w:spacing w:before="0" w:after="200" w:line="276" w:lineRule="auto"/>
        <w:jc w:val="left"/>
        <w:rPr>
          <w:rFonts w:eastAsia="Calibri"/>
          <w:noProof/>
          <w:sz w:val="22"/>
        </w:rPr>
      </w:pPr>
      <w:r>
        <w:rPr>
          <w:noProof/>
        </w:rPr>
        <w:br w:type="page"/>
      </w:r>
    </w:p>
    <w:p>
      <w:pPr>
        <w:pStyle w:val="Annexetitre"/>
        <w:rPr>
          <w:noProof/>
        </w:rPr>
      </w:pPr>
      <w:r>
        <w:rPr>
          <w:noProof/>
        </w:rPr>
        <w:lastRenderedPageBreak/>
        <w:t>Bijlage V</w:t>
      </w:r>
    </w:p>
    <w:p>
      <w:pPr>
        <w:spacing w:before="0" w:after="200" w:line="276" w:lineRule="auto"/>
        <w:jc w:val="center"/>
        <w:rPr>
          <w:rFonts w:eastAsia="Calibri"/>
          <w:noProof/>
          <w:sz w:val="22"/>
        </w:rPr>
      </w:pPr>
      <w:r>
        <w:rPr>
          <w:b/>
          <w:noProof/>
          <w:u w:val="single"/>
        </w:rPr>
        <w:t>Termijn voor de indiening van gegevens</w:t>
      </w:r>
    </w:p>
    <w:p>
      <w:pPr>
        <w:spacing w:before="0" w:after="200" w:line="276" w:lineRule="auto"/>
        <w:rPr>
          <w:rFonts w:eastAsia="Calibri"/>
          <w:noProof/>
          <w:szCs w:val="24"/>
        </w:rPr>
      </w:pPr>
      <w:r>
        <w:rPr>
          <w:noProof/>
        </w:rPr>
        <w:t>De lidstaten dienen de vereiste gegevens uiterlijk binnen de volgende termijnen bij de Commissie (Eurostat) in.</w:t>
      </w:r>
    </w:p>
    <w:p>
      <w:pPr>
        <w:pStyle w:val="NumPar1"/>
        <w:numPr>
          <w:ilvl w:val="0"/>
          <w:numId w:val="13"/>
        </w:numPr>
        <w:rPr>
          <w:noProof/>
        </w:rPr>
      </w:pPr>
      <w:r>
        <w:rPr>
          <w:noProof/>
        </w:rPr>
        <w:t>Voor het deelgebied arbeidsmarkt dienen de lidstaten het volgende in:</w:t>
      </w:r>
    </w:p>
    <w:p>
      <w:pPr>
        <w:pStyle w:val="Point1"/>
        <w:rPr>
          <w:noProof/>
        </w:rPr>
      </w:pPr>
      <w:r>
        <w:rPr>
          <w:noProof/>
        </w:rPr>
        <w:t>1)</w:t>
      </w:r>
      <w:r>
        <w:rPr>
          <w:noProof/>
        </w:rPr>
        <w:tab/>
        <w:t>vooraf gecontroleerde microgegevens zonder directe identificatiegegevens, volgens de volgende procedure in twee fasen:</w:t>
      </w:r>
    </w:p>
    <w:p>
      <w:pPr>
        <w:pStyle w:val="Point2"/>
        <w:rPr>
          <w:noProof/>
        </w:rPr>
      </w:pPr>
      <w:r>
        <w:rPr>
          <w:noProof/>
        </w:rPr>
        <w:t>a)</w:t>
      </w:r>
      <w:r>
        <w:rPr>
          <w:noProof/>
        </w:rPr>
        <w:tab/>
        <w:t>gedurende de eerste drie jaar van de uitvoering van deze verordening, zoals voorzien in artikel 10, lid 4:</w:t>
      </w:r>
    </w:p>
    <w:p>
      <w:pPr>
        <w:pStyle w:val="Tiret3"/>
        <w:numPr>
          <w:ilvl w:val="0"/>
          <w:numId w:val="12"/>
        </w:numPr>
        <w:rPr>
          <w:noProof/>
        </w:rPr>
      </w:pPr>
      <w:r>
        <w:rPr>
          <w:noProof/>
        </w:rPr>
        <w:t xml:space="preserve">voor kwartaalgegevens: indiening binnen tien weken na het einde van de referentieperiode, </w:t>
      </w:r>
    </w:p>
    <w:p>
      <w:pPr>
        <w:pStyle w:val="Tiret3"/>
        <w:rPr>
          <w:noProof/>
        </w:rPr>
      </w:pPr>
      <w:r>
        <w:rPr>
          <w:noProof/>
        </w:rPr>
        <w:t>voor overige gegevens: indiening uiterlijk op 31 maart van het volgende jaar.</w:t>
      </w:r>
    </w:p>
    <w:p>
      <w:pPr>
        <w:pStyle w:val="Point2"/>
        <w:rPr>
          <w:noProof/>
        </w:rPr>
      </w:pPr>
      <w:r>
        <w:rPr>
          <w:noProof/>
        </w:rPr>
        <w:t>b)</w:t>
      </w:r>
      <w:r>
        <w:rPr>
          <w:noProof/>
        </w:rPr>
        <w:tab/>
        <w:t>vanaf het vierde jaar van uitvoering vindt de indiening als volgt plaats:</w:t>
      </w:r>
    </w:p>
    <w:p>
      <w:pPr>
        <w:pStyle w:val="Tiret3"/>
        <w:rPr>
          <w:noProof/>
        </w:rPr>
      </w:pPr>
      <w:r>
        <w:rPr>
          <w:noProof/>
        </w:rPr>
        <w:t>voor kwartaalgegevens: indiening van gegevens voor de kwartalen 1, 2 en 3 respectievelijk tegen 29 mei, 29 augustus en 29 november van hetzelfde jaar en de gegevens voor kwartaal 4 tegen 28 februari van het volgende jaar,</w:t>
      </w:r>
    </w:p>
    <w:p>
      <w:pPr>
        <w:pStyle w:val="Tiret3"/>
        <w:rPr>
          <w:noProof/>
        </w:rPr>
      </w:pPr>
      <w:r>
        <w:rPr>
          <w:noProof/>
        </w:rPr>
        <w:t>voor overige gegevens: indiening uiterlijk op 15 maart van het volgende jaar.</w:t>
      </w:r>
    </w:p>
    <w:p>
      <w:pPr>
        <w:ind w:left="1416"/>
        <w:rPr>
          <w:rFonts w:eastAsia="Calibri"/>
          <w:noProof/>
        </w:rPr>
      </w:pPr>
      <w:r>
        <w:rPr>
          <w:noProof/>
        </w:rPr>
        <w:t>In de jaren waarop die datums op een zaterdag of zondag vallen, geldt de daaropvolgende maandag als de werkelijke termijn.</w:t>
      </w:r>
    </w:p>
    <w:p>
      <w:pPr>
        <w:ind w:left="1416"/>
        <w:rPr>
          <w:rFonts w:eastAsia="Calibri"/>
          <w:noProof/>
        </w:rPr>
      </w:pPr>
      <w:r>
        <w:rPr>
          <w:noProof/>
        </w:rPr>
        <w:t>Gegevens voor het gedetailleerde onderwerp "inkomen uit arbeid" kunnen tot uiterlijk 21 maanden na afloop van de referentieperiode naar de Commissie (Eurostat) worden gestuurd wanneer administratieve gegevens worden gebruikt om deze informatie te verstrekken;</w:t>
      </w:r>
    </w:p>
    <w:p>
      <w:pPr>
        <w:pStyle w:val="Point1"/>
        <w:rPr>
          <w:noProof/>
        </w:rPr>
      </w:pPr>
      <w:r>
        <w:rPr>
          <w:noProof/>
        </w:rPr>
        <w:t>2)</w:t>
      </w:r>
      <w:r>
        <w:rPr>
          <w:noProof/>
        </w:rPr>
        <w:tab/>
        <w:t>geaggregeerde resultaten voor de samenstelling van maandelijkse werkloosheidsstatistieken binnen 25 dagen na afloop van de referentiemaand. De lidstaten kunnen de laatste week van de referentiemaand niet opnemen wanneer deze dagen bevat die in de daaropvolgende maand vallen.</w:t>
      </w:r>
    </w:p>
    <w:p>
      <w:pPr>
        <w:pStyle w:val="NumPar1"/>
        <w:rPr>
          <w:noProof/>
        </w:rPr>
      </w:pPr>
      <w:r>
        <w:rPr>
          <w:noProof/>
        </w:rPr>
        <w:t>Voor het deelgebied inkomen en levensomstandigheden dienen de lidstaten vooraf gecontroleerde microgegevens zonder directe identificatiegegevens in, volgens de volgende termijnen:</w:t>
      </w:r>
    </w:p>
    <w:p>
      <w:pPr>
        <w:pStyle w:val="Point2"/>
        <w:rPr>
          <w:noProof/>
        </w:rPr>
      </w:pPr>
      <w:r>
        <w:rPr>
          <w:noProof/>
        </w:rPr>
        <w:t>a)</w:t>
      </w:r>
      <w:r>
        <w:rPr>
          <w:noProof/>
        </w:rPr>
        <w:tab/>
        <w:t>met betrekking tot de gegevensverzameling voor het jaar N, aan het einde van het jaar N. In uitzonderlijke gevallen wanneer de vereiste administratieve gegevens niet op tijd beschikbaar zijn, kunnen de voorlopige microgegevens met betrekking tot inkomen aan het einde van het jaar N worden ingediend en de definitieve gegevens uiterlijk op 28 februari van het jaar N+1;</w:t>
      </w:r>
    </w:p>
    <w:p>
      <w:pPr>
        <w:pStyle w:val="Point2"/>
        <w:rPr>
          <w:noProof/>
        </w:rPr>
      </w:pPr>
      <w:r>
        <w:rPr>
          <w:noProof/>
        </w:rPr>
        <w:lastRenderedPageBreak/>
        <w:t>b)</w:t>
      </w:r>
      <w:r>
        <w:rPr>
          <w:noProof/>
        </w:rPr>
        <w:tab/>
        <w:t>betreffende de variabelen met betrekking tot de zesjarige looptijd van het rotatiesysteem dat eindigt in het jaar N, uiterlijk op 31 oktober van het jaar N+1.</w:t>
      </w:r>
    </w:p>
    <w:p>
      <w:pPr>
        <w:pStyle w:val="NumPar1"/>
        <w:rPr>
          <w:noProof/>
        </w:rPr>
      </w:pPr>
      <w:r>
        <w:rPr>
          <w:noProof/>
        </w:rPr>
        <w:t>Voor het deelgebied gezondheid dienen de lidstaten de vooraf gecontroleerde microgegevens uiterlijk negen maanden na afloop van de nationale gegevensverzamelingsperiode in.</w:t>
      </w:r>
    </w:p>
    <w:p>
      <w:pPr>
        <w:pStyle w:val="NumPar1"/>
        <w:rPr>
          <w:noProof/>
        </w:rPr>
      </w:pPr>
      <w:r>
        <w:rPr>
          <w:noProof/>
        </w:rPr>
        <w:t>Voor het deelgebied onderwijs en opleiding dienen de lidstaten de vooraf gecontroleerde microgegevens uiterlijk zes maanden na afloop van de nationale gegevensverzamelingsperiode in.</w:t>
      </w:r>
    </w:p>
    <w:p>
      <w:pPr>
        <w:pStyle w:val="NumPar1"/>
        <w:rPr>
          <w:noProof/>
        </w:rPr>
      </w:pPr>
      <w:r>
        <w:rPr>
          <w:noProof/>
        </w:rPr>
        <w:t>Voor het deelgebied gebruik van informatie- en communicatietechnologie dienen de lidstaten de vooraf gecontroleerde microgegevens uiterlijk op 5 oktober van het onderzoeksjaar N in.</w:t>
      </w:r>
    </w:p>
    <w:p>
      <w:pPr>
        <w:pStyle w:val="NumPar1"/>
        <w:rPr>
          <w:noProof/>
        </w:rPr>
      </w:pPr>
      <w:r>
        <w:rPr>
          <w:noProof/>
        </w:rPr>
        <w:t>Voor het deelgebied tijdsbesteding dienen de lidstaten de vooraf gecontroleerde microgegevens uiterlijk 15 maanden na de voltooiing van het veldwerk in.</w:t>
      </w:r>
    </w:p>
    <w:p>
      <w:pPr>
        <w:pStyle w:val="NumPar1"/>
        <w:rPr>
          <w:noProof/>
        </w:rPr>
      </w:pPr>
      <w:r>
        <w:rPr>
          <w:noProof/>
        </w:rPr>
        <w:t>Voor het deelgebied verbruik dienen de lidstaten de vooraf gecontroleerde microgegevens uiterlijk 15 maanden na afloop van het referentiejaar in.</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7C58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97CBC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AC02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E684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5256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2C89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BC1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BA7D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6 12:49: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3;0"/>
    <w:docVar w:name="DQCResult_UnknownStyles" w:val="0;0"/>
    <w:docVar w:name="DQCStatus" w:val="Red"/>
    <w:docVar w:name="DQCVersion" w:val="3"/>
    <w:docVar w:name="DQCWithWarnings" w:val="0"/>
    <w:docVar w:name="FigNum" w:val="1"/>
    <w:docVar w:name="LW_ACCOMPAGNANT" w:val="bij"/>
    <w:docVar w:name="LW_ACCOMPAGNANT.CP" w:val="bij"/>
    <w:docVar w:name="LW_ANNEX_NBR_FIRST" w:val="1"/>
    <w:docVar w:name="LW_ANNEX_NBR_LAST" w:val="5"/>
    <w:docVar w:name="LW_CONFIDENCE" w:val=" "/>
    <w:docVar w:name="LW_CONST_RESTREINT_UE" w:val="RESTREINT UE"/>
    <w:docVar w:name="LW_CORRIGENDUM" w:val="&lt;UNUSED&gt;"/>
    <w:docVar w:name="LW_COVERPAGE_GUID" w:val="EDB07EBB780741A497E76B9FDCB64B84"/>
    <w:docVar w:name="LW_CROSSREFERENCE" w:val="{SWD(2016) 282 final}_x000b_{SWD(2016) 283 final}"/>
    <w:docVar w:name="LW_DocType" w:val="ANNEX"/>
    <w:docVar w:name="LW_EMISSION" w:val="24.8.2016"/>
    <w:docVar w:name="LW_EMISSION_ISODATE" w:val="2016-08-24"/>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tot vaststelling van een gemeenschappelijk kader voor Europese statistieken betreffende personen en huishoudens, op basis van gegevens die op individueel niveau worden verzameld door middel van steekproeven"/>
    <w:docVar w:name="LW_OBJETACTEPRINCIPAL.CP" w:val="tot vaststelling van een gemeenschappelijk kader voor Europese statistieken betreffende personen en huishoudens, op basis van gegevens die op individueel niveau worden verzameld door middel van steekproeven"/>
    <w:docVar w:name="LW_PART_NBR" w:val="&lt;UNUSED&gt;"/>
    <w:docVar w:name="LW_PART_NBR_TOTAL" w:val="&lt;UNUSED&gt;"/>
    <w:docVar w:name="LW_REF.INST.NEW" w:val="COM"/>
    <w:docVar w:name="LW_REF.INST.NEW_ADOPTED" w:val="final"/>
    <w:docVar w:name="LW_REF.INST.NEW_TEXT" w:val="(2016) 551"/>
    <w:docVar w:name="LW_REF.INTERNE" w:val="&lt;UNUSED&gt;"/>
    <w:docVar w:name="LW_SUPERTITRE" w:val="&lt;UNUSED&gt;"/>
    <w:docVar w:name="LW_TITRE.OBJ.CP" w:val="&lt;UNUSED&gt;"/>
    <w:docVar w:name="LW_TYPE.DOC" w:val="BIJLAGEN"/>
    <w:docVar w:name="LW_TYPE.DOC.CP" w:val="BIJLAGEN"/>
    <w:docVar w:name="LW_TYPEACTEPRINCIPAL" w:val="Voorstel voor een_x000b__x000b_VERORDENING VAN HET EUROPEES PARLEMENT EN DE RAAD"/>
    <w:docVar w:name="LW_TYPEACTEPRINCIPAL.CP" w:val="Voorstel voor een_x000b__x000b_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14</Pages>
  <Words>2541</Words>
  <Characters>16647</Characters>
  <Application>Microsoft Office Word</Application>
  <DocSecurity>0</DocSecurity>
  <Lines>924</Lines>
  <Paragraphs>399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BOUCHET Isabelle (ESTAT)</dc:creator>
  <cp:lastModifiedBy>DIGIT/A3</cp:lastModifiedBy>
  <cp:revision>9</cp:revision>
  <cp:lastPrinted>2016-06-30T05:36:00Z</cp:lastPrinted>
  <dcterms:created xsi:type="dcterms:W3CDTF">2016-08-16T10:49:00Z</dcterms:created>
  <dcterms:modified xsi:type="dcterms:W3CDTF">2016-08-24T13:04:00Z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20130911</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Red (DQC version 03)</vt:lpwstr>
  </property>
</Properties>
</file>