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5186ECC384AB4F9E813A0633AA476CBC" style="width:450.8pt;height:397.6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ALLEGATO 1</w:t>
      </w:r>
      <w:r>
        <w:rPr>
          <w:noProof/>
        </w:rPr>
        <w:br/>
      </w:r>
    </w:p>
    <w:p>
      <w:pPr>
        <w:pStyle w:val="NormalCentered"/>
        <w:rPr>
          <w:b/>
          <w:noProof/>
        </w:rPr>
      </w:pPr>
      <w:r>
        <w:rPr>
          <w:b/>
          <w:noProof/>
        </w:rPr>
        <w:t>Elenco comune dell'UE di paesi di origine sicuri di cui all'articolo 48</w:t>
      </w: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Albania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Bosnia-Erzegovina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Ex Repubblica jugoslava di Macedonia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Kosovo*</w:t>
      </w:r>
      <w:r>
        <w:rPr>
          <w:rStyle w:val="FootnoteReference"/>
          <w:noProof/>
          <w:color w:val="000000"/>
        </w:rPr>
        <w:footnoteReference w:id="1"/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Montenegro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Serbia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Turchia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* Tale designazione non pregiudica le posizioni riguardo allo status ed è in linea con la risoluzione 1244 (1999) dell'UNSC e con il parere della CIG sulla dichiarazione di indipendenza del Kosovo.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3ACC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B927B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BEFA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B0F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AA1D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28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B4A6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displayBackgroundShape/>
  <w:hideSpellingErrors/>
  <w:hideGrammaticalErrors/>
  <w:attachedTemplate r:id="rId1"/>
  <w:revisionView w:markup="0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6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186ECC384AB4F9E813A0633AA476CBC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" w:val="che stabilisce una procedura comune di protezione internazionale nell\u8217?Unione e abroga la direttiva 2013/32/UE"/>
    <w:docVar w:name="LW_OBJETACTEPRINCIPAL.CP" w:val="che stabilisce una procedura comune di protezione internazionale nell\u8217?Unione e abroga la direttiva 2013/32/UE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.CP" w:val="&lt;UNUSED&gt;"/>
    <w:docVar w:name="LW_TYPE.DOC" w:val="ALLEGATO"/>
    <w:docVar w:name="LW_TYPE.DOC.CP" w:val="ALLEGATO"/>
    <w:docVar w:name="LW_TYPEACTEPRINCIPAL" w:val="Proposta di regolamento del Parlamento europeo e del Consiglio_x000b_"/>
    <w:docVar w:name="LW_TYPEACTEPRINCIPAL.CP" w:val="Proposta di regolamento del Parlamento europeo e del Consigli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25</Words>
  <Characters>163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7</cp:revision>
  <dcterms:created xsi:type="dcterms:W3CDTF">2016-08-31T15:01:00Z</dcterms:created>
  <dcterms:modified xsi:type="dcterms:W3CDTF">2016-09-01T12:46:00Z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