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83" w:rsidRDefault="0086361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ED9B69CC4CB4E7C8FD33DF283F1DBC5" style="width:450.25pt;height:410.5pt">
            <v:imagedata r:id="rId8" o:title=""/>
          </v:shape>
        </w:pict>
      </w:r>
    </w:p>
    <w:p w:rsidR="00AF5D83" w:rsidRDefault="00AF5D83">
      <w:pPr>
        <w:rPr>
          <w:noProof/>
        </w:rPr>
        <w:sectPr w:rsidR="00AF5D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F5D83" w:rsidRDefault="00863615">
      <w:pPr>
        <w:pStyle w:val="Typedudocument"/>
        <w:rPr>
          <w:noProof/>
        </w:rPr>
      </w:pPr>
      <w:r>
        <w:rPr>
          <w:noProof/>
        </w:rPr>
        <w:lastRenderedPageBreak/>
        <w:t>PRILOGE</w:t>
      </w:r>
    </w:p>
    <w:p w:rsidR="00AF5D83" w:rsidRDefault="00863615">
      <w:pPr>
        <w:pStyle w:val="Accompagnant"/>
        <w:rPr>
          <w:noProof/>
        </w:rPr>
      </w:pPr>
      <w:r>
        <w:rPr>
          <w:noProof/>
        </w:rPr>
        <w:t>k predlogu</w:t>
      </w:r>
    </w:p>
    <w:p w:rsidR="00AF5D83" w:rsidRDefault="00863615">
      <w:pPr>
        <w:pStyle w:val="Typeacteprincipal"/>
        <w:rPr>
          <w:noProof/>
        </w:rPr>
      </w:pPr>
      <w:r>
        <w:rPr>
          <w:noProof/>
        </w:rPr>
        <w:t>uredbe Evropskega parlamenta in Sveta</w:t>
      </w:r>
    </w:p>
    <w:p w:rsidR="00AF5D83" w:rsidRDefault="00863615">
      <w:pPr>
        <w:pStyle w:val="Objetacteprincipal"/>
        <w:rPr>
          <w:noProof/>
        </w:rPr>
      </w:pPr>
      <w:r>
        <w:rPr>
          <w:noProof/>
        </w:rPr>
        <w:t xml:space="preserve">o vzpostavitvi sistema Unije za </w:t>
      </w:r>
      <w:r>
        <w:rPr>
          <w:noProof/>
        </w:rPr>
        <w:t>certificiranje opreme za varnostno pregledovanje v letalstvu</w:t>
      </w:r>
    </w:p>
    <w:p w:rsidR="00AF5D83" w:rsidRDefault="00863615">
      <w:pPr>
        <w:pStyle w:val="Annexetitre"/>
        <w:rPr>
          <w:noProof/>
        </w:rPr>
      </w:pPr>
      <w:r>
        <w:rPr>
          <w:noProof/>
        </w:rPr>
        <w:t>SEZNAM PRILOG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Priloga I </w:t>
      </w:r>
      <w:r>
        <w:rPr>
          <w:noProof/>
        </w:rPr>
        <w:tab/>
      </w:r>
      <w:r>
        <w:rPr>
          <w:noProof/>
          <w:color w:val="000000"/>
        </w:rPr>
        <w:t xml:space="preserve">Zahteve glede učinkovitosti 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Priloga II</w:t>
      </w:r>
      <w:r>
        <w:rPr>
          <w:noProof/>
        </w:rPr>
        <w:tab/>
      </w:r>
      <w:r>
        <w:rPr>
          <w:noProof/>
          <w:color w:val="000000"/>
        </w:rPr>
        <w:t>Certifikat EU o skladnosti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Priloga III</w:t>
      </w:r>
      <w:r>
        <w:rPr>
          <w:noProof/>
        </w:rPr>
        <w:tab/>
      </w:r>
      <w:r>
        <w:rPr>
          <w:noProof/>
          <w:color w:val="000000"/>
        </w:rPr>
        <w:t>Oznaka EU-homologacije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Priloga IV</w:t>
      </w:r>
      <w:r>
        <w:rPr>
          <w:noProof/>
        </w:rPr>
        <w:tab/>
      </w:r>
      <w:r>
        <w:rPr>
          <w:noProof/>
          <w:color w:val="000000"/>
        </w:rPr>
        <w:t xml:space="preserve">Skupne metodologije preskušanja za homologacijo opreme za varnostno pregledovanje v letalstvu 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Priloga V </w:t>
      </w:r>
      <w:r>
        <w:rPr>
          <w:noProof/>
        </w:rPr>
        <w:tab/>
      </w:r>
      <w:r>
        <w:rPr>
          <w:noProof/>
          <w:color w:val="000000"/>
        </w:rPr>
        <w:t xml:space="preserve">Certifikat o EU-homologaciji 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Priloga VI</w:t>
      </w:r>
      <w:r>
        <w:rPr>
          <w:noProof/>
        </w:rPr>
        <w:tab/>
      </w:r>
      <w:r>
        <w:rPr>
          <w:noProof/>
          <w:color w:val="000000"/>
        </w:rPr>
        <w:t xml:space="preserve">Skladnost proizvodnih postopkov </w:t>
      </w:r>
    </w:p>
    <w:p w:rsidR="00AF5D83" w:rsidRDefault="0086361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Priloga VII</w:t>
      </w:r>
      <w:r>
        <w:rPr>
          <w:noProof/>
        </w:rPr>
        <w:tab/>
      </w:r>
      <w:r>
        <w:rPr>
          <w:noProof/>
          <w:color w:val="000000"/>
        </w:rPr>
        <w:t>Standardi, ki jih morajo izpolnjevati tehnične službe</w:t>
      </w:r>
    </w:p>
    <w:p w:rsidR="00AF5D83" w:rsidRDefault="00AF5D83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</w:p>
    <w:p w:rsidR="00AF5D83" w:rsidRDefault="00863615">
      <w:pPr>
        <w:rPr>
          <w:noProof/>
        </w:rPr>
      </w:pPr>
      <w:r>
        <w:rPr>
          <w:noProof/>
        </w:rPr>
        <w:br w:type="page"/>
      </w:r>
    </w:p>
    <w:p w:rsidR="00AF5D83" w:rsidRDefault="00863615">
      <w:pPr>
        <w:pStyle w:val="Annexetitre"/>
        <w:rPr>
          <w:noProof/>
        </w:rPr>
      </w:pPr>
      <w:r>
        <w:rPr>
          <w:noProof/>
        </w:rPr>
        <w:lastRenderedPageBreak/>
        <w:t>Priloga</w:t>
      </w:r>
      <w:r>
        <w:rPr>
          <w:noProof/>
        </w:rPr>
        <w:t xml:space="preserve"> I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ZAHTEVE GLEDE UČINKOVITOSTI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Izpolnjene morajo biti naslednje zahteve glede učinkovitosti: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zahteve glede učinkovitosti iz Uredbe (ES) št. 300/2008 Evropskega parlamenta in Sveta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ter njenih dopolnjevalnih in izvedbenih aktov. </w:t>
      </w:r>
    </w:p>
    <w:p w:rsidR="00AF5D83" w:rsidRDefault="00AF5D83">
      <w:pPr>
        <w:spacing w:before="0" w:after="200" w:line="276" w:lineRule="auto"/>
        <w:jc w:val="center"/>
        <w:rPr>
          <w:b/>
          <w:noProof/>
          <w:u w:val="single"/>
        </w:rPr>
      </w:pPr>
    </w:p>
    <w:p w:rsidR="00AF5D83" w:rsidRDefault="00863615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Priloga II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CERTIFIKAT EU </w:t>
      </w:r>
      <w:r>
        <w:rPr>
          <w:b/>
          <w:noProof/>
        </w:rPr>
        <w:t>O SKLADNOSTI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 SPLOŠNI OPIS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Certifikat o skladnosti se sestavi v največjem formatu A4 (210 x 297 mm) ali zloženo na format A4. Izvod certifikata v tiskani obliki se lahko nadomesti z elektronsko datoteko.</w:t>
      </w:r>
      <w:r>
        <w:rPr>
          <w:noProof/>
          <w:highlight w:val="yellow"/>
        </w:rPr>
        <w:t xml:space="preserve"> 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 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>CERTIFIKAT EU O SKLADNOSTI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Spodaj podpisani [.</w:t>
      </w:r>
      <w:r>
        <w:rPr>
          <w:noProof/>
        </w:rPr>
        <w:t>....................................................... (</w:t>
      </w:r>
      <w:r>
        <w:rPr>
          <w:i/>
          <w:noProof/>
        </w:rPr>
        <w:t>ime in priimek ter položaj v podjetju</w:t>
      </w:r>
      <w:r>
        <w:rPr>
          <w:noProof/>
        </w:rPr>
        <w:t xml:space="preserve">)]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potrjuje, da je oprema: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0.1. Znamka (blagovno ime proizvajalca): ................................................. 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0.2. Tip: .....................</w:t>
      </w:r>
      <w:r>
        <w:rPr>
          <w:noProof/>
        </w:rPr>
        <w:t xml:space="preserve">.............................................. ...........................................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0.3 Konfiguracija: ................................................................................ .....................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0.4 Trgovsko ime: .......................</w:t>
      </w:r>
      <w:r>
        <w:rPr>
          <w:noProof/>
        </w:rPr>
        <w:t xml:space="preserve">............................................ .....................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0.5. Kategorija opreme: ............................................................................. 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0.6. Naziv in naslov proizvajalca: ............................................................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0.7. Mesto identifikacijske številke opreme: ...........................................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0.8. Naziv in naslov zastopnika proizvajalca (če obstaja): ..........</w:t>
      </w:r>
      <w:r>
        <w:rPr>
          <w:noProof/>
        </w:rPr>
        <w:t xml:space="preserve">...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0.9. Identifikacijska številka opreme: ......................................................................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ustreza v vseh pogledih tipu, opisanemu v certifikatu o homologaciji (............. </w:t>
      </w:r>
      <w:r>
        <w:rPr>
          <w:i/>
          <w:noProof/>
        </w:rPr>
        <w:t>številka certifikata o EU-homologaciji, vključno s števil</w:t>
      </w:r>
      <w:r>
        <w:rPr>
          <w:i/>
          <w:noProof/>
        </w:rPr>
        <w:t>ko razširitve, če obstaja</w:t>
      </w:r>
      <w:r>
        <w:rPr>
          <w:noProof/>
        </w:rPr>
        <w:t xml:space="preserve">), izdanemu dne ( ................... </w:t>
      </w:r>
      <w:r>
        <w:rPr>
          <w:i/>
          <w:noProof/>
        </w:rPr>
        <w:t>datum izdaje</w:t>
      </w:r>
      <w:r>
        <w:rPr>
          <w:noProof/>
        </w:rPr>
        <w:t xml:space="preserve">), in lahko postane stalno dostopna ali se da v uporabo v državah članicah. </w:t>
      </w:r>
    </w:p>
    <w:p w:rsidR="00AF5D83" w:rsidRDefault="00AF5D83">
      <w:pPr>
        <w:spacing w:before="0" w:after="200" w:line="276" w:lineRule="auto"/>
        <w:rPr>
          <w:rFonts w:eastAsia="Calibri"/>
          <w:noProof/>
          <w:szCs w:val="24"/>
        </w:rPr>
      </w:pP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(Kraj) (Datum): ….…………………..            (Podpis):....................................................</w:t>
      </w:r>
    </w:p>
    <w:p w:rsidR="00AF5D83" w:rsidRDefault="00AF5D83">
      <w:pPr>
        <w:spacing w:before="0" w:after="200" w:line="276" w:lineRule="auto"/>
        <w:rPr>
          <w:rFonts w:eastAsia="Calibri"/>
          <w:noProof/>
          <w:szCs w:val="24"/>
        </w:rPr>
      </w:pPr>
    </w:p>
    <w:p w:rsidR="00AF5D83" w:rsidRDefault="0086361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P</w:t>
      </w:r>
      <w:r>
        <w:rPr>
          <w:noProof/>
        </w:rPr>
        <w:t>riloga III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OZNAKA EU-HOMOLOGACIJE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1. Številka EU-homologacije je sestavljena iz petih delov, kot je navedeno spodaj: V vseh primerih so deli ločeni z znakom „*“.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Oddelek 1: Mala črka „e“, za njo pa številčna oznaka države članice, ki je podelila EU-homolo</w:t>
      </w:r>
      <w:r>
        <w:rPr>
          <w:noProof/>
          <w:color w:val="000000"/>
        </w:rPr>
        <w:t>gacijo: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 za Nemčijo; 2 za Francijo; 3 za Italijo; 4 za Nizozemsko; 5 za Švedsko; 6 za Belgijo; 7 za Madžarsko; 8 za Češko; 9 za Španijo; 11 za Združeno kraljestvo; 12 za Avstrijo; 13 za Luksemburg; 17 za Finsko; 18 za Dansko; 19 za Romunijo; 20 za Poljsko</w:t>
      </w:r>
      <w:r>
        <w:rPr>
          <w:noProof/>
          <w:color w:val="000000"/>
        </w:rPr>
        <w:t xml:space="preserve">; 21 za Portugalsko; 23 za Grčijo; 24 za Irsko; 25 za Hrvaško; 26 za Slovenijo; 27 za Slovaško; 29 za Estonijo; 32 za Latvijo; 34 za Bolgarijo; 36 za Litvo; 49 za Ciper; 50 za Malto.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Oddelek 2: Številka osnovne direktive ali uredbe.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Oddelek 3: Identifikacijska številka ali črka najnovejše zahteve glede učinkovitosti, ki se uporablja za to opremo in v skladu s katero se podeli homologacija. 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Oddelek 4: Štirimestna zaporedna številka (po potrebi z ničlami na začetku) za oznako osnovne š</w:t>
      </w:r>
      <w:r>
        <w:rPr>
          <w:noProof/>
          <w:color w:val="000000"/>
        </w:rPr>
        <w:t>tevilke EU-homologacije. Zaporedje se začne z 0001.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Oddelek 5: Dvomestna zaporedna številka (po potrebi z ničlo na začetku) za označitev razširitve. Zaporedje se začne od 00 za vsako osnovno homologacijsko številko.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Primer za tretjo homologacijo (še bre</w:t>
      </w:r>
      <w:r>
        <w:rPr>
          <w:noProof/>
          <w:color w:val="000000"/>
        </w:rPr>
        <w:t>z podeljene razširitve), ki jo je podelila Francija k Uredbi Komisije (EU) št. 185/2010: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e2*185/2010*ETD1*0003*00</w:t>
      </w:r>
    </w:p>
    <w:p w:rsidR="00AF5D83" w:rsidRDefault="00863615">
      <w:pPr>
        <w:rPr>
          <w:noProof/>
        </w:rPr>
      </w:pPr>
      <w:r>
        <w:rPr>
          <w:noProof/>
        </w:rPr>
        <w:br w:type="page"/>
      </w:r>
    </w:p>
    <w:p w:rsidR="00AF5D83" w:rsidRDefault="00863615">
      <w:pPr>
        <w:spacing w:before="0" w:after="200" w:line="276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Priloga IV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SKUPNE METODOLOGIJE PRESKUŠANJA ZA HOMOLOGACIJO OPREME ZA VARNOSTNO PREGLEDOVANJE V LETALSTVU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Skupne metodologije preskušanja, k</w:t>
      </w:r>
      <w:r>
        <w:rPr>
          <w:noProof/>
        </w:rPr>
        <w:t xml:space="preserve">i se uporabljajo za preskuse iz člena 8, so skupne metodologije preskušanja, ki so se razvile v okviru skupnega postopka ocenjevanja, ki ga je odobrila Evropska konferenca civilnega letalstva. </w:t>
      </w:r>
    </w:p>
    <w:p w:rsidR="00AF5D83" w:rsidRDefault="00AF5D83">
      <w:pPr>
        <w:spacing w:before="0" w:after="200" w:line="276" w:lineRule="auto"/>
        <w:rPr>
          <w:rFonts w:eastAsia="Calibri"/>
          <w:noProof/>
          <w:szCs w:val="24"/>
        </w:rPr>
      </w:pPr>
    </w:p>
    <w:p w:rsidR="00AF5D83" w:rsidRDefault="0086361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Priloga V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VZOREC 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[RAZŠIRITEV] [ZAVRNITEV] [PREKLIC] 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>CERTIFIKATA O EU-HOMOLOGACIJI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Največji format: A4 (210 × 297 mm) 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EU-OPREMA ZA VARNOSTNO PREGLEDOVANJE V LETALSTVU </w:t>
      </w:r>
    </w:p>
    <w:p w:rsidR="00AF5D83" w:rsidRDefault="00AF5D83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Žig homologacijskega organa </w:t>
      </w:r>
    </w:p>
    <w:p w:rsidR="00AF5D83" w:rsidRDefault="00AF5D83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Ob upoštevanju Uredbe ... </w:t>
      </w:r>
    </w:p>
    <w:p w:rsidR="00AF5D83" w:rsidRDefault="00AF5D83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[Številka EU-homologacije:]</w:t>
      </w:r>
    </w:p>
    <w:p w:rsidR="00AF5D83" w:rsidRDefault="00AF5D83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[Razlog za razširitev] [razlog za zavrnitev] [razlog</w:t>
      </w:r>
      <w:r>
        <w:rPr>
          <w:noProof/>
          <w:color w:val="000000"/>
        </w:rPr>
        <w:t xml:space="preserve"> za preklic]: </w:t>
      </w:r>
    </w:p>
    <w:p w:rsidR="00AF5D83" w:rsidRDefault="00AF5D83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[Številka razširitve EU-homologacije]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ODDELEK I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0.1. Znamka (blagovno ime proizvajalca):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0.2. Tip: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0.2.1. Konfiguracija: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0.2.2. Trgovska imena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 xml:space="preserve">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    Podatki za identifikacijo tipa in konfiguracije, če je oznaka na opremi za varnostno pregledovanje v letalstvu: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0.3.1. Mesto oznake: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0.4. Kategorija opreme</w:t>
      </w:r>
      <w:r>
        <w:rPr>
          <w:rStyle w:val="FootnoteReference"/>
          <w:noProof/>
        </w:rPr>
        <w:footnoteReference w:id="3"/>
      </w:r>
      <w:r>
        <w:rPr>
          <w:noProof/>
          <w:color w:val="000000"/>
        </w:rPr>
        <w:t xml:space="preserve">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0.5. Naziv in naslov proizvajalca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lastRenderedPageBreak/>
        <w:t xml:space="preserve">0.6. Nazivi in naslovi proizvodnih obratov: </w:t>
      </w:r>
    </w:p>
    <w:p w:rsidR="00AF5D83" w:rsidRDefault="0086361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0.7. Naziv in naslov zastopnika proizvajalca (če obstaja): </w:t>
      </w:r>
    </w:p>
    <w:p w:rsidR="00AF5D83" w:rsidRDefault="00AF5D83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ODDELEK II 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Spodaj podpisani potrjuje točnost proizvajalčevih podatkov v priloženih opisnih listih zgoraj opisane opreme za varnostno pregledovanje v letalstvu kot tudi veljavnost priloženih rezu</w:t>
      </w:r>
      <w:r>
        <w:rPr>
          <w:noProof/>
          <w:color w:val="000000"/>
        </w:rPr>
        <w:t xml:space="preserve">ltatov preskusov za vso opremo tega tipa. Homologacijski organ EU je izbral vzorčno opremo, ki jo je proizvajalec predložil v pregled kot prototip(e) za ta tip opreme. 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[naslednji del se ne uporablja v primeru razširitve ali popravka certifikata o EU-homol</w:t>
      </w:r>
      <w:r>
        <w:rPr>
          <w:noProof/>
          <w:color w:val="000000"/>
        </w:rPr>
        <w:t>ogaciji: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1. Tip opreme ustreza/ne ustreza ( 1 ) zahtevam glede učinkovitosti [vseh ustreznih regulativnih aktov iz Priloge I k tej uredbi]. 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2. Homologacija se podeli/zavrne/prekliče ( 1 )]. </w:t>
      </w:r>
    </w:p>
    <w:p w:rsidR="00AF5D83" w:rsidRDefault="00AF5D83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(Kraj)                                            (Podpis)     </w:t>
      </w:r>
      <w:r>
        <w:rPr>
          <w:noProof/>
          <w:color w:val="000000"/>
        </w:rPr>
        <w:t xml:space="preserve">                                      (Datum)</w:t>
      </w:r>
    </w:p>
    <w:p w:rsidR="00AF5D83" w:rsidRDefault="00AF5D83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Priloge: </w:t>
      </w:r>
    </w:p>
    <w:p w:rsidR="00AF5D83" w:rsidRDefault="00863615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Opisna dokumentacija. </w:t>
      </w:r>
    </w:p>
    <w:p w:rsidR="00AF5D83" w:rsidRDefault="00863615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Rezultati preskusa</w:t>
      </w:r>
    </w:p>
    <w:p w:rsidR="00AF5D83" w:rsidRDefault="00863615">
      <w:pPr>
        <w:spacing w:before="0" w:after="200" w:line="276" w:lineRule="auto"/>
        <w:ind w:left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Imena in vzorci podpisa(-ov) pooblaščene(-ih) oseb(-e) za podpis certifikatov o skladnosti ter njihov položaj v homologacijskem organu. </w:t>
      </w:r>
    </w:p>
    <w:p w:rsidR="00AF5D83" w:rsidRDefault="00863615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PRILOGA VI</w:t>
      </w:r>
    </w:p>
    <w:p w:rsidR="00AF5D83" w:rsidRDefault="0086361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b/>
          <w:noProof/>
        </w:rPr>
        <w:t>SKLADNOST</w:t>
      </w:r>
      <w:r>
        <w:rPr>
          <w:b/>
          <w:noProof/>
        </w:rPr>
        <w:t xml:space="preserve"> PROIZVODNIH POSTOPKOV</w:t>
      </w:r>
    </w:p>
    <w:p w:rsidR="00AF5D83" w:rsidRDefault="0086361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Skladnost proizvodnih postopkov neločljivo vključuje presojo sistemov vodenja kakovosti (v nadaljnjem besedilu: začetna presoja) ter preverjanje s strani homologacijskega organa in s proizvodnjo povezana preverjanja (v nadaljnjem bes</w:t>
      </w:r>
      <w:r>
        <w:rPr>
          <w:noProof/>
          <w:color w:val="000000"/>
        </w:rPr>
        <w:t xml:space="preserve">edilu: ukrepi za skladnost proizvodnje).  </w:t>
      </w:r>
    </w:p>
    <w:p w:rsidR="00AF5D83" w:rsidRDefault="00863615">
      <w:pPr>
        <w:spacing w:before="0" w:after="200" w:line="276" w:lineRule="auto"/>
        <w:rPr>
          <w:rFonts w:eastAsia="Calibri"/>
          <w:b/>
          <w:bCs/>
          <w:noProof/>
          <w:szCs w:val="24"/>
        </w:rPr>
      </w:pPr>
      <w:r>
        <w:rPr>
          <w:noProof/>
        </w:rPr>
        <w:t xml:space="preserve">1. </w:t>
      </w:r>
      <w:r>
        <w:rPr>
          <w:b/>
          <w:noProof/>
        </w:rPr>
        <w:t xml:space="preserve">Začetna presoja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1.1. Homologacijski organ države članice preveri obstoj zadovoljivih ukrepov in postopkov za zagotovitev učinkovitega nadzora skladnosti proizvedene opreme s homologiranim tipom.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1.2. Smernice</w:t>
      </w:r>
      <w:r>
        <w:rPr>
          <w:noProof/>
        </w:rPr>
        <w:t xml:space="preserve"> za presojanje so v ustreznih harmoniziranih standardih – Smernice za presojanje sistemov vodenja kakovosti in/ali sistemov ravnanja z okoljem.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 Homologacijski organ, ki izda certifikat o EU-homologaciji, preveri ukrepe in postopke iz točke 1.1.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1.3.1. Začetno presojo in/ali preverjanje ukrepov za skladnost proizvodnje opravi homologacijski organ, ki podeli homologacijo, ali organ, ki deluje po pooblastilu homologacijskega organa.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1.3.1.1. Homologacijski organ lahko pri opredeljevanju obsega zače</w:t>
      </w:r>
      <w:r>
        <w:rPr>
          <w:noProof/>
        </w:rPr>
        <w:t xml:space="preserve">tne presoje, ki jo je treba opraviti, upošteva razpoložljive podatke v zvezi s certifikatom proizvajalca, ki je opisan v točki 1.3.3, ki ni bil upoštevan ali priznan na podlagi te točke.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 Začetno presojo in/ali preverjanje ukrepov za skladnost proiz</w:t>
      </w:r>
      <w:r>
        <w:rPr>
          <w:noProof/>
        </w:rPr>
        <w:t xml:space="preserve">vodnje lahko opravi tudi homologacijski organ druge države članice ali pooblaščeni organ, ki ga za to določi homologacijski organ.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1.3.2.1. Homologacijski organ druge države članice v takem primeru pripravi izjavo o skladnosti, v kateri navede področja in</w:t>
      </w:r>
      <w:r>
        <w:rPr>
          <w:noProof/>
        </w:rPr>
        <w:t xml:space="preserve"> proizvodne obrate, ki jih je obravnaval kot pomembne za opremo, ki jo je treba homologirati, ter za regulativne akte, na podlagi katerih bo ta oprema homologirana.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1.3.2.2. Na zahtevo homologacijskega organa države članice, ki je podelil certifikat o EU-h</w:t>
      </w:r>
      <w:r>
        <w:rPr>
          <w:noProof/>
        </w:rPr>
        <w:t xml:space="preserve">omologaciji, homologacijski organ druge države članice nemudoma pošlje izjavo o skladnosti ali sporoči, da te izjave ne more izdati.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1.3.2.3. Izjava o skladnosti vsebuje najmanj naslednje podatke: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(a) skupino ali družbo;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(b) določeno organizacijo;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(c) </w:t>
      </w:r>
      <w:r>
        <w:rPr>
          <w:noProof/>
        </w:rPr>
        <w:t>obrate/proizvodna mesta (npr. obrat 1 v Združenem kraljestvu);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(d) oprema (npr. naprava za zaznavanje sledi eksplozivov);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lastRenderedPageBreak/>
        <w:t xml:space="preserve">(e) pregledane dokumente (npr. poslovnik za kakovost ter postopki kakovosti družbe in zadevnega obrata);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(f) datum presoje (npr. presoja se je izvajala od 18. do 30. 5. 2009);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(g) načrtovan kontrolni obisk (npr. oktobra 2010).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1.3.3. Homologacijski organ sprejme tudi certifikat, ki ga je proizvajalec pridobil po usklajenem standardu EN ISO 9001:2008 ali ena</w:t>
      </w:r>
      <w:r>
        <w:rPr>
          <w:noProof/>
        </w:rPr>
        <w:t>kovrednem usklajenem standardu, kot izpolnitev zahtev začetne presoje iz točke 1. Proizvajalec zagotovi podatke o certifikatu in se zaveže, da bo homologacijski organ obvestil o vseh spremembah glede njegove veljavnosti ali področja uporabe.</w:t>
      </w:r>
    </w:p>
    <w:p w:rsidR="00AF5D83" w:rsidRDefault="00863615">
      <w:pPr>
        <w:spacing w:before="0" w:after="200" w:line="276" w:lineRule="auto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 2. Ukrepi za </w:t>
      </w:r>
      <w:r>
        <w:rPr>
          <w:b/>
          <w:noProof/>
        </w:rPr>
        <w:t xml:space="preserve">skladnost proizvodnje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2.1. Homologacijski organ države članice za vsako homologacijo po dogovoru s proizvajalcem preveri, ali obstajajo primerni ukrepi in pisno določeni načrti kontrole, da se v določenih časovnih razmikih opravijo preskusi ali ustrezna p</w:t>
      </w:r>
      <w:r>
        <w:rPr>
          <w:noProof/>
        </w:rPr>
        <w:t xml:space="preserve">reverjanja, potrebni za potrditev stalne skladnosti s homologiranim tipom, vključno s kakršnimi koli ustreznimi fizičnimi preskusi, opredeljenimi v regulativnih aktih.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 Imetnik certifikata o EU-homologaciji zlasti: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2.2.1. zagotovi, da obstajajo in se</w:t>
      </w:r>
      <w:r>
        <w:rPr>
          <w:noProof/>
        </w:rPr>
        <w:t xml:space="preserve"> uporabljajo postopki za učinkovito kontrolo skladnosti proizvodov s homologiranim tipom in konfiguracijo;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2.2.2. ima dostop do preskusne ali druge ustrezne opreme, potrebne za preverjanje skladnosti z vsakim homologiranim tipom in konfiguracijo;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2.2.3. </w:t>
      </w:r>
      <w:r>
        <w:rPr>
          <w:noProof/>
        </w:rPr>
        <w:t>poskrbi za zapis rezultatov preskusov ali preverjanj in za to, da vsa pripadajoča dokumentacija, povezana z rezultati preskusa, ostane na voljo za obdobje, dogovorjeno s homologacijskim organom. Navedeno obdobje ni daljše od desetih let;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2.2.4. analizira r</w:t>
      </w:r>
      <w:r>
        <w:rPr>
          <w:noProof/>
        </w:rPr>
        <w:t xml:space="preserve">ezultate vseh vrst preskusov ali preverjanj, da se potrdi in zagotovi stabilnost lastnosti proizvoda ob upoštevanju običajnih odstopanj pri serijski proizvodnji;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2.2.5. zagotovi, da se za vsak tip in konfiguracijo opreme za varnostno pregledovanje v letal</w:t>
      </w:r>
      <w:r>
        <w:rPr>
          <w:noProof/>
        </w:rPr>
        <w:t>stvu preveri vsaj pravilnost proizvodne specifikacije glede na homologacijsko dokumentacijo in informacij, potrebnih za certifikate o skladnosti iz Priloge II;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2.2.6. zagotovi, da se po vsaki seriji vzorcev ali preskušancev, ki je pri določenem preskusu al</w:t>
      </w:r>
      <w:r>
        <w:rPr>
          <w:noProof/>
        </w:rPr>
        <w:t xml:space="preserve">i preverjanju dala neustrezne rezultate, preskusijo ali preverijo novi vzorci. Pri tem se sprejmejo vsi potrebni ukrepi, da se znova vzpostavi skladnost proizvodnje. </w:t>
      </w:r>
    </w:p>
    <w:p w:rsidR="00AF5D83" w:rsidRDefault="00863615">
      <w:pPr>
        <w:spacing w:before="0" w:after="200" w:line="276" w:lineRule="auto"/>
        <w:rPr>
          <w:rFonts w:eastAsia="Calibri"/>
          <w:b/>
          <w:noProof/>
          <w:szCs w:val="24"/>
        </w:rPr>
      </w:pPr>
      <w:bookmarkStart w:id="0" w:name="_GoBack"/>
      <w:bookmarkEnd w:id="0"/>
      <w:r>
        <w:rPr>
          <w:b/>
          <w:noProof/>
        </w:rPr>
        <w:t xml:space="preserve">3. Ukrepi za nadaljnje preverjanje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 Organ, ki je podelil certifikat o EU-homologac</w:t>
      </w:r>
      <w:r>
        <w:rPr>
          <w:noProof/>
        </w:rPr>
        <w:t xml:space="preserve">iji, lahko kadar koli preveri metode za nadzor skladnosti, ki se uporabljajo v vsakem proizvodnem obratu.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lastRenderedPageBreak/>
        <w:t>3.1.1. Običajno se preverja, ali je učinkovitost postopkov, določenih v razdelkih 1 in 2 (začetna presoja in ukrepi za skladnost proizvodnje), nespre</w:t>
      </w:r>
      <w:r>
        <w:rPr>
          <w:noProof/>
        </w:rPr>
        <w:t xml:space="preserve">menjena.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3.1.1.1. Nadzor, ki ga izvajajo priglašene tehnične službe, se upošteva kot izpolnjevanje zahtev iz točke 3.1.1 v zvezi s postopki, uvedenimi pri začetni presoji.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3.1.1.2. Glede pogostnosti preverjanj, ki jih opravi homologacijski organ (razen tistih, ki so navedena v točki 3.1.1.1), se zagotovi, da se ustrezna preverjanja, izvedena v skladu z razdelkoma 1 in 2, ponovijo po obdobju, ki ga glede na ugotovljeno stopnj</w:t>
      </w:r>
      <w:r>
        <w:rPr>
          <w:noProof/>
        </w:rPr>
        <w:t xml:space="preserve">o zaupanja določi homologacijski organ.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3.2. Pri vsakem preverjanju se inšpektorju dajo na voljo zapisi o preskusih ali preverjanjih ter dokumenti o proizvodnji, zlasti zapisi o tistih preskusih ali preverjanjih, ki so potrebni v skladu s točko 2.2.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3.3.</w:t>
      </w:r>
      <w:r>
        <w:rPr>
          <w:noProof/>
        </w:rPr>
        <w:t xml:space="preserve"> Inšpektor lahko naključno izbere vzorce, ki se preskusijo v proizvajalčevem laboratoriju ali prostorih tehnične službe. V takem primeru se izvede samo fizični preskus. Najmanjše število vzorcev se lahko določi glede na rezultate preverjanj, ki jih opravi </w:t>
      </w:r>
      <w:r>
        <w:rPr>
          <w:noProof/>
        </w:rPr>
        <w:t xml:space="preserve">proizvajalec.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3.4. Če se kakovost nadzora pokaže za nezadovoljivo ali če se zdi, da je treba preveriti veljavnost preskusov, opravljenih v skladu s točko 3.2, inšpektor izbere vzorce, ki se pošljejo tehnični službi, da izvede fizične preskuse. </w:t>
      </w:r>
    </w:p>
    <w:p w:rsidR="00AF5D83" w:rsidRDefault="0086361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3.5. Če so</w:t>
      </w:r>
      <w:r>
        <w:rPr>
          <w:noProof/>
        </w:rPr>
        <w:t xml:space="preserve"> rezultati nadzora oziroma spremljanja nezadovoljivi, homologacijski organ poskrbi, da se sprejmejo vsi potrebni ukrepi za čim hitrejšo vzpostavitev skladnosti proizvodnje.</w:t>
      </w:r>
    </w:p>
    <w:p w:rsidR="00AF5D83" w:rsidRDefault="00AF5D83">
      <w:pPr>
        <w:spacing w:before="0" w:after="200" w:line="276" w:lineRule="auto"/>
        <w:rPr>
          <w:rFonts w:eastAsia="Calibri"/>
          <w:noProof/>
          <w:szCs w:val="24"/>
        </w:rPr>
      </w:pPr>
    </w:p>
    <w:p w:rsidR="00AF5D83" w:rsidRDefault="0086361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Priloga VII</w:t>
      </w:r>
    </w:p>
    <w:p w:rsidR="00AF5D83" w:rsidRDefault="00863615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STANDARDI, KI JIH MORAJO IZPOLNJEVATI TEHNIČNE SLUŽBE</w:t>
      </w:r>
    </w:p>
    <w:p w:rsidR="00AF5D83" w:rsidRDefault="00AF5D83">
      <w:pPr>
        <w:autoSpaceDE w:val="0"/>
        <w:autoSpaceDN w:val="0"/>
        <w:adjustRightInd w:val="0"/>
        <w:spacing w:before="60" w:after="60"/>
        <w:rPr>
          <w:rFonts w:eastAsia="Calibri"/>
          <w:b/>
          <w:bCs/>
          <w:noProof/>
          <w:color w:val="000000"/>
          <w:szCs w:val="24"/>
        </w:rPr>
      </w:pPr>
    </w:p>
    <w:p w:rsidR="00AF5D83" w:rsidRDefault="0086361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Standardi, k</w:t>
      </w:r>
      <w:r>
        <w:rPr>
          <w:noProof/>
          <w:color w:val="000000"/>
        </w:rPr>
        <w:t>i jih morajo izpolnjevati tehnične službe pri dejavnostih v zvezi s homologacijskimi preskusi, so naslednji:</w:t>
      </w:r>
    </w:p>
    <w:p w:rsidR="00AF5D83" w:rsidRDefault="0086361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1.1. Kategorija A (preskusi, ki se opravijo v lastnih prostorih): ustrezni harmonizirani standardi v zvezi s splošnimi zahtevami za usposobljenost</w:t>
      </w:r>
      <w:r>
        <w:rPr>
          <w:noProof/>
          <w:color w:val="000000"/>
        </w:rPr>
        <w:t xml:space="preserve"> preskuševalnih in kalibracijskih laboratorijev. Tehnična služba, določena za opravljanje dejavnosti kategorije A, lahko preskuse opravlja ali nadzira v prostorih proizvajalca ali tretje stranke.</w:t>
      </w:r>
    </w:p>
    <w:p w:rsidR="00AF5D83" w:rsidRDefault="0086361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1.2. Kategorija B (nadziranje preskusov, ki se opravijo v p</w:t>
      </w:r>
      <w:r>
        <w:rPr>
          <w:noProof/>
          <w:color w:val="000000"/>
        </w:rPr>
        <w:t xml:space="preserve">rostorih proizvajalca ali tretje stranke): </w:t>
      </w:r>
      <w:r>
        <w:rPr>
          <w:noProof/>
        </w:rPr>
        <w:t>ustrezni harmonizirani standardi v zvezi s splošnimi merili za delovanje različnih vrst kontrolnih organov.</w:t>
      </w:r>
      <w:r>
        <w:rPr>
          <w:noProof/>
          <w:color w:val="000000"/>
        </w:rPr>
        <w:t xml:space="preserve"> Tehnična služba pred opravljanjem ali kontrolo preskusa v prostorih proizvajalca ali tretje stranke preve</w:t>
      </w:r>
      <w:r>
        <w:rPr>
          <w:noProof/>
          <w:color w:val="000000"/>
        </w:rPr>
        <w:t xml:space="preserve">ri, ali so prostori, v katerih se opravlja preskus, in merilne naprave v skladu z ustreznimi zahtevami standarda iz točke 1.1. </w:t>
      </w:r>
    </w:p>
    <w:p w:rsidR="00AF5D83" w:rsidRDefault="0086361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Standardi, ki jih morajo izpolnjevati tehnične službe pri dejavnostih v zvezi s skladnostjo proizvodnje, so naslednji:</w:t>
      </w:r>
    </w:p>
    <w:p w:rsidR="00AF5D83" w:rsidRDefault="0086361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2.1. </w:t>
      </w:r>
      <w:r>
        <w:rPr>
          <w:noProof/>
          <w:color w:val="000000"/>
        </w:rPr>
        <w:t xml:space="preserve">Kategorija C (postopek začetne presoje in nadzornih revizij proizvajalčevega sistema vodenja kakovosti): </w:t>
      </w:r>
      <w:r>
        <w:rPr>
          <w:noProof/>
        </w:rPr>
        <w:t>ustrezni harmonizirani standardi v zvezi z zahtevami za organe, ki presojajo in potrjujejo sisteme vodenja;</w:t>
      </w:r>
    </w:p>
    <w:p w:rsidR="00AF5D83" w:rsidRDefault="0086361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 2.2. </w:t>
      </w:r>
      <w:r>
        <w:rPr>
          <w:noProof/>
        </w:rPr>
        <w:t xml:space="preserve">Kategorija D (kontrola ali </w:t>
      </w:r>
      <w:r>
        <w:rPr>
          <w:noProof/>
        </w:rPr>
        <w:t>preskušanje proizvodnih vzorcev ali nadzorovanje teh dejavnosti): ustrezni harmonizirani standardi v zvezi s splošnimi merili za delovanje različnih vrst kontrolnih organov.</w:t>
      </w:r>
    </w:p>
    <w:p w:rsidR="00AF5D83" w:rsidRDefault="00AF5D83">
      <w:pPr>
        <w:spacing w:before="0"/>
        <w:rPr>
          <w:noProof/>
          <w:szCs w:val="24"/>
        </w:rPr>
      </w:pPr>
    </w:p>
    <w:sectPr w:rsidR="00AF5D83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83" w:rsidRDefault="00863615">
      <w:pPr>
        <w:spacing w:before="0" w:after="0"/>
      </w:pPr>
      <w:r>
        <w:separator/>
      </w:r>
    </w:p>
  </w:endnote>
  <w:endnote w:type="continuationSeparator" w:id="0">
    <w:p w:rsidR="00AF5D83" w:rsidRDefault="008636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86361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SL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86361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83" w:rsidRDefault="00863615">
      <w:pPr>
        <w:spacing w:before="0" w:after="0"/>
      </w:pPr>
      <w:r>
        <w:separator/>
      </w:r>
    </w:p>
  </w:footnote>
  <w:footnote w:type="continuationSeparator" w:id="0">
    <w:p w:rsidR="00AF5D83" w:rsidRDefault="00863615">
      <w:pPr>
        <w:spacing w:before="0" w:after="0"/>
      </w:pPr>
      <w:r>
        <w:continuationSeparator/>
      </w:r>
    </w:p>
  </w:footnote>
  <w:footnote w:id="1">
    <w:p w:rsidR="00AF5D83" w:rsidRDefault="00863615"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Uredba (ES) št. 300/2008</w:t>
      </w:r>
      <w:r>
        <w:rPr>
          <w:rStyle w:val="FootnoteReference"/>
        </w:rPr>
        <w:t xml:space="preserve"> </w:t>
      </w:r>
      <w:r>
        <w:t>Evropskega parlamenta in Sveta z dne 11. marca 2008 o skupnih pravilih na področju varovanja civilnega letalstva in o razveljavitvi Uredbe (ES) št. 2320/2002 (</w:t>
      </w:r>
      <w:r>
        <w:rPr>
          <w:rStyle w:val="Emphasis"/>
          <w:i w:val="0"/>
          <w:sz w:val="17"/>
        </w:rPr>
        <w:t>UL L 97, 9.4.2008, str. 72</w:t>
      </w:r>
      <w:r>
        <w:rPr>
          <w:rStyle w:val="Emphasis"/>
          <w:sz w:val="17"/>
        </w:rPr>
        <w:t>)</w:t>
      </w:r>
      <w:r>
        <w:t>.</w:t>
      </w:r>
      <w:r>
        <w:rPr>
          <w:rStyle w:val="Emphasis"/>
          <w:sz w:val="17"/>
        </w:rPr>
        <w:t xml:space="preserve"> </w:t>
      </w:r>
    </w:p>
  </w:footnote>
  <w:footnote w:id="2">
    <w:p w:rsidR="00AF5D83" w:rsidRDefault="00863615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>
        <w:t xml:space="preserve">Če ti podatki ob podelitvi </w:t>
      </w:r>
      <w:r>
        <w:t>homologacije niso na voljo, se dopolnijo najpozneje takrat, ko je oprema dana na trg.</w:t>
      </w:r>
    </w:p>
  </w:footnote>
  <w:footnote w:id="3">
    <w:p w:rsidR="00AF5D83" w:rsidRDefault="00863615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>
        <w:t>Kot je določeno v Uredbi Komisije (EU) št. 185/2010 z dne 4. marca 2010 o določitvi podrobnih ukrepov za izvajanje skupnih osnovnih standardov za varnost letalstva.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3" w:rsidRDefault="00AF5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C24A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5DC8E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166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8D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0DA7D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758F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66FB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BEC7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4 11:32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k predlogu"/>
    <w:docVar w:name="LW_ANNEX_NBR_FIRST" w:val="1"/>
    <w:docVar w:name="LW_ANNEX_NBR_LAST" w:val="7"/>
    <w:docVar w:name="LW_CONFIDENCE" w:val=" "/>
    <w:docVar w:name="LW_CONST_RESTREINT_UE" w:val="RESTREINT UE"/>
    <w:docVar w:name="LW_CORRIGENDUM" w:val="&lt;UNUSED&gt;"/>
    <w:docVar w:name="LW_COVERPAGE_GUID" w:val="AED9B69CC4CB4E7C8FD33DF283F1DBC5"/>
    <w:docVar w:name="LW_CROSSREFERENCE" w:val="{SWD(2016) 259 final}_x000b_{SWD(2016) 261 final}"/>
    <w:docVar w:name="LW_DocType" w:val="ANNEX"/>
    <w:docVar w:name="LW_EMISSION" w:val="7.9.2016"/>
    <w:docVar w:name="LW_EMISSION_ISODATE" w:val="2016-09-07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 vzpostavitvi sistema Unije za certificiranje opreme za varnostno pregledovanje v letalstvu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91"/>
    <w:docVar w:name="LW_REF.INTERNE" w:val="&lt;UNUSED&gt;"/>
    <w:docVar w:name="LW_SUPERTITRE" w:val="&lt;UNUSED&gt;"/>
    <w:docVar w:name="LW_TITRE.OBJ.CP" w:val="&lt;UNUSED&gt;"/>
    <w:docVar w:name="LW_TYPE.DOC.CP" w:val="PRILOGE"/>
    <w:docVar w:name="LW_TYPEACTEPRINCIPAL.CP" w:val="uredbe Evropskega parlamenta in Sveta"/>
  </w:docVars>
  <w:rsids>
    <w:rsidRoot w:val="00AF5D83"/>
    <w:rsid w:val="00863615"/>
    <w:rsid w:val="00A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2173</Words>
  <Characters>11542</Characters>
  <Application>Microsoft Office Word</Application>
  <DocSecurity>0</DocSecurity>
  <Lines>226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pawulan</dc:creator>
  <cp:lastModifiedBy>Stefanie Heilemann</cp:lastModifiedBy>
  <cp:revision>9</cp:revision>
  <cp:lastPrinted>2015-11-17T15:02:00Z</cp:lastPrinted>
  <dcterms:created xsi:type="dcterms:W3CDTF">2015-12-14T10:32:00Z</dcterms:created>
  <dcterms:modified xsi:type="dcterms:W3CDTF">2016-09-02T11:33:00Z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7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