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D49ED" w14:textId="222C6771" w:rsidR="00DC3C69" w:rsidRPr="00B53505" w:rsidRDefault="00772B42" w:rsidP="00772B42">
      <w:pPr>
        <w:pStyle w:val="Pagedecouverture"/>
      </w:pPr>
      <w:r>
        <w:pict w14:anchorId="1487E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4E3981B09FE47DDB5BFD3B787AD723D" style="width:450.75pt;height:351.75pt">
            <v:imagedata r:id="rId9" o:title=""/>
          </v:shape>
        </w:pict>
      </w:r>
    </w:p>
    <w:p w14:paraId="7BCBF63B" w14:textId="77777777" w:rsidR="001E4C51" w:rsidRPr="00B53505" w:rsidRDefault="001E4C51" w:rsidP="001E4C51">
      <w:pPr>
        <w:sectPr w:rsidR="001E4C51" w:rsidRPr="00B53505" w:rsidSect="00772B42">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14:paraId="7DFCDC49" w14:textId="77777777" w:rsidR="007630B5" w:rsidRPr="00B53505" w:rsidRDefault="00E516E2" w:rsidP="007630B5">
      <w:pPr>
        <w:pStyle w:val="Exposdesmotifstitre"/>
      </w:pPr>
      <w:r w:rsidRPr="00B53505">
        <w:lastRenderedPageBreak/>
        <w:t>EXPLANATORY MEMORANDUM</w:t>
      </w:r>
    </w:p>
    <w:p w14:paraId="689BD407" w14:textId="77777777" w:rsidR="00006023" w:rsidRPr="00B53505" w:rsidRDefault="00D70913" w:rsidP="00006023">
      <w:pPr>
        <w:pStyle w:val="ManualHeading1"/>
        <w:ind w:left="851" w:hanging="851"/>
      </w:pPr>
      <w:r w:rsidRPr="00B53505">
        <w:t>1.</w:t>
      </w:r>
      <w:r w:rsidRPr="00B53505">
        <w:tab/>
        <w:t>CONTEXT OF THE PROPOSAL</w:t>
      </w:r>
    </w:p>
    <w:p w14:paraId="3D2205F5" w14:textId="77777777" w:rsidR="00006023" w:rsidRPr="00B53505" w:rsidRDefault="00D70913" w:rsidP="00006023">
      <w:pPr>
        <w:pStyle w:val="ManualHeading2"/>
        <w:ind w:left="851" w:hanging="851"/>
        <w:rPr>
          <w:rFonts w:eastAsia="Arial Unicode MS"/>
        </w:rPr>
      </w:pPr>
      <w:r w:rsidRPr="00B53505">
        <w:rPr>
          <w:rFonts w:eastAsia="Arial Unicode MS"/>
          <w:color w:val="000000"/>
          <w:u w:color="000000"/>
          <w:bdr w:val="nil"/>
          <w:lang w:eastAsia="en-GB"/>
        </w:rPr>
        <w:t>•</w:t>
      </w:r>
      <w:r w:rsidRPr="00B53505">
        <w:rPr>
          <w:rFonts w:eastAsia="Arial Unicode MS"/>
          <w:color w:val="000000"/>
          <w:u w:color="000000"/>
          <w:bdr w:val="nil"/>
          <w:lang w:eastAsia="en-GB"/>
        </w:rPr>
        <w:tab/>
      </w:r>
      <w:r w:rsidRPr="00B53505">
        <w:rPr>
          <w:rFonts w:eastAsia="Arial Unicode MS"/>
        </w:rPr>
        <w:t>Reasons for and objectives of the proposal</w:t>
      </w:r>
    </w:p>
    <w:p w14:paraId="5D4B53AE" w14:textId="55C7B6A5" w:rsidR="00446D89" w:rsidRPr="00B53505" w:rsidRDefault="00446D89" w:rsidP="00DC3C69">
      <w:pPr>
        <w:rPr>
          <w:szCs w:val="24"/>
        </w:rPr>
      </w:pPr>
      <w:r w:rsidRPr="00B53505">
        <w:rPr>
          <w:szCs w:val="24"/>
        </w:rPr>
        <w:t xml:space="preserve">On 7 June 2016, the Commission adopted a Communication on </w:t>
      </w:r>
      <w:r w:rsidRPr="00C352EA">
        <w:rPr>
          <w:i/>
          <w:szCs w:val="24"/>
        </w:rPr>
        <w:t>establishing a new Partnership Framework with third countries under the European Agenda for Migration</w:t>
      </w:r>
      <w:r w:rsidR="00B53505">
        <w:rPr>
          <w:szCs w:val="24"/>
        </w:rPr>
        <w:t>.</w:t>
      </w:r>
      <w:r w:rsidRPr="00B53505">
        <w:rPr>
          <w:rStyle w:val="FootnoteReference"/>
        </w:rPr>
        <w:footnoteReference w:id="2"/>
      </w:r>
      <w:r w:rsidRPr="00B53505">
        <w:rPr>
          <w:szCs w:val="24"/>
        </w:rPr>
        <w:t xml:space="preserve"> Alongside a variety of measures proposed to address the most urgent needs of refugees as well as supporting host communities, the Commission calls for a long term strategy by which the EU will promote the </w:t>
      </w:r>
      <w:r w:rsidR="0069500D" w:rsidRPr="00B53505">
        <w:rPr>
          <w:szCs w:val="24"/>
        </w:rPr>
        <w:t>s</w:t>
      </w:r>
      <w:r w:rsidRPr="00B53505">
        <w:rPr>
          <w:szCs w:val="24"/>
        </w:rPr>
        <w:t xml:space="preserve">ustainable </w:t>
      </w:r>
      <w:r w:rsidR="0069500D" w:rsidRPr="00B53505">
        <w:rPr>
          <w:szCs w:val="24"/>
        </w:rPr>
        <w:t xml:space="preserve">development goals </w:t>
      </w:r>
      <w:r w:rsidRPr="00B53505">
        <w:rPr>
          <w:szCs w:val="24"/>
        </w:rPr>
        <w:t xml:space="preserve">of the 2030 Agenda and thus continue to address root causes of migration. </w:t>
      </w:r>
    </w:p>
    <w:p w14:paraId="2DD62596" w14:textId="730F3109" w:rsidR="001466B3" w:rsidRPr="00B53505" w:rsidRDefault="001466B3" w:rsidP="00DC3C69">
      <w:pPr>
        <w:rPr>
          <w:szCs w:val="24"/>
        </w:rPr>
      </w:pPr>
      <w:r w:rsidRPr="00B53505">
        <w:rPr>
          <w:szCs w:val="24"/>
        </w:rPr>
        <w:t xml:space="preserve">This is also in line with the EU Global Strategy for Foreign and Security Policy with embeds challenges such as migration in the overall EU foreign policy, ensuring coherence and synergies with European </w:t>
      </w:r>
      <w:r w:rsidR="00955724" w:rsidRPr="00B53505">
        <w:rPr>
          <w:szCs w:val="24"/>
        </w:rPr>
        <w:t>D</w:t>
      </w:r>
      <w:r w:rsidRPr="00B53505">
        <w:rPr>
          <w:szCs w:val="24"/>
        </w:rPr>
        <w:t xml:space="preserve">evelopment and </w:t>
      </w:r>
      <w:r w:rsidR="00955724" w:rsidRPr="00B53505">
        <w:rPr>
          <w:szCs w:val="24"/>
        </w:rPr>
        <w:t>N</w:t>
      </w:r>
      <w:r w:rsidRPr="00B53505">
        <w:rPr>
          <w:szCs w:val="24"/>
        </w:rPr>
        <w:t>eighbourhood policies and European economic diplomacy</w:t>
      </w:r>
      <w:r w:rsidR="00FF4CD9" w:rsidRPr="00B53505">
        <w:rPr>
          <w:szCs w:val="24"/>
        </w:rPr>
        <w:t>.</w:t>
      </w:r>
    </w:p>
    <w:p w14:paraId="62C7AE7F" w14:textId="3CCC74F4" w:rsidR="00446D89" w:rsidRPr="00B53505" w:rsidRDefault="00446D89" w:rsidP="00446D89">
      <w:pPr>
        <w:rPr>
          <w:rFonts w:eastAsia="Times New Roman"/>
        </w:rPr>
      </w:pPr>
      <w:r w:rsidRPr="00B53505">
        <w:rPr>
          <w:szCs w:val="24"/>
        </w:rPr>
        <w:t>The European Council of 28 June 2016 invited the Commission to present a proposal for an ambitious External Investment Plan (EIP)</w:t>
      </w:r>
      <w:r w:rsidR="00343B63" w:rsidRPr="00B53505">
        <w:rPr>
          <w:szCs w:val="24"/>
        </w:rPr>
        <w:t xml:space="preserve"> by September 2016</w:t>
      </w:r>
      <w:r w:rsidRPr="00B53505">
        <w:rPr>
          <w:szCs w:val="24"/>
        </w:rPr>
        <w:t xml:space="preserve">. The EIP will be based on three pillars working hand in hand: a new investment fund (pillar 1); technical assistance (pillar 2), to </w:t>
      </w:r>
      <w:r w:rsidRPr="00B53505">
        <w:rPr>
          <w:bCs/>
          <w:szCs w:val="24"/>
        </w:rPr>
        <w:t xml:space="preserve">help local authorities and companies </w:t>
      </w:r>
      <w:r w:rsidR="00F55824" w:rsidRPr="00B53505">
        <w:rPr>
          <w:bCs/>
          <w:szCs w:val="24"/>
        </w:rPr>
        <w:t xml:space="preserve">to </w:t>
      </w:r>
      <w:r w:rsidRPr="00B53505">
        <w:rPr>
          <w:bCs/>
          <w:szCs w:val="24"/>
        </w:rPr>
        <w:t xml:space="preserve">develop a higher number of sustainable projects and attract investors; and </w:t>
      </w:r>
      <w:r w:rsidR="00F55824" w:rsidRPr="00B53505">
        <w:rPr>
          <w:bCs/>
          <w:szCs w:val="24"/>
        </w:rPr>
        <w:t xml:space="preserve">finally </w:t>
      </w:r>
      <w:r w:rsidRPr="00B53505">
        <w:rPr>
          <w:bCs/>
          <w:szCs w:val="24"/>
        </w:rPr>
        <w:t xml:space="preserve">a range of dedicated thematic, national and regional EU development cooperation programmes combined with structured political dialogue targeted at improving the investment climate and overall policy environment in the countries concerned (pillar 3). </w:t>
      </w:r>
      <w:r w:rsidRPr="00B53505">
        <w:rPr>
          <w:rFonts w:eastAsia="Times New Roman"/>
        </w:rPr>
        <w:t>Pillar 3 of the EIP is the link between the E</w:t>
      </w:r>
      <w:r w:rsidR="00885781" w:rsidRPr="00B53505">
        <w:rPr>
          <w:rFonts w:eastAsia="Times New Roman"/>
        </w:rPr>
        <w:t xml:space="preserve">uropean </w:t>
      </w:r>
      <w:r w:rsidRPr="00B53505">
        <w:rPr>
          <w:rFonts w:eastAsia="Times New Roman"/>
        </w:rPr>
        <w:t>F</w:t>
      </w:r>
      <w:r w:rsidR="00885781" w:rsidRPr="00B53505">
        <w:rPr>
          <w:rFonts w:eastAsia="Times New Roman"/>
        </w:rPr>
        <w:t xml:space="preserve">und for </w:t>
      </w:r>
      <w:r w:rsidRPr="00B53505">
        <w:rPr>
          <w:rFonts w:eastAsia="Times New Roman"/>
        </w:rPr>
        <w:t>S</w:t>
      </w:r>
      <w:r w:rsidR="00885781" w:rsidRPr="00B53505">
        <w:rPr>
          <w:rFonts w:eastAsia="Times New Roman"/>
        </w:rPr>
        <w:t xml:space="preserve">ustainable </w:t>
      </w:r>
      <w:r w:rsidRPr="00B53505">
        <w:rPr>
          <w:rFonts w:eastAsia="Times New Roman"/>
        </w:rPr>
        <w:t>D</w:t>
      </w:r>
      <w:r w:rsidR="00885781" w:rsidRPr="00B53505">
        <w:rPr>
          <w:rFonts w:eastAsia="Times New Roman"/>
        </w:rPr>
        <w:t>evelopment</w:t>
      </w:r>
      <w:r w:rsidRPr="00B53505">
        <w:rPr>
          <w:rFonts w:eastAsia="Times New Roman"/>
        </w:rPr>
        <w:t xml:space="preserve"> </w:t>
      </w:r>
      <w:r w:rsidR="003307DB" w:rsidRPr="00B53505">
        <w:rPr>
          <w:rFonts w:eastAsia="Times New Roman"/>
        </w:rPr>
        <w:t xml:space="preserve">(EFSD) </w:t>
      </w:r>
      <w:r w:rsidRPr="00B53505">
        <w:rPr>
          <w:rFonts w:eastAsia="Times New Roman"/>
        </w:rPr>
        <w:t xml:space="preserve">and the </w:t>
      </w:r>
      <w:r w:rsidR="00163BB5" w:rsidRPr="00B53505">
        <w:rPr>
          <w:rFonts w:eastAsia="Times New Roman"/>
        </w:rPr>
        <w:t xml:space="preserve">broad </w:t>
      </w:r>
      <w:r w:rsidRPr="00B53505">
        <w:rPr>
          <w:rFonts w:eastAsia="Times New Roman"/>
        </w:rPr>
        <w:t>partnership between the EU and its partner countries. This partnership materialise</w:t>
      </w:r>
      <w:r w:rsidR="00255AA7" w:rsidRPr="00B53505">
        <w:rPr>
          <w:rFonts w:eastAsia="Times New Roman"/>
        </w:rPr>
        <w:t>s</w:t>
      </w:r>
      <w:r w:rsidRPr="00B53505">
        <w:rPr>
          <w:rFonts w:eastAsia="Times New Roman"/>
        </w:rPr>
        <w:t xml:space="preserve"> in political and in policy dialogue that the Commission undertakes through </w:t>
      </w:r>
      <w:r w:rsidR="00163BB5" w:rsidRPr="00B53505">
        <w:rPr>
          <w:rFonts w:eastAsia="Times New Roman"/>
        </w:rPr>
        <w:t xml:space="preserve">EU </w:t>
      </w:r>
      <w:r w:rsidRPr="00B53505">
        <w:rPr>
          <w:rFonts w:eastAsia="Times New Roman"/>
        </w:rPr>
        <w:t>delegations and political contacts.</w:t>
      </w:r>
    </w:p>
    <w:p w14:paraId="217E174E" w14:textId="0ABAC4B7" w:rsidR="00446D89" w:rsidRPr="00B53505" w:rsidRDefault="00446D89" w:rsidP="00446D89">
      <w:pPr>
        <w:widowControl w:val="0"/>
        <w:shd w:val="clear" w:color="auto" w:fill="FFFFFF"/>
        <w:autoSpaceDE w:val="0"/>
        <w:autoSpaceDN w:val="0"/>
        <w:adjustRightInd w:val="0"/>
        <w:ind w:right="86"/>
        <w:rPr>
          <w:szCs w:val="24"/>
        </w:rPr>
      </w:pPr>
      <w:r w:rsidRPr="00B53505">
        <w:t xml:space="preserve">Pillar </w:t>
      </w:r>
      <w:r w:rsidR="00000C6A" w:rsidRPr="00B53505">
        <w:t>1</w:t>
      </w:r>
      <w:r w:rsidRPr="00B53505">
        <w:t xml:space="preserve"> will be implemented through the EFSD. The </w:t>
      </w:r>
      <w:r w:rsidRPr="00B53505">
        <w:rPr>
          <w:szCs w:val="24"/>
        </w:rPr>
        <w:t xml:space="preserve">EFSD will have the key objective of providing an integrated financial package to finance investments </w:t>
      </w:r>
      <w:r w:rsidR="002A6466" w:rsidRPr="00B53505">
        <w:rPr>
          <w:szCs w:val="24"/>
        </w:rPr>
        <w:t xml:space="preserve">starting </w:t>
      </w:r>
      <w:r w:rsidRPr="00B53505">
        <w:rPr>
          <w:szCs w:val="24"/>
        </w:rPr>
        <w:t>in</w:t>
      </w:r>
      <w:r w:rsidR="000C2009" w:rsidRPr="00B53505">
        <w:rPr>
          <w:szCs w:val="24"/>
        </w:rPr>
        <w:t xml:space="preserve"> the regions of Africa</w:t>
      </w:r>
      <w:r w:rsidR="00CA37EB" w:rsidRPr="00B53505">
        <w:rPr>
          <w:szCs w:val="24"/>
        </w:rPr>
        <w:t xml:space="preserve"> and the Neighbourhood</w:t>
      </w:r>
      <w:r w:rsidR="00CA37EB" w:rsidRPr="00B53505">
        <w:rPr>
          <w:rStyle w:val="FootnoteReference"/>
          <w:szCs w:val="24"/>
        </w:rPr>
        <w:t xml:space="preserve"> </w:t>
      </w:r>
      <w:r w:rsidR="00CA37EB" w:rsidRPr="00B53505">
        <w:rPr>
          <w:rStyle w:val="FootnoteReference"/>
          <w:szCs w:val="24"/>
        </w:rPr>
        <w:footnoteReference w:id="3"/>
      </w:r>
      <w:r w:rsidRPr="00B53505">
        <w:rPr>
          <w:szCs w:val="24"/>
        </w:rPr>
        <w:t xml:space="preserve">. </w:t>
      </w:r>
    </w:p>
    <w:p w14:paraId="7D50C4A7" w14:textId="00AC3701" w:rsidR="00446D89" w:rsidRPr="00B53505" w:rsidRDefault="00446D89" w:rsidP="00446D89">
      <w:pPr>
        <w:rPr>
          <w:szCs w:val="24"/>
        </w:rPr>
      </w:pPr>
      <w:r w:rsidRPr="00B53505">
        <w:rPr>
          <w:szCs w:val="24"/>
        </w:rPr>
        <w:t xml:space="preserve">The EFSD will be composed of </w:t>
      </w:r>
      <w:r w:rsidR="004E6876" w:rsidRPr="00B53505">
        <w:rPr>
          <w:szCs w:val="24"/>
        </w:rPr>
        <w:t>r</w:t>
      </w:r>
      <w:r w:rsidRPr="00B53505">
        <w:rPr>
          <w:szCs w:val="24"/>
        </w:rPr>
        <w:t xml:space="preserve">egional </w:t>
      </w:r>
      <w:r w:rsidR="004E6876" w:rsidRPr="00B53505">
        <w:rPr>
          <w:szCs w:val="24"/>
        </w:rPr>
        <w:t>i</w:t>
      </w:r>
      <w:r w:rsidRPr="00B53505">
        <w:rPr>
          <w:szCs w:val="24"/>
        </w:rPr>
        <w:t xml:space="preserve">nvestment </w:t>
      </w:r>
      <w:r w:rsidR="004E6876" w:rsidRPr="00B53505">
        <w:rPr>
          <w:szCs w:val="24"/>
        </w:rPr>
        <w:t>p</w:t>
      </w:r>
      <w:r w:rsidRPr="00B53505">
        <w:rPr>
          <w:szCs w:val="24"/>
        </w:rPr>
        <w:t xml:space="preserve">latforms, which will combine </w:t>
      </w:r>
      <w:r w:rsidR="004E6876" w:rsidRPr="00B53505">
        <w:rPr>
          <w:szCs w:val="24"/>
        </w:rPr>
        <w:t xml:space="preserve">financing from </w:t>
      </w:r>
      <w:r w:rsidRPr="00B53505">
        <w:rPr>
          <w:szCs w:val="24"/>
        </w:rPr>
        <w:t>existing blending facilities</w:t>
      </w:r>
      <w:r w:rsidR="004E6876" w:rsidRPr="00B53505">
        <w:rPr>
          <w:rStyle w:val="FootnoteReference"/>
          <w:szCs w:val="24"/>
        </w:rPr>
        <w:footnoteReference w:id="4"/>
      </w:r>
      <w:r w:rsidR="009713D6" w:rsidRPr="00B53505">
        <w:rPr>
          <w:szCs w:val="24"/>
        </w:rPr>
        <w:t xml:space="preserve"> </w:t>
      </w:r>
      <w:r w:rsidR="00D1361E" w:rsidRPr="00B53505">
        <w:rPr>
          <w:szCs w:val="24"/>
        </w:rPr>
        <w:t>and</w:t>
      </w:r>
      <w:r w:rsidR="00D1361E" w:rsidRPr="00B53505">
        <w:t xml:space="preserve"> the </w:t>
      </w:r>
      <w:r w:rsidRPr="00B53505">
        <w:rPr>
          <w:szCs w:val="24"/>
        </w:rPr>
        <w:t xml:space="preserve">EFSD </w:t>
      </w:r>
      <w:r w:rsidR="00000C6A" w:rsidRPr="00B53505">
        <w:rPr>
          <w:szCs w:val="24"/>
        </w:rPr>
        <w:t>G</w:t>
      </w:r>
      <w:r w:rsidRPr="00B53505">
        <w:rPr>
          <w:szCs w:val="24"/>
        </w:rPr>
        <w:t xml:space="preserve">uarantee. It will operate as a </w:t>
      </w:r>
      <w:r w:rsidR="00B53505" w:rsidRPr="00C352EA">
        <w:rPr>
          <w:szCs w:val="24"/>
        </w:rPr>
        <w:t>"</w:t>
      </w:r>
      <w:r w:rsidRPr="00C352EA">
        <w:rPr>
          <w:szCs w:val="24"/>
        </w:rPr>
        <w:t>one-stop shop</w:t>
      </w:r>
      <w:r w:rsidR="00B53505" w:rsidRPr="00C352EA">
        <w:rPr>
          <w:szCs w:val="24"/>
        </w:rPr>
        <w:t>"</w:t>
      </w:r>
      <w:r w:rsidRPr="00C352EA">
        <w:rPr>
          <w:szCs w:val="24"/>
        </w:rPr>
        <w:t xml:space="preserve"> to receive financing proposals from financial institutions and public or private investors</w:t>
      </w:r>
      <w:r w:rsidRPr="00B53505">
        <w:rPr>
          <w:szCs w:val="24"/>
        </w:rPr>
        <w:t xml:space="preserve"> and deliver a wide range of financial support to eligible investments.</w:t>
      </w:r>
    </w:p>
    <w:p w14:paraId="1E953926" w14:textId="6C5E50EC" w:rsidR="00006023" w:rsidRPr="00B53505" w:rsidRDefault="003233B6" w:rsidP="001E4C51">
      <w:r w:rsidRPr="00B53505">
        <w:t>T</w:t>
      </w:r>
      <w:r w:rsidR="00D70913" w:rsidRPr="00B53505">
        <w:t>he key objective of the EFSD is to provide an integrated financial package to finance</w:t>
      </w:r>
      <w:r w:rsidR="004E6876" w:rsidRPr="00B53505">
        <w:t xml:space="preserve"> </w:t>
      </w:r>
      <w:r w:rsidR="00D70913" w:rsidRPr="00B53505">
        <w:t>investments</w:t>
      </w:r>
      <w:r w:rsidR="001C5F6E" w:rsidRPr="00B53505">
        <w:t xml:space="preserve"> starting </w:t>
      </w:r>
      <w:r w:rsidR="00D70913" w:rsidRPr="00B53505">
        <w:t xml:space="preserve">in regions </w:t>
      </w:r>
      <w:r w:rsidR="000C2009" w:rsidRPr="00B53505">
        <w:t xml:space="preserve">of Africa </w:t>
      </w:r>
      <w:r w:rsidR="004E6876" w:rsidRPr="00B53505">
        <w:t xml:space="preserve">for countries </w:t>
      </w:r>
      <w:r w:rsidR="00343B63" w:rsidRPr="00B53505">
        <w:t xml:space="preserve">that are signatories to the Partnership Agreement between the members of the African, Caribbean and Pacific </w:t>
      </w:r>
      <w:r w:rsidR="00C76E67" w:rsidRPr="00B53505">
        <w:t xml:space="preserve">(ACP) </w:t>
      </w:r>
      <w:r w:rsidR="00343B63" w:rsidRPr="00B53505">
        <w:t>Group</w:t>
      </w:r>
      <w:r w:rsidR="00C76E67" w:rsidRPr="00B53505">
        <w:t xml:space="preserve"> </w:t>
      </w:r>
      <w:r w:rsidR="00343B63" w:rsidRPr="00B53505">
        <w:t xml:space="preserve">of States of the one part, and the European Community and its </w:t>
      </w:r>
      <w:r w:rsidR="00255AA7" w:rsidRPr="00B53505">
        <w:t>M</w:t>
      </w:r>
      <w:r w:rsidR="00343B63" w:rsidRPr="00B53505">
        <w:t xml:space="preserve">ember States, of the other part, signed in Cotonou on 23 June </w:t>
      </w:r>
      <w:r w:rsidR="00343B63" w:rsidRPr="00B53505">
        <w:rPr>
          <w:szCs w:val="24"/>
        </w:rPr>
        <w:t>2000</w:t>
      </w:r>
      <w:r w:rsidR="00B53505">
        <w:rPr>
          <w:szCs w:val="24"/>
        </w:rPr>
        <w:t xml:space="preserve"> </w:t>
      </w:r>
      <w:r w:rsidR="00C76E67" w:rsidRPr="00B53505">
        <w:rPr>
          <w:szCs w:val="24"/>
        </w:rPr>
        <w:t>(</w:t>
      </w:r>
      <w:r w:rsidR="00B53505">
        <w:rPr>
          <w:szCs w:val="24"/>
        </w:rPr>
        <w:t>'</w:t>
      </w:r>
      <w:r w:rsidR="00C76E67" w:rsidRPr="00B53505">
        <w:rPr>
          <w:szCs w:val="24"/>
        </w:rPr>
        <w:t>Cotonou Agreement</w:t>
      </w:r>
      <w:r w:rsidR="00B53505">
        <w:rPr>
          <w:szCs w:val="24"/>
        </w:rPr>
        <w:t>'</w:t>
      </w:r>
      <w:r w:rsidR="00C76E67" w:rsidRPr="00B53505">
        <w:rPr>
          <w:szCs w:val="24"/>
        </w:rPr>
        <w:t>)</w:t>
      </w:r>
      <w:r w:rsidR="00CC0D71" w:rsidRPr="00B53505">
        <w:rPr>
          <w:rStyle w:val="FootnoteReference"/>
          <w:szCs w:val="24"/>
        </w:rPr>
        <w:footnoteReference w:id="5"/>
      </w:r>
      <w:r w:rsidR="00343B63" w:rsidRPr="00B53505">
        <w:rPr>
          <w:color w:val="FF0000"/>
          <w:szCs w:val="24"/>
        </w:rPr>
        <w:t xml:space="preserve"> </w:t>
      </w:r>
      <w:r w:rsidR="000C2009" w:rsidRPr="00B53505">
        <w:rPr>
          <w:szCs w:val="24"/>
        </w:rPr>
        <w:t>and the</w:t>
      </w:r>
      <w:r w:rsidR="000C2009" w:rsidRPr="00B53505">
        <w:t xml:space="preserve"> Neighbourhood</w:t>
      </w:r>
      <w:r w:rsidR="00D70913" w:rsidRPr="00B53505">
        <w:t xml:space="preserve">, thereby creating growth and employment opportunities, maximising additionality, delivering innovative products and crowding-in private sector funds. </w:t>
      </w:r>
      <w:r w:rsidR="00B53505">
        <w:t>T</w:t>
      </w:r>
      <w:r w:rsidR="00D70913" w:rsidRPr="00B53505">
        <w:t xml:space="preserve">he EFSD is </w:t>
      </w:r>
      <w:r w:rsidR="00FC07CB" w:rsidRPr="00B53505">
        <w:t>expected</w:t>
      </w:r>
      <w:r w:rsidR="00D70913" w:rsidRPr="00B53505">
        <w:t xml:space="preserve"> to mobilise </w:t>
      </w:r>
      <w:r w:rsidR="00D70913" w:rsidRPr="00B53505">
        <w:lastRenderedPageBreak/>
        <w:t xml:space="preserve">up to EUR </w:t>
      </w:r>
      <w:r w:rsidR="00B53505">
        <w:t>44</w:t>
      </w:r>
      <w:r w:rsidR="00185251" w:rsidRPr="00B53505">
        <w:t xml:space="preserve"> </w:t>
      </w:r>
      <w:r w:rsidR="000C7ED6" w:rsidRPr="00B53505">
        <w:t xml:space="preserve">000 000 000 </w:t>
      </w:r>
      <w:r w:rsidR="00D70913" w:rsidRPr="00B53505">
        <w:t>investment</w:t>
      </w:r>
      <w:r w:rsidR="00255AA7" w:rsidRPr="00B53505">
        <w:t>s</w:t>
      </w:r>
      <w:r w:rsidR="00B53505" w:rsidRPr="00B53505">
        <w:t xml:space="preserve"> with funds from the </w:t>
      </w:r>
      <w:r w:rsidR="00B53505">
        <w:t xml:space="preserve">general </w:t>
      </w:r>
      <w:r w:rsidR="00B53505" w:rsidRPr="00B53505">
        <w:t xml:space="preserve">budget </w:t>
      </w:r>
      <w:r w:rsidR="00B53505">
        <w:t xml:space="preserve">of the Union </w:t>
      </w:r>
      <w:r w:rsidR="00B53505" w:rsidRPr="00B53505">
        <w:t xml:space="preserve">and other sources </w:t>
      </w:r>
      <w:r w:rsidR="00B53505">
        <w:t xml:space="preserve">of </w:t>
      </w:r>
      <w:r w:rsidR="00B53505" w:rsidRPr="00B53505">
        <w:t>EUR 3</w:t>
      </w:r>
      <w:r w:rsidR="00B53505">
        <w:t> 350 000 </w:t>
      </w:r>
      <w:r w:rsidR="00B53505" w:rsidRPr="00B53505">
        <w:t>000 until 2020</w:t>
      </w:r>
      <w:r w:rsidR="00D70913" w:rsidRPr="00B53505">
        <w:t xml:space="preserve">. </w:t>
      </w:r>
    </w:p>
    <w:p w14:paraId="5DBE31A8" w14:textId="77777777" w:rsidR="00D70913" w:rsidRPr="00B53505" w:rsidRDefault="00D70913" w:rsidP="00E516E2">
      <w:pPr>
        <w:pStyle w:val="ManualHeading2"/>
        <w:rPr>
          <w:rFonts w:eastAsia="Arial Unicode MS"/>
          <w:color w:val="000000"/>
          <w:u w:color="000000"/>
          <w:bdr w:val="nil"/>
          <w:lang w:eastAsia="en-GB"/>
        </w:rPr>
      </w:pPr>
      <w:r w:rsidRPr="00B53505">
        <w:rPr>
          <w:rFonts w:eastAsia="Arial Unicode MS"/>
          <w:color w:val="000000"/>
          <w:u w:color="000000"/>
          <w:bdr w:val="nil"/>
          <w:lang w:eastAsia="en-GB"/>
        </w:rPr>
        <w:t>•</w:t>
      </w:r>
      <w:r w:rsidRPr="00B53505">
        <w:rPr>
          <w:rFonts w:eastAsia="Arial Unicode MS"/>
          <w:color w:val="000000"/>
          <w:u w:color="000000"/>
          <w:bdr w:val="nil"/>
          <w:lang w:eastAsia="en-GB"/>
        </w:rPr>
        <w:tab/>
      </w:r>
      <w:r w:rsidRPr="00B53505">
        <w:rPr>
          <w:rFonts w:eastAsia="Arial Unicode MS"/>
        </w:rPr>
        <w:t>Consistency with existing policy provisions in the policy area</w:t>
      </w:r>
    </w:p>
    <w:p w14:paraId="6483E57A" w14:textId="76A5CFBD" w:rsidR="00C54399" w:rsidRPr="00B53505" w:rsidRDefault="00385664" w:rsidP="00DC3C69">
      <w:pPr>
        <w:pBdr>
          <w:top w:val="nil"/>
          <w:left w:val="nil"/>
          <w:bottom w:val="nil"/>
          <w:right w:val="nil"/>
          <w:between w:val="nil"/>
          <w:bar w:val="nil"/>
        </w:pBdr>
      </w:pPr>
      <w:r w:rsidRPr="00B53505">
        <w:t>Within the framework of the principles and objectives of the Union</w:t>
      </w:r>
      <w:r w:rsidR="00B53505">
        <w:t>'</w:t>
      </w:r>
      <w:r w:rsidRPr="00B53505">
        <w:t>s external action, of the revised European Neighbourhood Policy</w:t>
      </w:r>
      <w:r w:rsidR="0018525E" w:rsidRPr="00B53505">
        <w:rPr>
          <w:rStyle w:val="FootnoteReference"/>
          <w:szCs w:val="18"/>
        </w:rPr>
        <w:footnoteReference w:id="6"/>
      </w:r>
      <w:r w:rsidRPr="00B53505">
        <w:rPr>
          <w:sz w:val="18"/>
          <w:szCs w:val="18"/>
        </w:rPr>
        <w:t>,</w:t>
      </w:r>
      <w:r w:rsidRPr="00B53505">
        <w:t xml:space="preserve"> the European Consensus on Development</w:t>
      </w:r>
      <w:r w:rsidRPr="00B53505">
        <w:rPr>
          <w:rStyle w:val="FootnoteReference"/>
        </w:rPr>
        <w:footnoteReference w:id="7"/>
      </w:r>
      <w:r w:rsidRPr="00B53505">
        <w:t xml:space="preserve"> and of the Agenda for Change</w:t>
      </w:r>
      <w:r w:rsidR="00CA37EB" w:rsidRPr="00B53505">
        <w:rPr>
          <w:rStyle w:val="FootnoteReference"/>
        </w:rPr>
        <w:footnoteReference w:id="8"/>
      </w:r>
      <w:r w:rsidRPr="00B53505">
        <w:t xml:space="preserve"> and subsequent modifications and additions thereto, </w:t>
      </w:r>
      <w:r w:rsidR="00163BB5" w:rsidRPr="00B53505">
        <w:t xml:space="preserve">a </w:t>
      </w:r>
      <w:r w:rsidRPr="00B53505">
        <w:t xml:space="preserve">primary objective of cooperation under this Regulation should be the reduction and, in the long term, the eradication of poverty in line with Article 208 </w:t>
      </w:r>
      <w:r w:rsidR="003233B6" w:rsidRPr="00B53505">
        <w:t>of the Treaty on the Functioning of the European Union (</w:t>
      </w:r>
      <w:r w:rsidRPr="00B53505">
        <w:t>TFEU</w:t>
      </w:r>
      <w:r w:rsidR="003233B6" w:rsidRPr="00B53505">
        <w:t>)</w:t>
      </w:r>
      <w:r w:rsidRPr="00B53505">
        <w:t>, thus addressing root causes of migration. In addition, cooperation under this Regulation should also contribute to: fostering sustainable and inclusive economic, social and environmental development, consolidating and supporting democracy, the rule of law, good governance, human rights, gender equality and the relevant principles of international law; implementing a rights-based approach (RBA) encompassing all human rights in line with its guiding principles (transparency, participation, non-discrimination, accountability) and implementing the Gender Action Plan</w:t>
      </w:r>
      <w:r w:rsidRPr="00B53505">
        <w:rPr>
          <w:rStyle w:val="FootnoteReference"/>
          <w:szCs w:val="24"/>
        </w:rPr>
        <w:footnoteReference w:id="9"/>
      </w:r>
      <w:r w:rsidRPr="00B53505">
        <w:t>.</w:t>
      </w:r>
    </w:p>
    <w:p w14:paraId="3307654B" w14:textId="1FDAAFF7" w:rsidR="00006023" w:rsidRPr="00B53505" w:rsidRDefault="00D70913" w:rsidP="00006023">
      <w:pPr>
        <w:pBdr>
          <w:top w:val="nil"/>
          <w:left w:val="nil"/>
          <w:bottom w:val="nil"/>
          <w:right w:val="nil"/>
          <w:between w:val="nil"/>
          <w:bar w:val="nil"/>
        </w:pBdr>
      </w:pPr>
      <w:r w:rsidRPr="00B53505">
        <w:t xml:space="preserve">The EFSD aims at supporting investments </w:t>
      </w:r>
      <w:r w:rsidR="002A6466" w:rsidRPr="00B53505">
        <w:t xml:space="preserve">starting </w:t>
      </w:r>
      <w:r w:rsidRPr="00B53505">
        <w:t xml:space="preserve">in regions </w:t>
      </w:r>
      <w:r w:rsidR="000C2009" w:rsidRPr="00B53505">
        <w:t xml:space="preserve">of Africa </w:t>
      </w:r>
      <w:r w:rsidR="004E6876" w:rsidRPr="00B53505">
        <w:t xml:space="preserve">for countries </w:t>
      </w:r>
      <w:r w:rsidR="00343B63" w:rsidRPr="00B53505">
        <w:t xml:space="preserve">that are signatories to the Cotonou </w:t>
      </w:r>
      <w:r w:rsidR="00885781" w:rsidRPr="00B53505">
        <w:t>Agreement-</w:t>
      </w:r>
      <w:r w:rsidR="00343B63" w:rsidRPr="00B53505">
        <w:rPr>
          <w:color w:val="FF0000"/>
        </w:rPr>
        <w:t xml:space="preserve"> </w:t>
      </w:r>
      <w:r w:rsidR="000C2009" w:rsidRPr="00B53505">
        <w:t>and the Neighbo</w:t>
      </w:r>
      <w:r w:rsidR="002A6466" w:rsidRPr="00B53505">
        <w:t>u</w:t>
      </w:r>
      <w:r w:rsidR="000C2009" w:rsidRPr="00B53505">
        <w:t>rhood</w:t>
      </w:r>
      <w:r w:rsidR="00D1361E" w:rsidRPr="00B53505">
        <w:t xml:space="preserve"> </w:t>
      </w:r>
      <w:r w:rsidRPr="00B53505">
        <w:t xml:space="preserve">as a means to achieve the </w:t>
      </w:r>
      <w:r w:rsidR="00885781" w:rsidRPr="00B53505">
        <w:t>S</w:t>
      </w:r>
      <w:r w:rsidRPr="00B53505">
        <w:t xml:space="preserve">ustainable </w:t>
      </w:r>
      <w:r w:rsidR="00885781" w:rsidRPr="00B53505">
        <w:t>D</w:t>
      </w:r>
      <w:r w:rsidRPr="00B53505">
        <w:t xml:space="preserve">evelopment </w:t>
      </w:r>
      <w:r w:rsidR="00885781" w:rsidRPr="00B53505">
        <w:t>G</w:t>
      </w:r>
      <w:r w:rsidRPr="00B53505">
        <w:t>oals, thus tackling root causes of migration</w:t>
      </w:r>
      <w:r w:rsidR="002A6466" w:rsidRPr="00B53505">
        <w:t xml:space="preserve"> and offering sustainable reintegration to returned migrants in their countries of origin</w:t>
      </w:r>
      <w:r w:rsidRPr="00B53505">
        <w:t>. It is therefore consistent with the Union</w:t>
      </w:r>
      <w:r w:rsidR="00B53505">
        <w:t>'</w:t>
      </w:r>
      <w:r w:rsidRPr="00B53505">
        <w:t>s instruments for financing external actions and with existing investment facilities.</w:t>
      </w:r>
    </w:p>
    <w:p w14:paraId="3DC5BE45" w14:textId="229087B1" w:rsidR="00006023" w:rsidRPr="00B53505" w:rsidRDefault="00D70913" w:rsidP="00006023">
      <w:pPr>
        <w:pBdr>
          <w:top w:val="nil"/>
          <w:left w:val="nil"/>
          <w:bottom w:val="nil"/>
          <w:right w:val="nil"/>
          <w:between w:val="nil"/>
          <w:bar w:val="nil"/>
        </w:pBdr>
        <w:rPr>
          <w:rFonts w:eastAsia="Arial Unicode MS"/>
        </w:rPr>
      </w:pPr>
      <w:r w:rsidRPr="00B53505">
        <w:t xml:space="preserve">Through its emphasis on private sector involvement the EFSD will also promote the objectives described in the Communication </w:t>
      </w:r>
      <w:r w:rsidR="00B53505">
        <w:t>'</w:t>
      </w:r>
      <w:r w:rsidRPr="00B53505">
        <w:t>A Stronger Role of the Private Sector in Achieving Inclusive and Sustainable Growth in Developing Countries</w:t>
      </w:r>
      <w:r w:rsidR="00B53505">
        <w:t>'</w:t>
      </w:r>
      <w:r w:rsidR="00B02D5C">
        <w:t>.</w:t>
      </w:r>
      <w:r w:rsidR="00885781" w:rsidRPr="00B53505">
        <w:rPr>
          <w:rStyle w:val="FootnoteReference"/>
        </w:rPr>
        <w:footnoteReference w:id="10"/>
      </w:r>
    </w:p>
    <w:p w14:paraId="6621369B" w14:textId="77777777" w:rsidR="00D70913" w:rsidRPr="00B53505" w:rsidRDefault="00D70913" w:rsidP="00E516E2">
      <w:pPr>
        <w:pStyle w:val="ManualHeading2"/>
        <w:rPr>
          <w:rFonts w:eastAsia="Arial Unicode MS"/>
        </w:rPr>
      </w:pPr>
      <w:r w:rsidRPr="00B53505">
        <w:rPr>
          <w:rFonts w:eastAsia="Arial Unicode MS"/>
          <w:color w:val="000000"/>
          <w:u w:color="000000"/>
          <w:bdr w:val="nil"/>
          <w:lang w:eastAsia="en-GB"/>
        </w:rPr>
        <w:t>•</w:t>
      </w:r>
      <w:r w:rsidRPr="00B53505">
        <w:rPr>
          <w:rFonts w:eastAsia="Arial Unicode MS"/>
          <w:color w:val="000000"/>
          <w:u w:color="000000"/>
          <w:bdr w:val="nil"/>
          <w:lang w:eastAsia="en-GB"/>
        </w:rPr>
        <w:tab/>
      </w:r>
      <w:r w:rsidRPr="00B53505">
        <w:rPr>
          <w:rFonts w:eastAsia="Arial Unicode MS"/>
        </w:rPr>
        <w:t>Consistency with other Union policies</w:t>
      </w:r>
    </w:p>
    <w:p w14:paraId="2338B479" w14:textId="1A449E02" w:rsidR="006D3542" w:rsidRPr="00B53505" w:rsidRDefault="00D70913" w:rsidP="00E516E2">
      <w:r w:rsidRPr="00B53505">
        <w:t>The EIP is part of the EU new Partnership Framework with third countries under the European Agenda for Migration.</w:t>
      </w:r>
      <w:r w:rsidR="006D3542" w:rsidRPr="00B53505">
        <w:t xml:space="preserve"> </w:t>
      </w:r>
    </w:p>
    <w:p w14:paraId="51704977" w14:textId="5B7ABF42" w:rsidR="00801B96" w:rsidRPr="00B53505" w:rsidRDefault="00801B96" w:rsidP="00801B96">
      <w:r w:rsidRPr="00B53505">
        <w:t>The Plan is aligned with the reviewed European Neighbourhood Policy (ENP)</w:t>
      </w:r>
      <w:r w:rsidR="002F6A38" w:rsidRPr="00B53505">
        <w:rPr>
          <w:rStyle w:val="FootnoteReference"/>
          <w:szCs w:val="24"/>
        </w:rPr>
        <w:footnoteReference w:id="11"/>
      </w:r>
      <w:r w:rsidRPr="00B53505">
        <w:t xml:space="preserve"> which focuses on supporting economic development in partner countries, to progressively achieve </w:t>
      </w:r>
      <w:r w:rsidRPr="00B53505">
        <w:rPr>
          <w:color w:val="000000"/>
        </w:rPr>
        <w:t xml:space="preserve">stabilisation and transition from emergency to structural response. </w:t>
      </w:r>
      <w:r w:rsidR="00214A27" w:rsidRPr="00B53505">
        <w:rPr>
          <w:color w:val="000000"/>
        </w:rPr>
        <w:t xml:space="preserve">It is </w:t>
      </w:r>
      <w:r w:rsidR="00641799" w:rsidRPr="00B53505">
        <w:rPr>
          <w:color w:val="000000"/>
        </w:rPr>
        <w:t>also</w:t>
      </w:r>
      <w:r w:rsidR="00214A27" w:rsidRPr="00B53505">
        <w:rPr>
          <w:color w:val="000000"/>
        </w:rPr>
        <w:t xml:space="preserve"> aligned with the </w:t>
      </w:r>
      <w:r w:rsidR="00641799" w:rsidRPr="00B53505">
        <w:t>Addis Ababa Action Agenda on Financing for Development</w:t>
      </w:r>
      <w:r w:rsidR="00CB68EC" w:rsidRPr="00B53505">
        <w:t>.</w:t>
      </w:r>
      <w:r w:rsidR="00641799" w:rsidRPr="00B53505" w:rsidDel="00437D8A">
        <w:rPr>
          <w:szCs w:val="24"/>
        </w:rPr>
        <w:t xml:space="preserve"> </w:t>
      </w:r>
    </w:p>
    <w:p w14:paraId="5BBF4D52" w14:textId="5C332A62" w:rsidR="00006023" w:rsidRPr="00B53505" w:rsidRDefault="00D70913" w:rsidP="009B6FCB">
      <w:r w:rsidRPr="00B53505">
        <w:t>The EFSD is coherent with the EU policies in the area of climate change as it will contribute to the implementation of the Paris Agreement on Climate Change (COP 21)</w:t>
      </w:r>
      <w:r w:rsidR="0018525E" w:rsidRPr="00B53505">
        <w:rPr>
          <w:rStyle w:val="FootnoteReference"/>
          <w:szCs w:val="24"/>
        </w:rPr>
        <w:footnoteReference w:id="12"/>
      </w:r>
      <w:r w:rsidR="004716F4">
        <w:t xml:space="preserve"> including its international </w:t>
      </w:r>
      <w:r w:rsidR="00623FF5">
        <w:t xml:space="preserve">climate </w:t>
      </w:r>
      <w:r w:rsidR="004716F4">
        <w:t>finance commitments</w:t>
      </w:r>
      <w:r w:rsidRPr="00B53505">
        <w:rPr>
          <w:szCs w:val="24"/>
        </w:rPr>
        <w:t>.</w:t>
      </w:r>
      <w:r w:rsidRPr="00B53505">
        <w:t xml:space="preserve"> As </w:t>
      </w:r>
      <w:r w:rsidR="007753F0" w:rsidRPr="00B53505">
        <w:t>explained</w:t>
      </w:r>
      <w:r w:rsidRPr="00B53505">
        <w:t xml:space="preserve"> in the Commission Communication </w:t>
      </w:r>
      <w:r w:rsidR="00006023" w:rsidRPr="00B53505">
        <w:rPr>
          <w:i/>
        </w:rPr>
        <w:t>The Road from Paris: assessing the implications of the Paris Agreement</w:t>
      </w:r>
      <w:r w:rsidR="00DF2CE9" w:rsidRPr="00B53505">
        <w:rPr>
          <w:rStyle w:val="FootnoteReference"/>
        </w:rPr>
        <w:footnoteReference w:id="13"/>
      </w:r>
      <w:r w:rsidRPr="00B53505">
        <w:t xml:space="preserve">, the Paris Agreement is an opportunity for economic transformation, jobs and growth. It is a central element in achieving broader sustainable development goals, as well as the EU priorities of investment, competitiveness, circular economy, research, innovation and energy transition. </w:t>
      </w:r>
    </w:p>
    <w:p w14:paraId="55061CA1" w14:textId="77777777" w:rsidR="00006023" w:rsidRPr="00B53505" w:rsidRDefault="00D70913" w:rsidP="00006023">
      <w:pPr>
        <w:pStyle w:val="ManualHeading1"/>
        <w:ind w:left="851" w:hanging="851"/>
      </w:pPr>
      <w:r w:rsidRPr="00B53505">
        <w:t>2.</w:t>
      </w:r>
      <w:r w:rsidRPr="00B53505">
        <w:tab/>
        <w:t>LEGAL BASIS, SUBSIDIARITY AND PROPORTIONALITY</w:t>
      </w:r>
    </w:p>
    <w:p w14:paraId="66851E28" w14:textId="77777777" w:rsidR="00D70913" w:rsidRPr="00B53505" w:rsidRDefault="00D70913" w:rsidP="00E516E2">
      <w:pPr>
        <w:pStyle w:val="ManualHeading2"/>
        <w:rPr>
          <w:rFonts w:eastAsia="Arial Unicode MS"/>
          <w:u w:color="000000"/>
          <w:bdr w:val="nil"/>
          <w:lang w:eastAsia="en-GB"/>
        </w:rPr>
      </w:pPr>
      <w:r w:rsidRPr="00B53505">
        <w:rPr>
          <w:rFonts w:eastAsia="Arial Unicode MS"/>
          <w:u w:color="000000"/>
          <w:bdr w:val="nil"/>
          <w:lang w:eastAsia="en-GB"/>
        </w:rPr>
        <w:t>•</w:t>
      </w:r>
      <w:r w:rsidRPr="00B53505">
        <w:rPr>
          <w:rFonts w:eastAsia="Arial Unicode MS"/>
          <w:u w:color="000000"/>
          <w:bdr w:val="nil"/>
          <w:lang w:eastAsia="en-GB"/>
        </w:rPr>
        <w:tab/>
        <w:t>Legal basis</w:t>
      </w:r>
    </w:p>
    <w:p w14:paraId="1BE2E449" w14:textId="45A8C258" w:rsidR="00006023" w:rsidRPr="00B53505" w:rsidRDefault="00D70913" w:rsidP="00006023">
      <w:pPr>
        <w:pBdr>
          <w:top w:val="nil"/>
          <w:left w:val="nil"/>
          <w:bottom w:val="nil"/>
          <w:right w:val="nil"/>
          <w:between w:val="nil"/>
          <w:bar w:val="nil"/>
        </w:pBdr>
        <w:rPr>
          <w:rFonts w:eastAsia="Arial Unicode MS"/>
        </w:rPr>
      </w:pPr>
      <w:r w:rsidRPr="00B53505">
        <w:t xml:space="preserve">Since the EFSD aims at enhancing investments both in developing and other third countries, </w:t>
      </w:r>
      <w:r w:rsidR="00801B96" w:rsidRPr="00B53505">
        <w:t xml:space="preserve">the legal basis for the </w:t>
      </w:r>
      <w:r w:rsidRPr="00B53505">
        <w:t xml:space="preserve">cooperation activities </w:t>
      </w:r>
      <w:r w:rsidR="00801B96" w:rsidRPr="00B53505">
        <w:t>is th</w:t>
      </w:r>
      <w:r w:rsidR="001A1A25" w:rsidRPr="00B53505">
        <w:t>u</w:t>
      </w:r>
      <w:r w:rsidR="00801B96" w:rsidRPr="00B53505">
        <w:t xml:space="preserve">s </w:t>
      </w:r>
      <w:r w:rsidR="007753F0" w:rsidRPr="00B53505">
        <w:t xml:space="preserve">Article </w:t>
      </w:r>
      <w:r w:rsidRPr="00B53505">
        <w:t>209(</w:t>
      </w:r>
      <w:r w:rsidR="00801B96" w:rsidRPr="00B53505">
        <w:t>1</w:t>
      </w:r>
      <w:r w:rsidRPr="00B53505">
        <w:t xml:space="preserve">) </w:t>
      </w:r>
      <w:r w:rsidR="00801B96" w:rsidRPr="00B53505">
        <w:t xml:space="preserve">(for developing countries) and 212(2) (for other third countries) </w:t>
      </w:r>
      <w:r w:rsidR="00163BB5" w:rsidRPr="00B53505">
        <w:t>of the Treaty on the Functioning of the European Union</w:t>
      </w:r>
      <w:r w:rsidRPr="00B53505">
        <w:t>.</w:t>
      </w:r>
    </w:p>
    <w:p w14:paraId="6A5C92BE" w14:textId="77777777" w:rsidR="00D70913" w:rsidRPr="00B53505" w:rsidRDefault="00D70913" w:rsidP="00E516E2">
      <w:pPr>
        <w:pStyle w:val="ManualHeading2"/>
        <w:rPr>
          <w:rFonts w:eastAsia="Arial Unicode MS"/>
          <w:u w:color="000000"/>
          <w:bdr w:val="nil"/>
          <w:lang w:eastAsia="en-GB"/>
        </w:rPr>
      </w:pPr>
      <w:r w:rsidRPr="00B53505">
        <w:rPr>
          <w:rFonts w:eastAsia="Arial Unicode MS"/>
          <w:u w:color="000000"/>
          <w:bdr w:val="nil"/>
          <w:lang w:eastAsia="en-GB"/>
        </w:rPr>
        <w:t>•</w:t>
      </w:r>
      <w:r w:rsidRPr="00B53505">
        <w:rPr>
          <w:rFonts w:eastAsia="Arial Unicode MS"/>
          <w:u w:color="000000"/>
          <w:bdr w:val="nil"/>
          <w:lang w:eastAsia="en-GB"/>
        </w:rPr>
        <w:tab/>
        <w:t>Subsidiarity (for non-exclusive competence) and proportionality</w:t>
      </w:r>
    </w:p>
    <w:p w14:paraId="7C767523" w14:textId="14E4B60A" w:rsidR="00006023" w:rsidRPr="00B53505" w:rsidRDefault="00D70913" w:rsidP="00006023">
      <w:pPr>
        <w:pBdr>
          <w:top w:val="nil"/>
          <w:left w:val="nil"/>
          <w:bottom w:val="nil"/>
          <w:right w:val="nil"/>
          <w:between w:val="nil"/>
          <w:bar w:val="nil"/>
        </w:pBdr>
        <w:rPr>
          <w:rFonts w:eastAsia="Arial Unicode MS"/>
        </w:rPr>
      </w:pPr>
      <w:r w:rsidRPr="00B53505">
        <w:rPr>
          <w:szCs w:val="24"/>
        </w:rPr>
        <w:t>In accordance with the principles of subsidiarity and proportionality set out in Article 5 T</w:t>
      </w:r>
      <w:r w:rsidR="003233B6" w:rsidRPr="00B53505">
        <w:rPr>
          <w:szCs w:val="24"/>
        </w:rPr>
        <w:t>F</w:t>
      </w:r>
      <w:r w:rsidRPr="00B53505">
        <w:rPr>
          <w:szCs w:val="24"/>
        </w:rPr>
        <w:t xml:space="preserve">EU, the objectives of the proposed action cannot be sufficiently achieved by the Member States and can therefore be better achieved by the EU. </w:t>
      </w:r>
      <w:r w:rsidR="00163BB5" w:rsidRPr="00B53505">
        <w:rPr>
          <w:szCs w:val="24"/>
        </w:rPr>
        <w:t>A</w:t>
      </w:r>
      <w:r w:rsidRPr="00B53505">
        <w:rPr>
          <w:szCs w:val="24"/>
        </w:rPr>
        <w:t xml:space="preserve">ction at Union level can better achieve the objectives pursued, by reason of its scale and effects. More specifically, the intervention at </w:t>
      </w:r>
      <w:r w:rsidRPr="00B53505">
        <w:t>EU</w:t>
      </w:r>
      <w:r w:rsidRPr="00B53505">
        <w:rPr>
          <w:szCs w:val="24"/>
        </w:rPr>
        <w:t xml:space="preserve"> level will catalyse private investment from the whole EU and third countries, making best use of the European Institutions and their expertise and knowledge for that purpose. The set-up of the </w:t>
      </w:r>
      <w:r w:rsidR="00F333EF" w:rsidRPr="00B53505">
        <w:rPr>
          <w:szCs w:val="24"/>
        </w:rPr>
        <w:t>Strategic</w:t>
      </w:r>
      <w:r w:rsidRPr="00B53505">
        <w:rPr>
          <w:szCs w:val="24"/>
        </w:rPr>
        <w:t xml:space="preserve"> Board will ensure consistency and coherence between multiple program</w:t>
      </w:r>
      <w:r w:rsidR="005044FF" w:rsidRPr="00B53505">
        <w:rPr>
          <w:szCs w:val="24"/>
        </w:rPr>
        <w:t>me</w:t>
      </w:r>
      <w:r w:rsidRPr="00B53505">
        <w:rPr>
          <w:szCs w:val="24"/>
        </w:rPr>
        <w:t xml:space="preserve">s and initiatives </w:t>
      </w:r>
      <w:r w:rsidR="00163BB5" w:rsidRPr="00B53505">
        <w:rPr>
          <w:szCs w:val="24"/>
        </w:rPr>
        <w:t>at</w:t>
      </w:r>
      <w:r w:rsidRPr="00B53505">
        <w:rPr>
          <w:szCs w:val="24"/>
        </w:rPr>
        <w:t xml:space="preserve"> European level. The multiplying effect and the impact on the ground will thus be much higher than what could be achieved by an investment program</w:t>
      </w:r>
      <w:r w:rsidR="005044FF" w:rsidRPr="00B53505">
        <w:rPr>
          <w:szCs w:val="24"/>
        </w:rPr>
        <w:t>me</w:t>
      </w:r>
      <w:r w:rsidRPr="00B53505">
        <w:rPr>
          <w:szCs w:val="24"/>
        </w:rPr>
        <w:t xml:space="preserve"> from a single Member State or a </w:t>
      </w:r>
      <w:r w:rsidR="00DF2CE9" w:rsidRPr="00B53505">
        <w:rPr>
          <w:szCs w:val="24"/>
        </w:rPr>
        <w:t>g</w:t>
      </w:r>
      <w:r w:rsidRPr="00B53505">
        <w:rPr>
          <w:szCs w:val="24"/>
        </w:rPr>
        <w:t>roup of Member States.</w:t>
      </w:r>
    </w:p>
    <w:p w14:paraId="6778B20E" w14:textId="77777777" w:rsidR="00D70913" w:rsidRPr="00B53505" w:rsidRDefault="00D70913" w:rsidP="00E516E2">
      <w:pPr>
        <w:pStyle w:val="ManualHeading2"/>
        <w:rPr>
          <w:rFonts w:eastAsia="Arial Unicode MS"/>
          <w:u w:color="000000"/>
          <w:bdr w:val="nil"/>
          <w:lang w:eastAsia="en-GB"/>
        </w:rPr>
      </w:pPr>
      <w:r w:rsidRPr="00B53505">
        <w:rPr>
          <w:rFonts w:eastAsia="Arial Unicode MS"/>
          <w:u w:color="000000"/>
          <w:bdr w:val="nil"/>
          <w:lang w:eastAsia="en-GB"/>
        </w:rPr>
        <w:t>•</w:t>
      </w:r>
      <w:r w:rsidRPr="00B53505">
        <w:rPr>
          <w:rFonts w:eastAsia="Arial Unicode MS"/>
          <w:u w:color="000000"/>
          <w:bdr w:val="nil"/>
          <w:lang w:eastAsia="en-GB"/>
        </w:rPr>
        <w:tab/>
        <w:t>Choice of the instrument</w:t>
      </w:r>
    </w:p>
    <w:p w14:paraId="1C53A41F" w14:textId="3A87BD89" w:rsidR="00006023" w:rsidRPr="00B53505" w:rsidRDefault="00D70913" w:rsidP="00006023">
      <w:pPr>
        <w:pBdr>
          <w:top w:val="nil"/>
          <w:left w:val="nil"/>
          <w:bottom w:val="nil"/>
          <w:right w:val="nil"/>
          <w:between w:val="nil"/>
          <w:bar w:val="nil"/>
        </w:pBdr>
        <w:rPr>
          <w:rFonts w:eastAsia="Arial Unicode MS"/>
        </w:rPr>
      </w:pPr>
      <w:r w:rsidRPr="00B53505">
        <w:t xml:space="preserve">It is suggested to set up the EFSD </w:t>
      </w:r>
      <w:r w:rsidR="00042443" w:rsidRPr="00B53505">
        <w:t xml:space="preserve">and establishing the EFSD </w:t>
      </w:r>
      <w:r w:rsidR="000C7ED6" w:rsidRPr="00B53505">
        <w:t>G</w:t>
      </w:r>
      <w:r w:rsidR="00552A55" w:rsidRPr="00B53505">
        <w:t xml:space="preserve">uarantee </w:t>
      </w:r>
      <w:r w:rsidR="000C7ED6" w:rsidRPr="00B53505">
        <w:t>F</w:t>
      </w:r>
      <w:r w:rsidR="00042443" w:rsidRPr="00B53505">
        <w:t xml:space="preserve">und </w:t>
      </w:r>
      <w:r w:rsidRPr="00B53505">
        <w:t xml:space="preserve">through the adoption of a </w:t>
      </w:r>
      <w:r w:rsidR="00042443" w:rsidRPr="00B53505">
        <w:t>R</w:t>
      </w:r>
      <w:r w:rsidRPr="00B53505">
        <w:t>egulation of the European Parliament and the Council in ordinary legislative procedure</w:t>
      </w:r>
      <w:r w:rsidR="00042443" w:rsidRPr="00B53505">
        <w:t xml:space="preserve">. The establishment of a guarantee </w:t>
      </w:r>
      <w:r w:rsidR="00317F05" w:rsidRPr="00B53505">
        <w:t>bearing a</w:t>
      </w:r>
      <w:r w:rsidR="00042443" w:rsidRPr="00B53505">
        <w:t xml:space="preserve"> contingen</w:t>
      </w:r>
      <w:r w:rsidR="00317F05" w:rsidRPr="00B53505">
        <w:t>t</w:t>
      </w:r>
      <w:r w:rsidR="00042443" w:rsidRPr="00B53505">
        <w:t xml:space="preserve"> liabilit</w:t>
      </w:r>
      <w:r w:rsidR="00317F05" w:rsidRPr="00B53505">
        <w:t>y</w:t>
      </w:r>
      <w:r w:rsidR="00042443" w:rsidRPr="00B53505">
        <w:t xml:space="preserve"> </w:t>
      </w:r>
      <w:r w:rsidR="00317F05" w:rsidRPr="00B53505">
        <w:t xml:space="preserve">for the Union </w:t>
      </w:r>
      <w:r w:rsidR="00042443" w:rsidRPr="00B53505">
        <w:t>has to be done by the legislator</w:t>
      </w:r>
      <w:r w:rsidR="00317F05" w:rsidRPr="00B53505">
        <w:t>.</w:t>
      </w:r>
      <w:r w:rsidR="00042443" w:rsidRPr="00B53505">
        <w:t xml:space="preserve"> </w:t>
      </w:r>
      <w:r w:rsidR="00317F05" w:rsidRPr="00B53505">
        <w:t xml:space="preserve">The Commission is proposing in parallel a revision of </w:t>
      </w:r>
      <w:r w:rsidRPr="00B53505">
        <w:t xml:space="preserve">Regulation (EU, Euratom) No 966/2012 of the European Parliament and the Council. </w:t>
      </w:r>
    </w:p>
    <w:p w14:paraId="4FCBF55B" w14:textId="77777777" w:rsidR="00006023" w:rsidRPr="00B53505" w:rsidRDefault="00D70913" w:rsidP="00006023">
      <w:pPr>
        <w:pStyle w:val="ManualHeading1"/>
        <w:ind w:left="851" w:hanging="851"/>
      </w:pPr>
      <w:r w:rsidRPr="00B53505">
        <w:t>3.</w:t>
      </w:r>
      <w:r w:rsidRPr="00B53505">
        <w:tab/>
        <w:t xml:space="preserve">STAKEHOLDER CONSULTATIONS AND </w:t>
      </w:r>
      <w:r w:rsidR="00E3213F" w:rsidRPr="00B53505">
        <w:t xml:space="preserve">COLLECTION OF EXPERTISE </w:t>
      </w:r>
    </w:p>
    <w:p w14:paraId="5E907175" w14:textId="77777777" w:rsidR="00D70913" w:rsidRPr="00B53505" w:rsidRDefault="00D70913" w:rsidP="00E516E2">
      <w:pPr>
        <w:pStyle w:val="ManualHeading2"/>
        <w:rPr>
          <w:rFonts w:eastAsia="Arial Unicode MS"/>
          <w:u w:color="000000"/>
          <w:bdr w:val="nil"/>
          <w:lang w:eastAsia="en-GB"/>
        </w:rPr>
      </w:pPr>
      <w:r w:rsidRPr="00B53505">
        <w:rPr>
          <w:rFonts w:eastAsia="Arial Unicode MS"/>
          <w:u w:color="000000"/>
          <w:bdr w:val="nil"/>
          <w:lang w:eastAsia="en-GB"/>
        </w:rPr>
        <w:t>•</w:t>
      </w:r>
      <w:r w:rsidRPr="00B53505">
        <w:rPr>
          <w:rFonts w:eastAsia="Arial Unicode MS"/>
          <w:u w:color="000000"/>
          <w:bdr w:val="nil"/>
          <w:lang w:eastAsia="en-GB"/>
        </w:rPr>
        <w:tab/>
        <w:t>Stakeholder consultations</w:t>
      </w:r>
    </w:p>
    <w:p w14:paraId="665D87B1" w14:textId="537F458A" w:rsidR="00BF6B60" w:rsidRPr="00B53505" w:rsidRDefault="00D70913" w:rsidP="00801B96">
      <w:pPr>
        <w:pBdr>
          <w:top w:val="nil"/>
          <w:left w:val="nil"/>
          <w:bottom w:val="nil"/>
          <w:right w:val="nil"/>
          <w:between w:val="nil"/>
          <w:bar w:val="nil"/>
        </w:pBdr>
        <w:rPr>
          <w:rFonts w:eastAsia="Arial Unicode MS"/>
        </w:rPr>
      </w:pPr>
      <w:r w:rsidRPr="00B53505">
        <w:t xml:space="preserve">Informal exploratory consultations have taken place with the </w:t>
      </w:r>
      <w:r w:rsidR="007753F0" w:rsidRPr="00B53505">
        <w:t>European Investment Bank (</w:t>
      </w:r>
      <w:r w:rsidRPr="00B53505">
        <w:t>EIB</w:t>
      </w:r>
      <w:r w:rsidR="007753F0" w:rsidRPr="00B53505">
        <w:t>)</w:t>
      </w:r>
      <w:r w:rsidRPr="00B53505">
        <w:t>, Member States</w:t>
      </w:r>
      <w:r w:rsidR="00B53505">
        <w:t>'</w:t>
      </w:r>
      <w:r w:rsidRPr="00B53505">
        <w:t xml:space="preserve"> Financial Institutions, </w:t>
      </w:r>
      <w:r w:rsidR="007753F0" w:rsidRPr="00B53505">
        <w:t>the European Bank for Reconstruction and Development (</w:t>
      </w:r>
      <w:r w:rsidRPr="00B53505">
        <w:t>EBRD</w:t>
      </w:r>
      <w:r w:rsidR="007753F0" w:rsidRPr="00B53505">
        <w:t>)</w:t>
      </w:r>
      <w:r w:rsidRPr="00B53505">
        <w:t xml:space="preserve"> and </w:t>
      </w:r>
      <w:r w:rsidR="007753F0" w:rsidRPr="00B53505">
        <w:t xml:space="preserve">the </w:t>
      </w:r>
      <w:r w:rsidRPr="00B53505">
        <w:t>World Bank Group. The EU Platform for Blending in External Cooperation (EUBEC) was also consulted as well as the private sector</w:t>
      </w:r>
      <w:r w:rsidR="00801B96" w:rsidRPr="00B53505">
        <w:t xml:space="preserve"> and civil society organisations. </w:t>
      </w:r>
    </w:p>
    <w:p w14:paraId="2D2B8A9C" w14:textId="77777777" w:rsidR="00D70913" w:rsidRPr="00B53505" w:rsidRDefault="00D70913" w:rsidP="00E516E2">
      <w:pPr>
        <w:pStyle w:val="ManualHeading2"/>
        <w:rPr>
          <w:rFonts w:eastAsia="Arial Unicode MS"/>
          <w:u w:color="000000"/>
          <w:bdr w:val="nil"/>
          <w:lang w:eastAsia="en-GB"/>
        </w:rPr>
      </w:pPr>
      <w:r w:rsidRPr="00B53505">
        <w:rPr>
          <w:rFonts w:eastAsia="Arial Unicode MS"/>
          <w:u w:color="000000"/>
          <w:bdr w:val="nil"/>
          <w:lang w:eastAsia="en-GB"/>
        </w:rPr>
        <w:t>•</w:t>
      </w:r>
      <w:r w:rsidRPr="00B53505">
        <w:rPr>
          <w:rFonts w:eastAsia="Arial Unicode MS"/>
          <w:u w:color="000000"/>
          <w:bdr w:val="nil"/>
          <w:lang w:eastAsia="en-GB"/>
        </w:rPr>
        <w:tab/>
        <w:t>Collection and use of expertise</w:t>
      </w:r>
    </w:p>
    <w:p w14:paraId="7A715F6E" w14:textId="07998CC8" w:rsidR="00006023" w:rsidRPr="00B53505" w:rsidRDefault="00D70913" w:rsidP="009B6FCB">
      <w:pPr>
        <w:rPr>
          <w:rFonts w:eastAsia="Arial Unicode MS"/>
        </w:rPr>
      </w:pPr>
      <w:r w:rsidRPr="00B53505">
        <w:t>The Commission has established extensive experience with similar instruments, such as the European Fund for Strategic Investment (EFSI)</w:t>
      </w:r>
      <w:r w:rsidR="00DF2CE9" w:rsidRPr="00B53505">
        <w:rPr>
          <w:rStyle w:val="FootnoteReference"/>
        </w:rPr>
        <w:footnoteReference w:id="14"/>
      </w:r>
      <w:r w:rsidRPr="00B53505">
        <w:t xml:space="preserve"> for EU internal policies and several financial instruments and structured grants supported by the EU </w:t>
      </w:r>
      <w:r w:rsidR="00C76E67" w:rsidRPr="00B53505">
        <w:t>b</w:t>
      </w:r>
      <w:r w:rsidRPr="00B53505">
        <w:t xml:space="preserve">lending </w:t>
      </w:r>
      <w:r w:rsidR="00C76E67" w:rsidRPr="00B53505">
        <w:t>f</w:t>
      </w:r>
      <w:r w:rsidRPr="00B53505">
        <w:t>acilities for EU external policies</w:t>
      </w:r>
      <w:r w:rsidR="00657A2F" w:rsidRPr="00B53505">
        <w:rPr>
          <w:rStyle w:val="FootnoteReference"/>
        </w:rPr>
        <w:footnoteReference w:id="15"/>
      </w:r>
      <w:r w:rsidRPr="00B53505">
        <w:t>. The objective has been to mobili</w:t>
      </w:r>
      <w:r w:rsidR="005044FF" w:rsidRPr="00B53505">
        <w:t>s</w:t>
      </w:r>
      <w:r w:rsidRPr="00B53505">
        <w:t xml:space="preserve">e additional investment, in particular from private investors, through the provision of partial guarantees or risk cushions on a first-loss or </w:t>
      </w:r>
      <w:r w:rsidR="00006023" w:rsidRPr="00B53505">
        <w:rPr>
          <w:i/>
        </w:rPr>
        <w:t>pari passu</w:t>
      </w:r>
      <w:r w:rsidRPr="00B53505">
        <w:t xml:space="preserve"> basis to financial institutions, typically the public financial institutions currently present in EU Blending in external action, which themselves provide support (through loans, guarantees, equity or similar products).</w:t>
      </w:r>
      <w:r w:rsidR="001A1A25" w:rsidRPr="00B53505">
        <w:t xml:space="preserve"> </w:t>
      </w:r>
    </w:p>
    <w:p w14:paraId="6A66FA37" w14:textId="77777777" w:rsidR="00D70913" w:rsidRPr="00B53505" w:rsidRDefault="00D70913" w:rsidP="00E516E2">
      <w:pPr>
        <w:pStyle w:val="ManualHeading2"/>
        <w:rPr>
          <w:rFonts w:eastAsia="Arial Unicode MS"/>
          <w:u w:color="000000"/>
          <w:bdr w:val="nil"/>
          <w:lang w:eastAsia="en-GB"/>
        </w:rPr>
      </w:pPr>
      <w:r w:rsidRPr="00B53505">
        <w:rPr>
          <w:rFonts w:eastAsia="Arial Unicode MS"/>
          <w:u w:color="000000"/>
          <w:bdr w:val="nil"/>
          <w:lang w:eastAsia="en-GB"/>
        </w:rPr>
        <w:t>•</w:t>
      </w:r>
      <w:r w:rsidRPr="00B53505">
        <w:rPr>
          <w:rFonts w:eastAsia="Arial Unicode MS"/>
          <w:u w:color="000000"/>
          <w:bdr w:val="nil"/>
          <w:lang w:eastAsia="en-GB"/>
        </w:rPr>
        <w:tab/>
        <w:t>Fundamental rights</w:t>
      </w:r>
    </w:p>
    <w:p w14:paraId="0B9A088B" w14:textId="6FEF3E23" w:rsidR="00006023" w:rsidRPr="00B53505" w:rsidRDefault="0072455B" w:rsidP="00006023">
      <w:pPr>
        <w:pBdr>
          <w:top w:val="nil"/>
          <w:left w:val="nil"/>
          <w:bottom w:val="nil"/>
          <w:right w:val="nil"/>
          <w:between w:val="nil"/>
          <w:bar w:val="nil"/>
        </w:pBdr>
        <w:rPr>
          <w:rFonts w:eastAsia="Arial Unicode MS"/>
        </w:rPr>
      </w:pPr>
      <w:r w:rsidRPr="00B53505">
        <w:t>Projects benefitting from guarantees under the EFSD will be examined for their impact on fundamental rights. Within the framework of the principles and objectives of the Union</w:t>
      </w:r>
      <w:r w:rsidR="00B53505">
        <w:t>'</w:t>
      </w:r>
      <w:r w:rsidRPr="00B53505">
        <w:t xml:space="preserve">s external action, of </w:t>
      </w:r>
      <w:r w:rsidR="006152D7" w:rsidRPr="00B53505">
        <w:rPr>
          <w:bCs/>
          <w:iCs/>
          <w:szCs w:val="24"/>
        </w:rPr>
        <w:t xml:space="preserve">the revised European Neighbourhood </w:t>
      </w:r>
      <w:r w:rsidR="005044FF" w:rsidRPr="00B53505">
        <w:rPr>
          <w:bCs/>
          <w:iCs/>
          <w:szCs w:val="24"/>
        </w:rPr>
        <w:t>P</w:t>
      </w:r>
      <w:r w:rsidR="006152D7" w:rsidRPr="00B53505">
        <w:rPr>
          <w:bCs/>
          <w:iCs/>
          <w:szCs w:val="24"/>
        </w:rPr>
        <w:t>olicy</w:t>
      </w:r>
      <w:r w:rsidR="001C5D5D" w:rsidRPr="00B53505">
        <w:rPr>
          <w:rStyle w:val="FootnoteReference"/>
          <w:bCs/>
          <w:iCs/>
          <w:szCs w:val="24"/>
        </w:rPr>
        <w:footnoteReference w:id="16"/>
      </w:r>
      <w:r w:rsidR="006152D7" w:rsidRPr="00B53505">
        <w:rPr>
          <w:bCs/>
          <w:iCs/>
          <w:szCs w:val="24"/>
        </w:rPr>
        <w:t xml:space="preserve">, of </w:t>
      </w:r>
      <w:r w:rsidRPr="00B53505">
        <w:t>the European Consensus on Development</w:t>
      </w:r>
      <w:r w:rsidR="001C5D5D" w:rsidRPr="00B53505">
        <w:rPr>
          <w:rStyle w:val="FootnoteReference"/>
        </w:rPr>
        <w:footnoteReference w:id="17"/>
      </w:r>
      <w:r w:rsidRPr="00B53505">
        <w:t xml:space="preserve"> and of the Agenda for Change</w:t>
      </w:r>
      <w:r w:rsidR="001C5D5D" w:rsidRPr="00B53505">
        <w:rPr>
          <w:rStyle w:val="FootnoteReference"/>
        </w:rPr>
        <w:footnoteReference w:id="18"/>
      </w:r>
      <w:r w:rsidRPr="00B53505">
        <w:t xml:space="preserve"> and subsequent modifications and additions thereto: (a) the primary objective of cooperation under this Regulation shall be the reduction and, in the long term, the eradication of poverty, addressing root causes of migration; (b) cooperation under this Regulation will also contribute to: (i) fostering sustainable and inclusive economic, social and environmental development, (ii)</w:t>
      </w:r>
      <w:r w:rsidR="00E516E2" w:rsidRPr="00B53505">
        <w:t> </w:t>
      </w:r>
      <w:r w:rsidRPr="00B53505">
        <w:t>consolidating and supporting democracy, the rule of law, good governance, human rights, gender equality and the relevant principles of international law, (iii)</w:t>
      </w:r>
      <w:r w:rsidR="00E516E2" w:rsidRPr="00B53505">
        <w:t> </w:t>
      </w:r>
      <w:r w:rsidRPr="00B53505">
        <w:t>implementing a rights-based approach (RBA) encompassing all human rights in line with its guiding principles (transparency, participation, non-discrimination, accountability), iv)</w:t>
      </w:r>
      <w:r w:rsidR="00E516E2" w:rsidRPr="00B53505">
        <w:t> </w:t>
      </w:r>
      <w:r w:rsidRPr="00B53505">
        <w:t>implementing the Gender Action Plan</w:t>
      </w:r>
      <w:r w:rsidR="00942C36" w:rsidRPr="00B53505">
        <w:rPr>
          <w:rStyle w:val="FootnoteReference"/>
        </w:rPr>
        <w:footnoteReference w:id="19"/>
      </w:r>
      <w:r w:rsidRPr="00B53505">
        <w:t xml:space="preserve">. The achievement of those objectives shall be measured using relevant indicators, including human development indicators, in particular </w:t>
      </w:r>
      <w:r w:rsidR="0041651F" w:rsidRPr="00B53505">
        <w:t xml:space="preserve">sustainable development goals </w:t>
      </w:r>
      <w:r w:rsidRPr="00B53505">
        <w:t>and other indicators agreed at international level by the Union and its Member States (e.g. UN Guiding Principles on Business and Human Rights)</w:t>
      </w:r>
      <w:r w:rsidR="00E516E2" w:rsidRPr="00B53505">
        <w:t>.</w:t>
      </w:r>
      <w:r w:rsidR="0041651F" w:rsidRPr="00B53505">
        <w:t xml:space="preserve"> </w:t>
      </w:r>
    </w:p>
    <w:p w14:paraId="2F4679F0" w14:textId="77777777" w:rsidR="00006023" w:rsidRPr="00B53505" w:rsidRDefault="00D70913" w:rsidP="00006023">
      <w:pPr>
        <w:pStyle w:val="ManualHeading1"/>
        <w:ind w:left="851" w:hanging="851"/>
      </w:pPr>
      <w:r w:rsidRPr="00B53505">
        <w:t>4.</w:t>
      </w:r>
      <w:r w:rsidRPr="00B53505">
        <w:tab/>
        <w:t>BUDGETARY IMPLICATIONS</w:t>
      </w:r>
    </w:p>
    <w:p w14:paraId="3DC0C3EE" w14:textId="392F4F29" w:rsidR="00006023" w:rsidRPr="00B53505" w:rsidRDefault="0072455B" w:rsidP="00006023">
      <w:pPr>
        <w:pBdr>
          <w:top w:val="nil"/>
          <w:left w:val="nil"/>
          <w:bottom w:val="nil"/>
          <w:right w:val="nil"/>
          <w:between w:val="nil"/>
          <w:bar w:val="nil"/>
        </w:pBdr>
        <w:rPr>
          <w:rFonts w:eastAsia="Arial Unicode MS"/>
        </w:rPr>
      </w:pPr>
      <w:r w:rsidRPr="00B53505">
        <w:t xml:space="preserve">The </w:t>
      </w:r>
      <w:r w:rsidR="00552A55" w:rsidRPr="00B53505">
        <w:t xml:space="preserve">Union </w:t>
      </w:r>
      <w:r w:rsidRPr="00B53505">
        <w:t xml:space="preserve">will make available a total of EUR </w:t>
      </w:r>
      <w:r w:rsidR="00B53505">
        <w:t>7</w:t>
      </w:r>
      <w:r w:rsidR="00317F05" w:rsidRPr="00B53505">
        <w:t xml:space="preserve">50 </w:t>
      </w:r>
      <w:r w:rsidR="000C7ED6" w:rsidRPr="00B53505">
        <w:t>000 000</w:t>
      </w:r>
      <w:r w:rsidR="00317F05" w:rsidRPr="00B53505">
        <w:t xml:space="preserve"> for the EFSD </w:t>
      </w:r>
      <w:r w:rsidR="003233B6" w:rsidRPr="00B53505">
        <w:t>G</w:t>
      </w:r>
      <w:r w:rsidR="00317F05" w:rsidRPr="00B53505">
        <w:t>uarantee</w:t>
      </w:r>
      <w:r w:rsidR="00843BEE" w:rsidRPr="00B53505">
        <w:t xml:space="preserve"> </w:t>
      </w:r>
      <w:r w:rsidRPr="00B53505">
        <w:t>until 2020</w:t>
      </w:r>
      <w:r w:rsidR="00370EDB" w:rsidRPr="00B53505">
        <w:t xml:space="preserve"> stemming both from the Union</w:t>
      </w:r>
      <w:r w:rsidR="00B53505">
        <w:t>'</w:t>
      </w:r>
      <w:r w:rsidR="00370EDB" w:rsidRPr="00B53505">
        <w:t>s general budget and the 11</w:t>
      </w:r>
      <w:r w:rsidR="00370EDB" w:rsidRPr="00B53505">
        <w:rPr>
          <w:vertAlign w:val="superscript"/>
        </w:rPr>
        <w:t>th</w:t>
      </w:r>
      <w:r w:rsidR="00370EDB" w:rsidRPr="00B53505">
        <w:t xml:space="preserve"> European Development Fund (EDF)</w:t>
      </w:r>
      <w:r w:rsidR="003233B6" w:rsidRPr="00B53505">
        <w:rPr>
          <w:rStyle w:val="FootnoteReference"/>
        </w:rPr>
        <w:footnoteReference w:id="20"/>
      </w:r>
      <w:r w:rsidRPr="00B53505">
        <w:t xml:space="preserve">. Further financing could be foreseen. </w:t>
      </w:r>
      <w:r w:rsidR="00967EAD">
        <w:t>The Commission intends to propose the mobilisation of the contingency margin to provide EUR 250 000 000. Other contributions from the Union budget would be made</w:t>
      </w:r>
      <w:r w:rsidRPr="00B53505">
        <w:t xml:space="preserve"> </w:t>
      </w:r>
      <w:r w:rsidR="00552A55" w:rsidRPr="00B53505">
        <w:t>by the use of</w:t>
      </w:r>
      <w:r w:rsidRPr="00B53505">
        <w:t xml:space="preserve"> redeployments or refocusing o</w:t>
      </w:r>
      <w:r w:rsidR="00552A55" w:rsidRPr="00B53505">
        <w:t>f</w:t>
      </w:r>
      <w:r w:rsidRPr="00B53505">
        <w:t xml:space="preserve"> programmed funds. </w:t>
      </w:r>
      <w:r w:rsidR="00801B96" w:rsidRPr="00B53505">
        <w:t xml:space="preserve">Further financing </w:t>
      </w:r>
      <w:r w:rsidRPr="00B53505">
        <w:t xml:space="preserve">could </w:t>
      </w:r>
      <w:r w:rsidR="00801B96" w:rsidRPr="00B53505">
        <w:t xml:space="preserve">also </w:t>
      </w:r>
      <w:r w:rsidRPr="00B53505">
        <w:t>include other contributions by other contributors, such as Member States.</w:t>
      </w:r>
    </w:p>
    <w:p w14:paraId="27294FD6" w14:textId="77777777" w:rsidR="00006023" w:rsidRPr="00B53505" w:rsidRDefault="00D70913" w:rsidP="00006023">
      <w:pPr>
        <w:pStyle w:val="ManualHeading1"/>
        <w:ind w:left="851" w:hanging="851"/>
      </w:pPr>
      <w:r w:rsidRPr="00B53505">
        <w:t>5.</w:t>
      </w:r>
      <w:r w:rsidRPr="00B53505">
        <w:tab/>
        <w:t>OTHER ELEMENTS</w:t>
      </w:r>
    </w:p>
    <w:p w14:paraId="76E89E6E" w14:textId="77777777" w:rsidR="00D70913" w:rsidRPr="00B53505" w:rsidRDefault="00D70913" w:rsidP="00E516E2">
      <w:pPr>
        <w:pStyle w:val="ManualHeading2"/>
        <w:rPr>
          <w:rFonts w:eastAsia="Arial Unicode MS"/>
          <w:u w:color="000000"/>
          <w:bdr w:val="nil"/>
          <w:lang w:eastAsia="en-GB"/>
        </w:rPr>
      </w:pPr>
      <w:r w:rsidRPr="00B53505">
        <w:rPr>
          <w:rFonts w:eastAsia="Arial Unicode MS"/>
          <w:u w:color="000000"/>
          <w:bdr w:val="nil"/>
          <w:lang w:eastAsia="en-GB"/>
        </w:rPr>
        <w:t>•</w:t>
      </w:r>
      <w:r w:rsidRPr="00B53505">
        <w:rPr>
          <w:rFonts w:eastAsia="Arial Unicode MS"/>
          <w:u w:color="000000"/>
          <w:bdr w:val="nil"/>
          <w:lang w:eastAsia="en-GB"/>
        </w:rPr>
        <w:tab/>
        <w:t>Implementation plans and monitoring, evaluation and reporting arrangements</w:t>
      </w:r>
    </w:p>
    <w:p w14:paraId="5512CC0F" w14:textId="3BF98271" w:rsidR="00006023" w:rsidRPr="00B53505" w:rsidRDefault="0072455B" w:rsidP="00006023">
      <w:pPr>
        <w:pBdr>
          <w:top w:val="nil"/>
          <w:left w:val="nil"/>
          <w:bottom w:val="nil"/>
          <w:right w:val="nil"/>
          <w:between w:val="nil"/>
          <w:bar w:val="nil"/>
        </w:pBdr>
        <w:rPr>
          <w:rFonts w:eastAsia="Arial Unicode MS"/>
        </w:rPr>
      </w:pPr>
      <w:r w:rsidRPr="00B53505">
        <w:t xml:space="preserve">The EFSD </w:t>
      </w:r>
      <w:r w:rsidR="002A6466" w:rsidRPr="00B53505">
        <w:t xml:space="preserve">will be </w:t>
      </w:r>
      <w:r w:rsidR="00042443" w:rsidRPr="00B53505">
        <w:t xml:space="preserve">managed by the Commission and </w:t>
      </w:r>
      <w:r w:rsidR="002A6466" w:rsidRPr="00B53505">
        <w:t xml:space="preserve">implemented through </w:t>
      </w:r>
      <w:r w:rsidR="006B1C8C" w:rsidRPr="00B53505">
        <w:t>r</w:t>
      </w:r>
      <w:r w:rsidRPr="00B53505">
        <w:t xml:space="preserve">egional </w:t>
      </w:r>
      <w:r w:rsidR="006B1C8C" w:rsidRPr="00B53505">
        <w:t>i</w:t>
      </w:r>
      <w:r w:rsidRPr="00B53505">
        <w:t xml:space="preserve">nvestment </w:t>
      </w:r>
      <w:r w:rsidR="006B1C8C" w:rsidRPr="00B53505">
        <w:t>p</w:t>
      </w:r>
      <w:r w:rsidRPr="00B53505">
        <w:t>latforms</w:t>
      </w:r>
      <w:r w:rsidR="00042443" w:rsidRPr="00B53505">
        <w:rPr>
          <w:szCs w:val="24"/>
        </w:rPr>
        <w:t xml:space="preserve">, which will combine financing from existing blending facilities </w:t>
      </w:r>
      <w:r w:rsidR="00042443" w:rsidRPr="00B53505">
        <w:t xml:space="preserve">for Africa and for the Neighbourhood and the granting of </w:t>
      </w:r>
      <w:r w:rsidR="0041651F" w:rsidRPr="00B53505">
        <w:t xml:space="preserve">the </w:t>
      </w:r>
      <w:r w:rsidR="00042443" w:rsidRPr="00B53505">
        <w:rPr>
          <w:szCs w:val="24"/>
        </w:rPr>
        <w:t xml:space="preserve">EFSD </w:t>
      </w:r>
      <w:r w:rsidR="000C7ED6" w:rsidRPr="00B53505">
        <w:rPr>
          <w:szCs w:val="24"/>
        </w:rPr>
        <w:t>G</w:t>
      </w:r>
      <w:r w:rsidR="00042443" w:rsidRPr="00B53505">
        <w:rPr>
          <w:szCs w:val="24"/>
        </w:rPr>
        <w:t>uarantee.</w:t>
      </w:r>
    </w:p>
    <w:p w14:paraId="4D2B3D15" w14:textId="77777777" w:rsidR="00D70913" w:rsidRPr="00B53505" w:rsidRDefault="00D70913" w:rsidP="00E516E2">
      <w:pPr>
        <w:pStyle w:val="ManualHeading2"/>
        <w:rPr>
          <w:rFonts w:eastAsia="Arial Unicode MS"/>
          <w:u w:color="000000"/>
          <w:bdr w:val="nil"/>
          <w:lang w:eastAsia="en-GB"/>
        </w:rPr>
      </w:pPr>
      <w:r w:rsidRPr="00B53505">
        <w:rPr>
          <w:rFonts w:eastAsia="Arial Unicode MS"/>
          <w:u w:color="000000"/>
          <w:bdr w:val="nil"/>
          <w:lang w:eastAsia="en-GB"/>
        </w:rPr>
        <w:t>•</w:t>
      </w:r>
      <w:r w:rsidRPr="00B53505">
        <w:rPr>
          <w:rFonts w:eastAsia="Arial Unicode MS"/>
          <w:u w:color="000000"/>
          <w:bdr w:val="nil"/>
          <w:lang w:eastAsia="en-GB"/>
        </w:rPr>
        <w:tab/>
        <w:t>Detailed explanation of the specific provisions of the proposal</w:t>
      </w:r>
    </w:p>
    <w:p w14:paraId="53EA0A9A" w14:textId="4840A1C8" w:rsidR="00006023" w:rsidRPr="00B53505" w:rsidRDefault="0072455B" w:rsidP="00006023">
      <w:pPr>
        <w:pBdr>
          <w:top w:val="nil"/>
          <w:left w:val="nil"/>
          <w:bottom w:val="nil"/>
          <w:right w:val="nil"/>
          <w:between w:val="nil"/>
          <w:bar w:val="nil"/>
        </w:pBdr>
      </w:pPr>
      <w:r w:rsidRPr="00B53505">
        <w:t>The EF</w:t>
      </w:r>
      <w:r w:rsidR="00127E77" w:rsidRPr="00B53505">
        <w:t>S</w:t>
      </w:r>
      <w:r w:rsidRPr="00B53505">
        <w:t xml:space="preserve">D shall consist of the </w:t>
      </w:r>
      <w:r w:rsidR="009F3DD3" w:rsidRPr="00B53505">
        <w:t>r</w:t>
      </w:r>
      <w:r w:rsidRPr="00B53505">
        <w:t xml:space="preserve">egional </w:t>
      </w:r>
      <w:r w:rsidR="009F3DD3" w:rsidRPr="00B53505">
        <w:t>i</w:t>
      </w:r>
      <w:r w:rsidRPr="00B53505">
        <w:t xml:space="preserve">nvestment </w:t>
      </w:r>
      <w:r w:rsidR="009F3DD3" w:rsidRPr="00B53505">
        <w:t>p</w:t>
      </w:r>
      <w:r w:rsidRPr="00B53505">
        <w:t xml:space="preserve">latforms, </w:t>
      </w:r>
      <w:r w:rsidR="00127E77" w:rsidRPr="00B53505">
        <w:rPr>
          <w:szCs w:val="24"/>
        </w:rPr>
        <w:t xml:space="preserve">which will combine financing from existing blending facilities </w:t>
      </w:r>
      <w:r w:rsidR="00127E77" w:rsidRPr="00B53505">
        <w:t xml:space="preserve">for Africa and for the Neighbourhood and the granting of the </w:t>
      </w:r>
      <w:r w:rsidR="00127E77" w:rsidRPr="00B53505">
        <w:rPr>
          <w:szCs w:val="24"/>
        </w:rPr>
        <w:t xml:space="preserve">EFSD </w:t>
      </w:r>
      <w:r w:rsidR="000C7ED6" w:rsidRPr="00B53505">
        <w:rPr>
          <w:szCs w:val="24"/>
        </w:rPr>
        <w:t>G</w:t>
      </w:r>
      <w:r w:rsidR="00127E77" w:rsidRPr="00B53505">
        <w:rPr>
          <w:szCs w:val="24"/>
        </w:rPr>
        <w:t>uarantee</w:t>
      </w:r>
      <w:r w:rsidRPr="00B53505">
        <w:t>.</w:t>
      </w:r>
    </w:p>
    <w:p w14:paraId="54A5AB22" w14:textId="71E4A1FF" w:rsidR="00006023" w:rsidRPr="00B53505" w:rsidRDefault="0072455B" w:rsidP="00006023">
      <w:pPr>
        <w:pBdr>
          <w:top w:val="nil"/>
          <w:left w:val="nil"/>
          <w:bottom w:val="nil"/>
          <w:right w:val="nil"/>
          <w:between w:val="nil"/>
          <w:bar w:val="nil"/>
        </w:pBdr>
      </w:pPr>
      <w:r w:rsidRPr="00B53505">
        <w:t xml:space="preserve">Regional </w:t>
      </w:r>
      <w:r w:rsidR="000C7ED6" w:rsidRPr="00B53505">
        <w:t>i</w:t>
      </w:r>
      <w:r w:rsidRPr="00B53505">
        <w:t xml:space="preserve">nvestment </w:t>
      </w:r>
      <w:r w:rsidR="000C7ED6" w:rsidRPr="00B53505">
        <w:t>p</w:t>
      </w:r>
      <w:r w:rsidRPr="00B53505">
        <w:t xml:space="preserve">latforms will be focused to pursue the achievement of the sustainable development goals </w:t>
      </w:r>
      <w:r w:rsidR="00801B96" w:rsidRPr="00B53505">
        <w:t>and</w:t>
      </w:r>
      <w:r w:rsidRPr="00B53505">
        <w:t xml:space="preserve"> better </w:t>
      </w:r>
      <w:r w:rsidR="00D46FB0" w:rsidRPr="00B53505">
        <w:t xml:space="preserve">address </w:t>
      </w:r>
      <w:r w:rsidRPr="00B53505">
        <w:t xml:space="preserve">root causes of migration. </w:t>
      </w:r>
    </w:p>
    <w:p w14:paraId="72A3147C" w14:textId="2DFB95FD" w:rsidR="00006023" w:rsidRPr="00B53505" w:rsidRDefault="0072455B" w:rsidP="00006023">
      <w:pPr>
        <w:pBdr>
          <w:top w:val="nil"/>
          <w:left w:val="nil"/>
          <w:bottom w:val="nil"/>
          <w:right w:val="nil"/>
          <w:between w:val="nil"/>
          <w:bar w:val="nil"/>
        </w:pBdr>
      </w:pPr>
      <w:r w:rsidRPr="00B53505">
        <w:t>For the purposes of th</w:t>
      </w:r>
      <w:r w:rsidR="00127E77" w:rsidRPr="00B53505">
        <w:t xml:space="preserve">e EFSD initiative </w:t>
      </w:r>
      <w:r w:rsidRPr="00B53505">
        <w:t>the Africa Investment Facility</w:t>
      </w:r>
      <w:r w:rsidR="00D46FB0" w:rsidRPr="00B53505">
        <w:rPr>
          <w:rStyle w:val="FootnoteReference"/>
        </w:rPr>
        <w:footnoteReference w:id="21"/>
      </w:r>
      <w:r w:rsidRPr="00B53505">
        <w:t xml:space="preserve"> and the Neighbo</w:t>
      </w:r>
      <w:r w:rsidR="00E3213F" w:rsidRPr="00B53505">
        <w:t>u</w:t>
      </w:r>
      <w:r w:rsidRPr="00B53505">
        <w:t>rhood Investment Facility</w:t>
      </w:r>
      <w:r w:rsidR="00D46FB0" w:rsidRPr="00B53505">
        <w:rPr>
          <w:rStyle w:val="FootnoteReference"/>
        </w:rPr>
        <w:footnoteReference w:id="22"/>
      </w:r>
      <w:r w:rsidRPr="00B53505">
        <w:t xml:space="preserve"> will </w:t>
      </w:r>
      <w:r w:rsidR="00801B96" w:rsidRPr="00B53505">
        <w:t xml:space="preserve">have their objectives refocused and will </w:t>
      </w:r>
      <w:r w:rsidRPr="00B53505">
        <w:t xml:space="preserve">be </w:t>
      </w:r>
      <w:r w:rsidR="00801B96" w:rsidRPr="00B53505">
        <w:t>renamed to become</w:t>
      </w:r>
      <w:r w:rsidRPr="00B53505">
        <w:t xml:space="preserve"> the new respective </w:t>
      </w:r>
      <w:r w:rsidR="009F3DD3" w:rsidRPr="00B53505">
        <w:t>r</w:t>
      </w:r>
      <w:r w:rsidRPr="00B53505">
        <w:t xml:space="preserve">egional </w:t>
      </w:r>
      <w:r w:rsidR="009F3DD3" w:rsidRPr="00B53505">
        <w:t>i</w:t>
      </w:r>
      <w:r w:rsidRPr="00B53505">
        <w:t xml:space="preserve">nvestment </w:t>
      </w:r>
      <w:r w:rsidR="009F3DD3" w:rsidRPr="00B53505">
        <w:t>p</w:t>
      </w:r>
      <w:r w:rsidRPr="00B53505">
        <w:t>latforms relying on the existing structures. This will be done by Commission Decision.</w:t>
      </w:r>
    </w:p>
    <w:p w14:paraId="78376CAF" w14:textId="6B279664" w:rsidR="00006023" w:rsidRPr="00B53505" w:rsidRDefault="005830FB" w:rsidP="00006023">
      <w:pPr>
        <w:pBdr>
          <w:top w:val="nil"/>
          <w:left w:val="nil"/>
          <w:bottom w:val="nil"/>
          <w:right w:val="nil"/>
          <w:between w:val="nil"/>
          <w:bar w:val="nil"/>
        </w:pBdr>
      </w:pPr>
      <w:r w:rsidRPr="00B53505">
        <w:t>T</w:t>
      </w:r>
      <w:r w:rsidR="0072455B" w:rsidRPr="00B53505">
        <w:t xml:space="preserve">he </w:t>
      </w:r>
      <w:r w:rsidR="000C7ED6" w:rsidRPr="00B53505">
        <w:t>r</w:t>
      </w:r>
      <w:r w:rsidR="0072455B" w:rsidRPr="00B53505">
        <w:t xml:space="preserve">egional </w:t>
      </w:r>
      <w:r w:rsidR="000C7ED6" w:rsidRPr="00B53505">
        <w:t>i</w:t>
      </w:r>
      <w:r w:rsidR="0072455B" w:rsidRPr="00B53505">
        <w:t xml:space="preserve">nvestment </w:t>
      </w:r>
      <w:r w:rsidR="000C7ED6" w:rsidRPr="00B53505">
        <w:t>p</w:t>
      </w:r>
      <w:r w:rsidR="0072455B" w:rsidRPr="00B53505">
        <w:t>latform</w:t>
      </w:r>
      <w:r w:rsidR="0041651F" w:rsidRPr="00B53505">
        <w:t>s</w:t>
      </w:r>
      <w:r w:rsidR="0072455B" w:rsidRPr="00B53505">
        <w:t xml:space="preserve"> will have identical structures as the existing </w:t>
      </w:r>
      <w:r w:rsidR="00127E77" w:rsidRPr="00B53505">
        <w:t>b</w:t>
      </w:r>
      <w:r w:rsidR="0072455B" w:rsidRPr="00B53505">
        <w:t xml:space="preserve">lending facilities. </w:t>
      </w:r>
    </w:p>
    <w:p w14:paraId="2F87F7FB" w14:textId="77777777" w:rsidR="00595BE8" w:rsidRPr="00B53505" w:rsidRDefault="00595BE8" w:rsidP="00595BE8">
      <w:pPr>
        <w:spacing w:line="100" w:lineRule="atLeast"/>
        <w:rPr>
          <w:szCs w:val="24"/>
        </w:rPr>
      </w:pPr>
      <w:r w:rsidRPr="00B53505">
        <w:rPr>
          <w:szCs w:val="24"/>
        </w:rPr>
        <w:t>The Commission will be advised by a Strategic Board and two Operational Boards, one for each Regional Investment Platform.</w:t>
      </w:r>
      <w:r w:rsidRPr="00B53505">
        <w:rPr>
          <w:b/>
          <w:bCs/>
          <w:szCs w:val="24"/>
        </w:rPr>
        <w:t xml:space="preserve"> </w:t>
      </w:r>
      <w:r w:rsidRPr="00B53505">
        <w:rPr>
          <w:szCs w:val="24"/>
        </w:rPr>
        <w:t>The Commission will manage the EFSD Secretariat, which will ensure the performance of all tasks and functions needed to fulfil the objectives of the EIP. The Strategic Board, co-chaired by representatives of the Commission and of the High Representative of the Union for Foreign Affairs and Security Policy and composed of the Member States and the EIB, will give strategic guidance and help the Commission set overall investment goals as regards the use of the EFSD Guarantee, ensuring coordination and coherence between the Regional Investment Platforms and with the External Lending Mandate, the Resilience Initiative and the ACP Investment Facility managed by the EIB. The EIB will actively contribute through advisory functions to the Commission as regards the operational management of the guarantee.</w:t>
      </w:r>
    </w:p>
    <w:p w14:paraId="0E412D75" w14:textId="77777777" w:rsidR="00595BE8" w:rsidRPr="00B53505" w:rsidRDefault="00595BE8" w:rsidP="00595BE8">
      <w:pPr>
        <w:spacing w:line="100" w:lineRule="atLeast"/>
        <w:rPr>
          <w:rFonts w:ascii="Calibri" w:hAnsi="Calibri"/>
          <w:sz w:val="22"/>
        </w:rPr>
      </w:pPr>
      <w:r w:rsidRPr="00B53505">
        <w:rPr>
          <w:szCs w:val="24"/>
        </w:rPr>
        <w:t xml:space="preserve">A sound technical assessment and due diligence as well as a swift implementation of individual projects will be ensured. The bankability and risk of the projects will be assessed by the eligible counterparts and verified by independent experts to ensure the credibility vis-à-vis the private sector, before the investment proposals are approved by the Commission. The detailed practical modalities of how to implement the guarantee will be decided for each investment window. </w:t>
      </w:r>
    </w:p>
    <w:p w14:paraId="4820143D" w14:textId="5C8B2D29" w:rsidR="00D46FB0" w:rsidRPr="00B53505" w:rsidRDefault="00D46FB0" w:rsidP="00CB162C">
      <w:pPr>
        <w:pBdr>
          <w:top w:val="nil"/>
          <w:left w:val="nil"/>
          <w:bottom w:val="nil"/>
          <w:right w:val="nil"/>
          <w:between w:val="nil"/>
          <w:bar w:val="nil"/>
        </w:pBdr>
      </w:pPr>
      <w:r w:rsidRPr="00B53505">
        <w:t>The creation of additional investment platforms can be considered in the future.</w:t>
      </w:r>
    </w:p>
    <w:p w14:paraId="2A34C6AB" w14:textId="0A553317" w:rsidR="001268CB" w:rsidRPr="00B53505" w:rsidRDefault="0072455B" w:rsidP="001268CB">
      <w:pPr>
        <w:pBdr>
          <w:top w:val="nil"/>
          <w:left w:val="nil"/>
          <w:bottom w:val="nil"/>
          <w:right w:val="nil"/>
          <w:between w:val="nil"/>
          <w:bar w:val="nil"/>
        </w:pBdr>
      </w:pPr>
      <w:r w:rsidRPr="00B53505">
        <w:t xml:space="preserve">The EFSD </w:t>
      </w:r>
      <w:r w:rsidR="007E5052" w:rsidRPr="00B53505">
        <w:t>G</w:t>
      </w:r>
      <w:r w:rsidRPr="00B53505">
        <w:t xml:space="preserve">uarantee is one of the components of the EFSD. The EFSD </w:t>
      </w:r>
      <w:r w:rsidR="007E5052" w:rsidRPr="00B53505">
        <w:t>G</w:t>
      </w:r>
      <w:r w:rsidRPr="00B53505">
        <w:t xml:space="preserve">uarantee aims to constitute guarantee capacity for credit enhancement that will ultimately benefit the final investments and allow risk sharing with other investors, notably private actors. It will leverage additional financing, in particular from the private sector, by addressing the key factors that enable crowding-in private investment. </w:t>
      </w:r>
    </w:p>
    <w:p w14:paraId="7C920128" w14:textId="5BC60029" w:rsidR="00006023" w:rsidRPr="00B53505" w:rsidRDefault="001268CB" w:rsidP="00006023">
      <w:pPr>
        <w:pBdr>
          <w:top w:val="nil"/>
          <w:left w:val="nil"/>
          <w:bottom w:val="nil"/>
          <w:right w:val="nil"/>
          <w:between w:val="nil"/>
          <w:bar w:val="nil"/>
        </w:pBdr>
      </w:pPr>
      <w:r w:rsidRPr="00B53505">
        <w:t>The EFSD Guarantee Fund will provide the liquidity in case the EFSD guarantee is called upon to cover for losses occurred under the guarantee agreements.</w:t>
      </w:r>
      <w:r w:rsidR="0072455B" w:rsidRPr="00B53505">
        <w:t xml:space="preserve"> </w:t>
      </w:r>
      <w:r w:rsidRPr="00B53505">
        <w:t xml:space="preserve">The </w:t>
      </w:r>
      <w:r w:rsidR="0072455B" w:rsidRPr="00B53505">
        <w:t xml:space="preserve">EFSD </w:t>
      </w:r>
      <w:r w:rsidR="00774FF3" w:rsidRPr="00B53505">
        <w:t>G</w:t>
      </w:r>
      <w:r w:rsidR="0072455B" w:rsidRPr="00B53505">
        <w:t xml:space="preserve">uarantee </w:t>
      </w:r>
      <w:r w:rsidR="00774FF3" w:rsidRPr="00B53505">
        <w:t>F</w:t>
      </w:r>
      <w:r w:rsidRPr="00B53505">
        <w:t xml:space="preserve">und </w:t>
      </w:r>
      <w:r w:rsidR="0072455B" w:rsidRPr="00B53505">
        <w:t xml:space="preserve">will be </w:t>
      </w:r>
      <w:r w:rsidRPr="00B53505">
        <w:t xml:space="preserve">endowed by the EU budget and the EDF as well as </w:t>
      </w:r>
      <w:r w:rsidR="0072455B" w:rsidRPr="00B53505">
        <w:t xml:space="preserve">possibly other contributors and used to absorb potential losses incurred by eligible counterparts such as </w:t>
      </w:r>
      <w:r w:rsidR="00D356AE" w:rsidRPr="00B53505">
        <w:t>i</w:t>
      </w:r>
      <w:r w:rsidR="0072455B" w:rsidRPr="00B53505">
        <w:t xml:space="preserve">nternational </w:t>
      </w:r>
      <w:r w:rsidR="00D356AE" w:rsidRPr="00B53505">
        <w:t>f</w:t>
      </w:r>
      <w:r w:rsidR="0072455B" w:rsidRPr="00B53505">
        <w:t xml:space="preserve">inancial </w:t>
      </w:r>
      <w:r w:rsidR="00D356AE" w:rsidRPr="00B53505">
        <w:t>i</w:t>
      </w:r>
      <w:r w:rsidR="0072455B" w:rsidRPr="00B53505">
        <w:t xml:space="preserve">nstitutions, </w:t>
      </w:r>
      <w:r w:rsidR="00D356AE" w:rsidRPr="00B53505">
        <w:t>d</w:t>
      </w:r>
      <w:r w:rsidR="0072455B" w:rsidRPr="00B53505">
        <w:t xml:space="preserve">evelopment </w:t>
      </w:r>
      <w:r w:rsidR="00D356AE" w:rsidRPr="00B53505">
        <w:t>b</w:t>
      </w:r>
      <w:r w:rsidR="0072455B" w:rsidRPr="00B53505">
        <w:t xml:space="preserve">anks and private sector investors. </w:t>
      </w:r>
    </w:p>
    <w:p w14:paraId="79949F7E" w14:textId="77777777" w:rsidR="00D70913" w:rsidRPr="00B53505" w:rsidRDefault="00D70913" w:rsidP="007630B5">
      <w:pPr>
        <w:sectPr w:rsidR="00D70913" w:rsidRPr="00B53505" w:rsidSect="00772B42">
          <w:footerReference w:type="default" r:id="rId16"/>
          <w:footerReference w:type="first" r:id="rId17"/>
          <w:pgSz w:w="11907" w:h="16839"/>
          <w:pgMar w:top="1134" w:right="1417" w:bottom="1134" w:left="1417" w:header="709" w:footer="709" w:gutter="0"/>
          <w:pgNumType w:start="2"/>
          <w:cols w:space="720"/>
          <w:docGrid w:linePitch="360"/>
        </w:sectPr>
      </w:pPr>
    </w:p>
    <w:p w14:paraId="3655213E" w14:textId="4DD50DC2" w:rsidR="005D4995" w:rsidRDefault="00772B42" w:rsidP="00772B42">
      <w:pPr>
        <w:pStyle w:val="Rfrenceinterinstitutionnelle"/>
      </w:pPr>
      <w:r w:rsidRPr="00772B42">
        <w:t>2016/0281 (COD)</w:t>
      </w:r>
    </w:p>
    <w:p w14:paraId="55B7AB1E" w14:textId="22FD7A46" w:rsidR="00D70913" w:rsidRPr="00B53505" w:rsidRDefault="00772B42" w:rsidP="00772B42">
      <w:pPr>
        <w:pStyle w:val="Statut"/>
      </w:pPr>
      <w:r w:rsidRPr="00772B42">
        <w:t>Proposal for a</w:t>
      </w:r>
    </w:p>
    <w:p w14:paraId="022C91F7" w14:textId="61EBB712" w:rsidR="00D70913" w:rsidRPr="00B53505" w:rsidRDefault="00772B42" w:rsidP="00772B42">
      <w:pPr>
        <w:pStyle w:val="Typedudocument"/>
      </w:pPr>
      <w:r w:rsidRPr="00772B42">
        <w:t>REGULATION OF THE EUROPEAN PARLIAMENT AND OF THE COUNCIL</w:t>
      </w:r>
    </w:p>
    <w:p w14:paraId="02E87212" w14:textId="7EC9D10B" w:rsidR="00D70913" w:rsidRPr="00B53505" w:rsidRDefault="00772B42" w:rsidP="00772B42">
      <w:pPr>
        <w:pStyle w:val="Titreobjet"/>
      </w:pPr>
      <w:proofErr w:type="gramStart"/>
      <w:r w:rsidRPr="00772B42">
        <w:t>on</w:t>
      </w:r>
      <w:proofErr w:type="gramEnd"/>
      <w:r w:rsidRPr="00772B42">
        <w:t xml:space="preserve"> the European Fund for Sustainable Development (EFSD) and establishing the EFSD Guarantee and the EFSD Guarantee Fund</w:t>
      </w:r>
    </w:p>
    <w:p w14:paraId="2A6CDF01" w14:textId="77777777" w:rsidR="00D70913" w:rsidRPr="00B53505" w:rsidRDefault="00D70913" w:rsidP="00EA3076">
      <w:pPr>
        <w:pStyle w:val="Institutionquiagit"/>
      </w:pPr>
      <w:r w:rsidRPr="00B53505">
        <w:t>THE EUROPEAN PARLIAMENT AND THE COUNCIL OF THE EUROPEAN UNION,</w:t>
      </w:r>
    </w:p>
    <w:p w14:paraId="2DB3F842" w14:textId="77777777" w:rsidR="0072455B" w:rsidRPr="00B53505" w:rsidRDefault="0072455B" w:rsidP="0072455B">
      <w:r w:rsidRPr="00B53505">
        <w:t>Having regard to the Treaty on the Functioning of the European Union, and in particular Article</w:t>
      </w:r>
      <w:r w:rsidR="00E516E2" w:rsidRPr="00B53505">
        <w:t>s</w:t>
      </w:r>
      <w:r w:rsidRPr="00B53505">
        <w:t xml:space="preserve"> 209(1)</w:t>
      </w:r>
      <w:r w:rsidR="00E516E2" w:rsidRPr="00B53505">
        <w:t xml:space="preserve"> and</w:t>
      </w:r>
      <w:r w:rsidRPr="00B53505">
        <w:t xml:space="preserve"> 212(2) thereof,</w:t>
      </w:r>
    </w:p>
    <w:p w14:paraId="6C47D870" w14:textId="77777777" w:rsidR="0072455B" w:rsidRPr="00B53505" w:rsidRDefault="0072455B" w:rsidP="0072455B">
      <w:r w:rsidRPr="00B53505">
        <w:t>Having regard to the proposal from the European Commission,</w:t>
      </w:r>
    </w:p>
    <w:p w14:paraId="1B472013" w14:textId="77777777" w:rsidR="0072455B" w:rsidRPr="00B53505" w:rsidRDefault="0072455B" w:rsidP="0072455B">
      <w:r w:rsidRPr="00B53505">
        <w:t>After transmission of the draft legislative act to the national parliaments,</w:t>
      </w:r>
    </w:p>
    <w:p w14:paraId="12A63539" w14:textId="77777777" w:rsidR="0072455B" w:rsidRPr="00B53505" w:rsidRDefault="0072455B" w:rsidP="0072455B">
      <w:r w:rsidRPr="00B53505">
        <w:t>Acting in accordance with the ordinary legislative procedure,</w:t>
      </w:r>
    </w:p>
    <w:p w14:paraId="0D5487A7" w14:textId="77777777" w:rsidR="00D70913" w:rsidRPr="00B53505" w:rsidRDefault="00D70913" w:rsidP="007630B5">
      <w:r w:rsidRPr="00B53505">
        <w:t>Whereas:</w:t>
      </w:r>
    </w:p>
    <w:p w14:paraId="7EE4D121" w14:textId="29768469" w:rsidR="00446D89" w:rsidRPr="00B53505" w:rsidRDefault="00446D89" w:rsidP="00AE12DD">
      <w:pPr>
        <w:pStyle w:val="Considrant"/>
        <w:numPr>
          <w:ilvl w:val="0"/>
          <w:numId w:val="23"/>
        </w:numPr>
      </w:pPr>
      <w:r w:rsidRPr="00B53505">
        <w:t xml:space="preserve">The </w:t>
      </w:r>
      <w:r w:rsidR="00307921" w:rsidRPr="00B53505">
        <w:t>Union</w:t>
      </w:r>
      <w:r w:rsidR="00B53505">
        <w:t>'</w:t>
      </w:r>
      <w:r w:rsidR="00307921" w:rsidRPr="00B53505">
        <w:t xml:space="preserve">s </w:t>
      </w:r>
      <w:r w:rsidRPr="00B53505">
        <w:t xml:space="preserve">ambitious External Investment Plan (EIP) </w:t>
      </w:r>
      <w:r w:rsidR="005830FB" w:rsidRPr="00B53505">
        <w:t xml:space="preserve">is needed to </w:t>
      </w:r>
      <w:r w:rsidRPr="00B53505">
        <w:t xml:space="preserve">support investments </w:t>
      </w:r>
      <w:r w:rsidR="00307921" w:rsidRPr="00B53505">
        <w:t xml:space="preserve">starting </w:t>
      </w:r>
      <w:r w:rsidRPr="00B53505">
        <w:t xml:space="preserve">in </w:t>
      </w:r>
      <w:r w:rsidR="00CB20EA" w:rsidRPr="00B53505">
        <w:t xml:space="preserve">Africa and the </w:t>
      </w:r>
      <w:r w:rsidR="00D46FB0" w:rsidRPr="00B53505">
        <w:t>Union</w:t>
      </w:r>
      <w:r w:rsidR="00B53505">
        <w:t>'</w:t>
      </w:r>
      <w:r w:rsidR="00D46FB0" w:rsidRPr="00B53505">
        <w:t>s</w:t>
      </w:r>
      <w:r w:rsidR="00CB20EA" w:rsidRPr="00B53505">
        <w:t xml:space="preserve"> Neighbourhood </w:t>
      </w:r>
      <w:r w:rsidRPr="00B53505">
        <w:t xml:space="preserve">as a means to promote the </w:t>
      </w:r>
      <w:r w:rsidR="00947FDD" w:rsidRPr="00B53505">
        <w:t>s</w:t>
      </w:r>
      <w:r w:rsidRPr="00B53505">
        <w:t xml:space="preserve">ustainable </w:t>
      </w:r>
      <w:r w:rsidR="00947FDD" w:rsidRPr="00B53505">
        <w:t>d</w:t>
      </w:r>
      <w:r w:rsidRPr="00B53505">
        <w:t xml:space="preserve">evelopment </w:t>
      </w:r>
      <w:r w:rsidR="00947FDD" w:rsidRPr="00B53505">
        <w:t>g</w:t>
      </w:r>
      <w:r w:rsidRPr="00B53505">
        <w:t>oals of the</w:t>
      </w:r>
      <w:r w:rsidR="003775E6" w:rsidRPr="00B53505">
        <w:t xml:space="preserve"> United Nations</w:t>
      </w:r>
      <w:r w:rsidRPr="00B53505">
        <w:t xml:space="preserve"> 2030 Agenda </w:t>
      </w:r>
      <w:r w:rsidR="0041651F" w:rsidRPr="00B53505">
        <w:t xml:space="preserve">for </w:t>
      </w:r>
      <w:r w:rsidR="003775E6" w:rsidRPr="00B53505">
        <w:t>Sustainable Development (</w:t>
      </w:r>
      <w:r w:rsidR="00B53505">
        <w:t>'</w:t>
      </w:r>
      <w:r w:rsidR="003775E6" w:rsidRPr="00B53505">
        <w:t>the 2030 Agenda</w:t>
      </w:r>
      <w:r w:rsidR="00B53505">
        <w:t>'</w:t>
      </w:r>
      <w:r w:rsidR="003775E6" w:rsidRPr="00B53505">
        <w:t>)</w:t>
      </w:r>
      <w:r w:rsidR="00897BA1" w:rsidRPr="00B53505">
        <w:t xml:space="preserve"> as well as the commitments under the recently revised European Neighbourhood Policy</w:t>
      </w:r>
      <w:r w:rsidR="003775E6" w:rsidRPr="00B53505">
        <w:t xml:space="preserve"> </w:t>
      </w:r>
      <w:r w:rsidRPr="00B53505">
        <w:t xml:space="preserve">thus </w:t>
      </w:r>
      <w:r w:rsidR="00897BA1" w:rsidRPr="00B53505">
        <w:t>addressing</w:t>
      </w:r>
      <w:r w:rsidRPr="00B53505">
        <w:t xml:space="preserve"> root causes of migration. </w:t>
      </w:r>
      <w:r w:rsidR="00897BA1" w:rsidRPr="00B53505">
        <w:t>It should also contribute to the implementation of the Paris Agreement on Climate Change (COP</w:t>
      </w:r>
      <w:r w:rsidR="008910CB" w:rsidRPr="00B53505">
        <w:t xml:space="preserve"> </w:t>
      </w:r>
      <w:r w:rsidR="00897BA1" w:rsidRPr="00B53505">
        <w:t>21).</w:t>
      </w:r>
    </w:p>
    <w:p w14:paraId="2B37D96C" w14:textId="6E0E0609" w:rsidR="00446D89" w:rsidRPr="00B53505" w:rsidRDefault="00446D89" w:rsidP="0044424D">
      <w:pPr>
        <w:pStyle w:val="Considrant"/>
      </w:pPr>
      <w:r w:rsidRPr="00B53505">
        <w:t xml:space="preserve">The EIP should </w:t>
      </w:r>
      <w:r w:rsidR="00897BA1" w:rsidRPr="00B53505">
        <w:t>incorporate the Union commitment under the Addis Ababa Action Agenda on Financing for Development</w:t>
      </w:r>
      <w:r w:rsidRPr="00B53505">
        <w:t>. It should also</w:t>
      </w:r>
      <w:r w:rsidR="00897BA1" w:rsidRPr="00B53505">
        <w:t xml:space="preserve"> allow European investors and private companies, including small and medium-sized enterprises, to participate more effectively to sustainable development in partner countries</w:t>
      </w:r>
      <w:r w:rsidRPr="00B53505">
        <w:t xml:space="preserve">. </w:t>
      </w:r>
    </w:p>
    <w:p w14:paraId="189CD695" w14:textId="343FE694" w:rsidR="00897BA1" w:rsidRPr="00B53505" w:rsidRDefault="00897BA1" w:rsidP="0044424D">
      <w:pPr>
        <w:pStyle w:val="Considrant"/>
      </w:pPr>
      <w:r w:rsidRPr="00B53505">
        <w:t>This is in line</w:t>
      </w:r>
      <w:r w:rsidR="00307921" w:rsidRPr="00B53505">
        <w:t xml:space="preserve"> with the Union Global Strategy for Foreign and Security Policy which embeds challenges such as migration and resilience in the overall EU foreign policy, ensuring coherence and synergies with European development and </w:t>
      </w:r>
      <w:r w:rsidR="008A6598" w:rsidRPr="00B53505">
        <w:t>N</w:t>
      </w:r>
      <w:r w:rsidR="00307921" w:rsidRPr="00B53505">
        <w:t>eighbourhood policies.</w:t>
      </w:r>
    </w:p>
    <w:p w14:paraId="53E0DD82" w14:textId="5330D415" w:rsidR="00446D89" w:rsidRPr="00B53505" w:rsidRDefault="00446D89" w:rsidP="00446D89">
      <w:pPr>
        <w:pStyle w:val="Considrant"/>
      </w:pPr>
      <w:r w:rsidRPr="00B53505">
        <w:t>The EIP should provide an integrated financial package to finance investments</w:t>
      </w:r>
      <w:r w:rsidR="002A6466" w:rsidRPr="00B53505">
        <w:t xml:space="preserve"> </w:t>
      </w:r>
      <w:r w:rsidR="00897BA1" w:rsidRPr="00B53505">
        <w:t xml:space="preserve">starting </w:t>
      </w:r>
      <w:r w:rsidRPr="00B53505">
        <w:t xml:space="preserve">in regions </w:t>
      </w:r>
      <w:r w:rsidR="000C2009" w:rsidRPr="00B53505">
        <w:t xml:space="preserve">of Africa </w:t>
      </w:r>
      <w:r w:rsidR="001268CB" w:rsidRPr="00B53505">
        <w:t xml:space="preserve">for countries </w:t>
      </w:r>
      <w:r w:rsidR="00CC0D71" w:rsidRPr="00B53505">
        <w:t>that are signatories to the Partnership Agreement between the members of the African, Caribbean and Pacific Group of States of the one part, and the European Community and its member States, of the other part, signed in Cotonou on 23 June 2000</w:t>
      </w:r>
      <w:r w:rsidR="00CC0D71" w:rsidRPr="00B53505">
        <w:rPr>
          <w:rStyle w:val="FootnoteReference"/>
        </w:rPr>
        <w:footnoteReference w:id="23"/>
      </w:r>
      <w:r w:rsidR="001268CB" w:rsidRPr="00B53505">
        <w:t xml:space="preserve"> </w:t>
      </w:r>
      <w:r w:rsidR="000C2009" w:rsidRPr="00B53505">
        <w:t xml:space="preserve">and the </w:t>
      </w:r>
      <w:r w:rsidR="00994423" w:rsidRPr="00B53505">
        <w:t>Neighbourhood</w:t>
      </w:r>
      <w:r w:rsidR="00434D5C" w:rsidRPr="00B53505">
        <w:t xml:space="preserve"> countries</w:t>
      </w:r>
      <w:r w:rsidRPr="00B53505">
        <w:t>, thereby creating growth and employment opportunities, maximising additionality, delivering innovative products, and crowding-in private sector funds.</w:t>
      </w:r>
    </w:p>
    <w:p w14:paraId="029615B3" w14:textId="4C87132B" w:rsidR="00307921" w:rsidRPr="00B53505" w:rsidRDefault="00CF7D5E" w:rsidP="0072455B">
      <w:pPr>
        <w:pStyle w:val="Considrant"/>
      </w:pPr>
      <w:r w:rsidRPr="00B53505">
        <w:t>The E</w:t>
      </w:r>
      <w:r w:rsidR="001268CB" w:rsidRPr="00B53505">
        <w:t>uropean Fund for Sustainable Development (E</w:t>
      </w:r>
      <w:r w:rsidRPr="00B53505">
        <w:t>FSD</w:t>
      </w:r>
      <w:r w:rsidR="001268CB" w:rsidRPr="00B53505">
        <w:t>)</w:t>
      </w:r>
      <w:r w:rsidR="0072455B" w:rsidRPr="00B53505">
        <w:t xml:space="preserve"> </w:t>
      </w:r>
      <w:r w:rsidR="00F228A9" w:rsidRPr="00B53505">
        <w:t>should</w:t>
      </w:r>
      <w:r w:rsidR="0072455B" w:rsidRPr="00B53505">
        <w:t xml:space="preserve"> be composed of </w:t>
      </w:r>
      <w:r w:rsidR="00774FF3" w:rsidRPr="00B53505">
        <w:t>r</w:t>
      </w:r>
      <w:r w:rsidR="0072455B" w:rsidRPr="00B53505">
        <w:t xml:space="preserve">egional </w:t>
      </w:r>
      <w:r w:rsidR="00774FF3" w:rsidRPr="00B53505">
        <w:t>i</w:t>
      </w:r>
      <w:r w:rsidR="0072455B" w:rsidRPr="00B53505">
        <w:t xml:space="preserve">nvestment </w:t>
      </w:r>
      <w:r w:rsidR="00774FF3" w:rsidRPr="00B53505">
        <w:t>p</w:t>
      </w:r>
      <w:r w:rsidR="0072455B" w:rsidRPr="00B53505">
        <w:t>latforms</w:t>
      </w:r>
      <w:r w:rsidR="004F4E9F" w:rsidRPr="00B53505">
        <w:t>,</w:t>
      </w:r>
      <w:r w:rsidR="0072455B" w:rsidRPr="00B53505">
        <w:t xml:space="preserve"> </w:t>
      </w:r>
      <w:r w:rsidR="001268CB" w:rsidRPr="00B53505">
        <w:rPr>
          <w:szCs w:val="24"/>
        </w:rPr>
        <w:t xml:space="preserve">which will combine financing from existing blending facilities </w:t>
      </w:r>
      <w:r w:rsidR="001268CB" w:rsidRPr="00B53505">
        <w:t xml:space="preserve">and the </w:t>
      </w:r>
      <w:r w:rsidR="001268CB" w:rsidRPr="00B53505">
        <w:rPr>
          <w:szCs w:val="24"/>
        </w:rPr>
        <w:t xml:space="preserve">EFSD </w:t>
      </w:r>
      <w:r w:rsidR="00774FF3" w:rsidRPr="00B53505">
        <w:rPr>
          <w:szCs w:val="24"/>
        </w:rPr>
        <w:t>G</w:t>
      </w:r>
      <w:r w:rsidR="001268CB" w:rsidRPr="00B53505">
        <w:rPr>
          <w:szCs w:val="24"/>
        </w:rPr>
        <w:t xml:space="preserve">uarantee. The </w:t>
      </w:r>
      <w:r w:rsidR="0072455B" w:rsidRPr="00B53505">
        <w:t xml:space="preserve">existing blending </w:t>
      </w:r>
      <w:r w:rsidR="002A6466" w:rsidRPr="00B53505">
        <w:t>facilities</w:t>
      </w:r>
      <w:r w:rsidR="00BA2CF4" w:rsidRPr="00B53505">
        <w:t xml:space="preserve"> for A</w:t>
      </w:r>
      <w:r w:rsidR="00994423" w:rsidRPr="00B53505">
        <w:t>f</w:t>
      </w:r>
      <w:r w:rsidR="00BA2CF4" w:rsidRPr="00B53505">
        <w:t>rica</w:t>
      </w:r>
      <w:r w:rsidR="001268CB" w:rsidRPr="00B53505">
        <w:t xml:space="preserve"> are</w:t>
      </w:r>
      <w:r w:rsidR="00087FAD" w:rsidRPr="00B53505">
        <w:t xml:space="preserve"> created by Commis</w:t>
      </w:r>
      <w:r w:rsidR="007A1954" w:rsidRPr="00B53505">
        <w:t>s</w:t>
      </w:r>
      <w:r w:rsidR="00087FAD" w:rsidRPr="00B53505">
        <w:t>ion Decision C(2015)5210</w:t>
      </w:r>
      <w:r w:rsidR="00BA2CF4" w:rsidRPr="00B53505">
        <w:t xml:space="preserve"> and </w:t>
      </w:r>
      <w:r w:rsidR="001268CB" w:rsidRPr="00B53505">
        <w:t xml:space="preserve">by Commission Implementing Decision C(2016)3436 for </w:t>
      </w:r>
      <w:r w:rsidR="00BA2CF4" w:rsidRPr="00B53505">
        <w:t>the Neighbourhood</w:t>
      </w:r>
      <w:r w:rsidR="001268CB" w:rsidRPr="00B53505">
        <w:t>.</w:t>
      </w:r>
      <w:r w:rsidR="008A6598" w:rsidRPr="00B53505">
        <w:t xml:space="preserve"> </w:t>
      </w:r>
      <w:r w:rsidR="0087765F" w:rsidRPr="00B53505">
        <w:t xml:space="preserve">Each </w:t>
      </w:r>
      <w:r w:rsidR="008A6598" w:rsidRPr="00B53505">
        <w:t>r</w:t>
      </w:r>
      <w:r w:rsidR="0087765F" w:rsidRPr="00B53505">
        <w:t xml:space="preserve">egional </w:t>
      </w:r>
      <w:r w:rsidR="008A6598" w:rsidRPr="00B53505">
        <w:t>i</w:t>
      </w:r>
      <w:r w:rsidR="0087765F" w:rsidRPr="00B53505">
        <w:t xml:space="preserve">nvestment </w:t>
      </w:r>
      <w:r w:rsidR="008A6598" w:rsidRPr="00B53505">
        <w:t>p</w:t>
      </w:r>
      <w:r w:rsidR="0087765F" w:rsidRPr="00B53505">
        <w:t xml:space="preserve">latform should have an </w:t>
      </w:r>
      <w:r w:rsidR="00774FF3" w:rsidRPr="00B53505">
        <w:t>o</w:t>
      </w:r>
      <w:r w:rsidR="0087765F" w:rsidRPr="00B53505">
        <w:t xml:space="preserve">perational </w:t>
      </w:r>
      <w:r w:rsidR="00774FF3" w:rsidRPr="00B53505">
        <w:t>b</w:t>
      </w:r>
      <w:r w:rsidR="0087765F" w:rsidRPr="00B53505">
        <w:t xml:space="preserve">oard that supports the Commission in defining regional and sectorial investment goals, regional, sectorial and thematic investment </w:t>
      </w:r>
      <w:r w:rsidR="00A95E14" w:rsidRPr="00B53505">
        <w:t>windows,</w:t>
      </w:r>
      <w:r w:rsidR="0087765F" w:rsidRPr="00B53505">
        <w:t xml:space="preserve"> formulates opinions on the blending operations </w:t>
      </w:r>
      <w:r w:rsidR="00A95E14" w:rsidRPr="00B53505">
        <w:t>and discusses the use of the EFSD Guarantee in line with the investment windows to be defined.</w:t>
      </w:r>
    </w:p>
    <w:p w14:paraId="55A35DF4" w14:textId="097FAB7F" w:rsidR="0072455B" w:rsidRPr="00B53505" w:rsidRDefault="006C40A6" w:rsidP="0072455B">
      <w:pPr>
        <w:pStyle w:val="Considrant"/>
      </w:pPr>
      <w:r w:rsidRPr="00B53505">
        <w:t>Furthermore, the EFSD should</w:t>
      </w:r>
      <w:r w:rsidR="0072455B" w:rsidRPr="00B53505">
        <w:t xml:space="preserve"> operate as </w:t>
      </w:r>
      <w:r w:rsidR="00B53505">
        <w:t>'</w:t>
      </w:r>
      <w:r w:rsidR="0072455B" w:rsidRPr="00B53505">
        <w:t>one-stop-shop</w:t>
      </w:r>
      <w:r w:rsidR="00B53505">
        <w:t>'</w:t>
      </w:r>
      <w:r w:rsidR="0072455B" w:rsidRPr="00B53505">
        <w:t xml:space="preserve"> to receive financing proposals from </w:t>
      </w:r>
      <w:r w:rsidRPr="00B53505">
        <w:t>f</w:t>
      </w:r>
      <w:r w:rsidR="0072455B" w:rsidRPr="00B53505">
        <w:t>inanc</w:t>
      </w:r>
      <w:r w:rsidR="00CF7D5E" w:rsidRPr="00B53505">
        <w:t>ial</w:t>
      </w:r>
      <w:r w:rsidR="00842A1D" w:rsidRPr="00B53505">
        <w:t xml:space="preserve"> i</w:t>
      </w:r>
      <w:r w:rsidR="0072455B" w:rsidRPr="00B53505">
        <w:t xml:space="preserve">nstitutions and public or private investors and deliver a wide range of financial support to eligible investments. The EFSD </w:t>
      </w:r>
      <w:r w:rsidR="008A6598" w:rsidRPr="00B53505">
        <w:t>G</w:t>
      </w:r>
      <w:r w:rsidR="0072455B" w:rsidRPr="00B53505">
        <w:t xml:space="preserve">uarantee </w:t>
      </w:r>
      <w:r w:rsidR="00962DC2" w:rsidRPr="00B53505">
        <w:t xml:space="preserve">should be backed by </w:t>
      </w:r>
      <w:r w:rsidR="0072455B" w:rsidRPr="00B53505">
        <w:t xml:space="preserve">the EFSD </w:t>
      </w:r>
      <w:r w:rsidR="00774FF3" w:rsidRPr="00B53505">
        <w:t>G</w:t>
      </w:r>
      <w:r w:rsidR="0072455B" w:rsidRPr="00B53505">
        <w:t xml:space="preserve">uarantee </w:t>
      </w:r>
      <w:r w:rsidR="00774FF3" w:rsidRPr="00B53505">
        <w:t>F</w:t>
      </w:r>
      <w:r w:rsidR="0072455B" w:rsidRPr="00B53505">
        <w:t xml:space="preserve">und. The EFSD </w:t>
      </w:r>
      <w:r w:rsidR="00241E4E" w:rsidRPr="00B53505">
        <w:t xml:space="preserve">should </w:t>
      </w:r>
      <w:r w:rsidR="0072455B" w:rsidRPr="00B53505">
        <w:t xml:space="preserve">deploy innovative instruments to support investments and involve the private sector. </w:t>
      </w:r>
    </w:p>
    <w:p w14:paraId="77582FA8" w14:textId="6437B484" w:rsidR="0072455B" w:rsidRPr="00B53505" w:rsidRDefault="0072455B" w:rsidP="0072455B">
      <w:pPr>
        <w:pStyle w:val="Considrant"/>
      </w:pPr>
      <w:r w:rsidRPr="00B53505">
        <w:t>Co</w:t>
      </w:r>
      <w:r w:rsidR="00962DC2" w:rsidRPr="00B53505">
        <w:t>ordination</w:t>
      </w:r>
      <w:r w:rsidR="002C4DDA">
        <w:t xml:space="preserve"> </w:t>
      </w:r>
      <w:r w:rsidR="00962DC2" w:rsidRPr="00B53505">
        <w:t xml:space="preserve">and coherence </w:t>
      </w:r>
      <w:r w:rsidR="00842A1D" w:rsidRPr="00B53505">
        <w:t xml:space="preserve">of the EFSD </w:t>
      </w:r>
      <w:r w:rsidRPr="00B53505">
        <w:t xml:space="preserve">with </w:t>
      </w:r>
      <w:r w:rsidR="00842A1D" w:rsidRPr="00B53505">
        <w:t>the European Investment Bank</w:t>
      </w:r>
      <w:r w:rsidR="00B53505">
        <w:t>'</w:t>
      </w:r>
      <w:r w:rsidR="00962DC2" w:rsidRPr="00B53505">
        <w:t>s</w:t>
      </w:r>
      <w:r w:rsidR="00842A1D" w:rsidRPr="00B53505">
        <w:t xml:space="preserve"> (EIB)</w:t>
      </w:r>
      <w:r w:rsidR="00962DC2" w:rsidRPr="00B53505">
        <w:t xml:space="preserve"> external lending mandate as set out in Decision [</w:t>
      </w:r>
      <w:r w:rsidR="004F0097" w:rsidRPr="00B53505">
        <w:t>to be adopted</w:t>
      </w:r>
      <w:r w:rsidR="00962DC2" w:rsidRPr="00B53505">
        <w:t>]</w:t>
      </w:r>
      <w:r w:rsidR="00CB20EA" w:rsidRPr="00B53505">
        <w:t>,</w:t>
      </w:r>
      <w:r w:rsidRPr="00B53505">
        <w:t xml:space="preserve"> including the EIB </w:t>
      </w:r>
      <w:r w:rsidR="00196760" w:rsidRPr="00B53505">
        <w:t>r</w:t>
      </w:r>
      <w:r w:rsidRPr="00B53505">
        <w:t xml:space="preserve">esilience </w:t>
      </w:r>
      <w:r w:rsidR="00196760" w:rsidRPr="00B53505">
        <w:t>i</w:t>
      </w:r>
      <w:r w:rsidRPr="00B53505">
        <w:t>nitiative</w:t>
      </w:r>
      <w:r w:rsidR="00CB20EA" w:rsidRPr="00B53505">
        <w:t>,</w:t>
      </w:r>
      <w:r w:rsidR="00842A1D" w:rsidRPr="00B53505">
        <w:t xml:space="preserve"> </w:t>
      </w:r>
      <w:r w:rsidR="00962DC2" w:rsidRPr="00B53505">
        <w:t>as well as with the ACP Investment Facility</w:t>
      </w:r>
      <w:r w:rsidR="00EC7C13" w:rsidRPr="00B53505">
        <w:rPr>
          <w:rStyle w:val="FootnoteReference"/>
        </w:rPr>
        <w:footnoteReference w:id="24"/>
      </w:r>
      <w:r w:rsidR="00962DC2" w:rsidRPr="00B53505">
        <w:t xml:space="preserve"> </w:t>
      </w:r>
      <w:r w:rsidR="00842A1D" w:rsidRPr="00B53505">
        <w:t>should</w:t>
      </w:r>
      <w:r w:rsidRPr="00B53505">
        <w:t xml:space="preserve"> be ensured through the </w:t>
      </w:r>
      <w:r w:rsidR="00F333EF" w:rsidRPr="00B53505">
        <w:t>Strategic</w:t>
      </w:r>
      <w:r w:rsidRPr="00B53505">
        <w:t xml:space="preserve"> Board </w:t>
      </w:r>
      <w:r w:rsidR="00842A1D" w:rsidRPr="00B53505">
        <w:t>of the EFSD</w:t>
      </w:r>
      <w:r w:rsidR="00B00996" w:rsidRPr="00B53505">
        <w:t>.</w:t>
      </w:r>
      <w:r w:rsidR="00842A1D" w:rsidRPr="00B53505">
        <w:t xml:space="preserve"> </w:t>
      </w:r>
    </w:p>
    <w:p w14:paraId="7FD4AF18" w14:textId="06BA255F" w:rsidR="00F459F2" w:rsidRPr="00B53505" w:rsidRDefault="00B00996">
      <w:pPr>
        <w:pStyle w:val="Considrant"/>
      </w:pPr>
      <w:r w:rsidRPr="00B53505">
        <w:t>Moreover, the Strategic Board should support the Commission in setting s</w:t>
      </w:r>
      <w:r w:rsidR="0072455B" w:rsidRPr="00B53505">
        <w:t xml:space="preserve">trategic guidance and overall investment goals. The </w:t>
      </w:r>
      <w:r w:rsidR="00F333EF" w:rsidRPr="00B53505">
        <w:t>Strategic</w:t>
      </w:r>
      <w:r w:rsidR="0072455B" w:rsidRPr="00B53505">
        <w:t xml:space="preserve"> Board </w:t>
      </w:r>
      <w:r w:rsidR="00497D10" w:rsidRPr="00B53505">
        <w:t>should</w:t>
      </w:r>
      <w:r w:rsidR="0046246F" w:rsidRPr="00B53505">
        <w:t xml:space="preserve"> </w:t>
      </w:r>
      <w:r w:rsidR="0072455B" w:rsidRPr="00B53505">
        <w:t xml:space="preserve">also </w:t>
      </w:r>
      <w:r w:rsidR="00F93E9D" w:rsidRPr="00B53505">
        <w:t xml:space="preserve">support </w:t>
      </w:r>
      <w:r w:rsidR="0072455B" w:rsidRPr="00B53505">
        <w:t xml:space="preserve">coordination and coherence between the </w:t>
      </w:r>
      <w:r w:rsidRPr="00B53505">
        <w:t>r</w:t>
      </w:r>
      <w:r w:rsidR="0072455B" w:rsidRPr="00B53505">
        <w:t xml:space="preserve">egional </w:t>
      </w:r>
      <w:r w:rsidRPr="00B53505">
        <w:t>p</w:t>
      </w:r>
      <w:r w:rsidR="0072455B" w:rsidRPr="00B53505">
        <w:t xml:space="preserve">latforms. This </w:t>
      </w:r>
      <w:r w:rsidR="00497D10" w:rsidRPr="00B53505">
        <w:t>s</w:t>
      </w:r>
      <w:r w:rsidR="00500256" w:rsidRPr="00B53505">
        <w:t>hould</w:t>
      </w:r>
      <w:r w:rsidR="0072455B" w:rsidRPr="00B53505">
        <w:t xml:space="preserve"> ensure complementarity of the various instruments in external action. The </w:t>
      </w:r>
      <w:r w:rsidR="00F333EF" w:rsidRPr="00B53505">
        <w:t>Strategic</w:t>
      </w:r>
      <w:r w:rsidR="0072455B" w:rsidRPr="00B53505">
        <w:t xml:space="preserve"> Board </w:t>
      </w:r>
      <w:r w:rsidR="00497D10" w:rsidRPr="00B53505">
        <w:t>sh</w:t>
      </w:r>
      <w:r w:rsidR="00500256" w:rsidRPr="00B53505">
        <w:t>ould</w:t>
      </w:r>
      <w:r w:rsidR="0072455B" w:rsidRPr="00B53505">
        <w:t xml:space="preserve"> be co-chaired by the Commission and </w:t>
      </w:r>
      <w:r w:rsidR="00994423" w:rsidRPr="00B53505">
        <w:t>the High Representative</w:t>
      </w:r>
      <w:r w:rsidR="00434D5C" w:rsidRPr="00B53505">
        <w:t xml:space="preserve"> </w:t>
      </w:r>
      <w:r w:rsidR="002A3818" w:rsidRPr="00B53505">
        <w:t xml:space="preserve">of the Union </w:t>
      </w:r>
      <w:r w:rsidR="00434D5C" w:rsidRPr="00B53505">
        <w:t xml:space="preserve">for Foreign </w:t>
      </w:r>
      <w:r w:rsidR="002A3818" w:rsidRPr="00B53505">
        <w:t xml:space="preserve">Affairs </w:t>
      </w:r>
      <w:r w:rsidR="00434D5C" w:rsidRPr="00B53505">
        <w:t>and Security Policy</w:t>
      </w:r>
      <w:r w:rsidR="0072455B" w:rsidRPr="00B53505">
        <w:t xml:space="preserve"> to ensure consistency and coherence with </w:t>
      </w:r>
      <w:r w:rsidR="00434D5C" w:rsidRPr="00B53505">
        <w:t xml:space="preserve">Union </w:t>
      </w:r>
      <w:r w:rsidR="0072455B" w:rsidRPr="00B53505">
        <w:t>external policy objectives and partnership frameworks with third countries.</w:t>
      </w:r>
    </w:p>
    <w:p w14:paraId="1D4E3A89" w14:textId="381D0373" w:rsidR="006C1094" w:rsidRPr="00B53505" w:rsidRDefault="0072455B" w:rsidP="0072455B">
      <w:pPr>
        <w:pStyle w:val="Considrant"/>
      </w:pPr>
      <w:r w:rsidRPr="00B53505">
        <w:t xml:space="preserve">The EFSD Guarantee </w:t>
      </w:r>
      <w:r w:rsidR="002F03CF" w:rsidRPr="00B53505">
        <w:t>should</w:t>
      </w:r>
      <w:r w:rsidRPr="00B53505">
        <w:t xml:space="preserve"> be granted </w:t>
      </w:r>
      <w:r w:rsidR="002A3818" w:rsidRPr="00B53505">
        <w:t xml:space="preserve">to eligible counterparts </w:t>
      </w:r>
      <w:r w:rsidRPr="00B53505">
        <w:t xml:space="preserve">for financing and investment operations or guarantee instruments for an initial investment period up to 31 December 2020. </w:t>
      </w:r>
    </w:p>
    <w:p w14:paraId="6F5EAD97" w14:textId="2CB9CA27" w:rsidR="00434D5C" w:rsidRPr="00B53505" w:rsidRDefault="00196760" w:rsidP="00434D5C">
      <w:pPr>
        <w:pStyle w:val="Considrant"/>
      </w:pPr>
      <w:r w:rsidRPr="00B53505">
        <w:t xml:space="preserve">In order to provide for flexibility, increase the attractiveness for the private sector and maximise the impact of the investments it is appropriate to provide for a derogation from Article </w:t>
      </w:r>
      <w:r w:rsidRPr="00B53505">
        <w:rPr>
          <w:szCs w:val="24"/>
        </w:rPr>
        <w:t>58(1)(c)(vii) of Regulation (EU) No 966/2012 of the European Parliament and the Council</w:t>
      </w:r>
      <w:r w:rsidRPr="00B53505">
        <w:rPr>
          <w:rStyle w:val="FootnoteReference"/>
        </w:rPr>
        <w:footnoteReference w:id="25"/>
      </w:r>
      <w:r w:rsidRPr="00B53505">
        <w:t xml:space="preserve"> by which the eligible counterparts who are bodies governed by private law could also be bodies which are not entrusted with the implementation of a public-private partnership</w:t>
      </w:r>
      <w:r w:rsidR="00CA6D95" w:rsidRPr="00B53505">
        <w:t xml:space="preserve"> and could also be bodies governed by the private law of a partner country</w:t>
      </w:r>
      <w:r w:rsidR="004F0097" w:rsidRPr="00B53505">
        <w:t>.</w:t>
      </w:r>
      <w:r w:rsidR="00FB4804" w:rsidRPr="00B53505">
        <w:t xml:space="preserve"> </w:t>
      </w:r>
    </w:p>
    <w:p w14:paraId="276ECBCE" w14:textId="6E8D0E29" w:rsidR="0072455B" w:rsidRPr="00B53505" w:rsidRDefault="0072455B" w:rsidP="0072455B">
      <w:pPr>
        <w:pStyle w:val="Considrant"/>
      </w:pPr>
      <w:r w:rsidRPr="00B53505">
        <w:t xml:space="preserve">The Commission </w:t>
      </w:r>
      <w:r w:rsidR="002F03CF" w:rsidRPr="00B53505">
        <w:t>should</w:t>
      </w:r>
      <w:r w:rsidRPr="00B53505">
        <w:t xml:space="preserve"> conclude </w:t>
      </w:r>
      <w:r w:rsidR="00987288" w:rsidRPr="00B53505">
        <w:t xml:space="preserve">guarantee </w:t>
      </w:r>
      <w:r w:rsidRPr="00B53505">
        <w:t xml:space="preserve">agreements with the </w:t>
      </w:r>
      <w:r w:rsidR="00B00996" w:rsidRPr="00B53505">
        <w:t>e</w:t>
      </w:r>
      <w:r w:rsidRPr="00B53505">
        <w:t xml:space="preserve">ligible </w:t>
      </w:r>
      <w:r w:rsidR="00B00996" w:rsidRPr="00B53505">
        <w:t>c</w:t>
      </w:r>
      <w:r w:rsidRPr="00B53505">
        <w:t xml:space="preserve">ounterparts setting out the specific provisions </w:t>
      </w:r>
      <w:r w:rsidR="00987288" w:rsidRPr="00B53505">
        <w:t xml:space="preserve">under which </w:t>
      </w:r>
      <w:r w:rsidRPr="00B53505">
        <w:t>the EFSD Guarantee</w:t>
      </w:r>
      <w:r w:rsidR="00987288" w:rsidRPr="00B53505">
        <w:t xml:space="preserve"> is granted to them</w:t>
      </w:r>
      <w:r w:rsidRPr="00B53505">
        <w:t>.</w:t>
      </w:r>
      <w:r w:rsidR="002F03CF" w:rsidRPr="00B53505">
        <w:t xml:space="preserve"> These guarantee agreements </w:t>
      </w:r>
      <w:r w:rsidR="00500256" w:rsidRPr="00B53505">
        <w:t xml:space="preserve">should </w:t>
      </w:r>
      <w:r w:rsidR="002F03CF" w:rsidRPr="00B53505">
        <w:t>provide the legal basis for adequate risk sharing</w:t>
      </w:r>
      <w:r w:rsidR="008A61AB" w:rsidRPr="00B53505">
        <w:t xml:space="preserve">, thus providing incentives for the </w:t>
      </w:r>
      <w:r w:rsidR="008A6598" w:rsidRPr="00B53505">
        <w:t>e</w:t>
      </w:r>
      <w:r w:rsidR="008A61AB" w:rsidRPr="00B53505">
        <w:t xml:space="preserve">ligible </w:t>
      </w:r>
      <w:r w:rsidR="008A6598" w:rsidRPr="00B53505">
        <w:t>c</w:t>
      </w:r>
      <w:r w:rsidR="008A61AB" w:rsidRPr="00B53505">
        <w:t>ounterparts to provide</w:t>
      </w:r>
      <w:r w:rsidR="001B323A" w:rsidRPr="00B53505">
        <w:t xml:space="preserve"> financ</w:t>
      </w:r>
      <w:r w:rsidR="00FB4804" w:rsidRPr="00B53505">
        <w:t>ing</w:t>
      </w:r>
      <w:r w:rsidR="001B323A" w:rsidRPr="00B53505">
        <w:t xml:space="preserve">, as well as </w:t>
      </w:r>
      <w:r w:rsidR="002F03CF" w:rsidRPr="00B53505">
        <w:t>the mechanism</w:t>
      </w:r>
      <w:r w:rsidR="00FB4804" w:rsidRPr="00B53505">
        <w:t>s</w:t>
      </w:r>
      <w:r w:rsidR="002F03CF" w:rsidRPr="00B53505">
        <w:t xml:space="preserve"> and procedures for </w:t>
      </w:r>
      <w:r w:rsidR="008A61AB" w:rsidRPr="00B53505">
        <w:t xml:space="preserve">potential </w:t>
      </w:r>
      <w:r w:rsidR="001B323A" w:rsidRPr="00B53505">
        <w:t>calls on</w:t>
      </w:r>
      <w:r w:rsidR="008A61AB" w:rsidRPr="00B53505">
        <w:t xml:space="preserve"> the </w:t>
      </w:r>
      <w:r w:rsidR="001B323A" w:rsidRPr="00B53505">
        <w:t>EFSD G</w:t>
      </w:r>
      <w:r w:rsidR="008A61AB" w:rsidRPr="00B53505">
        <w:t>uarantee.</w:t>
      </w:r>
    </w:p>
    <w:p w14:paraId="55D2BFA3" w14:textId="54F87541" w:rsidR="00356F22" w:rsidRPr="00B53505" w:rsidRDefault="00987288" w:rsidP="00356F22">
      <w:pPr>
        <w:pStyle w:val="Considrant"/>
      </w:pPr>
      <w:r w:rsidRPr="00B53505">
        <w:t xml:space="preserve">The Union should make available a guarantee of EUR 1 </w:t>
      </w:r>
      <w:r w:rsidR="004F2B8C">
        <w:t>5</w:t>
      </w:r>
      <w:r w:rsidRPr="00B53505">
        <w:t xml:space="preserve">00 000 000 to establish the EFSD Guarantee. </w:t>
      </w:r>
      <w:r w:rsidR="009B7B80" w:rsidRPr="00B53505">
        <w:t xml:space="preserve">Member States and other contributors are invited to contribute further to support the EFSD Guarantee Fund in the form of cash (Member States and other contributors) or guarantees (Member States) in order to increase the liquidity cushion and thus </w:t>
      </w:r>
      <w:r w:rsidRPr="00B53505">
        <w:t xml:space="preserve">allow the increase of </w:t>
      </w:r>
      <w:r w:rsidR="009B7B80" w:rsidRPr="00B53505">
        <w:t xml:space="preserve">the total volume of </w:t>
      </w:r>
      <w:r w:rsidRPr="00B53505">
        <w:t>EFSD G</w:t>
      </w:r>
      <w:r w:rsidR="009B7B80" w:rsidRPr="00B53505">
        <w:t xml:space="preserve">uarantee. </w:t>
      </w:r>
      <w:r w:rsidR="00356F22" w:rsidRPr="00B53505">
        <w:t>The Union should make available a guarantee of EUR 1</w:t>
      </w:r>
      <w:r w:rsidR="0048598C" w:rsidRPr="00B53505">
        <w:t> </w:t>
      </w:r>
      <w:r w:rsidR="004F2B8C">
        <w:t>5</w:t>
      </w:r>
      <w:r w:rsidR="00AF66D3" w:rsidRPr="00B53505">
        <w:t>00</w:t>
      </w:r>
      <w:r w:rsidR="0048598C" w:rsidRPr="00B53505">
        <w:t> </w:t>
      </w:r>
      <w:r w:rsidR="00AF66D3" w:rsidRPr="00B53505">
        <w:t>000</w:t>
      </w:r>
      <w:r w:rsidR="0048598C" w:rsidRPr="00B53505">
        <w:t> </w:t>
      </w:r>
      <w:r w:rsidR="00AF66D3" w:rsidRPr="00B53505">
        <w:t>000</w:t>
      </w:r>
      <w:r w:rsidR="00356F22" w:rsidRPr="00B53505">
        <w:t xml:space="preserve"> to establish the EFSD Guarantee. Member States, public financial institutions and other contributors should be invited to provide additional funding to the EFSD Guarantee Fund under conditions that should be established </w:t>
      </w:r>
      <w:r w:rsidR="000C2FB1" w:rsidRPr="00B53505">
        <w:t xml:space="preserve">in an agreement to be </w:t>
      </w:r>
      <w:r w:rsidRPr="00B53505">
        <w:t xml:space="preserve">concluded </w:t>
      </w:r>
      <w:r w:rsidR="00356F22" w:rsidRPr="00B53505">
        <w:t xml:space="preserve">between the Commission </w:t>
      </w:r>
      <w:r w:rsidRPr="00B53505">
        <w:t xml:space="preserve">on behalf of the Union </w:t>
      </w:r>
      <w:r w:rsidR="00356F22" w:rsidRPr="00B53505">
        <w:t xml:space="preserve">and all the contributors. </w:t>
      </w:r>
    </w:p>
    <w:p w14:paraId="110EB61F" w14:textId="5AB71E12" w:rsidR="00356F22" w:rsidRPr="002C4DDA" w:rsidRDefault="00356F22" w:rsidP="00356F22">
      <w:pPr>
        <w:pStyle w:val="Considrant"/>
      </w:pPr>
      <w:r w:rsidRPr="00B53505">
        <w:t xml:space="preserve">The EFSD Guarantee Fund should be established as a liquidity cushion in the event of </w:t>
      </w:r>
      <w:r w:rsidRPr="002C4DDA">
        <w:t>a call on the EFSD Guarantee</w:t>
      </w:r>
      <w:r w:rsidR="00AF66D3" w:rsidRPr="002C4DDA">
        <w:t>. T</w:t>
      </w:r>
      <w:r w:rsidRPr="002C4DDA">
        <w:t xml:space="preserve">o reach a level that adequately reflects EU financial liabilities in relation to the EFSD </w:t>
      </w:r>
      <w:r w:rsidR="00AF66D3" w:rsidRPr="002C4DDA">
        <w:t>Guarantee, t</w:t>
      </w:r>
      <w:r w:rsidRPr="002C4DDA">
        <w:t>he Union should make a</w:t>
      </w:r>
      <w:r w:rsidR="00AF66D3" w:rsidRPr="002C4DDA">
        <w:t>vailable EUR</w:t>
      </w:r>
      <w:r w:rsidR="0048598C" w:rsidRPr="002C4DDA">
        <w:t> </w:t>
      </w:r>
      <w:r w:rsidR="002C4DDA">
        <w:t>7</w:t>
      </w:r>
      <w:r w:rsidR="00AF66D3" w:rsidRPr="002C4DDA">
        <w:t>50</w:t>
      </w:r>
      <w:r w:rsidR="0048598C" w:rsidRPr="002C4DDA">
        <w:t> 000 000</w:t>
      </w:r>
      <w:r w:rsidR="00AF66D3" w:rsidRPr="002C4DDA">
        <w:t>.</w:t>
      </w:r>
      <w:r w:rsidRPr="002C4DDA">
        <w:t xml:space="preserve"> </w:t>
      </w:r>
    </w:p>
    <w:p w14:paraId="37A5F847" w14:textId="534DA243" w:rsidR="00434D5C" w:rsidRPr="002C4DDA" w:rsidRDefault="007753B7" w:rsidP="00434E6D">
      <w:pPr>
        <w:pStyle w:val="Considrant"/>
        <w:numPr>
          <w:ilvl w:val="0"/>
          <w:numId w:val="23"/>
        </w:numPr>
      </w:pPr>
      <w:r w:rsidRPr="002C4DDA">
        <w:t xml:space="preserve">In order to </w:t>
      </w:r>
      <w:r w:rsidR="009B7B80" w:rsidRPr="002C4DDA">
        <w:t xml:space="preserve">increase the </w:t>
      </w:r>
      <w:r w:rsidR="00A543E2" w:rsidRPr="002C4DDA">
        <w:t xml:space="preserve">impact of the EFSD Guarantee in view of the </w:t>
      </w:r>
      <w:r w:rsidR="009B7B80" w:rsidRPr="002C4DDA">
        <w:t xml:space="preserve">needs </w:t>
      </w:r>
      <w:r w:rsidR="00A543E2" w:rsidRPr="002C4DDA">
        <w:t xml:space="preserve">in the regions concerned, Member States </w:t>
      </w:r>
      <w:r w:rsidR="000C2EE8" w:rsidRPr="002C4DDA">
        <w:t>should have the possibility of providin</w:t>
      </w:r>
      <w:r w:rsidR="00404D5F" w:rsidRPr="002C4DDA">
        <w:t>g contributions</w:t>
      </w:r>
      <w:r w:rsidR="000C2EE8" w:rsidRPr="002C4DDA">
        <w:t xml:space="preserve"> </w:t>
      </w:r>
      <w:r w:rsidR="00A543E2" w:rsidRPr="002C4DDA">
        <w:t>in the form of a guarantee or cash</w:t>
      </w:r>
      <w:r w:rsidR="009B7B80" w:rsidRPr="002C4DDA">
        <w:t>.</w:t>
      </w:r>
      <w:r w:rsidR="00A543E2" w:rsidRPr="002C4DDA">
        <w:t xml:space="preserve"> Those contributions could be </w:t>
      </w:r>
      <w:r w:rsidR="009B7B80" w:rsidRPr="002C4DDA">
        <w:t>earmark</w:t>
      </w:r>
      <w:r w:rsidR="00A543E2" w:rsidRPr="002C4DDA">
        <w:t>ed</w:t>
      </w:r>
      <w:r w:rsidR="009B7B80" w:rsidRPr="002C4DDA">
        <w:t xml:space="preserve"> </w:t>
      </w:r>
      <w:r w:rsidR="00356F22" w:rsidRPr="002C4DDA">
        <w:t>by region, sector or investment window</w:t>
      </w:r>
      <w:r w:rsidR="009B7B80" w:rsidRPr="002C4DDA">
        <w:t xml:space="preserve">. </w:t>
      </w:r>
    </w:p>
    <w:p w14:paraId="753293AE" w14:textId="6EE730BA" w:rsidR="00434D5C" w:rsidRPr="002C4DDA" w:rsidRDefault="009B7B80" w:rsidP="0072455B">
      <w:pPr>
        <w:pStyle w:val="Considrant"/>
      </w:pPr>
      <w:r w:rsidRPr="002C4DDA">
        <w:rPr>
          <w:szCs w:val="24"/>
        </w:rPr>
        <w:t>As the funds of the EDF are to be used for the countries eligible under the 11</w:t>
      </w:r>
      <w:r w:rsidRPr="002C4DDA">
        <w:rPr>
          <w:szCs w:val="24"/>
          <w:vertAlign w:val="superscript"/>
        </w:rPr>
        <w:t>th</w:t>
      </w:r>
      <w:r w:rsidRPr="002C4DDA">
        <w:rPr>
          <w:szCs w:val="24"/>
        </w:rPr>
        <w:t xml:space="preserve"> E</w:t>
      </w:r>
      <w:r w:rsidR="00987288" w:rsidRPr="002C4DDA">
        <w:rPr>
          <w:szCs w:val="24"/>
        </w:rPr>
        <w:t xml:space="preserve">uropean </w:t>
      </w:r>
      <w:r w:rsidRPr="002C4DDA">
        <w:rPr>
          <w:szCs w:val="24"/>
        </w:rPr>
        <w:t>D</w:t>
      </w:r>
      <w:r w:rsidR="00987288" w:rsidRPr="002C4DDA">
        <w:rPr>
          <w:szCs w:val="24"/>
        </w:rPr>
        <w:t xml:space="preserve">evelopment </w:t>
      </w:r>
      <w:r w:rsidRPr="002C4DDA">
        <w:rPr>
          <w:szCs w:val="24"/>
        </w:rPr>
        <w:t>F</w:t>
      </w:r>
      <w:r w:rsidR="00987288" w:rsidRPr="002C4DDA">
        <w:rPr>
          <w:szCs w:val="24"/>
        </w:rPr>
        <w:t>und (EDF)</w:t>
      </w:r>
      <w:r w:rsidR="00987288" w:rsidRPr="002C4DDA">
        <w:rPr>
          <w:rStyle w:val="FootnoteReference"/>
          <w:szCs w:val="24"/>
        </w:rPr>
        <w:footnoteReference w:id="26"/>
      </w:r>
      <w:r w:rsidRPr="002C4DDA">
        <w:rPr>
          <w:szCs w:val="24"/>
        </w:rPr>
        <w:t>, it</w:t>
      </w:r>
      <w:r w:rsidRPr="002C4DDA">
        <w:rPr>
          <w:rFonts w:cs="Arial"/>
          <w:szCs w:val="24"/>
        </w:rPr>
        <w:t xml:space="preserve"> requires </w:t>
      </w:r>
      <w:r w:rsidR="00125538" w:rsidRPr="002C4DDA">
        <w:rPr>
          <w:rFonts w:cs="Arial"/>
          <w:szCs w:val="24"/>
        </w:rPr>
        <w:t xml:space="preserve">the allocation </w:t>
      </w:r>
      <w:r w:rsidRPr="002C4DDA">
        <w:rPr>
          <w:rFonts w:cs="Arial"/>
          <w:szCs w:val="24"/>
        </w:rPr>
        <w:t>of a minimum of EUR</w:t>
      </w:r>
      <w:r w:rsidR="00DF52D0" w:rsidRPr="002C4DDA">
        <w:rPr>
          <w:rFonts w:cs="Arial"/>
          <w:szCs w:val="24"/>
        </w:rPr>
        <w:t> </w:t>
      </w:r>
      <w:r w:rsidRPr="002C4DDA">
        <w:rPr>
          <w:rFonts w:cs="Arial"/>
          <w:szCs w:val="24"/>
        </w:rPr>
        <w:t>400</w:t>
      </w:r>
      <w:r w:rsidR="00DF52D0" w:rsidRPr="002C4DDA">
        <w:rPr>
          <w:rFonts w:cs="Arial"/>
          <w:szCs w:val="24"/>
        </w:rPr>
        <w:t> </w:t>
      </w:r>
      <w:r w:rsidR="009F3DD3" w:rsidRPr="002C4DDA">
        <w:rPr>
          <w:rFonts w:cs="Arial"/>
          <w:szCs w:val="24"/>
        </w:rPr>
        <w:t>000</w:t>
      </w:r>
      <w:r w:rsidR="00DF52D0" w:rsidRPr="002C4DDA">
        <w:rPr>
          <w:rFonts w:cs="Arial"/>
          <w:szCs w:val="24"/>
        </w:rPr>
        <w:t> </w:t>
      </w:r>
      <w:r w:rsidR="009F3DD3" w:rsidRPr="002C4DDA">
        <w:rPr>
          <w:rFonts w:cs="Arial"/>
          <w:szCs w:val="24"/>
        </w:rPr>
        <w:t>000</w:t>
      </w:r>
      <w:r w:rsidRPr="002C4DDA">
        <w:rPr>
          <w:rFonts w:cs="Arial"/>
          <w:szCs w:val="24"/>
        </w:rPr>
        <w:t xml:space="preserve"> of EFSD Guarantee</w:t>
      </w:r>
      <w:r w:rsidR="00125538" w:rsidRPr="002C4DDA">
        <w:rPr>
          <w:rFonts w:cs="Arial"/>
          <w:szCs w:val="24"/>
        </w:rPr>
        <w:t xml:space="preserve"> coverage </w:t>
      </w:r>
      <w:r w:rsidR="00F32320" w:rsidRPr="002C4DDA">
        <w:rPr>
          <w:rFonts w:cs="Arial"/>
          <w:szCs w:val="24"/>
        </w:rPr>
        <w:t xml:space="preserve">for investments </w:t>
      </w:r>
      <w:r w:rsidR="00987288" w:rsidRPr="002C4DDA">
        <w:rPr>
          <w:rFonts w:cs="Arial"/>
          <w:szCs w:val="24"/>
        </w:rPr>
        <w:t>throughout the implementation period of the EFSD Guarantee</w:t>
      </w:r>
      <w:r w:rsidRPr="002C4DDA">
        <w:rPr>
          <w:rFonts w:cs="Arial"/>
          <w:szCs w:val="24"/>
        </w:rPr>
        <w:t xml:space="preserve">. </w:t>
      </w:r>
      <w:r w:rsidR="00A543E2" w:rsidRPr="002C4DDA">
        <w:t xml:space="preserve">The EFSD Guarantee </w:t>
      </w:r>
      <w:r w:rsidR="00987288" w:rsidRPr="002C4DDA">
        <w:t xml:space="preserve">should </w:t>
      </w:r>
      <w:r w:rsidR="00A543E2" w:rsidRPr="002C4DDA">
        <w:t>only be</w:t>
      </w:r>
      <w:r w:rsidR="00987288" w:rsidRPr="002C4DDA">
        <w:t>come available</w:t>
      </w:r>
      <w:r w:rsidR="00A543E2" w:rsidRPr="002C4DDA">
        <w:t xml:space="preserve"> when EUR</w:t>
      </w:r>
      <w:r w:rsidR="00DF52D0" w:rsidRPr="002C4DDA">
        <w:t> </w:t>
      </w:r>
      <w:r w:rsidR="00A543E2" w:rsidRPr="002C4DDA">
        <w:t>400</w:t>
      </w:r>
      <w:r w:rsidR="00DF52D0" w:rsidRPr="002C4DDA">
        <w:t> </w:t>
      </w:r>
      <w:r w:rsidR="009F3DD3" w:rsidRPr="002C4DDA">
        <w:t>000</w:t>
      </w:r>
      <w:r w:rsidR="00DF52D0" w:rsidRPr="002C4DDA">
        <w:t> </w:t>
      </w:r>
      <w:r w:rsidR="009F3DD3" w:rsidRPr="002C4DDA">
        <w:t>000</w:t>
      </w:r>
      <w:r w:rsidR="00A543E2" w:rsidRPr="002C4DDA">
        <w:t xml:space="preserve"> of 11</w:t>
      </w:r>
      <w:r w:rsidR="00A543E2" w:rsidRPr="002C4DDA">
        <w:rPr>
          <w:vertAlign w:val="superscript"/>
        </w:rPr>
        <w:t>th</w:t>
      </w:r>
      <w:r w:rsidR="00A543E2" w:rsidRPr="002C4DDA">
        <w:t xml:space="preserve"> EDF funds ha</w:t>
      </w:r>
      <w:r w:rsidR="00987288" w:rsidRPr="002C4DDA">
        <w:t>ve</w:t>
      </w:r>
      <w:r w:rsidR="00A543E2" w:rsidRPr="002C4DDA">
        <w:t xml:space="preserve"> been </w:t>
      </w:r>
      <w:r w:rsidR="00987288" w:rsidRPr="002C4DDA">
        <w:t>allocated</w:t>
      </w:r>
      <w:r w:rsidR="00A543E2" w:rsidRPr="002C4DDA">
        <w:t xml:space="preserve"> to the EFSD Guarantee Fund.</w:t>
      </w:r>
      <w:r w:rsidR="002C4DDA">
        <w:t xml:space="preserve"> </w:t>
      </w:r>
    </w:p>
    <w:p w14:paraId="3BD6927E" w14:textId="3E09821D" w:rsidR="00B00996" w:rsidRPr="00B53505" w:rsidRDefault="00B00996" w:rsidP="00B00996">
      <w:pPr>
        <w:pStyle w:val="Considrant"/>
      </w:pPr>
      <w:r w:rsidRPr="00B53505">
        <w:t>The Commission should report annually to the European Parliament and the Council on the financing and investment operation</w:t>
      </w:r>
      <w:r w:rsidR="00FB4804" w:rsidRPr="00B53505">
        <w:t>s</w:t>
      </w:r>
      <w:r w:rsidRPr="00B53505">
        <w:t xml:space="preserve"> covered by the EFSD Guarantee with a view to ensuring </w:t>
      </w:r>
      <w:r w:rsidR="003E33F7" w:rsidRPr="00B53505">
        <w:t>accountability to the European citizens.</w:t>
      </w:r>
      <w:r w:rsidRPr="00B53505">
        <w:t xml:space="preserve"> The report should be made public in order to allow relevant stakeholders, including civil society, to express their views. The Commission should also report annually to the European Parliament and the Council on the management of the EFS</w:t>
      </w:r>
      <w:r w:rsidR="002C4DDA">
        <w:t>D</w:t>
      </w:r>
      <w:r w:rsidRPr="00B53505">
        <w:t xml:space="preserve"> Guarantee Fund so that </w:t>
      </w:r>
      <w:r w:rsidR="003E33F7" w:rsidRPr="00B53505">
        <w:t xml:space="preserve">accountability and transparency </w:t>
      </w:r>
      <w:r w:rsidR="00FB4804" w:rsidRPr="00B53505">
        <w:t>are</w:t>
      </w:r>
      <w:r w:rsidR="003E33F7" w:rsidRPr="00B53505">
        <w:t xml:space="preserve"> ensured</w:t>
      </w:r>
      <w:r w:rsidRPr="00B53505">
        <w:t xml:space="preserve">. </w:t>
      </w:r>
    </w:p>
    <w:p w14:paraId="2CFD4C7F" w14:textId="1269F81A" w:rsidR="00472A65" w:rsidRPr="00B53505" w:rsidRDefault="00B00996" w:rsidP="009F3DD3">
      <w:pPr>
        <w:pStyle w:val="Considrant"/>
      </w:pPr>
      <w:r w:rsidRPr="00B53505">
        <w:t>In order to</w:t>
      </w:r>
      <w:r w:rsidR="003E33F7" w:rsidRPr="00B53505">
        <w:t xml:space="preserve"> </w:t>
      </w:r>
      <w:r w:rsidR="00FB4804" w:rsidRPr="00B53505">
        <w:t>take</w:t>
      </w:r>
      <w:r w:rsidR="003E33F7" w:rsidRPr="00B53505">
        <w:t xml:space="preserve"> into account lessons learned and allow for further evolvement of the EFSD</w:t>
      </w:r>
      <w:r w:rsidRPr="00B53505">
        <w:t xml:space="preserve">, the functioning of the EFSD and the use of the EFSD Guarantee Fund should be evaluated by the Commission. The application of this Regulation should be evaluated independently in order to </w:t>
      </w:r>
      <w:r w:rsidR="00472A65" w:rsidRPr="00B53505">
        <w:t xml:space="preserve">assess </w:t>
      </w:r>
      <w:r w:rsidR="00FB4804" w:rsidRPr="00B53505">
        <w:t>the level of</w:t>
      </w:r>
      <w:r w:rsidR="003E33F7" w:rsidRPr="00B53505">
        <w:t xml:space="preserve"> conformity of the implementation with the legal basis, but also to establish the applicability and practicability of the Regulation </w:t>
      </w:r>
      <w:r w:rsidR="00FB4804" w:rsidRPr="00B53505">
        <w:t>in the achievement of</w:t>
      </w:r>
      <w:r w:rsidR="003E33F7" w:rsidRPr="00B53505">
        <w:t xml:space="preserve"> its objectives. </w:t>
      </w:r>
    </w:p>
    <w:p w14:paraId="7ECCA869" w14:textId="0DD169C1" w:rsidR="00B00996" w:rsidRPr="00B53505" w:rsidRDefault="00472A65" w:rsidP="009F3DD3">
      <w:pPr>
        <w:pStyle w:val="Considrant"/>
      </w:pPr>
      <w:r w:rsidRPr="00B53505">
        <w:t>I</w:t>
      </w:r>
      <w:r w:rsidR="00B00996" w:rsidRPr="00B53505">
        <w:t>n order to protect the financial interests of the Union, with a view to establishing whether there has been fraud, corruption, money laundering or any other illegal activity affecting the financial interests of the Union in connection with any financing and investment operations covered by this Regulation, the European Anti-Fraud Office (OLAF) is entitled to carry out investigations in accordance with Regulation (EU, Euratom) No 883/2013 of the European Parliament and of the Council</w:t>
      </w:r>
      <w:r w:rsidR="00B00996" w:rsidRPr="00B53505">
        <w:rPr>
          <w:rStyle w:val="FootnoteReference"/>
        </w:rPr>
        <w:footnoteReference w:id="27"/>
      </w:r>
      <w:r w:rsidR="00B00996" w:rsidRPr="00B53505">
        <w:t>, Council Regulation (Euratom, EC) No 2185/96</w:t>
      </w:r>
      <w:r w:rsidR="00B00996" w:rsidRPr="00B53505">
        <w:rPr>
          <w:rStyle w:val="FootnoteReference"/>
        </w:rPr>
        <w:footnoteReference w:id="28"/>
      </w:r>
      <w:r w:rsidR="00B00996" w:rsidRPr="00B53505">
        <w:t xml:space="preserve"> and Council Regulation (EC, Euratom) No 2988/95</w:t>
      </w:r>
      <w:r w:rsidR="002C4DDA">
        <w:t>.</w:t>
      </w:r>
      <w:r w:rsidR="00B00996" w:rsidRPr="00B53505">
        <w:rPr>
          <w:rStyle w:val="FootnoteReference"/>
        </w:rPr>
        <w:footnoteReference w:id="29"/>
      </w:r>
    </w:p>
    <w:p w14:paraId="0C65C10E" w14:textId="2C9DFC1E" w:rsidR="00B00996" w:rsidRPr="00B53505" w:rsidRDefault="00B00996" w:rsidP="00B00996">
      <w:pPr>
        <w:pStyle w:val="Considrant"/>
      </w:pPr>
      <w:r w:rsidRPr="00B53505">
        <w:t>In order to contribute to the international fight against tax fraud, tax evasion and money</w:t>
      </w:r>
      <w:r w:rsidRPr="00B53505">
        <w:noBreakHyphen/>
        <w:t>laundering, the eligible counterparts should not support any activities carried out for illegal purposes and should not participate in any financing or investment operation through a vehicle located in a non-cooperative jurisdiction.</w:t>
      </w:r>
    </w:p>
    <w:p w14:paraId="36ABE1C5" w14:textId="1B81EEB9" w:rsidR="0072455B" w:rsidRPr="00B53505" w:rsidDel="00385664" w:rsidRDefault="0072455B" w:rsidP="0072455B">
      <w:pPr>
        <w:pStyle w:val="Considrant"/>
      </w:pPr>
      <w:r w:rsidRPr="00B53505" w:rsidDel="00385664">
        <w:t>In order to fulfil the political commitments of the EU on renewable energy and climate change a minimum share of 20% for the funding allocated under the EFSD sh</w:t>
      </w:r>
      <w:r w:rsidR="009B4905" w:rsidRPr="00B53505" w:rsidDel="00385664">
        <w:t>ould</w:t>
      </w:r>
      <w:r w:rsidRPr="00B53505" w:rsidDel="00385664">
        <w:t xml:space="preserve"> be devoted to financing and investment operations </w:t>
      </w:r>
      <w:r w:rsidR="007D4484" w:rsidRPr="00B53505" w:rsidDel="00385664">
        <w:t xml:space="preserve">relevant for </w:t>
      </w:r>
      <w:r w:rsidRPr="00B53505" w:rsidDel="00385664">
        <w:t>these sectors</w:t>
      </w:r>
      <w:r w:rsidR="003E33F7" w:rsidRPr="00B53505">
        <w:t>.</w:t>
      </w:r>
    </w:p>
    <w:p w14:paraId="7B01186E" w14:textId="77777777" w:rsidR="00D70913" w:rsidRPr="00B53505" w:rsidRDefault="00D70913" w:rsidP="007630B5">
      <w:pPr>
        <w:pStyle w:val="Formuledadoption"/>
      </w:pPr>
      <w:r w:rsidRPr="00B53505">
        <w:t>HAVE ADOPTED THIS REGULATION:</w:t>
      </w:r>
    </w:p>
    <w:p w14:paraId="74133A4E" w14:textId="77777777" w:rsidR="0039786E" w:rsidRPr="00B53505" w:rsidRDefault="00B579AC" w:rsidP="0039786E">
      <w:pPr>
        <w:spacing w:before="360"/>
        <w:jc w:val="center"/>
      </w:pPr>
      <w:r w:rsidRPr="00B53505">
        <w:t>CHAPTER I</w:t>
      </w:r>
    </w:p>
    <w:p w14:paraId="20B0B667" w14:textId="77777777" w:rsidR="00B579AC" w:rsidRPr="00B53505" w:rsidRDefault="00B579AC" w:rsidP="00B579AC">
      <w:pPr>
        <w:jc w:val="center"/>
      </w:pPr>
      <w:r w:rsidRPr="00B53505">
        <w:t>INTRODUCTORY PROVISIONS</w:t>
      </w:r>
    </w:p>
    <w:p w14:paraId="0EA70AD0" w14:textId="77777777" w:rsidR="00B579AC" w:rsidRPr="00B53505" w:rsidRDefault="00B579AC" w:rsidP="00B579AC">
      <w:pPr>
        <w:pStyle w:val="Titrearticle"/>
        <w:rPr>
          <w:b/>
        </w:rPr>
      </w:pPr>
      <w:r w:rsidRPr="00B53505">
        <w:rPr>
          <w:b/>
        </w:rPr>
        <w:t>Article 1</w:t>
      </w:r>
      <w:r w:rsidRPr="00B53505">
        <w:rPr>
          <w:b/>
        </w:rPr>
        <w:br/>
        <w:t>Subject matter</w:t>
      </w:r>
    </w:p>
    <w:p w14:paraId="39568157" w14:textId="123B27DF" w:rsidR="00B579AC" w:rsidRPr="00B53505" w:rsidRDefault="00B579AC" w:rsidP="00333AE9">
      <w:r w:rsidRPr="00B53505">
        <w:t xml:space="preserve">1. This Regulation establishes the European Fund for Sustainable Development (EFSD), the EFSD </w:t>
      </w:r>
      <w:r w:rsidR="009B7B80" w:rsidRPr="00B53505">
        <w:t>G</w:t>
      </w:r>
      <w:r w:rsidRPr="00B53505">
        <w:t>uarantee and the EFSD Guarantee Fund</w:t>
      </w:r>
      <w:r w:rsidR="00BD0DFA" w:rsidRPr="00B53505">
        <w:t xml:space="preserve">. </w:t>
      </w:r>
    </w:p>
    <w:p w14:paraId="46ACADCA" w14:textId="065FA6CF" w:rsidR="00B579AC" w:rsidRPr="00B53505" w:rsidRDefault="00B579AC" w:rsidP="00333AE9">
      <w:r w:rsidRPr="00B53505">
        <w:t>2. For the purposes of paragraph 1, this Regulation provides for the Commission</w:t>
      </w:r>
      <w:r w:rsidR="00472A65" w:rsidRPr="00B53505">
        <w:t xml:space="preserve"> on behalf of the Union </w:t>
      </w:r>
      <w:r w:rsidRPr="00B53505">
        <w:t xml:space="preserve">to conclude guarantee agreements with the </w:t>
      </w:r>
      <w:r w:rsidR="0057454D" w:rsidRPr="00B53505">
        <w:t>e</w:t>
      </w:r>
      <w:r w:rsidRPr="00B53505">
        <w:t xml:space="preserve">ligible </w:t>
      </w:r>
      <w:r w:rsidR="0057454D" w:rsidRPr="00B53505">
        <w:t>c</w:t>
      </w:r>
      <w:r w:rsidRPr="00B53505">
        <w:t>ounterparts as defined in Article 10.</w:t>
      </w:r>
      <w:r w:rsidR="008B6743" w:rsidRPr="00B53505">
        <w:t xml:space="preserve"> </w:t>
      </w:r>
    </w:p>
    <w:p w14:paraId="6993E749" w14:textId="77777777" w:rsidR="00333AE9" w:rsidRPr="00B53505" w:rsidRDefault="00333AE9" w:rsidP="00333AE9">
      <w:pPr>
        <w:pStyle w:val="Titrearticle"/>
        <w:rPr>
          <w:b/>
        </w:rPr>
      </w:pPr>
      <w:r w:rsidRPr="00B53505">
        <w:rPr>
          <w:b/>
        </w:rPr>
        <w:t>Article 2</w:t>
      </w:r>
      <w:r w:rsidRPr="00B53505">
        <w:rPr>
          <w:b/>
        </w:rPr>
        <w:br/>
        <w:t>Definitions</w:t>
      </w:r>
    </w:p>
    <w:p w14:paraId="6A1CD19B" w14:textId="77777777" w:rsidR="00333AE9" w:rsidRPr="00B53505" w:rsidRDefault="00333AE9" w:rsidP="00333AE9">
      <w:r w:rsidRPr="00B53505">
        <w:t>For the purposes of this Regulation, the following definitions apply:</w:t>
      </w:r>
    </w:p>
    <w:p w14:paraId="39C975A5" w14:textId="27BB3446" w:rsidR="00E0449A" w:rsidRPr="00B53505" w:rsidRDefault="00333AE9" w:rsidP="00BD0DFA">
      <w:pPr>
        <w:spacing w:after="240"/>
      </w:pPr>
      <w:r w:rsidRPr="00B53505">
        <w:t>(</w:t>
      </w:r>
      <w:r w:rsidR="00E0449A" w:rsidRPr="00B53505">
        <w:t>1</w:t>
      </w:r>
      <w:r w:rsidRPr="00B53505">
        <w:t xml:space="preserve">) </w:t>
      </w:r>
      <w:r w:rsidR="00B53505">
        <w:t>'</w:t>
      </w:r>
      <w:r w:rsidR="009E5360" w:rsidRPr="00B53505">
        <w:t>r</w:t>
      </w:r>
      <w:r w:rsidRPr="00B53505">
        <w:t xml:space="preserve">egional </w:t>
      </w:r>
      <w:r w:rsidR="009E5360" w:rsidRPr="00B53505">
        <w:t>i</w:t>
      </w:r>
      <w:r w:rsidRPr="00B53505">
        <w:t xml:space="preserve">nvestment </w:t>
      </w:r>
      <w:r w:rsidR="009E5360" w:rsidRPr="00B53505">
        <w:t>p</w:t>
      </w:r>
      <w:r w:rsidRPr="00B53505">
        <w:t>latforms</w:t>
      </w:r>
      <w:r w:rsidR="00B53505">
        <w:t>'</w:t>
      </w:r>
      <w:r w:rsidRPr="00B53505">
        <w:t xml:space="preserve"> </w:t>
      </w:r>
      <w:r w:rsidR="009E5360" w:rsidRPr="00B53505">
        <w:t xml:space="preserve">means </w:t>
      </w:r>
      <w:r w:rsidR="00722BE6" w:rsidRPr="00B53505">
        <w:t>b</w:t>
      </w:r>
      <w:r w:rsidRPr="00B53505">
        <w:t xml:space="preserve">lending </w:t>
      </w:r>
      <w:r w:rsidR="00722BE6" w:rsidRPr="00B53505">
        <w:t>f</w:t>
      </w:r>
      <w:r w:rsidRPr="00B53505">
        <w:t>acilities</w:t>
      </w:r>
      <w:r w:rsidR="00B703CC" w:rsidRPr="00B53505">
        <w:t xml:space="preserve"> </w:t>
      </w:r>
      <w:r w:rsidR="00EF2DA6" w:rsidRPr="00B53505">
        <w:t xml:space="preserve">in line with Article 4 (1) e) of Regulation (EU) No 236/2014 </w:t>
      </w:r>
      <w:r w:rsidR="00472A65" w:rsidRPr="00B53505">
        <w:t>of the European Parliament and the Council</w:t>
      </w:r>
      <w:r w:rsidR="00472A65" w:rsidRPr="00B53505">
        <w:rPr>
          <w:rStyle w:val="FootnoteReference"/>
        </w:rPr>
        <w:footnoteReference w:id="30"/>
      </w:r>
      <w:r w:rsidR="00472A65" w:rsidRPr="00B53505">
        <w:t xml:space="preserve"> </w:t>
      </w:r>
      <w:r w:rsidR="00EF2DA6" w:rsidRPr="00B53505">
        <w:t>and with Article 40 of Council Regulation (EU) 2015/323</w:t>
      </w:r>
      <w:r w:rsidR="003C0C13" w:rsidRPr="00B53505">
        <w:rPr>
          <w:rStyle w:val="FootnoteReference"/>
        </w:rPr>
        <w:footnoteReference w:id="31"/>
      </w:r>
      <w:r w:rsidR="00EF2DA6" w:rsidRPr="00B53505">
        <w:t xml:space="preserve"> for the contribution from the </w:t>
      </w:r>
      <w:r w:rsidR="00472A65" w:rsidRPr="00B53505">
        <w:t>11</w:t>
      </w:r>
      <w:r w:rsidR="00472A65" w:rsidRPr="00B53505">
        <w:rPr>
          <w:vertAlign w:val="superscript"/>
        </w:rPr>
        <w:t>th</w:t>
      </w:r>
      <w:r w:rsidR="00472A65" w:rsidRPr="00B53505">
        <w:t xml:space="preserve"> </w:t>
      </w:r>
      <w:r w:rsidR="00EF2DA6" w:rsidRPr="00B53505">
        <w:t>European Development Fund</w:t>
      </w:r>
      <w:r w:rsidR="00472A65" w:rsidRPr="00B53505">
        <w:t xml:space="preserve"> (EDF)</w:t>
      </w:r>
      <w:r w:rsidR="00EF2DA6" w:rsidRPr="00B53505">
        <w:t xml:space="preserve"> </w:t>
      </w:r>
      <w:r w:rsidR="00BD0DFA" w:rsidRPr="00B53505">
        <w:t xml:space="preserve">combined with the granting of the </w:t>
      </w:r>
      <w:r w:rsidR="00BD0DFA" w:rsidRPr="00B53505">
        <w:rPr>
          <w:szCs w:val="24"/>
        </w:rPr>
        <w:t xml:space="preserve">EFSD </w:t>
      </w:r>
      <w:r w:rsidR="00E0449A" w:rsidRPr="00B53505">
        <w:rPr>
          <w:szCs w:val="24"/>
        </w:rPr>
        <w:t>G</w:t>
      </w:r>
      <w:r w:rsidR="00BD0DFA" w:rsidRPr="00B53505">
        <w:rPr>
          <w:szCs w:val="24"/>
        </w:rPr>
        <w:t>uarantee as set out in Article 6.</w:t>
      </w:r>
      <w:r w:rsidR="00BD0DFA" w:rsidRPr="00B53505">
        <w:t xml:space="preserve"> </w:t>
      </w:r>
    </w:p>
    <w:p w14:paraId="48269C7B" w14:textId="7D973BB9" w:rsidR="00BD0DFA" w:rsidRPr="00B53505" w:rsidRDefault="00BD0DFA" w:rsidP="00BD0DFA">
      <w:pPr>
        <w:spacing w:after="240"/>
      </w:pPr>
      <w:r w:rsidRPr="00B53505">
        <w:t xml:space="preserve">(2) </w:t>
      </w:r>
      <w:r w:rsidR="00B53505">
        <w:t>'</w:t>
      </w:r>
      <w:r w:rsidRPr="00B53505">
        <w:t>investment window</w:t>
      </w:r>
      <w:r w:rsidR="00B53505">
        <w:t>'</w:t>
      </w:r>
      <w:r w:rsidRPr="00B53505">
        <w:t xml:space="preserve"> means a targeted area for support </w:t>
      </w:r>
      <w:r w:rsidR="00C04648" w:rsidRPr="00B53505">
        <w:t>by the EFSD Guarantee to portfolios of investments in specific regions, countries or sectors</w:t>
      </w:r>
      <w:r w:rsidR="00161A10" w:rsidRPr="00B53505">
        <w:t xml:space="preserve"> and implemented</w:t>
      </w:r>
      <w:r w:rsidR="00C04648" w:rsidRPr="00B53505">
        <w:t xml:space="preserve"> via</w:t>
      </w:r>
      <w:r w:rsidR="00250243" w:rsidRPr="00B53505">
        <w:t xml:space="preserve"> the </w:t>
      </w:r>
      <w:r w:rsidR="00C04648" w:rsidRPr="00B53505">
        <w:t>regional investment platforms</w:t>
      </w:r>
      <w:r w:rsidR="00250243" w:rsidRPr="00B53505">
        <w:t xml:space="preserve">; </w:t>
      </w:r>
    </w:p>
    <w:p w14:paraId="0C4E0349" w14:textId="7444B51B" w:rsidR="00333AE9" w:rsidRPr="00B53505" w:rsidRDefault="00333AE9" w:rsidP="00BD0DFA">
      <w:pPr>
        <w:spacing w:after="240"/>
      </w:pPr>
      <w:r w:rsidRPr="00B53505">
        <w:t>(</w:t>
      </w:r>
      <w:r w:rsidR="00E0449A" w:rsidRPr="00B53505">
        <w:t>3</w:t>
      </w:r>
      <w:r w:rsidRPr="00B53505">
        <w:t xml:space="preserve">) </w:t>
      </w:r>
      <w:r w:rsidR="00B53505">
        <w:t>'</w:t>
      </w:r>
      <w:r w:rsidR="00DD1792" w:rsidRPr="00B53505">
        <w:t>c</w:t>
      </w:r>
      <w:r w:rsidRPr="00B53505">
        <w:t>ontributor</w:t>
      </w:r>
      <w:r w:rsidR="00B53505">
        <w:t>'</w:t>
      </w:r>
      <w:r w:rsidRPr="00B53505">
        <w:t xml:space="preserve"> means a</w:t>
      </w:r>
      <w:r w:rsidR="00DE7AC2" w:rsidRPr="00B53505">
        <w:t xml:space="preserve"> </w:t>
      </w:r>
      <w:r w:rsidRPr="00B53505">
        <w:t>Member State, an international financial institution or a</w:t>
      </w:r>
      <w:r w:rsidR="00DE7AC2" w:rsidRPr="00B53505">
        <w:t xml:space="preserve"> </w:t>
      </w:r>
      <w:r w:rsidRPr="00B53505">
        <w:t>public institution</w:t>
      </w:r>
      <w:r w:rsidR="00DE7AC2" w:rsidRPr="00B53505">
        <w:t xml:space="preserve"> of a Member State</w:t>
      </w:r>
      <w:r w:rsidRPr="00B53505">
        <w:t xml:space="preserve">, </w:t>
      </w:r>
      <w:r w:rsidR="00DE7AC2" w:rsidRPr="00B53505">
        <w:t xml:space="preserve">a </w:t>
      </w:r>
      <w:r w:rsidRPr="00B53505">
        <w:t xml:space="preserve">public agency or </w:t>
      </w:r>
      <w:r w:rsidR="00DE7AC2" w:rsidRPr="00B53505">
        <w:t xml:space="preserve">other </w:t>
      </w:r>
      <w:r w:rsidR="007D4484" w:rsidRPr="00B53505">
        <w:t xml:space="preserve">entities </w:t>
      </w:r>
      <w:r w:rsidRPr="00B53505">
        <w:t>contributing in cash grants or</w:t>
      </w:r>
      <w:r w:rsidR="007D4484" w:rsidRPr="00B53505">
        <w:t xml:space="preserve"> in</w:t>
      </w:r>
      <w:r w:rsidRPr="00B53505">
        <w:t xml:space="preserve"> guarantees to the EFSD Guarantee Fund</w:t>
      </w:r>
      <w:r w:rsidR="00DE7AC2" w:rsidRPr="00B53505">
        <w:t>;</w:t>
      </w:r>
      <w:r w:rsidRPr="00B53505">
        <w:t xml:space="preserve"> </w:t>
      </w:r>
    </w:p>
    <w:p w14:paraId="56E76A29" w14:textId="3A3B8A19" w:rsidR="00CC0D71" w:rsidRPr="00B53505" w:rsidRDefault="00333AE9" w:rsidP="00CC0D71">
      <w:pPr>
        <w:rPr>
          <w:szCs w:val="24"/>
          <w:lang w:eastAsia="en-GB"/>
        </w:rPr>
      </w:pPr>
      <w:r w:rsidRPr="00B53505">
        <w:t>(</w:t>
      </w:r>
      <w:r w:rsidR="00E0449A" w:rsidRPr="00B53505">
        <w:t>4</w:t>
      </w:r>
      <w:r w:rsidRPr="00B53505">
        <w:t xml:space="preserve">) </w:t>
      </w:r>
      <w:r w:rsidR="00B53505">
        <w:t>'</w:t>
      </w:r>
      <w:r w:rsidR="00171789" w:rsidRPr="00B53505">
        <w:t>p</w:t>
      </w:r>
      <w:r w:rsidR="00CC0D71" w:rsidRPr="00B53505">
        <w:t xml:space="preserve">artner </w:t>
      </w:r>
      <w:r w:rsidR="00171789" w:rsidRPr="00B53505">
        <w:t>c</w:t>
      </w:r>
      <w:r w:rsidR="00CC0D71" w:rsidRPr="00B53505">
        <w:t>ountries</w:t>
      </w:r>
      <w:r w:rsidR="00B53505">
        <w:t>'</w:t>
      </w:r>
      <w:r w:rsidR="00CC0D71" w:rsidRPr="00B53505">
        <w:t xml:space="preserve"> means countries that are signatories to the Partnership Agreement between the members of the African, Caribbean and Pacific Group of States of the one part, and the European Community and its member States, of the other part, signed in Cotonou on 23 June 2000 </w:t>
      </w:r>
      <w:r w:rsidR="00CC0D71" w:rsidRPr="00B53505">
        <w:rPr>
          <w:rStyle w:val="FootnoteReference"/>
        </w:rPr>
        <w:footnoteReference w:id="32"/>
      </w:r>
      <w:r w:rsidR="00230699" w:rsidRPr="00B53505">
        <w:t xml:space="preserve">, </w:t>
      </w:r>
      <w:r w:rsidR="00CC0D71" w:rsidRPr="00B53505">
        <w:t>countries that are listed in Annex I to Regulation (EU) No 232/2014 of the European Parliament and of the Council</w:t>
      </w:r>
      <w:r w:rsidR="00CC0D71" w:rsidRPr="00B53505">
        <w:rPr>
          <w:rStyle w:val="FootnoteReference"/>
        </w:rPr>
        <w:footnoteReference w:id="33"/>
      </w:r>
      <w:r w:rsidR="00CC0D71" w:rsidRPr="00B53505">
        <w:t xml:space="preserve"> as well as countries that are eligible for geographic cooperation under Regulation (EU) No 233/2014 of the European Parliament and of the Council </w:t>
      </w:r>
      <w:r w:rsidR="00CC0D71" w:rsidRPr="00B53505">
        <w:rPr>
          <w:rStyle w:val="FootnoteReference"/>
        </w:rPr>
        <w:footnoteReference w:id="34"/>
      </w:r>
      <w:r w:rsidR="00E0449A" w:rsidRPr="00B53505">
        <w:t>.</w:t>
      </w:r>
    </w:p>
    <w:p w14:paraId="6A26F886" w14:textId="6D736EB9" w:rsidR="00333AE9" w:rsidRPr="00B53505" w:rsidRDefault="00333AE9">
      <w:pPr>
        <w:spacing w:after="240"/>
      </w:pPr>
      <w:r w:rsidRPr="00B53505">
        <w:t xml:space="preserve">(5) </w:t>
      </w:r>
      <w:r w:rsidR="00B53505">
        <w:t>'</w:t>
      </w:r>
      <w:r w:rsidR="00171789" w:rsidRPr="00B53505">
        <w:t>a</w:t>
      </w:r>
      <w:r w:rsidRPr="00B53505">
        <w:t>dditionality</w:t>
      </w:r>
      <w:r w:rsidR="00B53505">
        <w:t>'</w:t>
      </w:r>
      <w:r w:rsidRPr="00B53505">
        <w:t xml:space="preserve"> means </w:t>
      </w:r>
      <w:r w:rsidR="006B0C0C" w:rsidRPr="00B53505">
        <w:t xml:space="preserve">the principle ensuring that </w:t>
      </w:r>
      <w:r w:rsidRPr="00B53505">
        <w:t xml:space="preserve">the EFSD </w:t>
      </w:r>
      <w:r w:rsidR="00526F96" w:rsidRPr="00B53505">
        <w:t>G</w:t>
      </w:r>
      <w:r w:rsidRPr="00B53505">
        <w:t xml:space="preserve">uarantee </w:t>
      </w:r>
      <w:r w:rsidR="00747022" w:rsidRPr="00B53505">
        <w:t xml:space="preserve">support </w:t>
      </w:r>
      <w:r w:rsidR="002C2770" w:rsidRPr="00B53505">
        <w:t>may</w:t>
      </w:r>
      <w:r w:rsidRPr="00B53505">
        <w:t xml:space="preserve"> not be aimed at replacing </w:t>
      </w:r>
      <w:r w:rsidR="006B0C0C" w:rsidRPr="00B53505">
        <w:t xml:space="preserve">the support </w:t>
      </w:r>
      <w:r w:rsidRPr="00B53505">
        <w:t>of a</w:t>
      </w:r>
      <w:r w:rsidR="002C2770" w:rsidRPr="00B53505">
        <w:t xml:space="preserve"> </w:t>
      </w:r>
      <w:r w:rsidRPr="00B53505">
        <w:t>Member State, private funding or another Union financial intervention</w:t>
      </w:r>
      <w:r w:rsidR="00E0449A" w:rsidRPr="00B53505">
        <w:t xml:space="preserve">, </w:t>
      </w:r>
      <w:r w:rsidR="00A57232" w:rsidRPr="00B53505">
        <w:t xml:space="preserve">as well as </w:t>
      </w:r>
      <w:r w:rsidR="00E0449A" w:rsidRPr="00B53505">
        <w:t xml:space="preserve">that it is aimed at </w:t>
      </w:r>
      <w:r w:rsidR="005D6185" w:rsidRPr="00B53505">
        <w:t>addressing market failures and avoiding crowding out other public or private investments.</w:t>
      </w:r>
    </w:p>
    <w:p w14:paraId="74192A1B" w14:textId="77777777" w:rsidR="0039786E" w:rsidRPr="00B53505" w:rsidRDefault="00333AE9" w:rsidP="0039786E">
      <w:pPr>
        <w:keepNext/>
        <w:keepLines/>
        <w:spacing w:before="360"/>
        <w:jc w:val="center"/>
      </w:pPr>
      <w:r w:rsidRPr="00B53505">
        <w:t>CHAPTER II</w:t>
      </w:r>
    </w:p>
    <w:p w14:paraId="04715090" w14:textId="77777777" w:rsidR="0039786E" w:rsidRPr="00B53505" w:rsidRDefault="00333AE9" w:rsidP="0039786E">
      <w:pPr>
        <w:keepNext/>
        <w:keepLines/>
        <w:jc w:val="center"/>
      </w:pPr>
      <w:r w:rsidRPr="00B53505">
        <w:t>EUROPEAN FUND FOR SUSTAINABLE DEVELOPMENT</w:t>
      </w:r>
    </w:p>
    <w:p w14:paraId="0A2C5671" w14:textId="77777777" w:rsidR="00333AE9" w:rsidRPr="00B53505" w:rsidRDefault="00333AE9" w:rsidP="00333AE9">
      <w:pPr>
        <w:pStyle w:val="Titrearticle"/>
        <w:rPr>
          <w:b/>
        </w:rPr>
      </w:pPr>
      <w:r w:rsidRPr="00B53505">
        <w:rPr>
          <w:b/>
        </w:rPr>
        <w:t>Article 3</w:t>
      </w:r>
      <w:r w:rsidRPr="00B53505">
        <w:rPr>
          <w:b/>
        </w:rPr>
        <w:br/>
        <w:t xml:space="preserve">Purpose </w:t>
      </w:r>
    </w:p>
    <w:p w14:paraId="61FCF461" w14:textId="54255AC3" w:rsidR="00333AE9" w:rsidRPr="00B53505" w:rsidRDefault="008910CB" w:rsidP="00333AE9">
      <w:r w:rsidRPr="00B53505">
        <w:t xml:space="preserve">1. </w:t>
      </w:r>
      <w:r w:rsidR="00333AE9" w:rsidRPr="00B53505">
        <w:t xml:space="preserve">The purpose of the EFSD as an integrated financial package shall be to support through the supply </w:t>
      </w:r>
      <w:r w:rsidR="00CC0331" w:rsidRPr="00B53505">
        <w:t xml:space="preserve">of </w:t>
      </w:r>
      <w:r w:rsidR="00385664" w:rsidRPr="00B53505">
        <w:t>financing</w:t>
      </w:r>
      <w:r w:rsidR="00333AE9" w:rsidRPr="00B53505">
        <w:t xml:space="preserve"> capacity in the form of </w:t>
      </w:r>
      <w:r w:rsidR="00EB6167" w:rsidRPr="00B53505">
        <w:t xml:space="preserve">grants, </w:t>
      </w:r>
      <w:r w:rsidR="00333AE9" w:rsidRPr="00B53505">
        <w:t xml:space="preserve">guarantees and </w:t>
      </w:r>
      <w:r w:rsidR="00EB6167" w:rsidRPr="00B53505">
        <w:t xml:space="preserve">other </w:t>
      </w:r>
      <w:r w:rsidR="00333AE9" w:rsidRPr="00B53505">
        <w:t xml:space="preserve">financial instruments to </w:t>
      </w:r>
      <w:r w:rsidR="00250243" w:rsidRPr="00B53505">
        <w:t>e</w:t>
      </w:r>
      <w:r w:rsidR="00333AE9" w:rsidRPr="00B53505">
        <w:t xml:space="preserve">ligible </w:t>
      </w:r>
      <w:r w:rsidR="00250243" w:rsidRPr="00B53505">
        <w:t>c</w:t>
      </w:r>
      <w:r w:rsidR="00333AE9" w:rsidRPr="00B53505">
        <w:t>ounterparts</w:t>
      </w:r>
      <w:r w:rsidR="005101BD" w:rsidRPr="00B53505">
        <w:t xml:space="preserve"> investments and increased access to financing </w:t>
      </w:r>
      <w:r w:rsidR="001C5F6E" w:rsidRPr="00B53505">
        <w:t>starting</w:t>
      </w:r>
      <w:r w:rsidR="002A6466" w:rsidRPr="00B53505">
        <w:t xml:space="preserve"> </w:t>
      </w:r>
      <w:r w:rsidR="000C2009" w:rsidRPr="00B53505">
        <w:t>in Africa</w:t>
      </w:r>
      <w:r w:rsidR="00250243" w:rsidRPr="00B53505">
        <w:t>n</w:t>
      </w:r>
      <w:r w:rsidR="00A03E70" w:rsidRPr="00B53505">
        <w:t xml:space="preserve"> </w:t>
      </w:r>
      <w:r w:rsidR="000C2009" w:rsidRPr="00B53505">
        <w:t>and Neighbourhood</w:t>
      </w:r>
      <w:r w:rsidR="00A03E70" w:rsidRPr="00B53505">
        <w:t xml:space="preserve"> partner countries</w:t>
      </w:r>
      <w:r w:rsidR="00A130DF" w:rsidRPr="00B53505">
        <w:t xml:space="preserve">. </w:t>
      </w:r>
    </w:p>
    <w:p w14:paraId="40382A72" w14:textId="404B1DEE" w:rsidR="008910CB" w:rsidRPr="00B53505" w:rsidRDefault="008910CB" w:rsidP="00333AE9">
      <w:r w:rsidRPr="00B53505">
        <w:t xml:space="preserve">2. </w:t>
      </w:r>
      <w:r w:rsidR="002C3657" w:rsidRPr="00B53505">
        <w:t>T</w:t>
      </w:r>
      <w:r w:rsidR="005101BD" w:rsidRPr="00B53505">
        <w:t xml:space="preserve">he EFSD shall </w:t>
      </w:r>
      <w:r w:rsidR="00333AE9" w:rsidRPr="00B53505">
        <w:t>contribut</w:t>
      </w:r>
      <w:r w:rsidR="005101BD" w:rsidRPr="00B53505">
        <w:t>e</w:t>
      </w:r>
      <w:r w:rsidR="00333AE9" w:rsidRPr="00B53505">
        <w:t xml:space="preserve"> to the achievement of the </w:t>
      </w:r>
      <w:r w:rsidR="00FC4B03" w:rsidRPr="00B53505">
        <w:t>S</w:t>
      </w:r>
      <w:r w:rsidR="00333AE9" w:rsidRPr="00B53505">
        <w:t xml:space="preserve">ustainable </w:t>
      </w:r>
      <w:r w:rsidR="00FC4B03" w:rsidRPr="00B53505">
        <w:t>D</w:t>
      </w:r>
      <w:r w:rsidR="00333AE9" w:rsidRPr="00B53505">
        <w:t xml:space="preserve">evelopment </w:t>
      </w:r>
      <w:r w:rsidR="00FC4B03" w:rsidRPr="00B53505">
        <w:t>G</w:t>
      </w:r>
      <w:r w:rsidR="00333AE9" w:rsidRPr="00B53505">
        <w:t>oals</w:t>
      </w:r>
      <w:r w:rsidR="002C3657" w:rsidRPr="00B53505">
        <w:t xml:space="preserve"> of the 2030 Agenda</w:t>
      </w:r>
      <w:r w:rsidR="00333AE9" w:rsidRPr="00B53505">
        <w:t xml:space="preserve"> with a particular focus on </w:t>
      </w:r>
      <w:r w:rsidR="004716F4">
        <w:t xml:space="preserve">sustainable </w:t>
      </w:r>
      <w:r w:rsidR="00333AE9" w:rsidRPr="00B53505">
        <w:t xml:space="preserve">growth, job creation, socio-economic sectors and on the support to micro, small and medium sized enterprises, thus </w:t>
      </w:r>
      <w:r w:rsidR="00FC4B03" w:rsidRPr="00B53505">
        <w:t>ad</w:t>
      </w:r>
      <w:r w:rsidR="007C0EB8" w:rsidRPr="00B53505">
        <w:t>d</w:t>
      </w:r>
      <w:r w:rsidR="00FC4B03" w:rsidRPr="00B53505">
        <w:t xml:space="preserve">ressing </w:t>
      </w:r>
      <w:r w:rsidR="00333AE9" w:rsidRPr="00B53505">
        <w:t xml:space="preserve">root causes of migration </w:t>
      </w:r>
      <w:r w:rsidR="00161A10" w:rsidRPr="00B53505">
        <w:t xml:space="preserve">and contributing to sustainable reintegration of returned migrants in their countries of origin </w:t>
      </w:r>
      <w:r w:rsidR="0020017B" w:rsidRPr="00B53505">
        <w:t>while maximising</w:t>
      </w:r>
      <w:r w:rsidR="00333AE9" w:rsidRPr="00B53505">
        <w:t xml:space="preserve"> additionality, deliver</w:t>
      </w:r>
      <w:r w:rsidR="00EB6167" w:rsidRPr="00B53505">
        <w:t>ing</w:t>
      </w:r>
      <w:r w:rsidR="00333AE9" w:rsidRPr="00B53505">
        <w:t xml:space="preserve"> innovative products and crowd</w:t>
      </w:r>
      <w:r w:rsidR="00EB6167" w:rsidRPr="00B53505">
        <w:t>ing</w:t>
      </w:r>
      <w:r w:rsidR="00333AE9" w:rsidRPr="00B53505">
        <w:t xml:space="preserve"> in private sector funds. </w:t>
      </w:r>
    </w:p>
    <w:p w14:paraId="45C11EE5" w14:textId="77777777" w:rsidR="00333AE9" w:rsidRPr="00B53505" w:rsidRDefault="00333AE9" w:rsidP="00333AE9">
      <w:pPr>
        <w:pStyle w:val="Titrearticle"/>
        <w:rPr>
          <w:b/>
        </w:rPr>
      </w:pPr>
      <w:r w:rsidRPr="00B53505">
        <w:rPr>
          <w:b/>
        </w:rPr>
        <w:t>Article 4</w:t>
      </w:r>
      <w:r w:rsidRPr="00B53505">
        <w:rPr>
          <w:b/>
        </w:rPr>
        <w:br/>
        <w:t>Structure of the EFSD</w:t>
      </w:r>
    </w:p>
    <w:p w14:paraId="1CCB1BF9" w14:textId="2AD87F49" w:rsidR="00F333EF" w:rsidRPr="00B53505" w:rsidRDefault="00333AE9" w:rsidP="00333AE9">
      <w:r w:rsidRPr="00B53505">
        <w:t xml:space="preserve">1. The EFSD shall </w:t>
      </w:r>
      <w:r w:rsidR="002A6466" w:rsidRPr="00B53505">
        <w:t>be composed</w:t>
      </w:r>
      <w:r w:rsidR="00F333EF" w:rsidRPr="00B53505">
        <w:t xml:space="preserve"> of </w:t>
      </w:r>
      <w:r w:rsidR="007E5052" w:rsidRPr="00B53505">
        <w:t>r</w:t>
      </w:r>
      <w:r w:rsidR="002A6466" w:rsidRPr="00B53505">
        <w:t xml:space="preserve">egional </w:t>
      </w:r>
      <w:r w:rsidR="007E5052" w:rsidRPr="00B53505">
        <w:t>i</w:t>
      </w:r>
      <w:r w:rsidR="002A6466" w:rsidRPr="00B53505">
        <w:t xml:space="preserve">nvestment </w:t>
      </w:r>
      <w:r w:rsidR="007E5052" w:rsidRPr="00B53505">
        <w:t>p</w:t>
      </w:r>
      <w:r w:rsidR="002A6466" w:rsidRPr="00B53505">
        <w:t>latforms</w:t>
      </w:r>
      <w:r w:rsidR="00A130DF" w:rsidRPr="00B53505">
        <w:t>,</w:t>
      </w:r>
      <w:r w:rsidR="00171789" w:rsidRPr="00B53505">
        <w:t xml:space="preserve"> </w:t>
      </w:r>
      <w:r w:rsidR="002A6466" w:rsidRPr="00B53505">
        <w:t xml:space="preserve">which </w:t>
      </w:r>
      <w:r w:rsidR="00A130DF" w:rsidRPr="00B53505">
        <w:t xml:space="preserve">will </w:t>
      </w:r>
      <w:r w:rsidR="002A6466" w:rsidRPr="00B53505">
        <w:t xml:space="preserve">combine </w:t>
      </w:r>
      <w:r w:rsidR="00A130DF" w:rsidRPr="00B53505">
        <w:t xml:space="preserve">financing from </w:t>
      </w:r>
      <w:r w:rsidR="00F333EF" w:rsidRPr="00B53505">
        <w:t xml:space="preserve">existing blending facilities </w:t>
      </w:r>
      <w:r w:rsidR="00A130DF" w:rsidRPr="00B53505">
        <w:t>and the</w:t>
      </w:r>
      <w:r w:rsidR="00C51093" w:rsidRPr="00B53505">
        <w:t xml:space="preserve"> </w:t>
      </w:r>
      <w:r w:rsidR="00F333EF" w:rsidRPr="00B53505">
        <w:t xml:space="preserve">EFSD </w:t>
      </w:r>
      <w:r w:rsidR="00526F96" w:rsidRPr="00B53505">
        <w:t>G</w:t>
      </w:r>
      <w:r w:rsidR="00F333EF" w:rsidRPr="00B53505">
        <w:t xml:space="preserve">uarantee. </w:t>
      </w:r>
    </w:p>
    <w:p w14:paraId="36FCDEB3" w14:textId="085DA6FE" w:rsidR="00774317" w:rsidRPr="00B53505" w:rsidRDefault="00333AE9" w:rsidP="00333AE9">
      <w:r w:rsidRPr="00B53505">
        <w:t>2.</w:t>
      </w:r>
      <w:r w:rsidR="003B160B" w:rsidRPr="00B53505">
        <w:t xml:space="preserve"> </w:t>
      </w:r>
      <w:r w:rsidR="00F333EF" w:rsidRPr="00B53505">
        <w:t xml:space="preserve">The </w:t>
      </w:r>
      <w:r w:rsidR="00342245" w:rsidRPr="00B53505">
        <w:t>m</w:t>
      </w:r>
      <w:r w:rsidR="00F333EF" w:rsidRPr="00B53505">
        <w:t xml:space="preserve">anagement of the EFSD shall be ensured by the Commission. </w:t>
      </w:r>
    </w:p>
    <w:p w14:paraId="1DF83832" w14:textId="0BDC2456" w:rsidR="00333AE9" w:rsidRPr="00B53505" w:rsidRDefault="00333AE9" w:rsidP="00333AE9">
      <w:pPr>
        <w:pStyle w:val="Titrearticle"/>
        <w:rPr>
          <w:b/>
        </w:rPr>
      </w:pPr>
      <w:r w:rsidRPr="00B53505">
        <w:rPr>
          <w:b/>
        </w:rPr>
        <w:t>Article 5</w:t>
      </w:r>
      <w:r w:rsidRPr="00B53505">
        <w:rPr>
          <w:b/>
        </w:rPr>
        <w:br/>
      </w:r>
      <w:r w:rsidR="00F8150A" w:rsidRPr="00B53505">
        <w:rPr>
          <w:b/>
        </w:rPr>
        <w:t>Stra</w:t>
      </w:r>
      <w:r w:rsidR="00230699" w:rsidRPr="00B53505">
        <w:rPr>
          <w:b/>
        </w:rPr>
        <w:t>tegic b</w:t>
      </w:r>
      <w:r w:rsidR="00EE522C" w:rsidRPr="00B53505">
        <w:rPr>
          <w:b/>
        </w:rPr>
        <w:t xml:space="preserve">oard </w:t>
      </w:r>
      <w:r w:rsidRPr="00B53505">
        <w:rPr>
          <w:b/>
        </w:rPr>
        <w:t>of the EFSD</w:t>
      </w:r>
    </w:p>
    <w:p w14:paraId="56908E5C" w14:textId="712FD181" w:rsidR="00333AE9" w:rsidRPr="00B53505" w:rsidRDefault="00333AE9" w:rsidP="00333AE9">
      <w:r w:rsidRPr="00B53505">
        <w:t xml:space="preserve">1. </w:t>
      </w:r>
      <w:r w:rsidR="00BD5F8A" w:rsidRPr="00B53505">
        <w:t>In the management of t</w:t>
      </w:r>
      <w:r w:rsidRPr="00B53505">
        <w:t>he EFSD</w:t>
      </w:r>
      <w:r w:rsidR="00BD5F8A" w:rsidRPr="00B53505">
        <w:t xml:space="preserve"> the Commission</w:t>
      </w:r>
      <w:r w:rsidRPr="00B53505">
        <w:t xml:space="preserve"> shall be </w:t>
      </w:r>
      <w:r w:rsidR="00F333EF" w:rsidRPr="00B53505">
        <w:t xml:space="preserve">assisted </w:t>
      </w:r>
      <w:r w:rsidRPr="00B53505">
        <w:t xml:space="preserve">by a </w:t>
      </w:r>
      <w:r w:rsidR="001765A4" w:rsidRPr="00B53505">
        <w:t>s</w:t>
      </w:r>
      <w:r w:rsidR="00F333EF" w:rsidRPr="00B53505">
        <w:t xml:space="preserve">trategic </w:t>
      </w:r>
      <w:r w:rsidR="001765A4" w:rsidRPr="00B53505">
        <w:t>b</w:t>
      </w:r>
      <w:r w:rsidRPr="00B53505">
        <w:t xml:space="preserve">oard. </w:t>
      </w:r>
    </w:p>
    <w:p w14:paraId="02B2421B" w14:textId="1796EA4E" w:rsidR="00333AE9" w:rsidRPr="00B53505" w:rsidRDefault="00333AE9" w:rsidP="00333AE9">
      <w:r w:rsidRPr="00B53505">
        <w:t>It shall provide strategic guidance</w:t>
      </w:r>
      <w:r w:rsidR="00601E83" w:rsidRPr="00B53505">
        <w:t xml:space="preserve"> </w:t>
      </w:r>
      <w:r w:rsidRPr="00B53505">
        <w:t xml:space="preserve">and </w:t>
      </w:r>
      <w:r w:rsidR="00F333EF" w:rsidRPr="00B53505">
        <w:t xml:space="preserve">support the Commission in setting </w:t>
      </w:r>
      <w:r w:rsidRPr="00B53505">
        <w:t xml:space="preserve">overall investment goals as regards the use of the EFSD </w:t>
      </w:r>
      <w:r w:rsidR="00526F96" w:rsidRPr="00B53505">
        <w:t>G</w:t>
      </w:r>
      <w:r w:rsidRPr="00B53505">
        <w:t xml:space="preserve">uarantee. The </w:t>
      </w:r>
      <w:r w:rsidR="00EE522C" w:rsidRPr="00B53505">
        <w:t>s</w:t>
      </w:r>
      <w:r w:rsidR="00A02E07" w:rsidRPr="00B53505">
        <w:t>trategic</w:t>
      </w:r>
      <w:r w:rsidR="00F333EF" w:rsidRPr="00B53505">
        <w:t xml:space="preserve"> </w:t>
      </w:r>
      <w:r w:rsidR="00EE522C" w:rsidRPr="00B53505">
        <w:t>b</w:t>
      </w:r>
      <w:r w:rsidRPr="00B53505">
        <w:t xml:space="preserve">oard </w:t>
      </w:r>
      <w:r w:rsidR="00ED0716" w:rsidRPr="00B53505">
        <w:t>sha</w:t>
      </w:r>
      <w:r w:rsidRPr="00B53505">
        <w:t xml:space="preserve">ll also </w:t>
      </w:r>
      <w:r w:rsidR="00601E83" w:rsidRPr="00B53505">
        <w:t xml:space="preserve">support overall </w:t>
      </w:r>
      <w:r w:rsidRPr="00B53505">
        <w:t xml:space="preserve">coordination and coherence between the </w:t>
      </w:r>
      <w:r w:rsidR="00171789" w:rsidRPr="00B53505">
        <w:t>r</w:t>
      </w:r>
      <w:r w:rsidRPr="00B53505">
        <w:t xml:space="preserve">egional </w:t>
      </w:r>
      <w:r w:rsidR="00171789" w:rsidRPr="00B53505">
        <w:t>i</w:t>
      </w:r>
      <w:r w:rsidRPr="00B53505">
        <w:t xml:space="preserve">nvestment </w:t>
      </w:r>
      <w:r w:rsidR="00171789" w:rsidRPr="00B53505">
        <w:t>p</w:t>
      </w:r>
      <w:r w:rsidRPr="00B53505">
        <w:t xml:space="preserve">latforms and with the external lending </w:t>
      </w:r>
      <w:r w:rsidR="00EE522C" w:rsidRPr="00B53505">
        <w:t>mandate</w:t>
      </w:r>
      <w:r w:rsidR="00705CAF" w:rsidRPr="00B53505">
        <w:t xml:space="preserve"> </w:t>
      </w:r>
      <w:r w:rsidRPr="00B53505">
        <w:t>operations managed by the EIB</w:t>
      </w:r>
      <w:r w:rsidR="00A52565" w:rsidRPr="00B53505">
        <w:t xml:space="preserve">, including the EIB </w:t>
      </w:r>
      <w:r w:rsidR="00EE522C" w:rsidRPr="00B53505">
        <w:t>r</w:t>
      </w:r>
      <w:r w:rsidR="00A52565" w:rsidRPr="00B53505">
        <w:t xml:space="preserve">esilience </w:t>
      </w:r>
      <w:r w:rsidR="00EE522C" w:rsidRPr="00B53505">
        <w:t>i</w:t>
      </w:r>
      <w:r w:rsidR="00A52565" w:rsidRPr="00B53505">
        <w:t>nitiative</w:t>
      </w:r>
      <w:r w:rsidR="002A4F59" w:rsidRPr="00B53505">
        <w:t>.</w:t>
      </w:r>
    </w:p>
    <w:p w14:paraId="0B9EC1C1" w14:textId="5835B6A3" w:rsidR="00333AE9" w:rsidRPr="00B53505" w:rsidRDefault="00A021E3" w:rsidP="00333AE9">
      <w:r w:rsidRPr="00B53505">
        <w:t xml:space="preserve">2. </w:t>
      </w:r>
      <w:r w:rsidR="00333AE9" w:rsidRPr="00B53505">
        <w:t xml:space="preserve">The </w:t>
      </w:r>
      <w:r w:rsidR="00EE522C" w:rsidRPr="00B53505">
        <w:t>s</w:t>
      </w:r>
      <w:r w:rsidR="00F333EF" w:rsidRPr="00B53505">
        <w:t>trategic</w:t>
      </w:r>
      <w:r w:rsidR="00333AE9" w:rsidRPr="00B53505">
        <w:t xml:space="preserve"> </w:t>
      </w:r>
      <w:r w:rsidR="00EE522C" w:rsidRPr="00B53505">
        <w:t>b</w:t>
      </w:r>
      <w:r w:rsidR="00333AE9" w:rsidRPr="00B53505">
        <w:t xml:space="preserve">oard </w:t>
      </w:r>
      <w:r w:rsidR="00ED0716" w:rsidRPr="00B53505">
        <w:t>shall be</w:t>
      </w:r>
      <w:r w:rsidR="00333AE9" w:rsidRPr="00B53505">
        <w:t xml:space="preserve"> composed of representatives of the Commission and </w:t>
      </w:r>
      <w:r w:rsidR="00ED0716" w:rsidRPr="00B53505">
        <w:t xml:space="preserve">of </w:t>
      </w:r>
      <w:r w:rsidR="00333AE9" w:rsidRPr="00B53505">
        <w:t xml:space="preserve">the </w:t>
      </w:r>
      <w:r w:rsidR="00EF2DA6" w:rsidRPr="00B53505">
        <w:t xml:space="preserve">High Representative </w:t>
      </w:r>
      <w:r w:rsidR="007E5052" w:rsidRPr="00B53505">
        <w:t xml:space="preserve">of the Union </w:t>
      </w:r>
      <w:r w:rsidR="00EF2DA6" w:rsidRPr="00B53505">
        <w:t xml:space="preserve">for </w:t>
      </w:r>
      <w:r w:rsidR="007E5052" w:rsidRPr="00B53505">
        <w:t xml:space="preserve">Foreign Affairs </w:t>
      </w:r>
      <w:r w:rsidR="00EF2DA6" w:rsidRPr="00B53505">
        <w:t>and Security Policy</w:t>
      </w:r>
      <w:r w:rsidR="00EE522C" w:rsidRPr="00B53505">
        <w:t xml:space="preserve"> (High Representative)</w:t>
      </w:r>
      <w:r w:rsidR="00333AE9" w:rsidRPr="00B53505">
        <w:t xml:space="preserve">, </w:t>
      </w:r>
      <w:r w:rsidR="00ED0716" w:rsidRPr="00B53505">
        <w:t xml:space="preserve">of the </w:t>
      </w:r>
      <w:r w:rsidR="00F55671" w:rsidRPr="00B53505">
        <w:t>Member States and</w:t>
      </w:r>
      <w:r w:rsidR="00333AE9" w:rsidRPr="00B53505">
        <w:t xml:space="preserve"> </w:t>
      </w:r>
      <w:r w:rsidR="00ED0716" w:rsidRPr="00B53505">
        <w:t xml:space="preserve">of </w:t>
      </w:r>
      <w:r w:rsidR="00333AE9" w:rsidRPr="00B53505">
        <w:t>the EIB</w:t>
      </w:r>
      <w:r w:rsidR="00F333EF" w:rsidRPr="00B53505">
        <w:t xml:space="preserve">. The Commission may invite other contributors to </w:t>
      </w:r>
      <w:r w:rsidR="00BD5F8A" w:rsidRPr="00B53505">
        <w:t xml:space="preserve">become members of </w:t>
      </w:r>
      <w:r w:rsidR="00F333EF" w:rsidRPr="00B53505">
        <w:t xml:space="preserve">the </w:t>
      </w:r>
      <w:r w:rsidR="00EE522C" w:rsidRPr="00B53505">
        <w:t>s</w:t>
      </w:r>
      <w:r w:rsidRPr="00B53505">
        <w:t xml:space="preserve">trategic </w:t>
      </w:r>
      <w:r w:rsidR="00EE522C" w:rsidRPr="00B53505">
        <w:t>b</w:t>
      </w:r>
      <w:r w:rsidR="00F333EF" w:rsidRPr="00B53505">
        <w:t>oard having regard where approp</w:t>
      </w:r>
      <w:r w:rsidR="00F55671" w:rsidRPr="00B53505">
        <w:t xml:space="preserve">riate to the view of the </w:t>
      </w:r>
      <w:r w:rsidR="00EE522C" w:rsidRPr="00B53505">
        <w:t>b</w:t>
      </w:r>
      <w:r w:rsidR="00F55671" w:rsidRPr="00B53505">
        <w:t>oard.</w:t>
      </w:r>
      <w:r w:rsidR="00333AE9" w:rsidRPr="00B53505">
        <w:t xml:space="preserve"> </w:t>
      </w:r>
      <w:r w:rsidR="00F333EF" w:rsidRPr="00B53505">
        <w:t xml:space="preserve">Partner Countries and relevant regional organisations, the </w:t>
      </w:r>
      <w:r w:rsidR="00171789" w:rsidRPr="00B53505">
        <w:t>e</w:t>
      </w:r>
      <w:r w:rsidR="00F333EF" w:rsidRPr="00B53505">
        <w:t xml:space="preserve">ligible </w:t>
      </w:r>
      <w:r w:rsidR="00171789" w:rsidRPr="00B53505">
        <w:t>c</w:t>
      </w:r>
      <w:r w:rsidR="00F333EF" w:rsidRPr="00B53505">
        <w:t>ounterparts and the European Parliament may be given observer status</w:t>
      </w:r>
      <w:r w:rsidR="00F55671" w:rsidRPr="00B53505">
        <w:t>, where appropriate</w:t>
      </w:r>
      <w:r w:rsidR="00F333EF" w:rsidRPr="00B53505">
        <w:t xml:space="preserve">. </w:t>
      </w:r>
      <w:r w:rsidR="005163A6" w:rsidRPr="00B53505">
        <w:t xml:space="preserve">The </w:t>
      </w:r>
      <w:r w:rsidR="00EE522C" w:rsidRPr="00B53505">
        <w:t>s</w:t>
      </w:r>
      <w:r w:rsidR="00F333EF" w:rsidRPr="00B53505">
        <w:t>trategic</w:t>
      </w:r>
      <w:r w:rsidR="005163A6" w:rsidRPr="00B53505">
        <w:t xml:space="preserve"> </w:t>
      </w:r>
      <w:r w:rsidR="00EE522C" w:rsidRPr="00B53505">
        <w:t>b</w:t>
      </w:r>
      <w:r w:rsidR="005163A6" w:rsidRPr="00B53505">
        <w:t>oard shall be</w:t>
      </w:r>
      <w:r w:rsidR="00E516E2" w:rsidRPr="00B53505">
        <w:t xml:space="preserve"> </w:t>
      </w:r>
      <w:r w:rsidR="00333AE9" w:rsidRPr="00B53505">
        <w:t xml:space="preserve">co-chaired by the Commission and the </w:t>
      </w:r>
      <w:r w:rsidRPr="00B53505">
        <w:t xml:space="preserve">High </w:t>
      </w:r>
      <w:r w:rsidR="00230699" w:rsidRPr="00B53505">
        <w:t>Representative.</w:t>
      </w:r>
    </w:p>
    <w:p w14:paraId="647BC894" w14:textId="77777777" w:rsidR="0039786E" w:rsidRPr="00B53505" w:rsidRDefault="00333AE9" w:rsidP="009B6FCB">
      <w:pPr>
        <w:keepNext/>
        <w:keepLines/>
        <w:spacing w:before="360"/>
        <w:jc w:val="center"/>
      </w:pPr>
      <w:r w:rsidRPr="00B53505">
        <w:t>CHAPTER III</w:t>
      </w:r>
    </w:p>
    <w:p w14:paraId="7BCAC0D3" w14:textId="77777777" w:rsidR="00333AE9" w:rsidRPr="00B53505" w:rsidRDefault="00333AE9" w:rsidP="009B6FCB">
      <w:pPr>
        <w:keepNext/>
        <w:keepLines/>
        <w:jc w:val="center"/>
      </w:pPr>
      <w:r w:rsidRPr="00B53505">
        <w:t>EFSD GUARANTEE AND EFSD GUARANTEE FUND</w:t>
      </w:r>
    </w:p>
    <w:p w14:paraId="2C54653A" w14:textId="77777777" w:rsidR="00333AE9" w:rsidRPr="00B53505" w:rsidRDefault="00333AE9" w:rsidP="00333AE9">
      <w:pPr>
        <w:pStyle w:val="Titrearticle"/>
        <w:rPr>
          <w:b/>
        </w:rPr>
      </w:pPr>
      <w:r w:rsidRPr="00B53505">
        <w:rPr>
          <w:b/>
        </w:rPr>
        <w:t>Article 6</w:t>
      </w:r>
      <w:r w:rsidRPr="00B53505">
        <w:rPr>
          <w:b/>
        </w:rPr>
        <w:br/>
        <w:t>The EFSD Guarantee</w:t>
      </w:r>
    </w:p>
    <w:p w14:paraId="3CBC1E3D" w14:textId="347C9273" w:rsidR="00333AE9" w:rsidRPr="00B53505" w:rsidRDefault="00333AE9" w:rsidP="00333AE9">
      <w:r w:rsidRPr="00B53505">
        <w:t xml:space="preserve">1. The Union shall provide an irrevocable and unconditional guarantee on first demand to the </w:t>
      </w:r>
      <w:r w:rsidR="00A130DF" w:rsidRPr="00B53505">
        <w:t>e</w:t>
      </w:r>
      <w:r w:rsidRPr="00B53505">
        <w:t xml:space="preserve">ligible </w:t>
      </w:r>
      <w:r w:rsidR="00A130DF" w:rsidRPr="00B53505">
        <w:t>c</w:t>
      </w:r>
      <w:r w:rsidRPr="00B53505">
        <w:t xml:space="preserve">ounterpart for the financing and investment operations covered by this Regulation </w:t>
      </w:r>
      <w:r w:rsidR="00705CAF" w:rsidRPr="00B53505">
        <w:t>starting</w:t>
      </w:r>
      <w:r w:rsidRPr="00B53505">
        <w:t xml:space="preserve"> </w:t>
      </w:r>
      <w:r w:rsidR="000C2009" w:rsidRPr="00B53505">
        <w:t>in the</w:t>
      </w:r>
      <w:r w:rsidR="00171789" w:rsidRPr="00B53505">
        <w:t xml:space="preserve"> </w:t>
      </w:r>
      <w:r w:rsidR="00A130DF" w:rsidRPr="00B53505">
        <w:t xml:space="preserve">African and Neighbourhood </w:t>
      </w:r>
      <w:r w:rsidR="00A52565" w:rsidRPr="00B53505">
        <w:t>partner countries.</w:t>
      </w:r>
      <w:r w:rsidRPr="00B53505">
        <w:t xml:space="preserve"> </w:t>
      </w:r>
    </w:p>
    <w:p w14:paraId="17E0DE88" w14:textId="01CB84F0" w:rsidR="00333AE9" w:rsidRPr="00B53505" w:rsidRDefault="00333AE9" w:rsidP="00333AE9">
      <w:r w:rsidRPr="00B53505">
        <w:t xml:space="preserve">2. The EFSD </w:t>
      </w:r>
      <w:r w:rsidR="00171789" w:rsidRPr="00B53505">
        <w:t>G</w:t>
      </w:r>
      <w:r w:rsidRPr="00B53505">
        <w:t xml:space="preserve">uarantee shall be granted as a guarantee on first demand in respect of the instruments referred to in Article 9 and in </w:t>
      </w:r>
      <w:r w:rsidR="00B6763C" w:rsidRPr="00B53505">
        <w:t>compliance</w:t>
      </w:r>
      <w:r w:rsidRPr="00B53505">
        <w:t xml:space="preserve"> with the eligibility criteria referred to in Article 8.</w:t>
      </w:r>
      <w:r w:rsidR="00A130DF" w:rsidRPr="00B53505">
        <w:t xml:space="preserve"> </w:t>
      </w:r>
    </w:p>
    <w:p w14:paraId="28C5CF1D" w14:textId="77777777" w:rsidR="00333AE9" w:rsidRPr="00B53505" w:rsidRDefault="00333AE9" w:rsidP="00333AE9">
      <w:pPr>
        <w:pStyle w:val="Titrearticle"/>
        <w:rPr>
          <w:b/>
        </w:rPr>
      </w:pPr>
      <w:r w:rsidRPr="00B53505">
        <w:rPr>
          <w:b/>
        </w:rPr>
        <w:t>Article 7</w:t>
      </w:r>
      <w:r w:rsidRPr="00B53505">
        <w:rPr>
          <w:b/>
        </w:rPr>
        <w:br/>
        <w:t>Requirements for the use of the EFSD Guarantee</w:t>
      </w:r>
    </w:p>
    <w:p w14:paraId="47A75EDB" w14:textId="4494ADF9" w:rsidR="00333AE9" w:rsidRPr="00B53505" w:rsidRDefault="00333AE9" w:rsidP="00333AE9">
      <w:r w:rsidRPr="00B53505">
        <w:t xml:space="preserve">1. The granting of the EFSD </w:t>
      </w:r>
      <w:r w:rsidR="00171789" w:rsidRPr="00B53505">
        <w:t>G</w:t>
      </w:r>
      <w:r w:rsidRPr="00B53505">
        <w:t xml:space="preserve">uarantee shall be subject to the </w:t>
      </w:r>
      <w:r w:rsidR="00A130DF" w:rsidRPr="00B53505">
        <w:t xml:space="preserve">conclusion of </w:t>
      </w:r>
      <w:r w:rsidRPr="00B53505">
        <w:t xml:space="preserve">the respective EFSD </w:t>
      </w:r>
      <w:r w:rsidR="00A130DF" w:rsidRPr="00B53505">
        <w:t>g</w:t>
      </w:r>
      <w:r w:rsidRPr="00B53505">
        <w:t>uarantee agreement</w:t>
      </w:r>
      <w:r w:rsidR="00E705BB" w:rsidRPr="00B53505">
        <w:t xml:space="preserve"> </w:t>
      </w:r>
      <w:r w:rsidRPr="00B53505">
        <w:t xml:space="preserve">between the Commission on behalf of the Union and the </w:t>
      </w:r>
      <w:r w:rsidR="00A130DF" w:rsidRPr="00B53505">
        <w:t>e</w:t>
      </w:r>
      <w:r w:rsidRPr="00B53505">
        <w:t xml:space="preserve">ligible </w:t>
      </w:r>
      <w:r w:rsidR="00A130DF" w:rsidRPr="00B53505">
        <w:t>c</w:t>
      </w:r>
      <w:r w:rsidRPr="00B53505">
        <w:t xml:space="preserve">ounterpart. </w:t>
      </w:r>
    </w:p>
    <w:p w14:paraId="7AEED0CB" w14:textId="50032E60" w:rsidR="00333AE9" w:rsidRPr="00B53505" w:rsidRDefault="00333AE9" w:rsidP="00333AE9">
      <w:r w:rsidRPr="00B53505">
        <w:t xml:space="preserve">2. The initial investment period during which the EFSD </w:t>
      </w:r>
      <w:r w:rsidR="00171789" w:rsidRPr="00B53505">
        <w:t>g</w:t>
      </w:r>
      <w:r w:rsidRPr="00B53505">
        <w:t xml:space="preserve">uarantee agreements for supporting financing and investment operations can be </w:t>
      </w:r>
      <w:r w:rsidR="00A130DF" w:rsidRPr="00B53505">
        <w:t xml:space="preserve">concluded </w:t>
      </w:r>
      <w:r w:rsidRPr="00B53505">
        <w:t xml:space="preserve">with the </w:t>
      </w:r>
      <w:r w:rsidR="00A130DF" w:rsidRPr="00B53505">
        <w:t>e</w:t>
      </w:r>
      <w:r w:rsidRPr="00B53505">
        <w:t xml:space="preserve">ligible </w:t>
      </w:r>
      <w:r w:rsidR="00A130DF" w:rsidRPr="00B53505">
        <w:t>c</w:t>
      </w:r>
      <w:r w:rsidRPr="00B53505">
        <w:t>ounterparts shall last until 31 December 2020.</w:t>
      </w:r>
    </w:p>
    <w:p w14:paraId="72D5F4FB" w14:textId="52FF722E" w:rsidR="00333AE9" w:rsidRPr="00B53505" w:rsidRDefault="00333AE9" w:rsidP="00333AE9">
      <w:r w:rsidRPr="00B53505">
        <w:t xml:space="preserve">3. The maximum </w:t>
      </w:r>
      <w:r w:rsidR="007E5052" w:rsidRPr="00B53505">
        <w:t xml:space="preserve">period allowed for eligible counterparts to conclude agreements with financial intermediaries or final beneficiaries </w:t>
      </w:r>
      <w:r w:rsidRPr="00B53505">
        <w:t>shall be four years</w:t>
      </w:r>
      <w:r w:rsidR="007E5052" w:rsidRPr="00B53505">
        <w:t xml:space="preserve"> after the conclusion of the relevant guarantee agreement</w:t>
      </w:r>
      <w:r w:rsidRPr="00B53505">
        <w:t>.</w:t>
      </w:r>
    </w:p>
    <w:p w14:paraId="152440B7" w14:textId="77777777" w:rsidR="00333AE9" w:rsidRPr="00B53505" w:rsidRDefault="00333AE9" w:rsidP="00333AE9">
      <w:pPr>
        <w:pStyle w:val="Titrearticle"/>
        <w:rPr>
          <w:b/>
        </w:rPr>
      </w:pPr>
      <w:r w:rsidRPr="00B53505">
        <w:rPr>
          <w:b/>
        </w:rPr>
        <w:t>Article 8</w:t>
      </w:r>
      <w:r w:rsidR="00DE4065" w:rsidRPr="00B53505">
        <w:rPr>
          <w:b/>
        </w:rPr>
        <w:br/>
      </w:r>
      <w:r w:rsidRPr="00B53505">
        <w:rPr>
          <w:b/>
        </w:rPr>
        <w:t xml:space="preserve">Eligibility </w:t>
      </w:r>
      <w:r w:rsidR="00081056" w:rsidRPr="00B53505">
        <w:rPr>
          <w:b/>
        </w:rPr>
        <w:t>c</w:t>
      </w:r>
      <w:r w:rsidRPr="00B53505">
        <w:rPr>
          <w:b/>
        </w:rPr>
        <w:t>riteria for the use of the EFSD Guarantee</w:t>
      </w:r>
    </w:p>
    <w:p w14:paraId="2AD365F4" w14:textId="3C7794DD" w:rsidR="00333AE9" w:rsidRPr="00B53505" w:rsidRDefault="00333AE9" w:rsidP="00333AE9">
      <w:r w:rsidRPr="00B53505">
        <w:t xml:space="preserve">1. The financing and investment operations eligible for support through the EFSD Guarantee shall be consistent and aligned with Union policies, in particular </w:t>
      </w:r>
      <w:r w:rsidR="00342245" w:rsidRPr="00B53505">
        <w:t xml:space="preserve">development </w:t>
      </w:r>
      <w:r w:rsidRPr="00B53505">
        <w:t xml:space="preserve">and </w:t>
      </w:r>
      <w:r w:rsidR="00342245" w:rsidRPr="00B53505">
        <w:t xml:space="preserve">neighbourhood </w:t>
      </w:r>
      <w:r w:rsidRPr="00B53505">
        <w:t>policies</w:t>
      </w:r>
      <w:r w:rsidR="0044424D" w:rsidRPr="00B53505">
        <w:t xml:space="preserve"> of the Union</w:t>
      </w:r>
      <w:r w:rsidRPr="00B53505">
        <w:t xml:space="preserve">, the </w:t>
      </w:r>
      <w:r w:rsidR="00B67686" w:rsidRPr="00B53505">
        <w:t>p</w:t>
      </w:r>
      <w:r w:rsidRPr="00B53505">
        <w:t xml:space="preserve">artner </w:t>
      </w:r>
      <w:r w:rsidR="00B67686" w:rsidRPr="00B53505">
        <w:t>c</w:t>
      </w:r>
      <w:r w:rsidRPr="00B53505">
        <w:t>ountries</w:t>
      </w:r>
      <w:r w:rsidR="00B53505">
        <w:t>'</w:t>
      </w:r>
      <w:r w:rsidRPr="00B53505">
        <w:t xml:space="preserve"> strategies and policies and aim at supporting the following general objectives: </w:t>
      </w:r>
    </w:p>
    <w:p w14:paraId="0AFB0155" w14:textId="26FCE52A" w:rsidR="00333AE9" w:rsidRPr="00B53505" w:rsidRDefault="00333AE9" w:rsidP="00DD242E">
      <w:pPr>
        <w:pStyle w:val="Point0letter"/>
        <w:numPr>
          <w:ilvl w:val="1"/>
          <w:numId w:val="22"/>
        </w:numPr>
      </w:pPr>
      <w:r w:rsidRPr="00B53505">
        <w:t>contribute to economic and social development, with particular focus on sustainability and job creation (</w:t>
      </w:r>
      <w:r w:rsidR="00081056" w:rsidRPr="00B53505">
        <w:t xml:space="preserve">in particular </w:t>
      </w:r>
      <w:r w:rsidR="00C372B0" w:rsidRPr="00B53505">
        <w:t xml:space="preserve">for </w:t>
      </w:r>
      <w:r w:rsidRPr="00B53505">
        <w:t xml:space="preserve">youth and women), </w:t>
      </w:r>
      <w:r w:rsidR="005D6185" w:rsidRPr="00B53505">
        <w:t xml:space="preserve">thus </w:t>
      </w:r>
      <w:r w:rsidRPr="00B53505">
        <w:t>addressing root causes of migration</w:t>
      </w:r>
      <w:r w:rsidR="005D6185" w:rsidRPr="00B53505">
        <w:t xml:space="preserve"> and contributing to sustainable reintegration of returned migrants in their countries of origin</w:t>
      </w:r>
      <w:r w:rsidRPr="00B53505">
        <w:t>;</w:t>
      </w:r>
    </w:p>
    <w:p w14:paraId="5A6EDC7D" w14:textId="3ACEB668" w:rsidR="00333AE9" w:rsidRPr="00B53505" w:rsidRDefault="00333AE9" w:rsidP="00D76943">
      <w:pPr>
        <w:pStyle w:val="Point0letter"/>
      </w:pPr>
      <w:r w:rsidRPr="00B53505">
        <w:t>target socio-economic sectors</w:t>
      </w:r>
      <w:r w:rsidR="00081056" w:rsidRPr="00B53505">
        <w:t>, in particular</w:t>
      </w:r>
      <w:r w:rsidRPr="00B53505">
        <w:t xml:space="preserve"> infrastructure including </w:t>
      </w:r>
      <w:r w:rsidR="005D6185" w:rsidRPr="00B53505">
        <w:t xml:space="preserve">sustainable </w:t>
      </w:r>
      <w:r w:rsidRPr="00B53505">
        <w:t xml:space="preserve">energy, water, transport, </w:t>
      </w:r>
      <w:r w:rsidR="00D76943" w:rsidRPr="00B53505">
        <w:t>information and communications technolog</w:t>
      </w:r>
      <w:r w:rsidR="00C372B0" w:rsidRPr="00B53505">
        <w:t>ies</w:t>
      </w:r>
      <w:r w:rsidRPr="00B53505">
        <w:t xml:space="preserve">, environment, </w:t>
      </w:r>
      <w:r w:rsidR="004716F4">
        <w:t xml:space="preserve">sustainable </w:t>
      </w:r>
      <w:r w:rsidR="00C4412F">
        <w:t xml:space="preserve">use </w:t>
      </w:r>
      <w:r w:rsidR="004716F4">
        <w:t xml:space="preserve">of natural resources and blue growth, </w:t>
      </w:r>
      <w:r w:rsidRPr="00B53505">
        <w:t>social infrastructure, human capital</w:t>
      </w:r>
      <w:r w:rsidR="00081056" w:rsidRPr="00B53505">
        <w:t>,</w:t>
      </w:r>
      <w:r w:rsidR="00E516E2" w:rsidRPr="00B53505">
        <w:t xml:space="preserve"> </w:t>
      </w:r>
      <w:r w:rsidRPr="00B53505">
        <w:t xml:space="preserve">in order to improve the socio-economic environment; </w:t>
      </w:r>
    </w:p>
    <w:p w14:paraId="6A0D939B" w14:textId="77777777" w:rsidR="00333AE9" w:rsidRPr="00B53505" w:rsidRDefault="00333AE9" w:rsidP="00DE4065">
      <w:pPr>
        <w:pStyle w:val="Point0letter"/>
        <w:rPr>
          <w:szCs w:val="24"/>
        </w:rPr>
      </w:pPr>
      <w:r w:rsidRPr="00B53505">
        <w:t>provide</w:t>
      </w:r>
      <w:r w:rsidRPr="00B53505">
        <w:rPr>
          <w:szCs w:val="24"/>
        </w:rPr>
        <w:t xml:space="preserve"> finance in favour of micro</w:t>
      </w:r>
      <w:r w:rsidR="00443CFF" w:rsidRPr="00B53505">
        <w:rPr>
          <w:szCs w:val="24"/>
        </w:rPr>
        <w:t>-</w:t>
      </w:r>
      <w:r w:rsidRPr="00B53505">
        <w:rPr>
          <w:szCs w:val="24"/>
        </w:rPr>
        <w:t>, small</w:t>
      </w:r>
      <w:r w:rsidR="00443CFF" w:rsidRPr="00B53505">
        <w:rPr>
          <w:szCs w:val="24"/>
        </w:rPr>
        <w:t>-</w:t>
      </w:r>
      <w:r w:rsidRPr="00B53505">
        <w:rPr>
          <w:szCs w:val="24"/>
        </w:rPr>
        <w:t xml:space="preserve"> and medium-sized enterprises with a particular focus on </w:t>
      </w:r>
      <w:r w:rsidRPr="00B53505">
        <w:t>private</w:t>
      </w:r>
      <w:r w:rsidRPr="00B53505">
        <w:rPr>
          <w:szCs w:val="24"/>
        </w:rPr>
        <w:t xml:space="preserve"> sector development;</w:t>
      </w:r>
    </w:p>
    <w:p w14:paraId="25E4863D" w14:textId="2DAA805B" w:rsidR="005D7D31" w:rsidRPr="00B53505" w:rsidRDefault="005D7D31" w:rsidP="0044424D">
      <w:pPr>
        <w:pStyle w:val="Point0letter"/>
      </w:pPr>
      <w:r w:rsidRPr="00B53505">
        <w:t xml:space="preserve">provide </w:t>
      </w:r>
      <w:r w:rsidR="006277E9" w:rsidRPr="00B53505">
        <w:t xml:space="preserve">financial </w:t>
      </w:r>
      <w:r w:rsidRPr="00B53505">
        <w:t>instruments aimed at addressing the bottlenecks to private investments, including first loss guarantees to portfolios guarantees to private sector projects such as</w:t>
      </w:r>
      <w:r w:rsidR="002C4DDA">
        <w:t xml:space="preserve"> </w:t>
      </w:r>
      <w:r w:rsidRPr="00B53505">
        <w:t>loan guarantees</w:t>
      </w:r>
      <w:r w:rsidR="0044424D" w:rsidRPr="00B53505">
        <w:t xml:space="preserve"> for</w:t>
      </w:r>
      <w:r w:rsidRPr="00B53505">
        <w:t xml:space="preserve"> </w:t>
      </w:r>
      <w:r w:rsidR="0044424D" w:rsidRPr="00B53505">
        <w:rPr>
          <w:color w:val="000000" w:themeColor="text1"/>
        </w:rPr>
        <w:t xml:space="preserve">small and medium-sized enterprises </w:t>
      </w:r>
      <w:r w:rsidRPr="00B53505">
        <w:t xml:space="preserve">and guarantees for specific risks for infrastructure projects and other risk capital; </w:t>
      </w:r>
    </w:p>
    <w:p w14:paraId="4AFE9F56" w14:textId="77777777" w:rsidR="00333AE9" w:rsidRPr="00B53505" w:rsidRDefault="00333AE9" w:rsidP="00DE4065">
      <w:pPr>
        <w:pStyle w:val="Point0letter"/>
      </w:pPr>
      <w:r w:rsidRPr="00B53505">
        <w:t>maximi</w:t>
      </w:r>
      <w:r w:rsidR="00E516E2" w:rsidRPr="00B53505">
        <w:t>s</w:t>
      </w:r>
      <w:r w:rsidRPr="00B53505">
        <w:t>e private sector leverage by addressing bottlenecks to investment.</w:t>
      </w:r>
    </w:p>
    <w:p w14:paraId="25338388" w14:textId="28A30033" w:rsidR="00333AE9" w:rsidRPr="00B53505" w:rsidRDefault="00333AE9" w:rsidP="00B67686">
      <w:pPr>
        <w:spacing w:before="0" w:after="0"/>
      </w:pPr>
      <w:r w:rsidRPr="00B53505">
        <w:t>2. The EFSD Guarantee shall support financing and investment operations which</w:t>
      </w:r>
      <w:r w:rsidR="005D6185" w:rsidRPr="00B53505">
        <w:t xml:space="preserve"> in particular</w:t>
      </w:r>
      <w:r w:rsidRPr="00B53505">
        <w:t>:</w:t>
      </w:r>
    </w:p>
    <w:p w14:paraId="4449B15A" w14:textId="77777777" w:rsidR="00333AE9" w:rsidRPr="00B53505" w:rsidRDefault="00333AE9" w:rsidP="00DD242E">
      <w:pPr>
        <w:pStyle w:val="Point0letter"/>
        <w:numPr>
          <w:ilvl w:val="1"/>
          <w:numId w:val="7"/>
        </w:numPr>
      </w:pPr>
      <w:r w:rsidRPr="00B53505">
        <w:t>provide additionality;</w:t>
      </w:r>
    </w:p>
    <w:p w14:paraId="5A25A555" w14:textId="3661E5B1" w:rsidR="00333AE9" w:rsidRPr="00B53505" w:rsidRDefault="00333AE9" w:rsidP="00DD242E">
      <w:pPr>
        <w:pStyle w:val="Point0letter"/>
        <w:numPr>
          <w:ilvl w:val="1"/>
          <w:numId w:val="7"/>
        </w:numPr>
      </w:pPr>
      <w:r w:rsidRPr="00B53505">
        <w:t xml:space="preserve">ensure alignment of interest by providing adequate risk sharing by the respective </w:t>
      </w:r>
      <w:r w:rsidR="00B67686" w:rsidRPr="00B53505">
        <w:t>e</w:t>
      </w:r>
      <w:r w:rsidRPr="00B53505">
        <w:t xml:space="preserve">ligible </w:t>
      </w:r>
      <w:r w:rsidR="00B67686" w:rsidRPr="00B53505">
        <w:t>c</w:t>
      </w:r>
      <w:r w:rsidRPr="00B53505">
        <w:t>ounterpart</w:t>
      </w:r>
      <w:r w:rsidR="00CE7FB9" w:rsidRPr="00B53505">
        <w:t xml:space="preserve"> and other prospective partners</w:t>
      </w:r>
      <w:r w:rsidRPr="00B53505">
        <w:t>;</w:t>
      </w:r>
    </w:p>
    <w:p w14:paraId="71448D56" w14:textId="77777777" w:rsidR="00333AE9" w:rsidRPr="00B53505" w:rsidRDefault="00333AE9" w:rsidP="00DD242E">
      <w:pPr>
        <w:pStyle w:val="Point0letter"/>
        <w:numPr>
          <w:ilvl w:val="1"/>
          <w:numId w:val="7"/>
        </w:numPr>
      </w:pPr>
      <w:r w:rsidRPr="00B53505">
        <w:t>are economically and financially viable, taking also into account the possible support from, and co</w:t>
      </w:r>
      <w:r w:rsidR="007A79A0" w:rsidRPr="00B53505">
        <w:t>-</w:t>
      </w:r>
      <w:r w:rsidRPr="00B53505">
        <w:t xml:space="preserve">financing by, private and public partners to the project; </w:t>
      </w:r>
    </w:p>
    <w:p w14:paraId="6DEF05D0" w14:textId="77777777" w:rsidR="00333AE9" w:rsidRPr="00B53505" w:rsidRDefault="00333AE9" w:rsidP="00DD242E">
      <w:pPr>
        <w:pStyle w:val="Point0letter"/>
        <w:numPr>
          <w:ilvl w:val="1"/>
          <w:numId w:val="7"/>
        </w:numPr>
      </w:pPr>
      <w:r w:rsidRPr="00B53505">
        <w:t>are technically viable</w:t>
      </w:r>
      <w:r w:rsidR="001C6B74" w:rsidRPr="00B53505">
        <w:t xml:space="preserve"> and are sustainable from an environmental and social point of view</w:t>
      </w:r>
      <w:r w:rsidRPr="00B53505">
        <w:t xml:space="preserve">; </w:t>
      </w:r>
      <w:r w:rsidR="005D6185" w:rsidRPr="00B53505">
        <w:t>and</w:t>
      </w:r>
    </w:p>
    <w:p w14:paraId="1E4A865B" w14:textId="40A14443" w:rsidR="00333AE9" w:rsidRPr="00B53505" w:rsidRDefault="00333AE9" w:rsidP="005D6185">
      <w:pPr>
        <w:pStyle w:val="Point0letter"/>
        <w:numPr>
          <w:ilvl w:val="1"/>
          <w:numId w:val="7"/>
        </w:numPr>
      </w:pPr>
      <w:r w:rsidRPr="00B53505">
        <w:t>maximise the mobilisation of private sector capital.</w:t>
      </w:r>
    </w:p>
    <w:p w14:paraId="6DB927CE" w14:textId="340F284D" w:rsidR="001A61A4" w:rsidRPr="00B53505" w:rsidRDefault="00333AE9" w:rsidP="00DE4065">
      <w:pPr>
        <w:spacing w:before="0" w:after="0"/>
        <w:rPr>
          <w:szCs w:val="24"/>
        </w:rPr>
      </w:pPr>
      <w:r w:rsidRPr="00B53505">
        <w:t>3.</w:t>
      </w:r>
      <w:r w:rsidR="00DE4065" w:rsidRPr="00B53505">
        <w:t xml:space="preserve"> </w:t>
      </w:r>
      <w:r w:rsidR="001A61A4" w:rsidRPr="00B53505">
        <w:rPr>
          <w:szCs w:val="24"/>
        </w:rPr>
        <w:t>On a case by case basis the Commission may allow combined financing from different Union instruments.</w:t>
      </w:r>
    </w:p>
    <w:p w14:paraId="25633C5F" w14:textId="18ACC4BF" w:rsidR="00333AE9" w:rsidRPr="00B53505" w:rsidRDefault="001A61A4" w:rsidP="00DE4065">
      <w:pPr>
        <w:spacing w:before="0" w:after="0"/>
      </w:pPr>
      <w:r w:rsidRPr="00B53505">
        <w:t xml:space="preserve">4. </w:t>
      </w:r>
      <w:r w:rsidR="00EA5B5F" w:rsidRPr="00B53505">
        <w:t>The Commissio</w:t>
      </w:r>
      <w:r w:rsidR="00F55671" w:rsidRPr="00B53505">
        <w:t xml:space="preserve">n may define </w:t>
      </w:r>
      <w:r w:rsidR="00F10F1A" w:rsidRPr="00B53505">
        <w:t>i</w:t>
      </w:r>
      <w:r w:rsidR="00F55671" w:rsidRPr="00B53505">
        <w:t>nvestment windows</w:t>
      </w:r>
      <w:r w:rsidR="00EA5B5F" w:rsidRPr="00B53505">
        <w:t xml:space="preserve"> for specific regions or </w:t>
      </w:r>
      <w:r w:rsidR="00287F47" w:rsidRPr="00B53505">
        <w:t>p</w:t>
      </w:r>
      <w:r w:rsidR="00EA5B5F" w:rsidRPr="00B53505">
        <w:t xml:space="preserve">artner </w:t>
      </w:r>
      <w:r w:rsidR="00287F47" w:rsidRPr="00B53505">
        <w:t>c</w:t>
      </w:r>
      <w:r w:rsidR="00EA5B5F" w:rsidRPr="00B53505">
        <w:t>ountries</w:t>
      </w:r>
      <w:r w:rsidR="00D76943" w:rsidRPr="00B53505">
        <w:t xml:space="preserve"> or for both</w:t>
      </w:r>
      <w:r w:rsidR="00EA5B5F" w:rsidRPr="00B53505">
        <w:t>, for specific sectors, for specific projects or for specific categories of final beneficiaries</w:t>
      </w:r>
      <w:r w:rsidR="00D76943" w:rsidRPr="00B53505">
        <w:t xml:space="preserve"> or for both</w:t>
      </w:r>
      <w:r w:rsidR="00EA5B5F" w:rsidRPr="00B53505">
        <w:t xml:space="preserve"> to be funded by instruments</w:t>
      </w:r>
      <w:r w:rsidR="00F10F1A" w:rsidRPr="00B53505">
        <w:t xml:space="preserve"> referred to in Article 9 </w:t>
      </w:r>
      <w:r w:rsidR="00EA5B5F" w:rsidRPr="00B53505">
        <w:t xml:space="preserve">to be covered by the EFSD </w:t>
      </w:r>
      <w:r w:rsidR="00287F47" w:rsidRPr="00B53505">
        <w:t>G</w:t>
      </w:r>
      <w:r w:rsidR="00EA5B5F" w:rsidRPr="00B53505">
        <w:t>uarantee up to a fixed amount</w:t>
      </w:r>
      <w:r w:rsidR="00F10F1A" w:rsidRPr="00B53505">
        <w:t xml:space="preserve">. </w:t>
      </w:r>
      <w:r w:rsidR="0041658C" w:rsidRPr="00B53505">
        <w:t xml:space="preserve">All requests for financial support within investment windows </w:t>
      </w:r>
      <w:r w:rsidR="00125538" w:rsidRPr="00B53505">
        <w:t xml:space="preserve">shall </w:t>
      </w:r>
      <w:r w:rsidR="0041658C" w:rsidRPr="00B53505">
        <w:t>be made to the Commission.</w:t>
      </w:r>
      <w:r w:rsidR="002C4DDA">
        <w:t xml:space="preserve"> </w:t>
      </w:r>
    </w:p>
    <w:p w14:paraId="6B0FDB01" w14:textId="1BE051BC" w:rsidR="00333AE9" w:rsidRPr="00B53505" w:rsidRDefault="0039786E" w:rsidP="00333AE9">
      <w:pPr>
        <w:pStyle w:val="Titrearticle"/>
        <w:rPr>
          <w:b/>
        </w:rPr>
      </w:pPr>
      <w:r w:rsidRPr="00B53505">
        <w:rPr>
          <w:b/>
        </w:rPr>
        <w:t>Article 9</w:t>
      </w:r>
      <w:r w:rsidRPr="00B53505">
        <w:rPr>
          <w:b/>
        </w:rPr>
        <w:br/>
        <w:t xml:space="preserve">Eligible </w:t>
      </w:r>
      <w:r w:rsidR="001A61A4" w:rsidRPr="00B53505">
        <w:rPr>
          <w:b/>
        </w:rPr>
        <w:t>i</w:t>
      </w:r>
      <w:r w:rsidRPr="00B53505">
        <w:rPr>
          <w:b/>
        </w:rPr>
        <w:t>nstruments for the EFSD Guarantee</w:t>
      </w:r>
    </w:p>
    <w:p w14:paraId="5A51B50A" w14:textId="77777777" w:rsidR="00333AE9" w:rsidRPr="00B53505" w:rsidRDefault="00333AE9" w:rsidP="00333AE9">
      <w:r w:rsidRPr="00B53505">
        <w:t>1. The EFSD Guarantee shall be used to cover the risks for the</w:t>
      </w:r>
      <w:r w:rsidR="00B51AAF" w:rsidRPr="00B53505">
        <w:t xml:space="preserve"> following</w:t>
      </w:r>
      <w:r w:rsidRPr="00B53505">
        <w:t xml:space="preserve"> instruments</w:t>
      </w:r>
      <w:r w:rsidR="00B51AAF" w:rsidRPr="00B53505">
        <w:t>:</w:t>
      </w:r>
    </w:p>
    <w:p w14:paraId="0B9B2E42" w14:textId="40F08840" w:rsidR="00B51AAF" w:rsidRPr="00B53505" w:rsidRDefault="00333AE9" w:rsidP="006C2BD5">
      <w:pPr>
        <w:pStyle w:val="Point0letter"/>
        <w:numPr>
          <w:ilvl w:val="1"/>
          <w:numId w:val="25"/>
        </w:numPr>
      </w:pPr>
      <w:r w:rsidRPr="00B53505">
        <w:t>loans</w:t>
      </w:r>
      <w:r w:rsidR="00B51AAF" w:rsidRPr="00B53505">
        <w:t>;</w:t>
      </w:r>
    </w:p>
    <w:p w14:paraId="5B4A437C" w14:textId="66A7D81D" w:rsidR="00B51AAF" w:rsidRPr="00B53505" w:rsidRDefault="00333AE9" w:rsidP="006C2BD5">
      <w:pPr>
        <w:pStyle w:val="Point0letter"/>
        <w:numPr>
          <w:ilvl w:val="1"/>
          <w:numId w:val="25"/>
        </w:numPr>
      </w:pPr>
      <w:r w:rsidRPr="00B53505">
        <w:t>guarantees</w:t>
      </w:r>
      <w:r w:rsidR="00B51AAF" w:rsidRPr="00B53505">
        <w:t>;</w:t>
      </w:r>
    </w:p>
    <w:p w14:paraId="4B0BDE03" w14:textId="501ABAB5" w:rsidR="00B51AAF" w:rsidRPr="00B53505" w:rsidRDefault="00333AE9" w:rsidP="006C2BD5">
      <w:pPr>
        <w:pStyle w:val="Point0letter"/>
        <w:numPr>
          <w:ilvl w:val="1"/>
          <w:numId w:val="25"/>
        </w:numPr>
      </w:pPr>
      <w:r w:rsidRPr="00B53505">
        <w:t>counter-guarantees</w:t>
      </w:r>
      <w:r w:rsidR="00B51AAF" w:rsidRPr="00B53505">
        <w:t>;</w:t>
      </w:r>
    </w:p>
    <w:p w14:paraId="2150FD7F" w14:textId="2C799A5B" w:rsidR="00B51AAF" w:rsidRPr="00B53505" w:rsidRDefault="00333AE9" w:rsidP="006C2BD5">
      <w:pPr>
        <w:pStyle w:val="Point0letter"/>
        <w:numPr>
          <w:ilvl w:val="1"/>
          <w:numId w:val="25"/>
        </w:numPr>
      </w:pPr>
      <w:r w:rsidRPr="00B53505">
        <w:t>capital market instruments</w:t>
      </w:r>
      <w:r w:rsidR="00B51AAF" w:rsidRPr="00B53505">
        <w:t>;</w:t>
      </w:r>
    </w:p>
    <w:p w14:paraId="3B19B3E6" w14:textId="50235E6A" w:rsidR="00B51AAF" w:rsidRPr="00B53505" w:rsidRDefault="00333AE9" w:rsidP="006C2BD5">
      <w:pPr>
        <w:pStyle w:val="Point0letter"/>
        <w:numPr>
          <w:ilvl w:val="1"/>
          <w:numId w:val="25"/>
        </w:numPr>
      </w:pPr>
      <w:r w:rsidRPr="00B53505">
        <w:t>any other form of funding or credit enhancement, equity or quasi-equity participations</w:t>
      </w:r>
      <w:r w:rsidR="00B51AAF" w:rsidRPr="00B53505">
        <w:t>.</w:t>
      </w:r>
    </w:p>
    <w:p w14:paraId="64175253" w14:textId="79A82CAF" w:rsidR="00333AE9" w:rsidRPr="00B53505" w:rsidRDefault="00B51AAF" w:rsidP="00333AE9">
      <w:r w:rsidRPr="00B53505">
        <w:t>2. The instruments listed in paragraph 1 may be</w:t>
      </w:r>
      <w:r w:rsidR="00626A2A" w:rsidRPr="00B53505">
        <w:t xml:space="preserve"> </w:t>
      </w:r>
      <w:r w:rsidR="00333AE9" w:rsidRPr="00B53505">
        <w:t xml:space="preserve">provided by </w:t>
      </w:r>
      <w:r w:rsidR="00B75D78" w:rsidRPr="00B53505">
        <w:t>e</w:t>
      </w:r>
      <w:r w:rsidR="00333AE9" w:rsidRPr="00B53505">
        <w:t xml:space="preserve">ligible </w:t>
      </w:r>
      <w:r w:rsidR="00B75D78" w:rsidRPr="00B53505">
        <w:t>c</w:t>
      </w:r>
      <w:r w:rsidR="00333AE9" w:rsidRPr="00B53505">
        <w:t xml:space="preserve">ounterparts or </w:t>
      </w:r>
      <w:r w:rsidR="00B75D78" w:rsidRPr="00B53505">
        <w:t>c</w:t>
      </w:r>
      <w:r w:rsidR="00333AE9" w:rsidRPr="00B53505">
        <w:t xml:space="preserve">ontributors including private investors under an </w:t>
      </w:r>
      <w:r w:rsidR="00B75D78" w:rsidRPr="00B53505">
        <w:t>i</w:t>
      </w:r>
      <w:r w:rsidR="00333AE9" w:rsidRPr="00B53505">
        <w:t xml:space="preserve">nvestment </w:t>
      </w:r>
      <w:r w:rsidR="00B75D78" w:rsidRPr="00B53505">
        <w:t>w</w:t>
      </w:r>
      <w:r w:rsidR="00333AE9" w:rsidRPr="00B53505">
        <w:t xml:space="preserve">indow </w:t>
      </w:r>
      <w:r w:rsidR="00FB0A1B" w:rsidRPr="00B53505">
        <w:t xml:space="preserve">or individual project </w:t>
      </w:r>
      <w:r w:rsidR="00333AE9" w:rsidRPr="00B53505">
        <w:t>administered by a</w:t>
      </w:r>
      <w:r w:rsidR="00FB0A1B" w:rsidRPr="00B53505">
        <w:t>n</w:t>
      </w:r>
      <w:r w:rsidR="00333AE9" w:rsidRPr="00B53505">
        <w:t xml:space="preserve"> </w:t>
      </w:r>
      <w:r w:rsidR="00B75D78" w:rsidRPr="00B53505">
        <w:t>e</w:t>
      </w:r>
      <w:r w:rsidR="00333AE9" w:rsidRPr="00B53505">
        <w:t xml:space="preserve">ligible </w:t>
      </w:r>
      <w:r w:rsidR="00B75D78" w:rsidRPr="00B53505">
        <w:t>c</w:t>
      </w:r>
      <w:r w:rsidR="00333AE9" w:rsidRPr="00B53505">
        <w:t xml:space="preserve">ounterpart for the benefit of </w:t>
      </w:r>
      <w:r w:rsidR="00B75D78" w:rsidRPr="00B53505">
        <w:t>p</w:t>
      </w:r>
      <w:r w:rsidR="00333AE9" w:rsidRPr="00B53505">
        <w:t xml:space="preserve">artner </w:t>
      </w:r>
      <w:r w:rsidR="00B75D78" w:rsidRPr="00B53505">
        <w:t>c</w:t>
      </w:r>
      <w:r w:rsidR="00333AE9" w:rsidRPr="00B53505">
        <w:t xml:space="preserve">ountries including fragile and conflict-affected countries and these </w:t>
      </w:r>
      <w:r w:rsidR="009903F7" w:rsidRPr="00B53505">
        <w:t>p</w:t>
      </w:r>
      <w:r w:rsidR="00333AE9" w:rsidRPr="00B53505">
        <w:t xml:space="preserve">artner </w:t>
      </w:r>
      <w:r w:rsidR="009903F7" w:rsidRPr="00B53505">
        <w:t>c</w:t>
      </w:r>
      <w:r w:rsidR="00333AE9" w:rsidRPr="00B53505">
        <w:t>ountries</w:t>
      </w:r>
      <w:r w:rsidR="00B53505">
        <w:t>'</w:t>
      </w:r>
      <w:r w:rsidR="00333AE9" w:rsidRPr="00B53505">
        <w:t xml:space="preserve"> institutions including their public national and private local banks and financ</w:t>
      </w:r>
      <w:r w:rsidR="00211613" w:rsidRPr="00B53505">
        <w:t>ial</w:t>
      </w:r>
      <w:r w:rsidR="00333AE9" w:rsidRPr="00B53505">
        <w:t xml:space="preserve"> institutions as well as private sector entities of the </w:t>
      </w:r>
      <w:r w:rsidR="009903F7" w:rsidRPr="00B53505">
        <w:t>p</w:t>
      </w:r>
      <w:r w:rsidR="00333AE9" w:rsidRPr="00B53505">
        <w:t xml:space="preserve">artner </w:t>
      </w:r>
      <w:r w:rsidR="009903F7" w:rsidRPr="00B53505">
        <w:t>c</w:t>
      </w:r>
      <w:r w:rsidR="00333AE9" w:rsidRPr="00B53505">
        <w:t xml:space="preserve">ountries. </w:t>
      </w:r>
    </w:p>
    <w:p w14:paraId="6DBE16D6" w14:textId="77777777" w:rsidR="00333AE9" w:rsidRPr="00B53505" w:rsidRDefault="00333AE9" w:rsidP="00333AE9">
      <w:pPr>
        <w:pStyle w:val="Titrearticle"/>
        <w:rPr>
          <w:b/>
        </w:rPr>
      </w:pPr>
      <w:r w:rsidRPr="00B53505">
        <w:rPr>
          <w:b/>
        </w:rPr>
        <w:t xml:space="preserve">Article 10 </w:t>
      </w:r>
      <w:r w:rsidR="00DE4065" w:rsidRPr="00B53505">
        <w:rPr>
          <w:b/>
        </w:rPr>
        <w:br/>
      </w:r>
      <w:r w:rsidRPr="00B53505">
        <w:rPr>
          <w:b/>
        </w:rPr>
        <w:t>Eligibility and</w:t>
      </w:r>
      <w:r w:rsidR="00AE3867" w:rsidRPr="00B53505">
        <w:rPr>
          <w:b/>
        </w:rPr>
        <w:t xml:space="preserve"> s</w:t>
      </w:r>
      <w:r w:rsidRPr="00B53505">
        <w:rPr>
          <w:b/>
        </w:rPr>
        <w:t xml:space="preserve">election of </w:t>
      </w:r>
      <w:r w:rsidR="00AE3867" w:rsidRPr="00B53505">
        <w:rPr>
          <w:b/>
        </w:rPr>
        <w:t>c</w:t>
      </w:r>
      <w:r w:rsidRPr="00B53505">
        <w:rPr>
          <w:b/>
        </w:rPr>
        <w:t xml:space="preserve">ounterparts </w:t>
      </w:r>
    </w:p>
    <w:p w14:paraId="307F0408" w14:textId="6682D42E" w:rsidR="00333AE9" w:rsidRPr="00B53505" w:rsidRDefault="00333AE9" w:rsidP="00333AE9">
      <w:r w:rsidRPr="00B53505">
        <w:t xml:space="preserve">1. The </w:t>
      </w:r>
      <w:r w:rsidR="00F10F1A" w:rsidRPr="00B53505">
        <w:t>e</w:t>
      </w:r>
      <w:r w:rsidRPr="00B53505">
        <w:t xml:space="preserve">ligible </w:t>
      </w:r>
      <w:r w:rsidR="00F10F1A" w:rsidRPr="00B53505">
        <w:t>c</w:t>
      </w:r>
      <w:r w:rsidRPr="00B53505">
        <w:t xml:space="preserve">ounterparts for the purposes of the EFSD </w:t>
      </w:r>
      <w:r w:rsidR="009903F7" w:rsidRPr="00B53505">
        <w:t>G</w:t>
      </w:r>
      <w:r w:rsidRPr="00B53505">
        <w:t xml:space="preserve">uarantee </w:t>
      </w:r>
      <w:r w:rsidR="00AF5AC8" w:rsidRPr="00B53505">
        <w:t>shall be</w:t>
      </w:r>
      <w:r w:rsidRPr="00B53505">
        <w:t xml:space="preserve">: </w:t>
      </w:r>
    </w:p>
    <w:p w14:paraId="13CA7D27" w14:textId="77777777" w:rsidR="00333AE9" w:rsidRPr="00B53505" w:rsidRDefault="00333AE9" w:rsidP="004F0097">
      <w:pPr>
        <w:pStyle w:val="Point0letter"/>
        <w:numPr>
          <w:ilvl w:val="1"/>
          <w:numId w:val="8"/>
        </w:numPr>
        <w:ind w:left="840" w:hanging="840"/>
      </w:pPr>
      <w:r w:rsidRPr="00B53505">
        <w:t xml:space="preserve">the European Investment Bank and the European Investment Fund; </w:t>
      </w:r>
    </w:p>
    <w:p w14:paraId="5A2FF744" w14:textId="77777777" w:rsidR="00333AE9" w:rsidRPr="00B53505" w:rsidRDefault="00333AE9" w:rsidP="00DD242E">
      <w:pPr>
        <w:pStyle w:val="Point0letter"/>
        <w:numPr>
          <w:ilvl w:val="1"/>
          <w:numId w:val="8"/>
        </w:numPr>
      </w:pPr>
      <w:r w:rsidRPr="00B53505">
        <w:t>public law bodies;</w:t>
      </w:r>
    </w:p>
    <w:p w14:paraId="7D2DCB15" w14:textId="4412DFC6" w:rsidR="00945139" w:rsidRPr="00B53505" w:rsidRDefault="00945139" w:rsidP="00DD242E">
      <w:pPr>
        <w:pStyle w:val="Point0letter"/>
        <w:numPr>
          <w:ilvl w:val="1"/>
          <w:numId w:val="8"/>
        </w:numPr>
      </w:pPr>
      <w:r w:rsidRPr="00B53505">
        <w:t>international organisations and their agencies;</w:t>
      </w:r>
    </w:p>
    <w:p w14:paraId="60D4ED99" w14:textId="77777777" w:rsidR="00333AE9" w:rsidRPr="00B53505" w:rsidRDefault="00333AE9" w:rsidP="00DD242E">
      <w:pPr>
        <w:pStyle w:val="Point0letter"/>
        <w:numPr>
          <w:ilvl w:val="1"/>
          <w:numId w:val="8"/>
        </w:numPr>
      </w:pPr>
      <w:r w:rsidRPr="00B53505">
        <w:t>bodies governed by private law with a public service mission to the extent that they provide adequate financial guarantees;</w:t>
      </w:r>
    </w:p>
    <w:p w14:paraId="6B29B808" w14:textId="07061006" w:rsidR="00B67686" w:rsidRPr="00B53505" w:rsidRDefault="00333AE9" w:rsidP="00DD242E">
      <w:pPr>
        <w:pStyle w:val="Point0letter"/>
        <w:numPr>
          <w:ilvl w:val="1"/>
          <w:numId w:val="8"/>
        </w:numPr>
      </w:pPr>
      <w:r w:rsidRPr="00B53505">
        <w:t>bodies governed by the private law of a Member State</w:t>
      </w:r>
      <w:r w:rsidR="00B75D78" w:rsidRPr="00B53505">
        <w:t xml:space="preserve"> that provide adequate financial guarantees</w:t>
      </w:r>
      <w:r w:rsidR="00BF63B2" w:rsidRPr="00B53505">
        <w:t xml:space="preserve">, by derogation from Article </w:t>
      </w:r>
      <w:r w:rsidR="00BF63B2" w:rsidRPr="00B53505">
        <w:rPr>
          <w:szCs w:val="24"/>
        </w:rPr>
        <w:t xml:space="preserve">58(1)(c)(vii) of Regulation (EU) No 966/2012 </w:t>
      </w:r>
    </w:p>
    <w:p w14:paraId="5406DE52" w14:textId="11B267FE" w:rsidR="00333AE9" w:rsidRPr="00B53505" w:rsidRDefault="00807341">
      <w:pPr>
        <w:pStyle w:val="Point0letter"/>
        <w:numPr>
          <w:ilvl w:val="1"/>
          <w:numId w:val="8"/>
        </w:numPr>
      </w:pPr>
      <w:r w:rsidRPr="00B53505">
        <w:rPr>
          <w:szCs w:val="24"/>
        </w:rPr>
        <w:t>bodies governed by the private law of</w:t>
      </w:r>
      <w:r w:rsidRPr="00B53505">
        <w:t xml:space="preserve"> a </w:t>
      </w:r>
      <w:r w:rsidR="00B126F4" w:rsidRPr="00B53505">
        <w:t>p</w:t>
      </w:r>
      <w:r w:rsidRPr="00B53505">
        <w:t xml:space="preserve">artner </w:t>
      </w:r>
      <w:r w:rsidR="00B126F4" w:rsidRPr="00B53505">
        <w:t>c</w:t>
      </w:r>
      <w:r w:rsidRPr="00B53505">
        <w:t xml:space="preserve">ountry that provide adequate financial guarantees, </w:t>
      </w:r>
      <w:r w:rsidR="00A52565" w:rsidRPr="00B53505">
        <w:t xml:space="preserve">by derogation from Article </w:t>
      </w:r>
      <w:r w:rsidR="00A52565" w:rsidRPr="00B53505">
        <w:rPr>
          <w:szCs w:val="24"/>
        </w:rPr>
        <w:t>58(1)(c)(vii) of Regulation (EU) No 966/2012</w:t>
      </w:r>
      <w:r w:rsidR="00333AE9" w:rsidRPr="00B53505">
        <w:t>.</w:t>
      </w:r>
    </w:p>
    <w:p w14:paraId="268BC37C" w14:textId="302C3115" w:rsidR="00333AE9" w:rsidRPr="00B53505" w:rsidRDefault="00333AE9" w:rsidP="003B160B">
      <w:pPr>
        <w:spacing w:before="0" w:after="200"/>
        <w:rPr>
          <w:szCs w:val="24"/>
        </w:rPr>
      </w:pPr>
      <w:r w:rsidRPr="00B53505">
        <w:rPr>
          <w:szCs w:val="24"/>
        </w:rPr>
        <w:t xml:space="preserve">2. </w:t>
      </w:r>
      <w:r w:rsidR="00B17BC5" w:rsidRPr="00B53505">
        <w:rPr>
          <w:szCs w:val="24"/>
        </w:rPr>
        <w:t xml:space="preserve">Eligible </w:t>
      </w:r>
      <w:r w:rsidR="00F10F1A" w:rsidRPr="00B53505">
        <w:rPr>
          <w:szCs w:val="24"/>
        </w:rPr>
        <w:t>c</w:t>
      </w:r>
      <w:r w:rsidRPr="00B53505">
        <w:rPr>
          <w:szCs w:val="24"/>
        </w:rPr>
        <w:t xml:space="preserve">ounterparts shall comply with the rules and conditions provided for in Article 60 </w:t>
      </w:r>
      <w:r w:rsidR="00D356AE" w:rsidRPr="00B53505">
        <w:rPr>
          <w:szCs w:val="24"/>
        </w:rPr>
        <w:t xml:space="preserve">of Regulation (EU, Euratom) No 966/2012. </w:t>
      </w:r>
    </w:p>
    <w:p w14:paraId="5AD741C3" w14:textId="401D9316" w:rsidR="00333AE9" w:rsidRPr="00B53505" w:rsidRDefault="00333AE9" w:rsidP="003B160B">
      <w:pPr>
        <w:spacing w:before="0" w:after="200"/>
        <w:rPr>
          <w:szCs w:val="24"/>
        </w:rPr>
      </w:pPr>
      <w:r w:rsidRPr="00B53505">
        <w:rPr>
          <w:szCs w:val="24"/>
        </w:rPr>
        <w:t xml:space="preserve">3. </w:t>
      </w:r>
      <w:r w:rsidR="00241B19" w:rsidRPr="00B53505">
        <w:rPr>
          <w:szCs w:val="24"/>
        </w:rPr>
        <w:t xml:space="preserve">The Commission shall select the </w:t>
      </w:r>
      <w:r w:rsidR="00F10F1A" w:rsidRPr="00B53505">
        <w:rPr>
          <w:szCs w:val="24"/>
        </w:rPr>
        <w:t>e</w:t>
      </w:r>
      <w:r w:rsidR="00241B19" w:rsidRPr="00B53505">
        <w:rPr>
          <w:szCs w:val="24"/>
        </w:rPr>
        <w:t xml:space="preserve">ligible </w:t>
      </w:r>
      <w:r w:rsidR="00F10F1A" w:rsidRPr="00B53505">
        <w:rPr>
          <w:szCs w:val="24"/>
        </w:rPr>
        <w:t>c</w:t>
      </w:r>
      <w:r w:rsidR="00241B19" w:rsidRPr="00B53505">
        <w:rPr>
          <w:szCs w:val="24"/>
        </w:rPr>
        <w:t xml:space="preserve">ounterparts pursuant </w:t>
      </w:r>
      <w:r w:rsidR="00C372B0" w:rsidRPr="00B53505">
        <w:rPr>
          <w:szCs w:val="24"/>
        </w:rPr>
        <w:t xml:space="preserve">to </w:t>
      </w:r>
      <w:r w:rsidR="00241B19" w:rsidRPr="00B53505">
        <w:rPr>
          <w:szCs w:val="24"/>
        </w:rPr>
        <w:t>Article 61 of Regulation (EU, Euratom) No 966/2012.</w:t>
      </w:r>
    </w:p>
    <w:p w14:paraId="0F02CE41" w14:textId="1ADF739B" w:rsidR="00333AE9" w:rsidRPr="00B53505" w:rsidRDefault="00333AE9" w:rsidP="00333AE9">
      <w:pPr>
        <w:pStyle w:val="Titrearticle"/>
        <w:rPr>
          <w:b/>
        </w:rPr>
      </w:pPr>
      <w:r w:rsidRPr="00B53505">
        <w:rPr>
          <w:b/>
        </w:rPr>
        <w:t>Article 11</w:t>
      </w:r>
      <w:r w:rsidR="00DE4065" w:rsidRPr="00B53505">
        <w:rPr>
          <w:b/>
        </w:rPr>
        <w:br/>
      </w:r>
      <w:r w:rsidRPr="00B53505">
        <w:rPr>
          <w:b/>
        </w:rPr>
        <w:t xml:space="preserve">Coverage and </w:t>
      </w:r>
      <w:r w:rsidR="008B2C3E" w:rsidRPr="00B53505">
        <w:rPr>
          <w:b/>
        </w:rPr>
        <w:t>t</w:t>
      </w:r>
      <w:r w:rsidRPr="00B53505">
        <w:rPr>
          <w:b/>
        </w:rPr>
        <w:t xml:space="preserve">erms of the EFSD </w:t>
      </w:r>
      <w:r w:rsidR="008B2C3E" w:rsidRPr="00B53505">
        <w:rPr>
          <w:b/>
        </w:rPr>
        <w:t>g</w:t>
      </w:r>
      <w:r w:rsidRPr="00B53505">
        <w:rPr>
          <w:b/>
        </w:rPr>
        <w:t xml:space="preserve">uarantee </w:t>
      </w:r>
      <w:r w:rsidR="008B2C3E" w:rsidRPr="00B53505">
        <w:rPr>
          <w:b/>
        </w:rPr>
        <w:t>a</w:t>
      </w:r>
      <w:r w:rsidRPr="00B53505">
        <w:rPr>
          <w:b/>
        </w:rPr>
        <w:t>greements</w:t>
      </w:r>
    </w:p>
    <w:p w14:paraId="79AF431D" w14:textId="35D2D513" w:rsidR="00333AE9" w:rsidRPr="00B53505" w:rsidRDefault="00333AE9" w:rsidP="00333AE9">
      <w:r w:rsidRPr="00B53505">
        <w:t>1. The EFSD Guarantee shall not, at any time, exceed EUR</w:t>
      </w:r>
      <w:r w:rsidR="00B67686" w:rsidRPr="00B53505">
        <w:t> </w:t>
      </w:r>
      <w:r w:rsidRPr="00B53505">
        <w:t>1</w:t>
      </w:r>
      <w:r w:rsidR="00B67686" w:rsidRPr="00B53505">
        <w:t> </w:t>
      </w:r>
      <w:r w:rsidR="004F2B8C">
        <w:t>5</w:t>
      </w:r>
      <w:r w:rsidRPr="00B53505">
        <w:t>00</w:t>
      </w:r>
      <w:r w:rsidR="00B67686" w:rsidRPr="00B53505">
        <w:t> </w:t>
      </w:r>
      <w:r w:rsidRPr="00B53505">
        <w:t>000</w:t>
      </w:r>
      <w:r w:rsidR="00B67686" w:rsidRPr="00B53505">
        <w:t> </w:t>
      </w:r>
      <w:r w:rsidRPr="00B53505">
        <w:t xml:space="preserve">000 without prejudice to paragraph 2. </w:t>
      </w:r>
    </w:p>
    <w:p w14:paraId="53AEB5E1" w14:textId="6C92041D" w:rsidR="00D932AA" w:rsidRPr="00B53505" w:rsidRDefault="00333AE9" w:rsidP="00333AE9">
      <w:pPr>
        <w:rPr>
          <w:b/>
          <w:szCs w:val="24"/>
        </w:rPr>
      </w:pPr>
      <w:r w:rsidRPr="00B53505">
        <w:t xml:space="preserve">2. </w:t>
      </w:r>
      <w:r w:rsidR="00D932AA" w:rsidRPr="00B53505">
        <w:t xml:space="preserve">Member States may </w:t>
      </w:r>
      <w:r w:rsidR="00D932AA" w:rsidRPr="00B53505">
        <w:rPr>
          <w:szCs w:val="24"/>
        </w:rPr>
        <w:t xml:space="preserve">contribute to the EFSD Guarantee Fund in the form of guarantees or cash. Subject to </w:t>
      </w:r>
      <w:r w:rsidR="00F10F1A" w:rsidRPr="00B53505">
        <w:rPr>
          <w:szCs w:val="24"/>
        </w:rPr>
        <w:t>Commission approval</w:t>
      </w:r>
      <w:r w:rsidR="00D932AA" w:rsidRPr="00B53505">
        <w:rPr>
          <w:szCs w:val="24"/>
        </w:rPr>
        <w:t>, o</w:t>
      </w:r>
      <w:r w:rsidR="00D932AA" w:rsidRPr="00B53505">
        <w:t>ther contributors may contribute</w:t>
      </w:r>
      <w:r w:rsidR="00B261D1" w:rsidRPr="00B53505">
        <w:t>,</w:t>
      </w:r>
      <w:r w:rsidR="00D932AA" w:rsidRPr="00B53505">
        <w:rPr>
          <w:szCs w:val="24"/>
        </w:rPr>
        <w:t xml:space="preserve"> in the form of cash</w:t>
      </w:r>
      <w:r w:rsidR="00B261D1" w:rsidRPr="00B53505">
        <w:rPr>
          <w:szCs w:val="24"/>
        </w:rPr>
        <w:t>.</w:t>
      </w:r>
    </w:p>
    <w:p w14:paraId="5BF83DBE" w14:textId="77777777" w:rsidR="008B2C3E" w:rsidRPr="00B53505" w:rsidRDefault="00333AE9" w:rsidP="00333AE9">
      <w:pPr>
        <w:rPr>
          <w:szCs w:val="24"/>
        </w:rPr>
      </w:pPr>
      <w:r w:rsidRPr="00B53505">
        <w:rPr>
          <w:szCs w:val="24"/>
        </w:rPr>
        <w:t xml:space="preserve">The amount of the </w:t>
      </w:r>
      <w:r w:rsidR="00B67686" w:rsidRPr="00B53505">
        <w:rPr>
          <w:szCs w:val="24"/>
        </w:rPr>
        <w:t>G</w:t>
      </w:r>
      <w:r w:rsidRPr="00B53505">
        <w:rPr>
          <w:szCs w:val="24"/>
        </w:rPr>
        <w:t xml:space="preserve">uarantee </w:t>
      </w:r>
      <w:r w:rsidR="00D932AA" w:rsidRPr="00B53505">
        <w:rPr>
          <w:szCs w:val="24"/>
        </w:rPr>
        <w:t xml:space="preserve">exceeding </w:t>
      </w:r>
      <w:r w:rsidRPr="00B53505">
        <w:rPr>
          <w:szCs w:val="24"/>
        </w:rPr>
        <w:t>the amount indicated in paragraph 1 shall be granted on behalf of the Union</w:t>
      </w:r>
      <w:r w:rsidR="008B2C3E" w:rsidRPr="00B53505">
        <w:rPr>
          <w:szCs w:val="24"/>
        </w:rPr>
        <w:t>.</w:t>
      </w:r>
    </w:p>
    <w:p w14:paraId="628B6BB5" w14:textId="74450A13" w:rsidR="008B2C3E" w:rsidRPr="00B53505" w:rsidRDefault="008B2C3E" w:rsidP="00333AE9">
      <w:pPr>
        <w:rPr>
          <w:szCs w:val="24"/>
        </w:rPr>
      </w:pPr>
      <w:r w:rsidRPr="00B53505">
        <w:t>Aggregate net payments from the general budget of the Union under the EFSD Guarantee shall not exceed EUR 1 </w:t>
      </w:r>
      <w:r w:rsidR="004F2B8C">
        <w:t>5</w:t>
      </w:r>
      <w:r w:rsidRPr="00B53505">
        <w:t>00 000 000</w:t>
      </w:r>
      <w:r w:rsidR="003740E5" w:rsidRPr="00B53505">
        <w:t>.</w:t>
      </w:r>
      <w:r w:rsidRPr="00B53505">
        <w:rPr>
          <w:szCs w:val="24"/>
        </w:rPr>
        <w:t xml:space="preserve"> Payments fo</w:t>
      </w:r>
      <w:r w:rsidR="00263EE8" w:rsidRPr="00B53505">
        <w:rPr>
          <w:szCs w:val="24"/>
        </w:rPr>
        <w:t>r guarantee calls shall be made</w:t>
      </w:r>
      <w:r w:rsidR="00333AE9" w:rsidRPr="00B53505">
        <w:rPr>
          <w:szCs w:val="24"/>
        </w:rPr>
        <w:t xml:space="preserve">, where necessary, by the contributing Member States or other </w:t>
      </w:r>
      <w:r w:rsidR="00B67686" w:rsidRPr="00B53505">
        <w:rPr>
          <w:szCs w:val="24"/>
        </w:rPr>
        <w:t>c</w:t>
      </w:r>
      <w:r w:rsidR="00333AE9" w:rsidRPr="00B53505">
        <w:rPr>
          <w:szCs w:val="24"/>
        </w:rPr>
        <w:t>ontributors on</w:t>
      </w:r>
      <w:r w:rsidR="00D96366" w:rsidRPr="00B53505">
        <w:rPr>
          <w:szCs w:val="24"/>
        </w:rPr>
        <w:t xml:space="preserve"> </w:t>
      </w:r>
      <w:r w:rsidR="00D96366" w:rsidRPr="00B53505">
        <w:rPr>
          <w:i/>
          <w:szCs w:val="24"/>
        </w:rPr>
        <w:t>pari passu</w:t>
      </w:r>
      <w:r w:rsidR="00333AE9" w:rsidRPr="00B53505">
        <w:rPr>
          <w:szCs w:val="24"/>
        </w:rPr>
        <w:t xml:space="preserve"> basis with the Union, without prejudice to paragraph 4. </w:t>
      </w:r>
    </w:p>
    <w:p w14:paraId="70846CCD" w14:textId="6456D0FC" w:rsidR="00333AE9" w:rsidRPr="00B53505" w:rsidRDefault="00333AE9" w:rsidP="00333AE9">
      <w:pPr>
        <w:rPr>
          <w:szCs w:val="24"/>
        </w:rPr>
      </w:pPr>
      <w:r w:rsidRPr="00B53505">
        <w:rPr>
          <w:szCs w:val="24"/>
        </w:rPr>
        <w:t xml:space="preserve">A contribution agreement shall be </w:t>
      </w:r>
      <w:r w:rsidR="008B2C3E" w:rsidRPr="00B53505">
        <w:rPr>
          <w:szCs w:val="24"/>
        </w:rPr>
        <w:t xml:space="preserve">concluded </w:t>
      </w:r>
      <w:r w:rsidRPr="00B53505">
        <w:rPr>
          <w:szCs w:val="24"/>
        </w:rPr>
        <w:t>between the Commission</w:t>
      </w:r>
      <w:r w:rsidR="00370EDB" w:rsidRPr="00B53505">
        <w:rPr>
          <w:szCs w:val="24"/>
        </w:rPr>
        <w:t xml:space="preserve">, on behalf of the Union, </w:t>
      </w:r>
      <w:r w:rsidRPr="00B53505">
        <w:rPr>
          <w:szCs w:val="24"/>
        </w:rPr>
        <w:t xml:space="preserve">and the </w:t>
      </w:r>
      <w:r w:rsidR="002A7D3D" w:rsidRPr="00B53505">
        <w:rPr>
          <w:szCs w:val="24"/>
        </w:rPr>
        <w:t>c</w:t>
      </w:r>
      <w:r w:rsidRPr="00B53505">
        <w:rPr>
          <w:szCs w:val="24"/>
        </w:rPr>
        <w:t>ontributor, which shall contain, in particular, provisions concerning the payment conditions.</w:t>
      </w:r>
    </w:p>
    <w:p w14:paraId="23616CD0" w14:textId="17A06262" w:rsidR="00333AE9" w:rsidRPr="00B53505" w:rsidRDefault="00333AE9" w:rsidP="00404D5F">
      <w:pPr>
        <w:spacing w:before="0" w:after="200"/>
      </w:pPr>
      <w:r w:rsidRPr="00B53505">
        <w:rPr>
          <w:szCs w:val="24"/>
        </w:rPr>
        <w:t xml:space="preserve">3. The EFSD Guarantee shall only become available </w:t>
      </w:r>
      <w:r w:rsidR="009E4699" w:rsidRPr="00B53505">
        <w:rPr>
          <w:szCs w:val="24"/>
        </w:rPr>
        <w:t xml:space="preserve">when </w:t>
      </w:r>
      <w:r w:rsidRPr="00B53505">
        <w:t>a contribution in cash of EUR</w:t>
      </w:r>
      <w:r w:rsidR="002A7D3D" w:rsidRPr="00B53505">
        <w:t> </w:t>
      </w:r>
      <w:r w:rsidRPr="00B53505">
        <w:t>400</w:t>
      </w:r>
      <w:r w:rsidR="002A7D3D" w:rsidRPr="00B53505">
        <w:t> </w:t>
      </w:r>
      <w:r w:rsidRPr="00B53505">
        <w:t>000</w:t>
      </w:r>
      <w:r w:rsidR="002A7D3D" w:rsidRPr="00B53505">
        <w:t> </w:t>
      </w:r>
      <w:r w:rsidRPr="00B53505">
        <w:t xml:space="preserve">000 from the </w:t>
      </w:r>
      <w:r w:rsidR="00370EDB" w:rsidRPr="00B53505">
        <w:t>11</w:t>
      </w:r>
      <w:r w:rsidR="008B2C3E" w:rsidRPr="00B53505">
        <w:rPr>
          <w:vertAlign w:val="superscript"/>
        </w:rPr>
        <w:t>th</w:t>
      </w:r>
      <w:r w:rsidR="008B2C3E" w:rsidRPr="00B53505">
        <w:t xml:space="preserve"> </w:t>
      </w:r>
      <w:r w:rsidRPr="00B53505">
        <w:t>European Development Fund</w:t>
      </w:r>
      <w:r w:rsidR="00370EDB" w:rsidRPr="00B53505">
        <w:t xml:space="preserve"> (EDF)</w:t>
      </w:r>
      <w:r w:rsidR="00370EDB" w:rsidRPr="00B53505">
        <w:rPr>
          <w:rStyle w:val="FootnoteReference"/>
        </w:rPr>
        <w:footnoteReference w:id="35"/>
      </w:r>
      <w:r w:rsidRPr="00B53505">
        <w:t xml:space="preserve"> to the general budget of the Union has been confirmed</w:t>
      </w:r>
      <w:r w:rsidR="002C4DDA">
        <w:t>.</w:t>
      </w:r>
      <w:r w:rsidRPr="00B53505">
        <w:t xml:space="preserve"> </w:t>
      </w:r>
    </w:p>
    <w:p w14:paraId="799B20DD" w14:textId="77777777" w:rsidR="009E4699" w:rsidRPr="00B53505" w:rsidRDefault="009E4699" w:rsidP="00DE4065">
      <w:pPr>
        <w:spacing w:before="0" w:after="200"/>
      </w:pPr>
      <w:r w:rsidRPr="00B53505">
        <w:t xml:space="preserve">The Member States may contribute to the EFSD Guarantee in the form of guarantees or cash. </w:t>
      </w:r>
    </w:p>
    <w:p w14:paraId="64E89159" w14:textId="77777777" w:rsidR="00333AE9" w:rsidRPr="00B53505" w:rsidRDefault="00333AE9" w:rsidP="00DE4065">
      <w:pPr>
        <w:spacing w:before="0" w:after="200"/>
        <w:rPr>
          <w:szCs w:val="24"/>
        </w:rPr>
      </w:pPr>
      <w:r w:rsidRPr="00B53505">
        <w:rPr>
          <w:szCs w:val="24"/>
        </w:rPr>
        <w:t>The Commission shall inform the European Parliament and the Council about the contributions confirmed.</w:t>
      </w:r>
    </w:p>
    <w:p w14:paraId="491CEEA1" w14:textId="18415CD6" w:rsidR="00732AD0" w:rsidRPr="00B53505" w:rsidRDefault="00333AE9" w:rsidP="00DE4065">
      <w:pPr>
        <w:spacing w:before="0" w:after="200"/>
        <w:rPr>
          <w:szCs w:val="24"/>
          <w:highlight w:val="yellow"/>
        </w:rPr>
      </w:pPr>
      <w:r w:rsidRPr="00B53505">
        <w:rPr>
          <w:szCs w:val="24"/>
        </w:rPr>
        <w:t xml:space="preserve">4. </w:t>
      </w:r>
      <w:r w:rsidR="00F10F1A" w:rsidRPr="00B53505">
        <w:rPr>
          <w:szCs w:val="24"/>
        </w:rPr>
        <w:t xml:space="preserve">The contributions made by the Member States </w:t>
      </w:r>
      <w:r w:rsidR="00D96366" w:rsidRPr="00B53505">
        <w:rPr>
          <w:szCs w:val="24"/>
        </w:rPr>
        <w:t xml:space="preserve">in the form of a guarantee </w:t>
      </w:r>
      <w:r w:rsidR="00F10F1A" w:rsidRPr="00B53505">
        <w:rPr>
          <w:szCs w:val="24"/>
        </w:rPr>
        <w:t xml:space="preserve">may only be </w:t>
      </w:r>
      <w:r w:rsidR="00D96366" w:rsidRPr="00B53505">
        <w:rPr>
          <w:szCs w:val="24"/>
        </w:rPr>
        <w:t>called</w:t>
      </w:r>
      <w:r w:rsidR="00F10F1A" w:rsidRPr="00B53505">
        <w:rPr>
          <w:szCs w:val="24"/>
        </w:rPr>
        <w:t xml:space="preserve"> for payments of </w:t>
      </w:r>
      <w:r w:rsidR="00205848" w:rsidRPr="00B53505">
        <w:rPr>
          <w:szCs w:val="24"/>
        </w:rPr>
        <w:t xml:space="preserve">guarantee </w:t>
      </w:r>
      <w:r w:rsidR="00F10F1A" w:rsidRPr="00B53505">
        <w:rPr>
          <w:szCs w:val="24"/>
        </w:rPr>
        <w:t xml:space="preserve">calls after </w:t>
      </w:r>
      <w:r w:rsidR="00732AD0" w:rsidRPr="00B53505">
        <w:rPr>
          <w:szCs w:val="24"/>
        </w:rPr>
        <w:t xml:space="preserve">the funding from the general budget of the Union increased by </w:t>
      </w:r>
      <w:r w:rsidR="00D96366" w:rsidRPr="00B53505">
        <w:rPr>
          <w:szCs w:val="24"/>
        </w:rPr>
        <w:t xml:space="preserve">any other cash </w:t>
      </w:r>
      <w:r w:rsidR="00732AD0" w:rsidRPr="00B53505">
        <w:rPr>
          <w:szCs w:val="24"/>
        </w:rPr>
        <w:t>contributions has been used on payments of guarantee calls.</w:t>
      </w:r>
    </w:p>
    <w:p w14:paraId="75FB7485" w14:textId="13DED476" w:rsidR="00333AE9" w:rsidRPr="00B53505" w:rsidRDefault="008705BB" w:rsidP="00DE4065">
      <w:pPr>
        <w:spacing w:before="0" w:after="200"/>
        <w:rPr>
          <w:szCs w:val="24"/>
        </w:rPr>
      </w:pPr>
      <w:r w:rsidRPr="00B53505">
        <w:rPr>
          <w:szCs w:val="24"/>
        </w:rPr>
        <w:t>At the request of the Member States, t</w:t>
      </w:r>
      <w:r w:rsidR="00333AE9" w:rsidRPr="00B53505">
        <w:rPr>
          <w:szCs w:val="24"/>
        </w:rPr>
        <w:t xml:space="preserve">he contributions made by </w:t>
      </w:r>
      <w:r w:rsidRPr="00B53505">
        <w:rPr>
          <w:szCs w:val="24"/>
        </w:rPr>
        <w:t>them</w:t>
      </w:r>
      <w:r w:rsidR="00333AE9" w:rsidRPr="00B53505">
        <w:rPr>
          <w:szCs w:val="24"/>
        </w:rPr>
        <w:t xml:space="preserve"> </w:t>
      </w:r>
      <w:r w:rsidRPr="00B53505">
        <w:rPr>
          <w:szCs w:val="24"/>
        </w:rPr>
        <w:t xml:space="preserve">may be earmarked for the initiation of projects in specific regions, </w:t>
      </w:r>
      <w:r w:rsidR="00C372B0" w:rsidRPr="00B53505">
        <w:rPr>
          <w:szCs w:val="24"/>
        </w:rPr>
        <w:t xml:space="preserve">countries, </w:t>
      </w:r>
      <w:r w:rsidRPr="00B53505">
        <w:rPr>
          <w:szCs w:val="24"/>
        </w:rPr>
        <w:t>sectors or investment windows</w:t>
      </w:r>
      <w:r w:rsidR="00C464B9" w:rsidRPr="00B53505">
        <w:rPr>
          <w:szCs w:val="24"/>
        </w:rPr>
        <w:t>.</w:t>
      </w:r>
    </w:p>
    <w:p w14:paraId="2C40ECDB" w14:textId="44B746C6" w:rsidR="003235C9" w:rsidRPr="00B53505" w:rsidRDefault="0089781D" w:rsidP="00DE4065">
      <w:pPr>
        <w:spacing w:before="0" w:after="200"/>
        <w:rPr>
          <w:szCs w:val="24"/>
        </w:rPr>
      </w:pPr>
      <w:r w:rsidRPr="00B53505">
        <w:rPr>
          <w:szCs w:val="24"/>
        </w:rPr>
        <w:t>Any contribution</w:t>
      </w:r>
      <w:r w:rsidR="008705BB" w:rsidRPr="00B53505">
        <w:rPr>
          <w:szCs w:val="24"/>
        </w:rPr>
        <w:t xml:space="preserve"> may</w:t>
      </w:r>
      <w:r w:rsidR="003235C9" w:rsidRPr="00B53505">
        <w:rPr>
          <w:szCs w:val="24"/>
        </w:rPr>
        <w:t xml:space="preserve"> be use</w:t>
      </w:r>
      <w:r w:rsidR="008705BB" w:rsidRPr="00B53505">
        <w:rPr>
          <w:szCs w:val="24"/>
        </w:rPr>
        <w:t>d</w:t>
      </w:r>
      <w:r w:rsidR="003235C9" w:rsidRPr="00B53505">
        <w:rPr>
          <w:szCs w:val="24"/>
        </w:rPr>
        <w:t xml:space="preserve"> to cover </w:t>
      </w:r>
      <w:r w:rsidRPr="00B53505">
        <w:rPr>
          <w:szCs w:val="24"/>
        </w:rPr>
        <w:t>guarantee calls</w:t>
      </w:r>
      <w:r w:rsidR="003235C9" w:rsidRPr="00B53505">
        <w:rPr>
          <w:szCs w:val="24"/>
        </w:rPr>
        <w:t xml:space="preserve"> regardless of earmarking</w:t>
      </w:r>
      <w:r w:rsidR="008705BB" w:rsidRPr="00B53505">
        <w:rPr>
          <w:szCs w:val="24"/>
        </w:rPr>
        <w:t>.</w:t>
      </w:r>
    </w:p>
    <w:p w14:paraId="0108BFBA" w14:textId="31064450" w:rsidR="00333AE9" w:rsidRPr="00B53505" w:rsidRDefault="00333AE9" w:rsidP="001D1BCB">
      <w:pPr>
        <w:spacing w:before="0" w:after="200"/>
        <w:rPr>
          <w:szCs w:val="24"/>
        </w:rPr>
      </w:pPr>
      <w:r w:rsidRPr="00B53505">
        <w:rPr>
          <w:szCs w:val="24"/>
        </w:rPr>
        <w:t>5. At least EUR 400 000 000</w:t>
      </w:r>
      <w:r w:rsidR="002A7D3D" w:rsidRPr="00B53505">
        <w:rPr>
          <w:szCs w:val="24"/>
        </w:rPr>
        <w:t xml:space="preserve"> </w:t>
      </w:r>
      <w:r w:rsidRPr="00B53505">
        <w:rPr>
          <w:szCs w:val="24"/>
        </w:rPr>
        <w:t xml:space="preserve">of </w:t>
      </w:r>
      <w:r w:rsidR="00A44EC3" w:rsidRPr="00B53505">
        <w:rPr>
          <w:szCs w:val="24"/>
        </w:rPr>
        <w:t>EFSD Guarantee coverage shall be a</w:t>
      </w:r>
      <w:r w:rsidR="006C14D2" w:rsidRPr="00B53505">
        <w:rPr>
          <w:szCs w:val="24"/>
        </w:rPr>
        <w:t>llocated for</w:t>
      </w:r>
      <w:r w:rsidR="00A44EC3" w:rsidRPr="00B53505">
        <w:rPr>
          <w:szCs w:val="24"/>
        </w:rPr>
        <w:t xml:space="preserve"> investments</w:t>
      </w:r>
      <w:r w:rsidR="00863BD4" w:rsidRPr="00B53505">
        <w:rPr>
          <w:szCs w:val="24"/>
        </w:rPr>
        <w:t xml:space="preserve"> </w:t>
      </w:r>
      <w:r w:rsidR="00A44EC3" w:rsidRPr="00B53505">
        <w:rPr>
          <w:szCs w:val="24"/>
        </w:rPr>
        <w:t>in the partner countries eligible under the 11</w:t>
      </w:r>
      <w:r w:rsidR="00A44EC3" w:rsidRPr="00B53505">
        <w:rPr>
          <w:szCs w:val="24"/>
          <w:vertAlign w:val="superscript"/>
        </w:rPr>
        <w:t>th</w:t>
      </w:r>
      <w:r w:rsidR="00A44EC3" w:rsidRPr="00B53505">
        <w:rPr>
          <w:szCs w:val="24"/>
        </w:rPr>
        <w:t xml:space="preserve"> </w:t>
      </w:r>
      <w:r w:rsidR="00370EDB" w:rsidRPr="00B53505">
        <w:rPr>
          <w:szCs w:val="24"/>
        </w:rPr>
        <w:t>EDF</w:t>
      </w:r>
      <w:r w:rsidR="00A44EC3" w:rsidRPr="00B53505">
        <w:rPr>
          <w:szCs w:val="24"/>
        </w:rPr>
        <w:t xml:space="preserve"> </w:t>
      </w:r>
      <w:r w:rsidR="006C14D2" w:rsidRPr="00B53505">
        <w:rPr>
          <w:szCs w:val="24"/>
        </w:rPr>
        <w:t>throughout</w:t>
      </w:r>
      <w:r w:rsidR="00A44EC3" w:rsidRPr="00B53505">
        <w:rPr>
          <w:szCs w:val="24"/>
        </w:rPr>
        <w:t xml:space="preserve"> the implementation period of the </w:t>
      </w:r>
      <w:r w:rsidR="002A7D3D" w:rsidRPr="00B53505">
        <w:rPr>
          <w:szCs w:val="24"/>
        </w:rPr>
        <w:t xml:space="preserve">EFSD </w:t>
      </w:r>
      <w:r w:rsidR="00A44EC3" w:rsidRPr="00B53505">
        <w:rPr>
          <w:szCs w:val="24"/>
        </w:rPr>
        <w:t>Guarantee</w:t>
      </w:r>
      <w:r w:rsidR="00370EDB" w:rsidRPr="00B53505">
        <w:rPr>
          <w:szCs w:val="24"/>
        </w:rPr>
        <w:t xml:space="preserve">. </w:t>
      </w:r>
    </w:p>
    <w:p w14:paraId="4214F7D6" w14:textId="538E536A" w:rsidR="00241B19" w:rsidRPr="00B53505" w:rsidRDefault="00C51093" w:rsidP="00843BEE">
      <w:pPr>
        <w:pStyle w:val="Titrearticle"/>
      </w:pPr>
      <w:r w:rsidRPr="00B53505">
        <w:rPr>
          <w:b/>
        </w:rPr>
        <w:t xml:space="preserve">Article </w:t>
      </w:r>
      <w:r w:rsidR="00DA2694" w:rsidRPr="00B53505">
        <w:rPr>
          <w:b/>
        </w:rPr>
        <w:t>12</w:t>
      </w:r>
      <w:r w:rsidRPr="00B53505">
        <w:rPr>
          <w:b/>
        </w:rPr>
        <w:br/>
        <w:t xml:space="preserve">Implementation of the EFSD </w:t>
      </w:r>
      <w:r w:rsidR="0041658C" w:rsidRPr="00B53505">
        <w:rPr>
          <w:b/>
        </w:rPr>
        <w:t>g</w:t>
      </w:r>
      <w:r w:rsidRPr="00B53505">
        <w:rPr>
          <w:b/>
        </w:rPr>
        <w:t xml:space="preserve">uarantee </w:t>
      </w:r>
      <w:r w:rsidR="0041658C" w:rsidRPr="00B53505">
        <w:rPr>
          <w:b/>
        </w:rPr>
        <w:t>a</w:t>
      </w:r>
      <w:r w:rsidRPr="00B53505">
        <w:rPr>
          <w:b/>
        </w:rPr>
        <w:t>greements</w:t>
      </w:r>
    </w:p>
    <w:p w14:paraId="3974B545" w14:textId="5662391D" w:rsidR="00333AE9" w:rsidRPr="00B53505" w:rsidRDefault="0041658C" w:rsidP="001D1BCB">
      <w:r w:rsidRPr="00B53505">
        <w:t>1</w:t>
      </w:r>
      <w:r w:rsidR="00333AE9" w:rsidRPr="00B53505">
        <w:t xml:space="preserve">. The Commission </w:t>
      </w:r>
      <w:r w:rsidR="008B2C3E" w:rsidRPr="00B53505">
        <w:t xml:space="preserve">on behalf of the Union </w:t>
      </w:r>
      <w:r w:rsidR="00333AE9" w:rsidRPr="00B53505">
        <w:t xml:space="preserve">shall conclude EFSD </w:t>
      </w:r>
      <w:r w:rsidRPr="00B53505">
        <w:t>g</w:t>
      </w:r>
      <w:r w:rsidR="00333AE9" w:rsidRPr="00B53505">
        <w:t xml:space="preserve">uarantee agreements with the </w:t>
      </w:r>
      <w:r w:rsidRPr="00B53505">
        <w:t>e</w:t>
      </w:r>
      <w:r w:rsidR="00333AE9" w:rsidRPr="00B53505">
        <w:t xml:space="preserve">ligible </w:t>
      </w:r>
      <w:r w:rsidRPr="00B53505">
        <w:t>c</w:t>
      </w:r>
      <w:r w:rsidR="00333AE9" w:rsidRPr="00B53505">
        <w:t>ounterparts selected pursuant</w:t>
      </w:r>
      <w:r w:rsidR="00C464B9" w:rsidRPr="00B53505">
        <w:t xml:space="preserve"> to Article 10</w:t>
      </w:r>
      <w:r w:rsidRPr="00B53505">
        <w:t xml:space="preserve"> and paragraph 4</w:t>
      </w:r>
      <w:r w:rsidR="00333AE9" w:rsidRPr="00B53505">
        <w:rPr>
          <w:szCs w:val="24"/>
        </w:rPr>
        <w:t xml:space="preserve">, </w:t>
      </w:r>
      <w:r w:rsidR="00333AE9" w:rsidRPr="00B53505">
        <w:t xml:space="preserve">on the granting of the EFSD Guarantee, which shall be unconditional, irrevocable, at first demand, in favour of the selected </w:t>
      </w:r>
      <w:r w:rsidRPr="00B53505">
        <w:t>e</w:t>
      </w:r>
      <w:r w:rsidR="00333AE9" w:rsidRPr="00B53505">
        <w:t xml:space="preserve">ligible </w:t>
      </w:r>
      <w:r w:rsidRPr="00B53505">
        <w:t>c</w:t>
      </w:r>
      <w:r w:rsidR="00333AE9" w:rsidRPr="00B53505">
        <w:t>ounterpart.</w:t>
      </w:r>
    </w:p>
    <w:p w14:paraId="4D5ADA74" w14:textId="404F917E" w:rsidR="00333AE9" w:rsidRPr="00B53505" w:rsidRDefault="0041658C" w:rsidP="001D1BCB">
      <w:pPr>
        <w:spacing w:before="0" w:after="200"/>
        <w:rPr>
          <w:szCs w:val="24"/>
        </w:rPr>
      </w:pPr>
      <w:r w:rsidRPr="00B53505">
        <w:rPr>
          <w:szCs w:val="24"/>
        </w:rPr>
        <w:t>2</w:t>
      </w:r>
      <w:r w:rsidR="00333AE9" w:rsidRPr="00B53505">
        <w:rPr>
          <w:szCs w:val="24"/>
        </w:rPr>
        <w:t>. One or more guarantee agreement</w:t>
      </w:r>
      <w:r w:rsidR="003675D5" w:rsidRPr="00B53505">
        <w:rPr>
          <w:szCs w:val="24"/>
        </w:rPr>
        <w:t>s</w:t>
      </w:r>
      <w:r w:rsidR="00333AE9" w:rsidRPr="00B53505">
        <w:rPr>
          <w:szCs w:val="24"/>
        </w:rPr>
        <w:t xml:space="preserve"> </w:t>
      </w:r>
      <w:r w:rsidR="002F7423" w:rsidRPr="00B53505">
        <w:rPr>
          <w:szCs w:val="24"/>
        </w:rPr>
        <w:t>sha</w:t>
      </w:r>
      <w:r w:rsidR="00333AE9" w:rsidRPr="00B53505">
        <w:rPr>
          <w:szCs w:val="24"/>
        </w:rPr>
        <w:t xml:space="preserve">ll be </w:t>
      </w:r>
      <w:r w:rsidR="008B2C3E" w:rsidRPr="00B53505">
        <w:rPr>
          <w:szCs w:val="24"/>
        </w:rPr>
        <w:t xml:space="preserve">concluded </w:t>
      </w:r>
      <w:r w:rsidR="00333AE9" w:rsidRPr="00B53505">
        <w:rPr>
          <w:szCs w:val="24"/>
        </w:rPr>
        <w:t xml:space="preserve">for each </w:t>
      </w:r>
      <w:r w:rsidR="002A7D3D" w:rsidRPr="00B53505">
        <w:rPr>
          <w:szCs w:val="24"/>
        </w:rPr>
        <w:t>i</w:t>
      </w:r>
      <w:r w:rsidR="00333AE9" w:rsidRPr="00B53505">
        <w:rPr>
          <w:szCs w:val="24"/>
        </w:rPr>
        <w:t xml:space="preserve">nvestment </w:t>
      </w:r>
      <w:r w:rsidR="002A7D3D" w:rsidRPr="00B53505">
        <w:rPr>
          <w:szCs w:val="24"/>
        </w:rPr>
        <w:t>w</w:t>
      </w:r>
      <w:r w:rsidR="00333AE9" w:rsidRPr="00B53505">
        <w:rPr>
          <w:szCs w:val="24"/>
        </w:rPr>
        <w:t xml:space="preserve">indow between the Commission and the </w:t>
      </w:r>
      <w:r w:rsidR="002A7D3D" w:rsidRPr="00B53505">
        <w:rPr>
          <w:szCs w:val="24"/>
        </w:rPr>
        <w:t>e</w:t>
      </w:r>
      <w:r w:rsidR="00333AE9" w:rsidRPr="00B53505">
        <w:rPr>
          <w:szCs w:val="24"/>
        </w:rPr>
        <w:t xml:space="preserve">ligible </w:t>
      </w:r>
      <w:r w:rsidR="002A7D3D" w:rsidRPr="00B53505">
        <w:rPr>
          <w:szCs w:val="24"/>
        </w:rPr>
        <w:t>c</w:t>
      </w:r>
      <w:r w:rsidR="00333AE9" w:rsidRPr="00B53505">
        <w:rPr>
          <w:szCs w:val="24"/>
        </w:rPr>
        <w:t xml:space="preserve">ounterpart or </w:t>
      </w:r>
      <w:r w:rsidR="002A7D3D" w:rsidRPr="00B53505">
        <w:rPr>
          <w:szCs w:val="24"/>
        </w:rPr>
        <w:t>e</w:t>
      </w:r>
      <w:r w:rsidR="00333AE9" w:rsidRPr="00B53505">
        <w:rPr>
          <w:szCs w:val="24"/>
        </w:rPr>
        <w:t xml:space="preserve">ligible </w:t>
      </w:r>
      <w:r w:rsidR="002A7D3D" w:rsidRPr="00B53505">
        <w:rPr>
          <w:szCs w:val="24"/>
        </w:rPr>
        <w:t>c</w:t>
      </w:r>
      <w:r w:rsidR="00333AE9" w:rsidRPr="00B53505">
        <w:rPr>
          <w:szCs w:val="24"/>
        </w:rPr>
        <w:t xml:space="preserve">ounterparts selected. In order to address specific needs, the EFSD Guarantee may be granted for individual financing or investment operations. Agreements can be </w:t>
      </w:r>
      <w:r w:rsidR="008B2C3E" w:rsidRPr="00B53505">
        <w:rPr>
          <w:szCs w:val="24"/>
        </w:rPr>
        <w:t xml:space="preserve">concluded </w:t>
      </w:r>
      <w:r w:rsidR="00333AE9" w:rsidRPr="00B53505">
        <w:rPr>
          <w:szCs w:val="24"/>
        </w:rPr>
        <w:t xml:space="preserve">with a consortium of two or more </w:t>
      </w:r>
      <w:r w:rsidR="002A7D3D" w:rsidRPr="00B53505">
        <w:rPr>
          <w:szCs w:val="24"/>
        </w:rPr>
        <w:t>e</w:t>
      </w:r>
      <w:r w:rsidR="00333AE9" w:rsidRPr="00B53505">
        <w:rPr>
          <w:szCs w:val="24"/>
        </w:rPr>
        <w:t xml:space="preserve">ligible </w:t>
      </w:r>
      <w:r w:rsidR="002A7D3D" w:rsidRPr="00B53505">
        <w:rPr>
          <w:szCs w:val="24"/>
        </w:rPr>
        <w:t>c</w:t>
      </w:r>
      <w:r w:rsidR="00333AE9" w:rsidRPr="00B53505">
        <w:rPr>
          <w:szCs w:val="24"/>
        </w:rPr>
        <w:t>ounterparts.</w:t>
      </w:r>
    </w:p>
    <w:p w14:paraId="317B6B6F" w14:textId="4BACE222" w:rsidR="00333AE9" w:rsidRPr="00B53505" w:rsidRDefault="0041658C" w:rsidP="001D1BCB">
      <w:r w:rsidRPr="00B53505">
        <w:t>3</w:t>
      </w:r>
      <w:r w:rsidR="00333AE9" w:rsidRPr="00B53505">
        <w:t xml:space="preserve">. The </w:t>
      </w:r>
      <w:r w:rsidR="002A7D3D" w:rsidRPr="00B53505">
        <w:t>g</w:t>
      </w:r>
      <w:r w:rsidR="00333AE9" w:rsidRPr="00B53505">
        <w:t xml:space="preserve">uarantee </w:t>
      </w:r>
      <w:r w:rsidR="002A7D3D" w:rsidRPr="00B53505">
        <w:t>a</w:t>
      </w:r>
      <w:r w:rsidR="00333AE9" w:rsidRPr="00B53505">
        <w:t>greements shall contain, in particular, provisions concerning</w:t>
      </w:r>
      <w:r w:rsidR="00C526B5" w:rsidRPr="00B53505">
        <w:t xml:space="preserve"> the following</w:t>
      </w:r>
      <w:r w:rsidR="00333AE9" w:rsidRPr="00B53505">
        <w:t>:</w:t>
      </w:r>
    </w:p>
    <w:p w14:paraId="66D54C40" w14:textId="77777777" w:rsidR="00333AE9" w:rsidRPr="00B53505" w:rsidRDefault="00333AE9" w:rsidP="00DD242E">
      <w:pPr>
        <w:pStyle w:val="Point0letter"/>
        <w:numPr>
          <w:ilvl w:val="1"/>
          <w:numId w:val="9"/>
        </w:numPr>
      </w:pPr>
      <w:r w:rsidRPr="00B53505">
        <w:t xml:space="preserve">detailed rules on the provision of the EFSD Guarantee, including its arrangements on the coverage and its defined coverage of portfolios and of projects of specific types of instruments; </w:t>
      </w:r>
    </w:p>
    <w:p w14:paraId="1FDB25AB" w14:textId="77777777" w:rsidR="00333AE9" w:rsidRPr="00B53505" w:rsidRDefault="00333AE9" w:rsidP="00DD242E">
      <w:pPr>
        <w:pStyle w:val="Point0letter"/>
        <w:numPr>
          <w:ilvl w:val="1"/>
          <w:numId w:val="8"/>
        </w:numPr>
      </w:pPr>
      <w:r w:rsidRPr="00B53505">
        <w:t xml:space="preserve">the remuneration of the guarantee; </w:t>
      </w:r>
    </w:p>
    <w:p w14:paraId="3540D29C" w14:textId="77777777" w:rsidR="00333AE9" w:rsidRPr="00B53505" w:rsidRDefault="00333AE9" w:rsidP="00DD242E">
      <w:pPr>
        <w:pStyle w:val="Point0letter"/>
        <w:numPr>
          <w:ilvl w:val="1"/>
          <w:numId w:val="8"/>
        </w:numPr>
      </w:pPr>
      <w:r w:rsidRPr="00B53505">
        <w:t xml:space="preserve">requirements for the use of the EFSD Guarantee, including payment conditions, such as specific time frames, interest to be paid on due amounts, expenses and recovery costs and possibly necessary liquidity arrangements; </w:t>
      </w:r>
    </w:p>
    <w:p w14:paraId="12DC7B13" w14:textId="77777777" w:rsidR="00333AE9" w:rsidRPr="00B53505" w:rsidRDefault="00333AE9" w:rsidP="00DD242E">
      <w:pPr>
        <w:pStyle w:val="Point0letter"/>
        <w:numPr>
          <w:ilvl w:val="1"/>
          <w:numId w:val="8"/>
        </w:numPr>
      </w:pPr>
      <w:r w:rsidRPr="00B53505">
        <w:t xml:space="preserve">provisions and procedures regarding the recovery of claims; </w:t>
      </w:r>
    </w:p>
    <w:p w14:paraId="2F6A378F" w14:textId="46338470" w:rsidR="00333AE9" w:rsidRPr="00B53505" w:rsidRDefault="00333AE9" w:rsidP="00DD242E">
      <w:pPr>
        <w:pStyle w:val="Point0letter"/>
        <w:numPr>
          <w:ilvl w:val="1"/>
          <w:numId w:val="8"/>
        </w:numPr>
      </w:pPr>
      <w:r w:rsidRPr="00B53505">
        <w:t>provisions regarding the monitoring, reporting and evaluation obligations pursuant to Articles 1</w:t>
      </w:r>
      <w:r w:rsidR="002A7D3D" w:rsidRPr="00B53505">
        <w:t>5</w:t>
      </w:r>
      <w:r w:rsidRPr="00B53505">
        <w:t xml:space="preserve"> and 1</w:t>
      </w:r>
      <w:r w:rsidR="002A7D3D" w:rsidRPr="00B53505">
        <w:t>6</w:t>
      </w:r>
      <w:r w:rsidRPr="00B53505">
        <w:t>.</w:t>
      </w:r>
    </w:p>
    <w:p w14:paraId="18E23082" w14:textId="478D756D" w:rsidR="00333AE9" w:rsidRPr="00B53505" w:rsidRDefault="0041658C" w:rsidP="001D1BCB">
      <w:pPr>
        <w:spacing w:before="0" w:after="200"/>
        <w:rPr>
          <w:szCs w:val="24"/>
        </w:rPr>
      </w:pPr>
      <w:r w:rsidRPr="00B53505">
        <w:rPr>
          <w:szCs w:val="24"/>
        </w:rPr>
        <w:t>4</w:t>
      </w:r>
      <w:r w:rsidR="00333AE9" w:rsidRPr="00B53505">
        <w:rPr>
          <w:szCs w:val="24"/>
        </w:rPr>
        <w:t xml:space="preserve">. </w:t>
      </w:r>
      <w:r w:rsidR="00433243" w:rsidRPr="00B53505">
        <w:rPr>
          <w:szCs w:val="24"/>
        </w:rPr>
        <w:t>The</w:t>
      </w:r>
      <w:r w:rsidR="00404124" w:rsidRPr="00B53505">
        <w:rPr>
          <w:szCs w:val="24"/>
        </w:rPr>
        <w:t xml:space="preserve"> </w:t>
      </w:r>
      <w:r w:rsidR="00333AE9" w:rsidRPr="00B53505">
        <w:rPr>
          <w:szCs w:val="24"/>
        </w:rPr>
        <w:t xml:space="preserve">Commission shall </w:t>
      </w:r>
      <w:r w:rsidR="00404124" w:rsidRPr="00B53505">
        <w:rPr>
          <w:szCs w:val="24"/>
        </w:rPr>
        <w:t xml:space="preserve">decide whether to </w:t>
      </w:r>
      <w:r w:rsidR="008B2C3E" w:rsidRPr="00B53505">
        <w:rPr>
          <w:szCs w:val="24"/>
        </w:rPr>
        <w:t xml:space="preserve">conclude </w:t>
      </w:r>
      <w:r w:rsidR="00333AE9" w:rsidRPr="00B53505">
        <w:rPr>
          <w:szCs w:val="24"/>
        </w:rPr>
        <w:t>guarantee agreements with</w:t>
      </w:r>
      <w:r w:rsidR="00B17BC5" w:rsidRPr="00B53505">
        <w:rPr>
          <w:szCs w:val="24"/>
        </w:rPr>
        <w:t xml:space="preserve"> </w:t>
      </w:r>
      <w:r w:rsidR="002A7D3D" w:rsidRPr="00B53505">
        <w:rPr>
          <w:szCs w:val="24"/>
        </w:rPr>
        <w:t>e</w:t>
      </w:r>
      <w:r w:rsidR="00B17BC5" w:rsidRPr="00B53505">
        <w:rPr>
          <w:szCs w:val="24"/>
        </w:rPr>
        <w:t xml:space="preserve">ligible </w:t>
      </w:r>
      <w:r w:rsidR="002A7D3D" w:rsidRPr="00B53505">
        <w:rPr>
          <w:szCs w:val="24"/>
        </w:rPr>
        <w:t>c</w:t>
      </w:r>
      <w:r w:rsidR="00333AE9" w:rsidRPr="00B53505">
        <w:rPr>
          <w:szCs w:val="24"/>
        </w:rPr>
        <w:t>ounterparts taking due account of:</w:t>
      </w:r>
    </w:p>
    <w:p w14:paraId="386BB09C" w14:textId="77777777" w:rsidR="00333AE9" w:rsidRPr="00B53505" w:rsidRDefault="00333AE9" w:rsidP="00DD242E">
      <w:pPr>
        <w:pStyle w:val="Point0letter"/>
        <w:numPr>
          <w:ilvl w:val="1"/>
          <w:numId w:val="10"/>
        </w:numPr>
      </w:pPr>
      <w:r w:rsidRPr="00B53505">
        <w:t>the objectives of the investment window;</w:t>
      </w:r>
    </w:p>
    <w:p w14:paraId="16633228" w14:textId="77777777" w:rsidR="00333AE9" w:rsidRPr="00B53505" w:rsidRDefault="00333AE9" w:rsidP="001D1BCB">
      <w:pPr>
        <w:pStyle w:val="Point0letter"/>
      </w:pPr>
      <w:r w:rsidRPr="00B53505">
        <w:t>the experience and the operational and financial capacity of the counterpart;</w:t>
      </w:r>
    </w:p>
    <w:p w14:paraId="7687E811" w14:textId="77777777" w:rsidR="00333AE9" w:rsidRPr="00B53505" w:rsidRDefault="00333AE9" w:rsidP="001D1BCB">
      <w:pPr>
        <w:pStyle w:val="Point0letter"/>
      </w:pPr>
      <w:r w:rsidRPr="00B53505">
        <w:t>the amount of own resources that the counterpart is ready to mobilise for the investment window</w:t>
      </w:r>
      <w:r w:rsidR="00404124" w:rsidRPr="00B53505">
        <w:t>.</w:t>
      </w:r>
    </w:p>
    <w:p w14:paraId="56DED593" w14:textId="5CD41DB3" w:rsidR="00333AE9" w:rsidRPr="00B53505" w:rsidRDefault="0041658C" w:rsidP="001D1BCB">
      <w:pPr>
        <w:spacing w:before="0" w:after="200"/>
        <w:rPr>
          <w:szCs w:val="24"/>
        </w:rPr>
      </w:pPr>
      <w:r w:rsidRPr="00B53505">
        <w:rPr>
          <w:szCs w:val="24"/>
        </w:rPr>
        <w:t>5</w:t>
      </w:r>
      <w:r w:rsidR="00333AE9" w:rsidRPr="00B53505">
        <w:rPr>
          <w:szCs w:val="24"/>
        </w:rPr>
        <w:t xml:space="preserve">. The approval of financing and investment operations shall be made by the </w:t>
      </w:r>
      <w:r w:rsidR="00BC653D" w:rsidRPr="00B53505">
        <w:rPr>
          <w:szCs w:val="24"/>
        </w:rPr>
        <w:t>e</w:t>
      </w:r>
      <w:r w:rsidR="00333AE9" w:rsidRPr="00B53505">
        <w:rPr>
          <w:szCs w:val="24"/>
        </w:rPr>
        <w:t xml:space="preserve">ligible </w:t>
      </w:r>
      <w:r w:rsidR="00BC653D" w:rsidRPr="00B53505">
        <w:rPr>
          <w:szCs w:val="24"/>
        </w:rPr>
        <w:t>c</w:t>
      </w:r>
      <w:r w:rsidR="00333AE9" w:rsidRPr="00B53505">
        <w:rPr>
          <w:szCs w:val="24"/>
        </w:rPr>
        <w:t>ounterpart following its own rules and procedures and in compliance with the terms of the guarantee agreement.</w:t>
      </w:r>
    </w:p>
    <w:p w14:paraId="3DB45CEB" w14:textId="77777777" w:rsidR="00333AE9" w:rsidRPr="00B53505" w:rsidRDefault="00A56DB8" w:rsidP="00333AE9">
      <w:pPr>
        <w:spacing w:before="0" w:after="200" w:line="276" w:lineRule="auto"/>
        <w:jc w:val="left"/>
      </w:pPr>
      <w:r w:rsidRPr="00B53505">
        <w:rPr>
          <w:szCs w:val="24"/>
        </w:rPr>
        <w:t>6</w:t>
      </w:r>
      <w:r w:rsidR="00333AE9" w:rsidRPr="00B53505">
        <w:rPr>
          <w:szCs w:val="24"/>
        </w:rPr>
        <w:t xml:space="preserve">. </w:t>
      </w:r>
      <w:r w:rsidR="00333AE9" w:rsidRPr="00B53505">
        <w:t>The EFSD Guarantee may cover:</w:t>
      </w:r>
    </w:p>
    <w:p w14:paraId="4B5D6828" w14:textId="7D779BC5" w:rsidR="00333AE9" w:rsidRPr="00B53505" w:rsidRDefault="00333AE9" w:rsidP="00DD242E">
      <w:pPr>
        <w:pStyle w:val="Point0letter"/>
        <w:numPr>
          <w:ilvl w:val="1"/>
          <w:numId w:val="11"/>
        </w:numPr>
      </w:pPr>
      <w:r w:rsidRPr="00B53505">
        <w:t xml:space="preserve">for debt instruments the principal and all interests and amounts due to the selected </w:t>
      </w:r>
      <w:r w:rsidR="00BC653D" w:rsidRPr="00B53505">
        <w:t>e</w:t>
      </w:r>
      <w:r w:rsidRPr="00B53505">
        <w:t xml:space="preserve">ligible </w:t>
      </w:r>
      <w:r w:rsidR="00BC653D" w:rsidRPr="00B53505">
        <w:t>c</w:t>
      </w:r>
      <w:r w:rsidRPr="00B53505">
        <w:t xml:space="preserve">ounterpart, but not received by it in accordance with the terms of the financing operations after an event of default has occurred; </w:t>
      </w:r>
    </w:p>
    <w:p w14:paraId="597196A1" w14:textId="77777777" w:rsidR="00333AE9" w:rsidRPr="00B53505" w:rsidRDefault="00333AE9" w:rsidP="00DD242E">
      <w:pPr>
        <w:pStyle w:val="Point0letter"/>
        <w:numPr>
          <w:ilvl w:val="1"/>
          <w:numId w:val="11"/>
        </w:numPr>
      </w:pPr>
      <w:r w:rsidRPr="00B53505">
        <w:t>for equity investments the amounts invested and their associated financing costs</w:t>
      </w:r>
      <w:r w:rsidR="007A79A0" w:rsidRPr="00B53505">
        <w:t>;</w:t>
      </w:r>
      <w:r w:rsidRPr="00B53505">
        <w:t xml:space="preserve"> </w:t>
      </w:r>
    </w:p>
    <w:p w14:paraId="75AC7EFE" w14:textId="77777777" w:rsidR="00333AE9" w:rsidRPr="00B53505" w:rsidRDefault="00333AE9" w:rsidP="00DD242E">
      <w:pPr>
        <w:pStyle w:val="Point0letter"/>
        <w:numPr>
          <w:ilvl w:val="1"/>
          <w:numId w:val="11"/>
        </w:numPr>
      </w:pPr>
      <w:r w:rsidRPr="00B53505">
        <w:t xml:space="preserve">for other </w:t>
      </w:r>
      <w:r w:rsidR="00C526B5" w:rsidRPr="00B53505">
        <w:t xml:space="preserve">financing and investment </w:t>
      </w:r>
      <w:r w:rsidRPr="00B53505">
        <w:t>operations referred to in Article 8</w:t>
      </w:r>
      <w:r w:rsidR="00D44922" w:rsidRPr="00B53505">
        <w:t>(</w:t>
      </w:r>
      <w:r w:rsidRPr="00B53505">
        <w:t>2</w:t>
      </w:r>
      <w:r w:rsidR="00D44922" w:rsidRPr="00B53505">
        <w:t>)</w:t>
      </w:r>
      <w:r w:rsidRPr="00B53505">
        <w:t xml:space="preserve"> the amounts used and their associated funding costs</w:t>
      </w:r>
      <w:r w:rsidR="007A79A0" w:rsidRPr="00B53505">
        <w:t>;</w:t>
      </w:r>
      <w:r w:rsidRPr="00B53505">
        <w:t xml:space="preserve"> </w:t>
      </w:r>
    </w:p>
    <w:p w14:paraId="7590D4AD" w14:textId="77777777" w:rsidR="00333AE9" w:rsidRPr="00B53505" w:rsidRDefault="00333AE9" w:rsidP="00DD242E">
      <w:pPr>
        <w:pStyle w:val="Point0letter"/>
        <w:numPr>
          <w:ilvl w:val="1"/>
          <w:numId w:val="11"/>
        </w:numPr>
        <w:rPr>
          <w:szCs w:val="24"/>
        </w:rPr>
      </w:pPr>
      <w:r w:rsidRPr="00B53505">
        <w:t xml:space="preserve">all relevant expenses and recovery costs related to an event of default, unless deducted from recovery proceeds. </w:t>
      </w:r>
    </w:p>
    <w:p w14:paraId="503BDB2C" w14:textId="0C898C5B" w:rsidR="00333AE9" w:rsidRPr="00B53505" w:rsidRDefault="0041658C" w:rsidP="00333AE9">
      <w:r w:rsidRPr="00B53505">
        <w:rPr>
          <w:szCs w:val="24"/>
        </w:rPr>
        <w:t>7</w:t>
      </w:r>
      <w:r w:rsidR="00333AE9" w:rsidRPr="00B53505">
        <w:rPr>
          <w:szCs w:val="24"/>
        </w:rPr>
        <w:t xml:space="preserve">. The guarantee agreements shall lay down detailed rules on the cover, requirements, eligibility, </w:t>
      </w:r>
      <w:r w:rsidR="00BC653D" w:rsidRPr="00B53505">
        <w:rPr>
          <w:szCs w:val="24"/>
        </w:rPr>
        <w:t>e</w:t>
      </w:r>
      <w:r w:rsidR="00333AE9" w:rsidRPr="00B53505">
        <w:rPr>
          <w:szCs w:val="24"/>
        </w:rPr>
        <w:t xml:space="preserve">ligible </w:t>
      </w:r>
      <w:r w:rsidR="00BC653D" w:rsidRPr="00B53505">
        <w:rPr>
          <w:szCs w:val="24"/>
        </w:rPr>
        <w:t>c</w:t>
      </w:r>
      <w:r w:rsidR="00333AE9" w:rsidRPr="00B53505">
        <w:rPr>
          <w:szCs w:val="24"/>
        </w:rPr>
        <w:t>ounterparts</w:t>
      </w:r>
      <w:r w:rsidR="00443CFF" w:rsidRPr="00B53505">
        <w:rPr>
          <w:szCs w:val="24"/>
        </w:rPr>
        <w:t>,</w:t>
      </w:r>
      <w:r w:rsidR="00333AE9" w:rsidRPr="00B53505">
        <w:rPr>
          <w:szCs w:val="24"/>
        </w:rPr>
        <w:t xml:space="preserve"> and procedures.</w:t>
      </w:r>
    </w:p>
    <w:p w14:paraId="2353F73C" w14:textId="4300FA2E" w:rsidR="00333AE9" w:rsidRPr="00B53505" w:rsidRDefault="00333AE9" w:rsidP="00333AE9">
      <w:pPr>
        <w:pStyle w:val="Titrearticle"/>
        <w:rPr>
          <w:b/>
        </w:rPr>
      </w:pPr>
      <w:r w:rsidRPr="00B53505">
        <w:rPr>
          <w:b/>
        </w:rPr>
        <w:t xml:space="preserve">Article </w:t>
      </w:r>
      <w:r w:rsidR="0089781D" w:rsidRPr="00B53505">
        <w:rPr>
          <w:b/>
        </w:rPr>
        <w:t>13</w:t>
      </w:r>
      <w:r w:rsidR="001D1BCB" w:rsidRPr="00B53505">
        <w:rPr>
          <w:b/>
        </w:rPr>
        <w:br/>
      </w:r>
      <w:r w:rsidRPr="00B53505">
        <w:rPr>
          <w:b/>
        </w:rPr>
        <w:t>The EFSD Guarantee Fund</w:t>
      </w:r>
    </w:p>
    <w:p w14:paraId="674080E0" w14:textId="57B79788" w:rsidR="00333AE9" w:rsidRPr="00B53505" w:rsidRDefault="00333AE9" w:rsidP="00333AE9">
      <w:r w:rsidRPr="00B53505">
        <w:t xml:space="preserve">1. The EFSD Guarantee Fund shall constitute a liquidity cushion from which the </w:t>
      </w:r>
      <w:r w:rsidR="00BC653D" w:rsidRPr="00B53505">
        <w:t>e</w:t>
      </w:r>
      <w:r w:rsidRPr="00B53505">
        <w:t xml:space="preserve">ligible </w:t>
      </w:r>
      <w:r w:rsidR="00BC653D" w:rsidRPr="00B53505">
        <w:t>c</w:t>
      </w:r>
      <w:r w:rsidRPr="00B53505">
        <w:t xml:space="preserve">ounterparts shall be paid in the event of a call on the EFSD Guarantee pursuant to the relevant EFSD </w:t>
      </w:r>
      <w:r w:rsidR="00BC653D" w:rsidRPr="00B53505">
        <w:t>g</w:t>
      </w:r>
      <w:r w:rsidRPr="00B53505">
        <w:t xml:space="preserve">uarantee </w:t>
      </w:r>
      <w:r w:rsidR="00BC653D" w:rsidRPr="00B53505">
        <w:t>a</w:t>
      </w:r>
      <w:r w:rsidRPr="00B53505">
        <w:t xml:space="preserve">greement. </w:t>
      </w:r>
    </w:p>
    <w:p w14:paraId="309D078A" w14:textId="77777777" w:rsidR="00333AE9" w:rsidRPr="00B53505" w:rsidRDefault="00333AE9" w:rsidP="00333AE9">
      <w:r w:rsidRPr="00B53505">
        <w:t xml:space="preserve">2. The EFSD Guarantee Fund shall be endowed by: </w:t>
      </w:r>
    </w:p>
    <w:p w14:paraId="1336FDC5" w14:textId="77777777" w:rsidR="00333AE9" w:rsidRPr="00B53505" w:rsidRDefault="00333AE9" w:rsidP="00DD242E">
      <w:pPr>
        <w:pStyle w:val="Point0letter"/>
        <w:numPr>
          <w:ilvl w:val="1"/>
          <w:numId w:val="12"/>
        </w:numPr>
      </w:pPr>
      <w:r w:rsidRPr="00B53505">
        <w:t xml:space="preserve">contributions from the general budget of the Union and other sources; </w:t>
      </w:r>
    </w:p>
    <w:p w14:paraId="3FB230BA" w14:textId="5F10CB9C" w:rsidR="00333AE9" w:rsidRPr="00B53505" w:rsidRDefault="009E4699" w:rsidP="00DD242E">
      <w:pPr>
        <w:pStyle w:val="Point0letter"/>
        <w:numPr>
          <w:ilvl w:val="1"/>
          <w:numId w:val="12"/>
        </w:numPr>
      </w:pPr>
      <w:r w:rsidRPr="00B53505">
        <w:t xml:space="preserve">possible </w:t>
      </w:r>
      <w:r w:rsidR="00333AE9" w:rsidRPr="00B53505">
        <w:t xml:space="preserve">contributions from Member States and other contributors; </w:t>
      </w:r>
    </w:p>
    <w:p w14:paraId="32043852" w14:textId="393D2CB9" w:rsidR="00333AE9" w:rsidRPr="00B53505" w:rsidRDefault="00333AE9" w:rsidP="00DD242E">
      <w:pPr>
        <w:pStyle w:val="Point0letter"/>
        <w:numPr>
          <w:ilvl w:val="1"/>
          <w:numId w:val="12"/>
        </w:numPr>
      </w:pPr>
      <w:r w:rsidRPr="00B53505">
        <w:t xml:space="preserve">returns on </w:t>
      </w:r>
      <w:r w:rsidR="00897B8B" w:rsidRPr="00B53505">
        <w:t xml:space="preserve">invested resources of </w:t>
      </w:r>
      <w:r w:rsidRPr="00B53505">
        <w:t xml:space="preserve">EFSD Guarantee Fund ; </w:t>
      </w:r>
    </w:p>
    <w:p w14:paraId="66F17914" w14:textId="6EBC9E89" w:rsidR="00333AE9" w:rsidRPr="00B53505" w:rsidRDefault="00333AE9" w:rsidP="00DD242E">
      <w:pPr>
        <w:pStyle w:val="Point0letter"/>
        <w:numPr>
          <w:ilvl w:val="1"/>
          <w:numId w:val="12"/>
        </w:numPr>
      </w:pPr>
      <w:r w:rsidRPr="00B53505">
        <w:t xml:space="preserve">amounts recovered from defaulting debtors in accordance with the recovery provisions laid down in the </w:t>
      </w:r>
      <w:r w:rsidR="00BC653D" w:rsidRPr="00B53505">
        <w:t>g</w:t>
      </w:r>
      <w:r w:rsidRPr="00B53505">
        <w:t xml:space="preserve">uarantee </w:t>
      </w:r>
      <w:r w:rsidR="00BC653D" w:rsidRPr="00B53505">
        <w:t>a</w:t>
      </w:r>
      <w:r w:rsidRPr="00B53505">
        <w:t>greements</w:t>
      </w:r>
      <w:r w:rsidR="007A79A0" w:rsidRPr="00B53505">
        <w:t>;</w:t>
      </w:r>
      <w:r w:rsidRPr="00B53505">
        <w:t xml:space="preserve"> </w:t>
      </w:r>
    </w:p>
    <w:p w14:paraId="58BEE58E" w14:textId="030613C8" w:rsidR="00333AE9" w:rsidRPr="00B53505" w:rsidRDefault="00333AE9" w:rsidP="00DD242E">
      <w:pPr>
        <w:pStyle w:val="Point0letter"/>
        <w:numPr>
          <w:ilvl w:val="1"/>
          <w:numId w:val="12"/>
        </w:numPr>
      </w:pPr>
      <w:r w:rsidRPr="00B53505">
        <w:t xml:space="preserve">revenues and any other payments received by the Union in accordance with the </w:t>
      </w:r>
      <w:r w:rsidR="00BC653D" w:rsidRPr="00B53505">
        <w:t>g</w:t>
      </w:r>
      <w:r w:rsidRPr="00B53505">
        <w:t xml:space="preserve">uarantee </w:t>
      </w:r>
      <w:r w:rsidR="00BC653D" w:rsidRPr="00B53505">
        <w:t>a</w:t>
      </w:r>
      <w:r w:rsidRPr="00B53505">
        <w:t>greements.</w:t>
      </w:r>
    </w:p>
    <w:p w14:paraId="2E796B01" w14:textId="77777777" w:rsidR="00333AE9" w:rsidRPr="00B53505" w:rsidRDefault="00333AE9" w:rsidP="00333AE9">
      <w:r w:rsidRPr="00B53505">
        <w:t xml:space="preserve">3. </w:t>
      </w:r>
      <w:r w:rsidR="00854A36" w:rsidRPr="00B53505">
        <w:t>Revenues of</w:t>
      </w:r>
      <w:r w:rsidRPr="00B53505">
        <w:t xml:space="preserve"> the EFSD Guarantee Fund </w:t>
      </w:r>
      <w:r w:rsidR="00854A36" w:rsidRPr="00B53505">
        <w:t xml:space="preserve">as </w:t>
      </w:r>
      <w:r w:rsidRPr="00B53505">
        <w:t xml:space="preserve">provided for in </w:t>
      </w:r>
      <w:r w:rsidR="00261492" w:rsidRPr="00B53505">
        <w:t xml:space="preserve">points </w:t>
      </w:r>
      <w:r w:rsidRPr="00B53505">
        <w:t>(c)</w:t>
      </w:r>
      <w:r w:rsidR="00591659" w:rsidRPr="00B53505">
        <w:t xml:space="preserve"> </w:t>
      </w:r>
      <w:r w:rsidRPr="00B53505">
        <w:t>and (e)</w:t>
      </w:r>
      <w:r w:rsidR="00261492" w:rsidRPr="00B53505">
        <w:t xml:space="preserve"> of paragraph 2</w:t>
      </w:r>
      <w:r w:rsidRPr="00B53505">
        <w:t xml:space="preserve"> shall constitute internal assigned revenue in accordance with Article 21(4) of Regulation (EU, Euratom) No 966/2012.</w:t>
      </w:r>
    </w:p>
    <w:p w14:paraId="030AC6DB" w14:textId="00C1CBCF" w:rsidR="00333AE9" w:rsidRPr="00B53505" w:rsidRDefault="00333AE9" w:rsidP="00333AE9">
      <w:r w:rsidRPr="00B53505">
        <w:t xml:space="preserve">4. The resources of the EFSD Guarantee Fund </w:t>
      </w:r>
      <w:r w:rsidR="00FF0CDA" w:rsidRPr="00B53505">
        <w:t xml:space="preserve">referred to in </w:t>
      </w:r>
      <w:r w:rsidR="00BC653D" w:rsidRPr="00B53505">
        <w:t xml:space="preserve">paragraph </w:t>
      </w:r>
      <w:r w:rsidRPr="00B53505">
        <w:t>2 shall be directly managed by the Commission and invested in accordance with the principle of sound financial management and shall follow appropriate prudential rules.</w:t>
      </w:r>
    </w:p>
    <w:p w14:paraId="4F7B6998" w14:textId="247BE242" w:rsidR="00333AE9" w:rsidRPr="00B53505" w:rsidRDefault="00333AE9" w:rsidP="00333AE9">
      <w:r w:rsidRPr="00B53505">
        <w:t>5</w:t>
      </w:r>
      <w:r w:rsidR="00A56DB8" w:rsidRPr="00B53505">
        <w:t xml:space="preserve">. </w:t>
      </w:r>
      <w:r w:rsidRPr="00B53505">
        <w:t>Endowments to the EFSD Guarantee Fund shall be used to reach an appropriate level</w:t>
      </w:r>
      <w:r w:rsidR="0048496B" w:rsidRPr="00B53505">
        <w:t xml:space="preserve"> of provisioning </w:t>
      </w:r>
      <w:r w:rsidRPr="00B53505">
        <w:t xml:space="preserve">to </w:t>
      </w:r>
      <w:r w:rsidR="000C2EE8" w:rsidRPr="00B53505">
        <w:t xml:space="preserve">cover </w:t>
      </w:r>
      <w:r w:rsidRPr="00B53505">
        <w:t xml:space="preserve">the total EFSD Guarantee obligations. The </w:t>
      </w:r>
      <w:r w:rsidR="0048496B" w:rsidRPr="00B53505">
        <w:t>provisioning rate</w:t>
      </w:r>
      <w:r w:rsidRPr="00B53505">
        <w:t xml:space="preserve"> shall be at 50% of the total EFSD Guarantee obligations</w:t>
      </w:r>
      <w:r w:rsidR="006C66B4" w:rsidRPr="00B53505">
        <w:t xml:space="preserve"> covered by the general budget of the Union</w:t>
      </w:r>
      <w:r w:rsidRPr="00B53505">
        <w:t xml:space="preserve">. </w:t>
      </w:r>
    </w:p>
    <w:p w14:paraId="1BBE7CB9" w14:textId="1B318306" w:rsidR="00333AE9" w:rsidRPr="00B53505" w:rsidRDefault="00333AE9" w:rsidP="00333AE9">
      <w:r w:rsidRPr="00B53505">
        <w:t>6. Following an assessment of the adequacy of the level of the EFSD Guarantee Fund in accordance with the report provided for under Article 1</w:t>
      </w:r>
      <w:r w:rsidR="00BC653D" w:rsidRPr="00B53505">
        <w:t>5</w:t>
      </w:r>
      <w:r w:rsidRPr="00B53505">
        <w:t>(3), the following payments shall be made:</w:t>
      </w:r>
    </w:p>
    <w:p w14:paraId="75C38185" w14:textId="77777777" w:rsidR="00333AE9" w:rsidRPr="00B53505" w:rsidRDefault="009E7A3F" w:rsidP="00DD242E">
      <w:pPr>
        <w:pStyle w:val="Point0letter"/>
        <w:numPr>
          <w:ilvl w:val="1"/>
          <w:numId w:val="13"/>
        </w:numPr>
      </w:pPr>
      <w:r w:rsidRPr="00B53505">
        <w:t>any surplus shall be paid to the general budget of the Union</w:t>
      </w:r>
      <w:r w:rsidR="00FF0CDA" w:rsidRPr="00B53505">
        <w:t>;</w:t>
      </w:r>
      <w:r w:rsidR="00333AE9" w:rsidRPr="00B53505">
        <w:t xml:space="preserve"> </w:t>
      </w:r>
    </w:p>
    <w:p w14:paraId="684CD3FC" w14:textId="77777777" w:rsidR="00333AE9" w:rsidRPr="00B53505" w:rsidRDefault="00333AE9" w:rsidP="00DD242E">
      <w:pPr>
        <w:pStyle w:val="Point0letter"/>
        <w:numPr>
          <w:ilvl w:val="1"/>
          <w:numId w:val="13"/>
        </w:numPr>
      </w:pPr>
      <w:r w:rsidRPr="00B53505">
        <w:t>any replenishment of the EFSD Guarantee Fund shall be paid in annual tranches during a maximum period of 3 years starting from year n+1.</w:t>
      </w:r>
    </w:p>
    <w:p w14:paraId="666D505F" w14:textId="14A0A0A2" w:rsidR="00333AE9" w:rsidRPr="00B53505" w:rsidRDefault="00333AE9" w:rsidP="00333AE9">
      <w:r w:rsidRPr="00B53505">
        <w:t xml:space="preserve">7. From 1 January 2021, if, as a result of calls on the EFSD Guarantee, the level of </w:t>
      </w:r>
      <w:r w:rsidR="000C2EE8" w:rsidRPr="00B53505">
        <w:t>resources in the</w:t>
      </w:r>
      <w:r w:rsidRPr="00B53505">
        <w:t xml:space="preserve"> Guarantee Fund falls below 50% of the </w:t>
      </w:r>
      <w:r w:rsidR="000C2EE8" w:rsidRPr="00B53505">
        <w:t>provisioning rate referred to in paragraph 5</w:t>
      </w:r>
      <w:r w:rsidRPr="00B53505">
        <w:t xml:space="preserve">, the Commission shall submit a report on exceptional measures that may be required to replenish the EFSD Guarantee Fund. </w:t>
      </w:r>
    </w:p>
    <w:p w14:paraId="0AB146F3" w14:textId="2051729E" w:rsidR="00333AE9" w:rsidRPr="00B53505" w:rsidRDefault="00333AE9" w:rsidP="00333AE9">
      <w:r w:rsidRPr="00B53505">
        <w:t>8. After a call on the EFSD Guarantee, endowments to the EFSD Guarantee Fund provided for in points (c)</w:t>
      </w:r>
      <w:r w:rsidR="00C956DA" w:rsidRPr="00B53505">
        <w:t>,</w:t>
      </w:r>
      <w:r w:rsidRPr="00B53505">
        <w:t xml:space="preserve"> (d) </w:t>
      </w:r>
      <w:r w:rsidR="00C956DA" w:rsidRPr="00B53505">
        <w:t xml:space="preserve">and (e) </w:t>
      </w:r>
      <w:r w:rsidRPr="00B53505">
        <w:t xml:space="preserve">of paragraph 2 </w:t>
      </w:r>
      <w:r w:rsidR="00897B8B" w:rsidRPr="00B53505">
        <w:t xml:space="preserve">exceeding </w:t>
      </w:r>
      <w:r w:rsidRPr="00B53505">
        <w:t xml:space="preserve">the </w:t>
      </w:r>
      <w:r w:rsidR="000C2EE8" w:rsidRPr="00B53505">
        <w:t xml:space="preserve">resources necessary to reach the provisioning rate at the level referred to in paragraph 5 </w:t>
      </w:r>
      <w:r w:rsidRPr="00B53505">
        <w:t xml:space="preserve">shall be used within the limits of the </w:t>
      </w:r>
      <w:r w:rsidR="00897B8B" w:rsidRPr="00B53505">
        <w:t xml:space="preserve">initial </w:t>
      </w:r>
      <w:r w:rsidRPr="00B53505">
        <w:t>investment period provided for in Article 7</w:t>
      </w:r>
      <w:r w:rsidR="00897B8B" w:rsidRPr="00B53505">
        <w:t>(2)</w:t>
      </w:r>
      <w:r w:rsidRPr="00B53505">
        <w:t xml:space="preserve"> to restore the EFSD Guarantee up to its initial amount. </w:t>
      </w:r>
    </w:p>
    <w:p w14:paraId="4DFB841C" w14:textId="189C378F" w:rsidR="00333AE9" w:rsidRPr="00B53505" w:rsidRDefault="00333AE9" w:rsidP="00333AE9">
      <w:pPr>
        <w:pStyle w:val="Titrearticle"/>
        <w:rPr>
          <w:b/>
        </w:rPr>
      </w:pPr>
      <w:r w:rsidRPr="00B53505">
        <w:rPr>
          <w:b/>
        </w:rPr>
        <w:t>Article 1</w:t>
      </w:r>
      <w:r w:rsidR="0041658C" w:rsidRPr="00B53505">
        <w:rPr>
          <w:b/>
        </w:rPr>
        <w:t>4</w:t>
      </w:r>
      <w:r w:rsidR="001D1BCB" w:rsidRPr="00B53505">
        <w:rPr>
          <w:b/>
        </w:rPr>
        <w:br/>
      </w:r>
      <w:r w:rsidRPr="00B53505">
        <w:rPr>
          <w:b/>
        </w:rPr>
        <w:t xml:space="preserve">Funding of the EFSD Guarantee Fund from the general budget of the Union </w:t>
      </w:r>
    </w:p>
    <w:p w14:paraId="450809FA" w14:textId="7EEAF73B" w:rsidR="00333AE9" w:rsidRPr="00B53505" w:rsidRDefault="00333AE9" w:rsidP="001D1BCB">
      <w:r w:rsidRPr="00B53505">
        <w:t>A contribution of EUR</w:t>
      </w:r>
      <w:r w:rsidR="009D4124" w:rsidRPr="00B53505">
        <w:t> </w:t>
      </w:r>
      <w:r w:rsidR="002C4DDA">
        <w:t>35</w:t>
      </w:r>
      <w:r w:rsidRPr="00B53505">
        <w:t>0</w:t>
      </w:r>
      <w:r w:rsidR="009D4124" w:rsidRPr="00B53505">
        <w:t> </w:t>
      </w:r>
      <w:r w:rsidRPr="00B53505">
        <w:t>000</w:t>
      </w:r>
      <w:r w:rsidR="009D4124" w:rsidRPr="00B53505">
        <w:t> </w:t>
      </w:r>
      <w:r w:rsidRPr="00B53505">
        <w:t xml:space="preserve">000 shall be provided by the general budget of the Union. </w:t>
      </w:r>
    </w:p>
    <w:p w14:paraId="6073938F" w14:textId="77777777" w:rsidR="0039786E" w:rsidRPr="00B53505" w:rsidRDefault="00333AE9" w:rsidP="0039786E">
      <w:pPr>
        <w:keepNext/>
        <w:keepLines/>
        <w:spacing w:before="360"/>
        <w:jc w:val="center"/>
      </w:pPr>
      <w:r w:rsidRPr="00B53505">
        <w:t>CHAPTER IV</w:t>
      </w:r>
    </w:p>
    <w:p w14:paraId="4CF0C9B0" w14:textId="77777777" w:rsidR="0039786E" w:rsidRPr="00B53505" w:rsidRDefault="00333AE9" w:rsidP="0039786E">
      <w:pPr>
        <w:keepNext/>
        <w:keepLines/>
        <w:jc w:val="center"/>
      </w:pPr>
      <w:r w:rsidRPr="00B53505">
        <w:t>REPORTING, ACCOUNT</w:t>
      </w:r>
      <w:r w:rsidR="00A14241" w:rsidRPr="00B53505">
        <w:t>ING</w:t>
      </w:r>
      <w:r w:rsidRPr="00B53505">
        <w:t xml:space="preserve"> AND EVALUATION</w:t>
      </w:r>
    </w:p>
    <w:p w14:paraId="4C763EA0" w14:textId="0819BD66" w:rsidR="00333AE9" w:rsidRPr="00B53505" w:rsidRDefault="0039786E" w:rsidP="00333AE9">
      <w:pPr>
        <w:pStyle w:val="Titrearticle"/>
        <w:rPr>
          <w:b/>
        </w:rPr>
      </w:pPr>
      <w:r w:rsidRPr="00B53505">
        <w:rPr>
          <w:b/>
        </w:rPr>
        <w:t xml:space="preserve">Article </w:t>
      </w:r>
      <w:r w:rsidR="0041658C" w:rsidRPr="00B53505">
        <w:rPr>
          <w:b/>
        </w:rPr>
        <w:t xml:space="preserve">15 </w:t>
      </w:r>
      <w:r w:rsidRPr="00B53505">
        <w:rPr>
          <w:b/>
        </w:rPr>
        <w:br/>
        <w:t>Reporting and accounting</w:t>
      </w:r>
    </w:p>
    <w:p w14:paraId="6F4D6A39" w14:textId="77777777" w:rsidR="00333AE9" w:rsidRPr="00B53505" w:rsidRDefault="00333AE9" w:rsidP="00333AE9">
      <w:r w:rsidRPr="00B53505">
        <w:t>1. The Commission shall submit an annual report to the European Parliament and to the Council on the financing and investment operation covered by the EFSD Guarantee. This report shall be made public</w:t>
      </w:r>
      <w:r w:rsidR="00A14241" w:rsidRPr="00B53505">
        <w:t xml:space="preserve">. It </w:t>
      </w:r>
      <w:r w:rsidRPr="00B53505">
        <w:t>shall include</w:t>
      </w:r>
      <w:r w:rsidR="00A14241" w:rsidRPr="00B53505">
        <w:t xml:space="preserve"> the following elements</w:t>
      </w:r>
      <w:r w:rsidRPr="00B53505">
        <w:t>:</w:t>
      </w:r>
    </w:p>
    <w:p w14:paraId="519A067E" w14:textId="77777777" w:rsidR="00A57232" w:rsidRPr="00B53505" w:rsidRDefault="00333AE9" w:rsidP="005264EB">
      <w:pPr>
        <w:pStyle w:val="Point0letter"/>
        <w:numPr>
          <w:ilvl w:val="1"/>
          <w:numId w:val="14"/>
        </w:numPr>
      </w:pPr>
      <w:r w:rsidRPr="00B53505">
        <w:t xml:space="preserve">an assessment of the financing and investment operations </w:t>
      </w:r>
      <w:r w:rsidR="00A14241" w:rsidRPr="00B53505">
        <w:t>in</w:t>
      </w:r>
      <w:r w:rsidRPr="00B53505">
        <w:t xml:space="preserve"> operation and covered by the EFSD Guarantee, sector, country and regional levels and their compliance with this Regulation</w:t>
      </w:r>
      <w:r w:rsidR="005264EB" w:rsidRPr="00B53505">
        <w:t>;</w:t>
      </w:r>
    </w:p>
    <w:p w14:paraId="7740D14B" w14:textId="49CFFC0F" w:rsidR="00333AE9" w:rsidRPr="00B53505" w:rsidRDefault="00333AE9">
      <w:pPr>
        <w:pStyle w:val="Point0letter"/>
        <w:numPr>
          <w:ilvl w:val="1"/>
          <w:numId w:val="14"/>
        </w:numPr>
      </w:pPr>
      <w:r w:rsidRPr="00B53505">
        <w:t>an assessment of the added value, the mobili</w:t>
      </w:r>
      <w:r w:rsidR="005044FF" w:rsidRPr="00B53505">
        <w:t>s</w:t>
      </w:r>
      <w:r w:rsidRPr="00B53505">
        <w:t>ation of private sector resources, the estimated and actual outputs and the outcomes and impact of the financing and investment operations covered by the EFSD Guarantee on an aggregated basis, including the impact on employment creation;</w:t>
      </w:r>
    </w:p>
    <w:p w14:paraId="0CAA1B51" w14:textId="77777777" w:rsidR="00333AE9" w:rsidRPr="00B53505" w:rsidRDefault="00333AE9" w:rsidP="00DD242E">
      <w:pPr>
        <w:pStyle w:val="Point0letter"/>
        <w:numPr>
          <w:ilvl w:val="1"/>
          <w:numId w:val="14"/>
        </w:numPr>
      </w:pPr>
      <w:r w:rsidRPr="00B53505">
        <w:t>an assessment of the compliance with the requirements concerning the use of the EFSD Guarantee and key performance indicators established for each proposal submitted;</w:t>
      </w:r>
    </w:p>
    <w:p w14:paraId="74E6A9A5" w14:textId="77777777" w:rsidR="00333AE9" w:rsidRPr="00B53505" w:rsidRDefault="00333AE9" w:rsidP="00DD242E">
      <w:pPr>
        <w:pStyle w:val="Point0letter"/>
        <w:numPr>
          <w:ilvl w:val="1"/>
          <w:numId w:val="14"/>
        </w:numPr>
      </w:pPr>
      <w:r w:rsidRPr="00B53505">
        <w:t>an assessment of the leverage effect achieved by the operations covered by the EFSD Guarantee;</w:t>
      </w:r>
    </w:p>
    <w:p w14:paraId="50071A1F" w14:textId="5DEBD83A" w:rsidR="00333AE9" w:rsidRPr="00B53505" w:rsidRDefault="00333AE9" w:rsidP="00DD242E">
      <w:pPr>
        <w:pStyle w:val="Point0letter"/>
        <w:numPr>
          <w:ilvl w:val="1"/>
          <w:numId w:val="14"/>
        </w:numPr>
      </w:pPr>
      <w:r w:rsidRPr="00B53505">
        <w:t xml:space="preserve">the financial amount transferred to beneficiaries and an assessment </w:t>
      </w:r>
      <w:r w:rsidR="00342245" w:rsidRPr="00B53505">
        <w:t xml:space="preserve">of </w:t>
      </w:r>
      <w:r w:rsidRPr="00B53505">
        <w:t>financing and investment operations by each counterpart on an aggregated basis;</w:t>
      </w:r>
    </w:p>
    <w:p w14:paraId="3B8208C7" w14:textId="1737D1F4" w:rsidR="00333AE9" w:rsidRPr="00B53505" w:rsidRDefault="00333AE9" w:rsidP="00DD242E">
      <w:pPr>
        <w:pStyle w:val="Point0letter"/>
        <w:numPr>
          <w:ilvl w:val="1"/>
          <w:numId w:val="14"/>
        </w:numPr>
      </w:pPr>
      <w:r w:rsidRPr="00B53505">
        <w:t xml:space="preserve">an assessment of the added value of financing and investment operations of the </w:t>
      </w:r>
      <w:r w:rsidR="009D4124" w:rsidRPr="00B53505">
        <w:t>eligible counterparts</w:t>
      </w:r>
      <w:r w:rsidRPr="00B53505">
        <w:t>, and of the aggregate risk associated with those operations;</w:t>
      </w:r>
    </w:p>
    <w:p w14:paraId="06979B41" w14:textId="77777777" w:rsidR="00333AE9" w:rsidRPr="00B53505" w:rsidRDefault="00333AE9" w:rsidP="00DD242E">
      <w:pPr>
        <w:pStyle w:val="Point0letter"/>
        <w:numPr>
          <w:ilvl w:val="1"/>
          <w:numId w:val="14"/>
        </w:numPr>
      </w:pPr>
      <w:r w:rsidRPr="00B53505">
        <w:t>detailed information on calls on the EFSD Guarantee, losses, returns, amounts recovered and any other payments received;</w:t>
      </w:r>
    </w:p>
    <w:p w14:paraId="012BC1BE" w14:textId="49D36D6D" w:rsidR="00333AE9" w:rsidRPr="00B53505" w:rsidRDefault="00333AE9" w:rsidP="00DD242E">
      <w:pPr>
        <w:pStyle w:val="Point0letter"/>
        <w:numPr>
          <w:ilvl w:val="1"/>
          <w:numId w:val="14"/>
        </w:numPr>
      </w:pPr>
      <w:r w:rsidRPr="00B53505">
        <w:t>the financial reports on financing and investment operations of the</w:t>
      </w:r>
      <w:r w:rsidR="00B17BC5" w:rsidRPr="00B53505">
        <w:t xml:space="preserve"> </w:t>
      </w:r>
      <w:r w:rsidR="009D4124" w:rsidRPr="00B53505">
        <w:t>e</w:t>
      </w:r>
      <w:r w:rsidR="00B17BC5" w:rsidRPr="00B53505">
        <w:t xml:space="preserve">ligible </w:t>
      </w:r>
      <w:r w:rsidR="009D4124" w:rsidRPr="00B53505">
        <w:t>c</w:t>
      </w:r>
      <w:r w:rsidRPr="00B53505">
        <w:t>ounterparts covered by this Regulation audited by an independent external auditor.</w:t>
      </w:r>
    </w:p>
    <w:p w14:paraId="06B44130" w14:textId="4A673C0F" w:rsidR="009E7A3F" w:rsidRPr="00B53505" w:rsidRDefault="00333AE9" w:rsidP="009E7A3F">
      <w:r w:rsidRPr="00B53505">
        <w:t>2. For the purposes of the Commission</w:t>
      </w:r>
      <w:r w:rsidR="00B53505">
        <w:t>'</w:t>
      </w:r>
      <w:r w:rsidRPr="00B53505">
        <w:t xml:space="preserve">s accounting, its reporting of the risks covered by the EFSD Guarantee and its management of the EFSD Guarantee Fund, the </w:t>
      </w:r>
      <w:r w:rsidR="009D4124" w:rsidRPr="00B53505">
        <w:t xml:space="preserve">eligible counterparts </w:t>
      </w:r>
      <w:r w:rsidRPr="00B53505">
        <w:t xml:space="preserve">with whom a guarantee agreement has been </w:t>
      </w:r>
      <w:r w:rsidR="008E7067" w:rsidRPr="00B53505">
        <w:t xml:space="preserve">concluded </w:t>
      </w:r>
      <w:r w:rsidRPr="00B53505">
        <w:t>shall provide the Commission and Court of Auditors annually with</w:t>
      </w:r>
      <w:r w:rsidR="009E7A3F" w:rsidRPr="00B53505">
        <w:t xml:space="preserve"> the financial reports on financing and investment operations covered by this Regulation audited by an independent external auditor, containing, among other, information on:</w:t>
      </w:r>
    </w:p>
    <w:p w14:paraId="4C357387" w14:textId="63162EBB" w:rsidR="009E7A3F" w:rsidRPr="00B53505" w:rsidRDefault="00333AE9" w:rsidP="00DD242E">
      <w:pPr>
        <w:pStyle w:val="Point0letter"/>
        <w:numPr>
          <w:ilvl w:val="1"/>
          <w:numId w:val="15"/>
        </w:numPr>
      </w:pPr>
      <w:r w:rsidRPr="00B53505">
        <w:t xml:space="preserve">the risk assessment of financing and investment operations of the </w:t>
      </w:r>
      <w:r w:rsidR="009D4124" w:rsidRPr="00B53505">
        <w:t xml:space="preserve">eligible counterparts </w:t>
      </w:r>
      <w:r w:rsidR="009E7A3F" w:rsidRPr="00B53505">
        <w:rPr>
          <w:rStyle w:val="Bodytext2"/>
          <w:rFonts w:eastAsiaTheme="minorHAnsi"/>
          <w:sz w:val="24"/>
          <w:szCs w:val="24"/>
          <w:lang w:val="en-GB"/>
        </w:rPr>
        <w:t xml:space="preserve">including information on the </w:t>
      </w:r>
      <w:r w:rsidR="00897B8B" w:rsidRPr="00B53505">
        <w:rPr>
          <w:rStyle w:val="Bodytext2"/>
          <w:rFonts w:eastAsiaTheme="minorHAnsi"/>
          <w:sz w:val="24"/>
          <w:szCs w:val="24"/>
          <w:lang w:val="en-GB"/>
        </w:rPr>
        <w:t>Union</w:t>
      </w:r>
      <w:r w:rsidR="009E7A3F" w:rsidRPr="00B53505">
        <w:rPr>
          <w:rStyle w:val="Bodytext2"/>
          <w:rFonts w:eastAsiaTheme="minorHAnsi"/>
          <w:sz w:val="24"/>
          <w:szCs w:val="24"/>
          <w:lang w:val="en-GB"/>
        </w:rPr>
        <w:t xml:space="preserve"> liabilities measured in compliance with the accounting rules of the Union set by the accounting officer of the Commission based on the internationally accepted accounting standards for the public sector</w:t>
      </w:r>
      <w:r w:rsidR="009E7A3F" w:rsidRPr="00B53505">
        <w:t>;</w:t>
      </w:r>
    </w:p>
    <w:p w14:paraId="399DE403" w14:textId="1550664A" w:rsidR="009E7A3F" w:rsidRPr="00B53505" w:rsidRDefault="00333AE9" w:rsidP="00BC53BF">
      <w:pPr>
        <w:pStyle w:val="Point0letter"/>
        <w:numPr>
          <w:ilvl w:val="1"/>
          <w:numId w:val="15"/>
        </w:numPr>
      </w:pPr>
      <w:r w:rsidRPr="00B53505">
        <w:t>the outstanding financial obligation for the Union arising from the EFSD Guarantee provided towards the</w:t>
      </w:r>
      <w:r w:rsidR="00BE322F" w:rsidRPr="00B53505">
        <w:t xml:space="preserve"> </w:t>
      </w:r>
      <w:r w:rsidR="009D4124" w:rsidRPr="00B53505">
        <w:t xml:space="preserve">eligible counterparts </w:t>
      </w:r>
      <w:r w:rsidRPr="00B53505">
        <w:t>and their financing and investment operations, broken down by individual operations.</w:t>
      </w:r>
      <w:r w:rsidR="00BC53BF" w:rsidRPr="00B53505">
        <w:br/>
      </w:r>
      <w:r w:rsidR="00BC53BF" w:rsidRPr="00B53505">
        <w:br/>
      </w:r>
      <w:r w:rsidR="009E7A3F" w:rsidRPr="00B53505">
        <w:rPr>
          <w:rStyle w:val="Bodytext2"/>
          <w:rFonts w:eastAsiaTheme="minorHAnsi"/>
          <w:sz w:val="24"/>
          <w:szCs w:val="24"/>
          <w:lang w:val="en-GB"/>
        </w:rPr>
        <w:t>The Counterparts shall upon request provide to the Commission any additional information necessary to fulfil the Commission</w:t>
      </w:r>
      <w:r w:rsidR="00B53505">
        <w:rPr>
          <w:rStyle w:val="Bodytext2"/>
          <w:rFonts w:eastAsiaTheme="minorHAnsi"/>
          <w:sz w:val="24"/>
          <w:szCs w:val="24"/>
          <w:lang w:val="en-GB"/>
        </w:rPr>
        <w:t>'</w:t>
      </w:r>
      <w:r w:rsidR="009E7A3F" w:rsidRPr="00B53505">
        <w:rPr>
          <w:rStyle w:val="Bodytext2"/>
          <w:rFonts w:eastAsiaTheme="minorHAnsi"/>
          <w:sz w:val="24"/>
          <w:szCs w:val="24"/>
          <w:lang w:val="en-GB"/>
        </w:rPr>
        <w:t>s obligations in relation to this Regulation.</w:t>
      </w:r>
    </w:p>
    <w:p w14:paraId="794120B3" w14:textId="6FA6CF5E" w:rsidR="00897B8B" w:rsidRPr="00B53505" w:rsidRDefault="00333AE9" w:rsidP="001D1BCB">
      <w:pPr>
        <w:rPr>
          <w:rStyle w:val="Bodytext2"/>
          <w:rFonts w:eastAsiaTheme="minorHAnsi"/>
          <w:sz w:val="24"/>
          <w:szCs w:val="24"/>
          <w:lang w:val="en-GB"/>
        </w:rPr>
      </w:pPr>
      <w:r w:rsidRPr="00B53505">
        <w:rPr>
          <w:rStyle w:val="Bodytext2"/>
          <w:rFonts w:eastAsiaTheme="minorHAnsi"/>
          <w:sz w:val="24"/>
          <w:szCs w:val="24"/>
          <w:lang w:val="en-GB"/>
        </w:rPr>
        <w:t xml:space="preserve">3. By 31 March of each year, the Commission shall submit to the European Parliament, to the Council and to the Court of Auditors, in </w:t>
      </w:r>
      <w:r w:rsidRPr="00B53505">
        <w:rPr>
          <w:rStyle w:val="Bodytext2"/>
          <w:rFonts w:eastAsiaTheme="minorHAnsi"/>
          <w:sz w:val="24"/>
          <w:szCs w:val="24"/>
          <w:lang w:val="en-GB" w:eastAsia="nl-NL" w:bidi="nl-NL"/>
        </w:rPr>
        <w:t xml:space="preserve">the </w:t>
      </w:r>
      <w:r w:rsidRPr="00B53505">
        <w:rPr>
          <w:rStyle w:val="Bodytext2"/>
          <w:rFonts w:eastAsiaTheme="minorHAnsi"/>
          <w:sz w:val="24"/>
          <w:szCs w:val="24"/>
          <w:lang w:val="en-GB"/>
        </w:rPr>
        <w:t xml:space="preserve">context of </w:t>
      </w:r>
      <w:r w:rsidRPr="00B53505">
        <w:rPr>
          <w:rStyle w:val="Bodytext2"/>
          <w:rFonts w:eastAsiaTheme="minorHAnsi"/>
          <w:sz w:val="24"/>
          <w:szCs w:val="24"/>
          <w:lang w:val="en-GB" w:eastAsia="nl-NL" w:bidi="nl-NL"/>
        </w:rPr>
        <w:t xml:space="preserve">the </w:t>
      </w:r>
      <w:r w:rsidRPr="00B53505">
        <w:rPr>
          <w:rStyle w:val="Bodytext2"/>
          <w:rFonts w:eastAsiaTheme="minorHAnsi"/>
          <w:sz w:val="24"/>
          <w:szCs w:val="24"/>
          <w:lang w:val="en-GB"/>
        </w:rPr>
        <w:t xml:space="preserve">financial statements of the Commission, </w:t>
      </w:r>
      <w:r w:rsidRPr="00B53505">
        <w:rPr>
          <w:rStyle w:val="Bodytext2"/>
          <w:rFonts w:eastAsiaTheme="minorHAnsi"/>
          <w:sz w:val="24"/>
          <w:szCs w:val="24"/>
          <w:lang w:val="en-GB" w:eastAsia="nl-NL" w:bidi="nl-NL"/>
        </w:rPr>
        <w:t xml:space="preserve">the </w:t>
      </w:r>
      <w:r w:rsidRPr="00B53505">
        <w:rPr>
          <w:rStyle w:val="Bodytext2"/>
          <w:rFonts w:eastAsiaTheme="minorHAnsi"/>
          <w:sz w:val="24"/>
          <w:szCs w:val="24"/>
          <w:lang w:val="en-GB"/>
        </w:rPr>
        <w:t xml:space="preserve">required information on the situation of the EFSD Guarantee Fund. In addition, it shall, by 31 May of each year, submit to </w:t>
      </w:r>
      <w:r w:rsidRPr="00B53505">
        <w:rPr>
          <w:rStyle w:val="Bodytext2"/>
          <w:rFonts w:eastAsiaTheme="minorHAnsi"/>
          <w:sz w:val="24"/>
          <w:szCs w:val="24"/>
          <w:lang w:val="en-GB" w:eastAsia="nl-NL" w:bidi="nl-NL"/>
        </w:rPr>
        <w:t xml:space="preserve">the </w:t>
      </w:r>
      <w:r w:rsidRPr="00B53505">
        <w:rPr>
          <w:rStyle w:val="Bodytext2"/>
          <w:rFonts w:eastAsiaTheme="minorHAnsi"/>
          <w:sz w:val="24"/>
          <w:szCs w:val="24"/>
          <w:lang w:val="en-GB"/>
        </w:rPr>
        <w:t xml:space="preserve">European Parliament, to the Council and to the Court of Auditors an annual report on the management of the EFSD Guarantee Fund in the previous calendar year, including an assessment of the adequacy of the </w:t>
      </w:r>
      <w:r w:rsidR="000E099C" w:rsidRPr="00B53505">
        <w:rPr>
          <w:rStyle w:val="Bodytext2"/>
          <w:rFonts w:eastAsiaTheme="minorHAnsi"/>
          <w:sz w:val="24"/>
          <w:szCs w:val="24"/>
          <w:lang w:val="en-GB"/>
        </w:rPr>
        <w:t>provisioning</w:t>
      </w:r>
      <w:r w:rsidRPr="00B53505">
        <w:rPr>
          <w:rStyle w:val="Bodytext2"/>
          <w:rFonts w:eastAsiaTheme="minorHAnsi"/>
          <w:sz w:val="24"/>
          <w:szCs w:val="24"/>
          <w:lang w:val="en-GB"/>
        </w:rPr>
        <w:t xml:space="preserve"> and the level of the </w:t>
      </w:r>
      <w:r w:rsidR="009D4124" w:rsidRPr="00B53505">
        <w:rPr>
          <w:rStyle w:val="Bodytext2"/>
          <w:rFonts w:eastAsiaTheme="minorHAnsi"/>
          <w:sz w:val="24"/>
          <w:szCs w:val="24"/>
          <w:lang w:val="en-GB"/>
        </w:rPr>
        <w:t>G</w:t>
      </w:r>
      <w:r w:rsidRPr="00B53505">
        <w:rPr>
          <w:rStyle w:val="Bodytext2"/>
          <w:rFonts w:eastAsiaTheme="minorHAnsi"/>
          <w:sz w:val="24"/>
          <w:szCs w:val="24"/>
          <w:lang w:val="en-GB"/>
        </w:rPr>
        <w:t xml:space="preserve">uarantee </w:t>
      </w:r>
      <w:r w:rsidR="009D4124" w:rsidRPr="00B53505">
        <w:rPr>
          <w:rStyle w:val="Bodytext2"/>
          <w:rFonts w:eastAsiaTheme="minorHAnsi"/>
          <w:sz w:val="24"/>
          <w:szCs w:val="24"/>
          <w:lang w:val="en-GB"/>
        </w:rPr>
        <w:t>F</w:t>
      </w:r>
      <w:r w:rsidRPr="00B53505">
        <w:rPr>
          <w:rStyle w:val="Bodytext2"/>
          <w:rFonts w:eastAsiaTheme="minorHAnsi"/>
          <w:sz w:val="24"/>
          <w:szCs w:val="24"/>
          <w:lang w:val="en-GB"/>
        </w:rPr>
        <w:t xml:space="preserve">und and of the need for its replenishment. </w:t>
      </w:r>
    </w:p>
    <w:p w14:paraId="52907C85" w14:textId="61BB4779" w:rsidR="00333AE9" w:rsidRPr="00B53505" w:rsidRDefault="00333AE9" w:rsidP="001D1BCB">
      <w:r w:rsidRPr="00B53505">
        <w:rPr>
          <w:rStyle w:val="Bodytext2"/>
          <w:rFonts w:eastAsiaTheme="minorHAnsi"/>
          <w:sz w:val="24"/>
          <w:szCs w:val="24"/>
          <w:lang w:val="en-GB" w:eastAsia="nl-NL" w:bidi="nl-NL"/>
        </w:rPr>
        <w:t xml:space="preserve">The </w:t>
      </w:r>
      <w:r w:rsidRPr="00B53505">
        <w:rPr>
          <w:rStyle w:val="Bodytext2"/>
          <w:rFonts w:eastAsiaTheme="minorHAnsi"/>
          <w:sz w:val="24"/>
          <w:szCs w:val="24"/>
          <w:lang w:val="en-GB"/>
        </w:rPr>
        <w:t xml:space="preserve">annual report shall contain </w:t>
      </w:r>
      <w:r w:rsidRPr="00B53505">
        <w:rPr>
          <w:rStyle w:val="Bodytext2"/>
          <w:rFonts w:eastAsiaTheme="minorHAnsi"/>
          <w:sz w:val="24"/>
          <w:szCs w:val="24"/>
          <w:lang w:val="en-GB" w:eastAsia="nl-NL" w:bidi="nl-NL"/>
        </w:rPr>
        <w:t xml:space="preserve">the </w:t>
      </w:r>
      <w:r w:rsidRPr="00B53505">
        <w:rPr>
          <w:rStyle w:val="Bodytext2"/>
          <w:rFonts w:eastAsiaTheme="minorHAnsi"/>
          <w:sz w:val="24"/>
          <w:szCs w:val="24"/>
          <w:lang w:val="en-GB"/>
        </w:rPr>
        <w:t xml:space="preserve">presentation of </w:t>
      </w:r>
      <w:r w:rsidRPr="00B53505">
        <w:rPr>
          <w:rStyle w:val="Bodytext2"/>
          <w:rFonts w:eastAsiaTheme="minorHAnsi"/>
          <w:sz w:val="24"/>
          <w:szCs w:val="24"/>
          <w:lang w:val="en-GB" w:eastAsia="nl-NL" w:bidi="nl-NL"/>
        </w:rPr>
        <w:t xml:space="preserve">the </w:t>
      </w:r>
      <w:r w:rsidRPr="00B53505">
        <w:rPr>
          <w:rStyle w:val="Bodytext2"/>
          <w:rFonts w:eastAsiaTheme="minorHAnsi"/>
          <w:sz w:val="24"/>
          <w:szCs w:val="24"/>
          <w:lang w:val="en-GB"/>
        </w:rPr>
        <w:t xml:space="preserve">financial position of the EFSD Guarantee Fund at the end of the previous calendar year, </w:t>
      </w:r>
      <w:r w:rsidRPr="00B53505">
        <w:rPr>
          <w:rStyle w:val="Bodytext2"/>
          <w:rFonts w:eastAsiaTheme="minorHAnsi"/>
          <w:sz w:val="24"/>
          <w:szCs w:val="24"/>
          <w:lang w:val="en-GB" w:eastAsia="nl-NL" w:bidi="nl-NL"/>
        </w:rPr>
        <w:t xml:space="preserve">the </w:t>
      </w:r>
      <w:r w:rsidRPr="00B53505">
        <w:rPr>
          <w:rStyle w:val="Bodytext2"/>
          <w:rFonts w:eastAsiaTheme="minorHAnsi"/>
          <w:sz w:val="24"/>
          <w:szCs w:val="24"/>
          <w:lang w:val="en-GB"/>
        </w:rPr>
        <w:t xml:space="preserve">financial flows during </w:t>
      </w:r>
      <w:r w:rsidRPr="00B53505">
        <w:rPr>
          <w:rStyle w:val="Bodytext2"/>
          <w:rFonts w:eastAsiaTheme="minorHAnsi"/>
          <w:sz w:val="24"/>
          <w:szCs w:val="24"/>
          <w:lang w:val="en-GB" w:eastAsia="nl-NL" w:bidi="nl-NL"/>
        </w:rPr>
        <w:t xml:space="preserve">the </w:t>
      </w:r>
      <w:r w:rsidRPr="00B53505">
        <w:rPr>
          <w:rStyle w:val="Bodytext2"/>
          <w:rFonts w:eastAsiaTheme="minorHAnsi"/>
          <w:sz w:val="24"/>
          <w:szCs w:val="24"/>
          <w:lang w:val="en-GB"/>
        </w:rPr>
        <w:t xml:space="preserve">previous calendar year as well as the significant transactions and any </w:t>
      </w:r>
      <w:r w:rsidRPr="00B53505">
        <w:rPr>
          <w:rStyle w:val="Bodytext2"/>
          <w:rFonts w:eastAsiaTheme="minorHAnsi"/>
          <w:sz w:val="24"/>
          <w:szCs w:val="24"/>
          <w:lang w:val="en-GB" w:eastAsia="da-DK" w:bidi="da-DK"/>
        </w:rPr>
        <w:t xml:space="preserve">relevant </w:t>
      </w:r>
      <w:r w:rsidRPr="00B53505">
        <w:rPr>
          <w:rStyle w:val="Bodytext2"/>
          <w:rFonts w:eastAsiaTheme="minorHAnsi"/>
          <w:sz w:val="24"/>
          <w:szCs w:val="24"/>
          <w:lang w:val="en-GB"/>
        </w:rPr>
        <w:t xml:space="preserve">information on </w:t>
      </w:r>
      <w:r w:rsidRPr="00B53505">
        <w:rPr>
          <w:rStyle w:val="Bodytext2"/>
          <w:rFonts w:eastAsiaTheme="minorHAnsi"/>
          <w:sz w:val="24"/>
          <w:szCs w:val="24"/>
          <w:lang w:val="en-GB" w:eastAsia="nl-NL" w:bidi="nl-NL"/>
        </w:rPr>
        <w:t xml:space="preserve">the </w:t>
      </w:r>
      <w:r w:rsidRPr="00B53505">
        <w:rPr>
          <w:rStyle w:val="Bodytext2"/>
          <w:rFonts w:eastAsiaTheme="minorHAnsi"/>
          <w:sz w:val="24"/>
          <w:szCs w:val="24"/>
          <w:lang w:val="en-GB"/>
        </w:rPr>
        <w:t>financial accounts. The report shall also include information about the financial management, the performance</w:t>
      </w:r>
      <w:r w:rsidR="007A79A0" w:rsidRPr="00B53505">
        <w:rPr>
          <w:rStyle w:val="Bodytext2"/>
          <w:rFonts w:eastAsiaTheme="minorHAnsi"/>
          <w:sz w:val="24"/>
          <w:szCs w:val="24"/>
          <w:lang w:val="en-GB"/>
        </w:rPr>
        <w:t>,</w:t>
      </w:r>
      <w:r w:rsidRPr="00B53505">
        <w:rPr>
          <w:rStyle w:val="Bodytext2"/>
          <w:rFonts w:eastAsiaTheme="minorHAnsi"/>
          <w:sz w:val="24"/>
          <w:szCs w:val="24"/>
          <w:lang w:val="en-GB"/>
        </w:rPr>
        <w:t xml:space="preserve"> and the risk of the guarantee fund at the end of the previous calendar year.</w:t>
      </w:r>
    </w:p>
    <w:p w14:paraId="0C05E026" w14:textId="08B3DFCF" w:rsidR="00333AE9" w:rsidRPr="00B53505" w:rsidRDefault="00333AE9" w:rsidP="00333AE9">
      <w:pPr>
        <w:pStyle w:val="Titrearticle"/>
        <w:rPr>
          <w:b/>
        </w:rPr>
      </w:pPr>
      <w:r w:rsidRPr="00B53505">
        <w:rPr>
          <w:b/>
        </w:rPr>
        <w:t xml:space="preserve">Article </w:t>
      </w:r>
      <w:r w:rsidR="005264EB" w:rsidRPr="00B53505">
        <w:rPr>
          <w:b/>
        </w:rPr>
        <w:t>16</w:t>
      </w:r>
      <w:r w:rsidR="00171CF7" w:rsidRPr="00B53505">
        <w:rPr>
          <w:b/>
        </w:rPr>
        <w:br/>
      </w:r>
      <w:r w:rsidRPr="00B53505">
        <w:rPr>
          <w:b/>
        </w:rPr>
        <w:t xml:space="preserve">Evaluation and </w:t>
      </w:r>
      <w:r w:rsidR="00897B8B" w:rsidRPr="00B53505">
        <w:rPr>
          <w:b/>
        </w:rPr>
        <w:t>r</w:t>
      </w:r>
      <w:r w:rsidRPr="00B53505">
        <w:rPr>
          <w:b/>
        </w:rPr>
        <w:t>eview</w:t>
      </w:r>
    </w:p>
    <w:p w14:paraId="6CB3C0D2" w14:textId="122003CF" w:rsidR="00BC7123" w:rsidRPr="00B53505" w:rsidRDefault="00333AE9" w:rsidP="009D4124">
      <w:pPr>
        <w:rPr>
          <w:rFonts w:eastAsia="Times New Roman"/>
          <w:szCs w:val="24"/>
          <w:lang w:bidi="en-US"/>
        </w:rPr>
      </w:pPr>
      <w:r w:rsidRPr="00B53505">
        <w:t>1.</w:t>
      </w:r>
      <w:r w:rsidR="00171CF7" w:rsidRPr="00B53505">
        <w:t xml:space="preserve"> </w:t>
      </w:r>
      <w:r w:rsidRPr="00B53505">
        <w:t>By 31 December 20</w:t>
      </w:r>
      <w:r w:rsidR="005264EB" w:rsidRPr="00B53505">
        <w:t>20</w:t>
      </w:r>
      <w:r w:rsidRPr="00B53505">
        <w:t xml:space="preserve">, the Commission shall evaluate the functioning of the EFSD. The Commission shall submit its evaluation </w:t>
      </w:r>
      <w:r w:rsidR="00A14241" w:rsidRPr="00B53505">
        <w:t xml:space="preserve">report </w:t>
      </w:r>
      <w:r w:rsidRPr="00B53505">
        <w:t>to the European Parliament and the Council</w:t>
      </w:r>
      <w:r w:rsidR="00BC7123" w:rsidRPr="00B53505">
        <w:rPr>
          <w:rFonts w:eastAsia="Times New Roman"/>
          <w:szCs w:val="24"/>
          <w:lang w:bidi="en-US"/>
        </w:rPr>
        <w:t xml:space="preserve">, containing an independent evaluation of the application of this Regulation. This report shall be submitted without delay by </w:t>
      </w:r>
      <w:r w:rsidR="00BC7123" w:rsidRPr="00B53505">
        <w:rPr>
          <w:rFonts w:eastAsia="Times New Roman"/>
          <w:szCs w:val="24"/>
          <w:lang w:eastAsia="nl-NL" w:bidi="nl-NL"/>
        </w:rPr>
        <w:t xml:space="preserve">the </w:t>
      </w:r>
      <w:r w:rsidR="00BC7123" w:rsidRPr="00B53505">
        <w:rPr>
          <w:rFonts w:eastAsia="Times New Roman"/>
          <w:szCs w:val="24"/>
          <w:lang w:bidi="en-US"/>
        </w:rPr>
        <w:t>Commission in the event that the approved financing and investment operations absorb in full the amount of the EFSD Guarantee available before 30 June 2020.</w:t>
      </w:r>
    </w:p>
    <w:p w14:paraId="46F93665" w14:textId="713ED165" w:rsidR="00333AE9" w:rsidRPr="00B53505" w:rsidRDefault="00333AE9" w:rsidP="00333AE9">
      <w:r w:rsidRPr="00B53505">
        <w:t xml:space="preserve">2. By </w:t>
      </w:r>
      <w:r w:rsidR="005264EB" w:rsidRPr="00B53505">
        <w:t>31 December 2020</w:t>
      </w:r>
      <w:r w:rsidR="009D4124" w:rsidRPr="00B53505">
        <w:t xml:space="preserve"> </w:t>
      </w:r>
      <w:r w:rsidRPr="00B53505">
        <w:t xml:space="preserve">and every three years thereafter, the Commission shall evaluate the use of the EFSD Guarantee Fund. The Commission shall submit its evaluation </w:t>
      </w:r>
      <w:r w:rsidR="00A14241" w:rsidRPr="00B53505">
        <w:t xml:space="preserve">report </w:t>
      </w:r>
      <w:r w:rsidRPr="00B53505">
        <w:t>to the European Parliament and the Council. That evaluation</w:t>
      </w:r>
      <w:r w:rsidR="00A14241" w:rsidRPr="00B53505">
        <w:t xml:space="preserve"> report</w:t>
      </w:r>
      <w:r w:rsidRPr="00B53505">
        <w:t xml:space="preserve"> shall be accompanied by an opinion of the Court of Auditors.</w:t>
      </w:r>
    </w:p>
    <w:p w14:paraId="1A8838BD" w14:textId="77777777" w:rsidR="0039786E" w:rsidRPr="00B53505" w:rsidRDefault="00333AE9" w:rsidP="0039786E">
      <w:pPr>
        <w:spacing w:before="360"/>
        <w:jc w:val="center"/>
      </w:pPr>
      <w:r w:rsidRPr="00B53505">
        <w:t>CHAPTER V</w:t>
      </w:r>
    </w:p>
    <w:p w14:paraId="76F56A45" w14:textId="77777777" w:rsidR="00333AE9" w:rsidRPr="00B53505" w:rsidRDefault="00333AE9" w:rsidP="00333AE9">
      <w:pPr>
        <w:jc w:val="center"/>
      </w:pPr>
      <w:r w:rsidRPr="00B53505">
        <w:t>GENERAL PROVISIONS</w:t>
      </w:r>
    </w:p>
    <w:p w14:paraId="3FFAE170" w14:textId="187C65D0" w:rsidR="00333AE9" w:rsidRPr="00B53505" w:rsidRDefault="00333AE9" w:rsidP="00333AE9">
      <w:pPr>
        <w:pStyle w:val="Titrearticle"/>
        <w:rPr>
          <w:b/>
        </w:rPr>
      </w:pPr>
      <w:r w:rsidRPr="00B53505">
        <w:rPr>
          <w:b/>
        </w:rPr>
        <w:t xml:space="preserve">Article </w:t>
      </w:r>
      <w:r w:rsidR="00BC7123" w:rsidRPr="00B53505">
        <w:rPr>
          <w:b/>
        </w:rPr>
        <w:t>17</w:t>
      </w:r>
      <w:r w:rsidR="00171CF7" w:rsidRPr="00B53505">
        <w:rPr>
          <w:b/>
        </w:rPr>
        <w:br/>
      </w:r>
      <w:r w:rsidRPr="00B53505">
        <w:rPr>
          <w:b/>
        </w:rPr>
        <w:t>Transparency and public disclosure of information</w:t>
      </w:r>
    </w:p>
    <w:p w14:paraId="16A74FA5" w14:textId="5C552845" w:rsidR="0039786E" w:rsidRPr="00B53505" w:rsidRDefault="00333AE9" w:rsidP="0039786E">
      <w:pPr>
        <w:widowControl w:val="0"/>
        <w:spacing w:before="0" w:after="0"/>
        <w:rPr>
          <w:b/>
        </w:rPr>
      </w:pPr>
      <w:r w:rsidRPr="00B53505">
        <w:rPr>
          <w:rFonts w:eastAsia="Times New Roman"/>
          <w:szCs w:val="24"/>
          <w:lang w:bidi="en-US"/>
        </w:rPr>
        <w:t>In accordance with its transparency policies and general Union principles on access to documents and information, the</w:t>
      </w:r>
      <w:r w:rsidR="00BE322F" w:rsidRPr="00B53505">
        <w:rPr>
          <w:rFonts w:eastAsia="Times New Roman"/>
          <w:szCs w:val="24"/>
          <w:lang w:bidi="en-US"/>
        </w:rPr>
        <w:t xml:space="preserve"> </w:t>
      </w:r>
      <w:r w:rsidR="009D4124" w:rsidRPr="00B53505">
        <w:rPr>
          <w:rFonts w:eastAsia="Times New Roman"/>
          <w:szCs w:val="24"/>
          <w:lang w:bidi="en-US"/>
        </w:rPr>
        <w:t xml:space="preserve">eligible counterparts </w:t>
      </w:r>
      <w:r w:rsidRPr="00B53505">
        <w:rPr>
          <w:rFonts w:eastAsia="Times New Roman"/>
          <w:szCs w:val="24"/>
          <w:lang w:bidi="en-US"/>
        </w:rPr>
        <w:t>shall make publicly available on</w:t>
      </w:r>
      <w:r w:rsidR="00827BBF" w:rsidRPr="00B53505">
        <w:rPr>
          <w:rFonts w:eastAsia="Times New Roman"/>
          <w:szCs w:val="24"/>
          <w:lang w:bidi="en-US"/>
        </w:rPr>
        <w:t xml:space="preserve"> their</w:t>
      </w:r>
      <w:r w:rsidRPr="00B53505">
        <w:rPr>
          <w:rFonts w:eastAsia="Times New Roman"/>
          <w:szCs w:val="24"/>
          <w:lang w:bidi="en-US"/>
        </w:rPr>
        <w:t xml:space="preserve"> </w:t>
      </w:r>
      <w:r w:rsidRPr="00B53505">
        <w:rPr>
          <w:rFonts w:eastAsia="Times New Roman"/>
          <w:szCs w:val="24"/>
          <w:lang w:eastAsia="da-DK" w:bidi="da-DK"/>
        </w:rPr>
        <w:t>website</w:t>
      </w:r>
      <w:r w:rsidR="00D356AE" w:rsidRPr="00B53505">
        <w:rPr>
          <w:rFonts w:eastAsia="Times New Roman"/>
          <w:szCs w:val="24"/>
          <w:lang w:eastAsia="da-DK" w:bidi="da-DK"/>
        </w:rPr>
        <w:t>s</w:t>
      </w:r>
      <w:r w:rsidRPr="00B53505">
        <w:rPr>
          <w:rFonts w:eastAsia="Times New Roman"/>
          <w:szCs w:val="24"/>
          <w:lang w:eastAsia="da-DK" w:bidi="da-DK"/>
        </w:rPr>
        <w:t xml:space="preserve"> </w:t>
      </w:r>
      <w:r w:rsidRPr="00B53505">
        <w:rPr>
          <w:rFonts w:eastAsia="Times New Roman"/>
          <w:szCs w:val="24"/>
          <w:lang w:bidi="en-US"/>
        </w:rPr>
        <w:t xml:space="preserve">information relating to all financing and investment operations covered by the EFSD Guarantee under this Regulation, relating in particular to the manner in which those operations contribute to the </w:t>
      </w:r>
      <w:r w:rsidR="00BC7123" w:rsidRPr="00B53505">
        <w:rPr>
          <w:rFonts w:eastAsia="Times New Roman"/>
          <w:szCs w:val="24"/>
          <w:lang w:bidi="en-US"/>
        </w:rPr>
        <w:t>requirements of this Regulation.</w:t>
      </w:r>
    </w:p>
    <w:p w14:paraId="2BA72B22" w14:textId="49F6D00F" w:rsidR="00333AE9" w:rsidRPr="00B53505" w:rsidRDefault="00333AE9" w:rsidP="00333AE9">
      <w:pPr>
        <w:pStyle w:val="Titrearticle"/>
        <w:rPr>
          <w:b/>
        </w:rPr>
      </w:pPr>
      <w:r w:rsidRPr="00B53505">
        <w:rPr>
          <w:b/>
        </w:rPr>
        <w:t xml:space="preserve">Article </w:t>
      </w:r>
      <w:r w:rsidR="009D4124" w:rsidRPr="00B53505">
        <w:rPr>
          <w:b/>
        </w:rPr>
        <w:t>18</w:t>
      </w:r>
      <w:r w:rsidR="00171CF7" w:rsidRPr="00B53505">
        <w:rPr>
          <w:b/>
        </w:rPr>
        <w:br/>
      </w:r>
      <w:r w:rsidRPr="00B53505">
        <w:rPr>
          <w:b/>
        </w:rPr>
        <w:t>Auditing by the Court of Auditors</w:t>
      </w:r>
    </w:p>
    <w:p w14:paraId="472E880D" w14:textId="2724D33F" w:rsidR="00333AE9" w:rsidRPr="00B53505" w:rsidRDefault="00333AE9" w:rsidP="00333AE9">
      <w:r w:rsidRPr="00B53505">
        <w:t xml:space="preserve">1. The external audit of the activities undertaken in accordance with this Regulation shall be carried out by the Court of Auditors in accordance with Article 287 </w:t>
      </w:r>
      <w:r w:rsidR="00897B8B" w:rsidRPr="00B53505">
        <w:t>of the Treaty</w:t>
      </w:r>
      <w:r w:rsidR="00BC7123" w:rsidRPr="00B53505">
        <w:t xml:space="preserve"> </w:t>
      </w:r>
      <w:r w:rsidR="00A974A6" w:rsidRPr="00B53505">
        <w:t>on the F</w:t>
      </w:r>
      <w:r w:rsidR="00BC7123" w:rsidRPr="00B53505">
        <w:t>unctioning of the European Union</w:t>
      </w:r>
      <w:r w:rsidR="00A974A6" w:rsidRPr="00B53505">
        <w:t xml:space="preserve"> (TFEU)</w:t>
      </w:r>
      <w:r w:rsidRPr="00B53505">
        <w:t>.</w:t>
      </w:r>
    </w:p>
    <w:p w14:paraId="5F262640" w14:textId="4428A9D3" w:rsidR="00333AE9" w:rsidRPr="00B53505" w:rsidRDefault="00333AE9" w:rsidP="00333AE9">
      <w:r w:rsidRPr="00B53505">
        <w:t>2. For the purpose of paragraph 1 of this Article, the Court of Auditors shall, at its request and in accordance with Article 287(3)</w:t>
      </w:r>
      <w:r w:rsidR="00897B8B" w:rsidRPr="00B53505">
        <w:t xml:space="preserve"> T</w:t>
      </w:r>
      <w:r w:rsidR="00A974A6" w:rsidRPr="00B53505">
        <w:t>FEU</w:t>
      </w:r>
      <w:r w:rsidRPr="00B53505">
        <w:t>, be granted access to any document or information necessary to carry out its task.</w:t>
      </w:r>
    </w:p>
    <w:p w14:paraId="559642AF" w14:textId="6707ED99" w:rsidR="00333AE9" w:rsidRPr="00B53505" w:rsidRDefault="00333AE9" w:rsidP="00333AE9">
      <w:pPr>
        <w:pStyle w:val="Titrearticle"/>
        <w:rPr>
          <w:b/>
        </w:rPr>
      </w:pPr>
      <w:r w:rsidRPr="00B53505">
        <w:rPr>
          <w:b/>
        </w:rPr>
        <w:t xml:space="preserve">Article </w:t>
      </w:r>
      <w:r w:rsidR="009D4124" w:rsidRPr="00B53505">
        <w:rPr>
          <w:b/>
        </w:rPr>
        <w:t>19</w:t>
      </w:r>
      <w:r w:rsidR="00171CF7" w:rsidRPr="00B53505">
        <w:rPr>
          <w:b/>
        </w:rPr>
        <w:br/>
      </w:r>
      <w:r w:rsidRPr="00B53505">
        <w:rPr>
          <w:b/>
        </w:rPr>
        <w:t>Anti-fraud measures</w:t>
      </w:r>
    </w:p>
    <w:p w14:paraId="008920D3" w14:textId="5DAC694B" w:rsidR="00333AE9" w:rsidRPr="00B53505" w:rsidRDefault="00333AE9" w:rsidP="00333AE9">
      <w:r w:rsidRPr="00B53505">
        <w:t>1.</w:t>
      </w:r>
      <w:r w:rsidR="00171CF7" w:rsidRPr="00B53505">
        <w:t xml:space="preserve"> </w:t>
      </w:r>
      <w:r w:rsidRPr="00B53505">
        <w:t>The C</w:t>
      </w:r>
      <w:r w:rsidR="00827BBF" w:rsidRPr="00B53505">
        <w:t>ommission</w:t>
      </w:r>
      <w:r w:rsidRPr="00B53505">
        <w:t xml:space="preserve"> </w:t>
      </w:r>
      <w:r w:rsidR="00A974A6" w:rsidRPr="00B53505">
        <w:t xml:space="preserve">or the eligible counterparts </w:t>
      </w:r>
      <w:r w:rsidRPr="00B53505">
        <w:t xml:space="preserve">shall notify </w:t>
      </w:r>
      <w:r w:rsidR="00827BBF" w:rsidRPr="00B53505">
        <w:t>the European Anti-Fraud Office (</w:t>
      </w:r>
      <w:r w:rsidRPr="00B53505">
        <w:t>OLAF</w:t>
      </w:r>
      <w:r w:rsidR="00827BBF" w:rsidRPr="00B53505">
        <w:t>)</w:t>
      </w:r>
      <w:r w:rsidRPr="00B53505">
        <w:t xml:space="preserve"> promptly and provide it with the necessary information when, at any stage of the preparation, implementation or closure of financing and investment operations covered by this Regulation, </w:t>
      </w:r>
      <w:r w:rsidR="00A974A6" w:rsidRPr="00B53505">
        <w:t xml:space="preserve">they </w:t>
      </w:r>
      <w:r w:rsidRPr="00B53505">
        <w:t>ha</w:t>
      </w:r>
      <w:r w:rsidR="00A974A6" w:rsidRPr="00B53505">
        <w:t>ve</w:t>
      </w:r>
      <w:r w:rsidRPr="00B53505">
        <w:t xml:space="preserve"> grounds for suspecting fraud, corruption, money laundering or any other illegal activity that may affect the financial interests of the Union.</w:t>
      </w:r>
    </w:p>
    <w:p w14:paraId="27BCEBB0" w14:textId="47B5FB6B" w:rsidR="00333AE9" w:rsidRPr="00B53505" w:rsidRDefault="00333AE9" w:rsidP="00333AE9">
      <w:r w:rsidRPr="00B53505">
        <w:t>2. OLAF may carry out investigations, including on-the-spot checks and inspections, in accordance with the provisions and procedures laid down in Regulation (EU, Euratom) No 883/2013 of the European Parliament and of the Council, Council Regulation (Euratom, EC) No 2185/96</w:t>
      </w:r>
      <w:r w:rsidR="002C4DDA">
        <w:t xml:space="preserve"> </w:t>
      </w:r>
      <w:r w:rsidRPr="00B53505">
        <w:t>and Council Regulation (EC, Euratom) No 2988/95 in order to protect the financial interests of the Union, with a view to establishing whether there has been fraud, corruption, money laundering or any other illegal activity affecting the financial interests of the Union in connection with any financing and investment operations covered by this Regulation. OLAF may transmit any information obtained in the course of its investigations to the competent authorities of the Member States concerned.</w:t>
      </w:r>
    </w:p>
    <w:p w14:paraId="15AA78C9" w14:textId="37B2B4E6" w:rsidR="00333AE9" w:rsidRPr="00B53505" w:rsidRDefault="00333AE9" w:rsidP="00333AE9">
      <w:r w:rsidRPr="00B53505">
        <w:t xml:space="preserve">Where such illegal activities are proven, the </w:t>
      </w:r>
      <w:r w:rsidR="00A974A6" w:rsidRPr="00B53505">
        <w:t>e</w:t>
      </w:r>
      <w:r w:rsidRPr="00B53505">
        <w:t xml:space="preserve">ligible </w:t>
      </w:r>
      <w:r w:rsidR="00A974A6" w:rsidRPr="00B53505">
        <w:t>c</w:t>
      </w:r>
      <w:r w:rsidRPr="00B53505">
        <w:t>ounterparts shall undertake recovery efforts with respect to its financing and investment operations covered by this Regulation that are concerned by such activities.</w:t>
      </w:r>
    </w:p>
    <w:p w14:paraId="47E87EB0" w14:textId="5DD2BB89" w:rsidR="00333AE9" w:rsidRPr="00B53505" w:rsidRDefault="00333AE9" w:rsidP="00333AE9">
      <w:pPr>
        <w:pStyle w:val="Titrearticle"/>
        <w:rPr>
          <w:b/>
        </w:rPr>
      </w:pPr>
      <w:r w:rsidRPr="00B53505">
        <w:rPr>
          <w:b/>
        </w:rPr>
        <w:t xml:space="preserve">Article </w:t>
      </w:r>
      <w:r w:rsidR="009D4124" w:rsidRPr="00B53505">
        <w:rPr>
          <w:b/>
        </w:rPr>
        <w:t>20</w:t>
      </w:r>
      <w:r w:rsidR="00171CF7" w:rsidRPr="00B53505">
        <w:rPr>
          <w:b/>
        </w:rPr>
        <w:br/>
      </w:r>
      <w:r w:rsidRPr="00B53505">
        <w:rPr>
          <w:b/>
        </w:rPr>
        <w:t>Excluded activities and non-cooperative jurisdictions</w:t>
      </w:r>
    </w:p>
    <w:p w14:paraId="3D5108F5" w14:textId="76FDE548" w:rsidR="00333AE9" w:rsidRPr="00B53505" w:rsidRDefault="00333AE9" w:rsidP="00333AE9">
      <w:r w:rsidRPr="00B53505">
        <w:t>1. In their financing and investment operations,</w:t>
      </w:r>
      <w:r w:rsidR="007D00E7" w:rsidRPr="00B53505">
        <w:t xml:space="preserve"> the </w:t>
      </w:r>
      <w:r w:rsidR="00FF4CD9" w:rsidRPr="00B53505">
        <w:t>e</w:t>
      </w:r>
      <w:r w:rsidRPr="00B53505">
        <w:t xml:space="preserve">ligible </w:t>
      </w:r>
      <w:r w:rsidR="00FF4CD9" w:rsidRPr="00B53505">
        <w:t>c</w:t>
      </w:r>
      <w:r w:rsidRPr="00B53505">
        <w:t xml:space="preserve">ounterparts shall not support any activities carried out for illegal purposes, including money laundering, terrorist financing, organised crime, tax fraud and tax evasion, corruption, and fraud affecting the financial interests of the Union. </w:t>
      </w:r>
      <w:r w:rsidR="007D00E7" w:rsidRPr="00B53505">
        <w:t xml:space="preserve">The </w:t>
      </w:r>
      <w:r w:rsidR="00FF4CD9" w:rsidRPr="00B53505">
        <w:t xml:space="preserve">eligible counterparts </w:t>
      </w:r>
      <w:r w:rsidRPr="00B53505">
        <w:t>shall not participate in any financing or investment operation through a vehicle located in a non-cooperative jurisdiction, in accordance with its policy towards weakly regulated or non-cooperative jurisdictions based on policies of the Union, the Organisation for Economic Co-operation and Development or the Financial Action Task Force.</w:t>
      </w:r>
    </w:p>
    <w:p w14:paraId="68D16715" w14:textId="2321E108" w:rsidR="00333AE9" w:rsidRPr="00B53505" w:rsidRDefault="00333AE9" w:rsidP="00333AE9">
      <w:r w:rsidRPr="00B53505">
        <w:t xml:space="preserve">2. In its financing and investment operations, the </w:t>
      </w:r>
      <w:r w:rsidR="00FF4CD9" w:rsidRPr="00B53505">
        <w:t xml:space="preserve">eligible counterpart </w:t>
      </w:r>
      <w:r w:rsidRPr="00B53505">
        <w:t>shall apply the principles and standards set out in Union law on the prevention of the use of the financial system for the purpose of money laundering and terrorist financing and in particular Regulation (EU) 2015/847 of the European Parliament and of the Council</w:t>
      </w:r>
      <w:r w:rsidR="00AE6AEF" w:rsidRPr="00B53505">
        <w:rPr>
          <w:rStyle w:val="FootnoteReference"/>
        </w:rPr>
        <w:footnoteReference w:id="36"/>
      </w:r>
      <w:r w:rsidRPr="00B53505">
        <w:t xml:space="preserve"> and Directive (EU) 2015/849 of the European Parliament and of the Council</w:t>
      </w:r>
      <w:r w:rsidR="00AE6AEF" w:rsidRPr="00B53505">
        <w:rPr>
          <w:rStyle w:val="FootnoteReference"/>
        </w:rPr>
        <w:footnoteReference w:id="37"/>
      </w:r>
      <w:r w:rsidRPr="00B53505">
        <w:t xml:space="preserve"> . </w:t>
      </w:r>
      <w:r w:rsidR="007D00E7" w:rsidRPr="00B53505">
        <w:t xml:space="preserve">The </w:t>
      </w:r>
      <w:r w:rsidR="00FF4CD9" w:rsidRPr="00B53505">
        <w:t xml:space="preserve">eligible counterparts </w:t>
      </w:r>
      <w:r w:rsidR="007D00E7" w:rsidRPr="00B53505">
        <w:t>shall</w:t>
      </w:r>
      <w:r w:rsidRPr="00B53505">
        <w:t xml:space="preserve"> make both direct funding and funding via intermediaries under this Regulation contingent upon the disclosure of beneficial ownership information in accordance with Directive (EU) 2015/849.</w:t>
      </w:r>
    </w:p>
    <w:p w14:paraId="446C86CA" w14:textId="77777777" w:rsidR="0039786E" w:rsidRPr="00B53505" w:rsidRDefault="0039786E" w:rsidP="0039786E">
      <w:pPr>
        <w:spacing w:before="360"/>
        <w:jc w:val="center"/>
      </w:pPr>
      <w:r w:rsidRPr="00B53505">
        <w:t>CHAPTER VI</w:t>
      </w:r>
    </w:p>
    <w:p w14:paraId="127BDE62" w14:textId="77777777" w:rsidR="007630B5" w:rsidRPr="00B53505" w:rsidRDefault="0039786E" w:rsidP="00171CF7">
      <w:pPr>
        <w:jc w:val="center"/>
      </w:pPr>
      <w:r w:rsidRPr="00B53505">
        <w:t>FINAL PROVISIONS</w:t>
      </w:r>
    </w:p>
    <w:p w14:paraId="350F17C4" w14:textId="0504EEAC" w:rsidR="00D70913" w:rsidRPr="00B53505" w:rsidRDefault="00D70913" w:rsidP="007630B5">
      <w:pPr>
        <w:pStyle w:val="Titrearticle"/>
        <w:rPr>
          <w:b/>
        </w:rPr>
      </w:pPr>
      <w:r w:rsidRPr="00B53505">
        <w:rPr>
          <w:b/>
        </w:rPr>
        <w:t xml:space="preserve">Article </w:t>
      </w:r>
      <w:r w:rsidR="009D4124" w:rsidRPr="00B53505">
        <w:rPr>
          <w:b/>
        </w:rPr>
        <w:t>21</w:t>
      </w:r>
      <w:r w:rsidR="00171CF7" w:rsidRPr="00B53505">
        <w:rPr>
          <w:b/>
        </w:rPr>
        <w:br/>
      </w:r>
      <w:r w:rsidR="004E504A" w:rsidRPr="00B53505">
        <w:rPr>
          <w:b/>
        </w:rPr>
        <w:t xml:space="preserve">Entry into force </w:t>
      </w:r>
    </w:p>
    <w:p w14:paraId="1F0F7C98" w14:textId="77777777" w:rsidR="00D70913" w:rsidRPr="00B53505" w:rsidRDefault="00D70913" w:rsidP="007630B5">
      <w:r w:rsidRPr="00B53505">
        <w:t xml:space="preserve">This Regulation shall enter into force on the </w:t>
      </w:r>
      <w:r w:rsidR="004E504A" w:rsidRPr="00B53505">
        <w:t>twentieth</w:t>
      </w:r>
      <w:r w:rsidR="00626A2A" w:rsidRPr="00B53505">
        <w:t xml:space="preserve"> </w:t>
      </w:r>
      <w:r w:rsidRPr="00B53505">
        <w:t xml:space="preserve">day following that of its publication in the </w:t>
      </w:r>
      <w:r w:rsidRPr="00B53505">
        <w:rPr>
          <w:i/>
        </w:rPr>
        <w:t>Official Journal of the European Union</w:t>
      </w:r>
      <w:r w:rsidRPr="00B53505">
        <w:t>.</w:t>
      </w:r>
    </w:p>
    <w:p w14:paraId="302B8426" w14:textId="77777777" w:rsidR="00D70913" w:rsidRPr="00B53505" w:rsidRDefault="00D70913" w:rsidP="007630B5">
      <w:pPr>
        <w:pStyle w:val="Applicationdirecte"/>
      </w:pPr>
      <w:r w:rsidRPr="00B53505">
        <w:t>This Regulation shall be binding in its entirety and directly applicable in all Member States.</w:t>
      </w:r>
    </w:p>
    <w:p w14:paraId="107970BC" w14:textId="413439E0" w:rsidR="00D70913" w:rsidRPr="00B53505" w:rsidRDefault="00772B42" w:rsidP="00772B42">
      <w:pPr>
        <w:pStyle w:val="Fait"/>
      </w:pPr>
      <w:r w:rsidRPr="00772B42">
        <w:t>Done at Brussels,</w:t>
      </w:r>
    </w:p>
    <w:p w14:paraId="1DE6A85A" w14:textId="77777777" w:rsidR="00D70913" w:rsidRPr="00B53505" w:rsidRDefault="00D70913" w:rsidP="00D70913">
      <w:pPr>
        <w:pStyle w:val="Institutionquisigne"/>
      </w:pPr>
      <w:r w:rsidRPr="00B53505">
        <w:t>For the European Parliament</w:t>
      </w:r>
      <w:r w:rsidRPr="00B53505">
        <w:tab/>
        <w:t>For the Council</w:t>
      </w:r>
    </w:p>
    <w:p w14:paraId="34D5462F" w14:textId="77777777" w:rsidR="0039786E" w:rsidRPr="00B53505" w:rsidRDefault="00D70913" w:rsidP="0039786E">
      <w:pPr>
        <w:pStyle w:val="Personnequisigne"/>
      </w:pPr>
      <w:r w:rsidRPr="00B53505">
        <w:t>The President</w:t>
      </w:r>
      <w:r w:rsidRPr="00B53505">
        <w:tab/>
        <w:t>The President</w:t>
      </w:r>
    </w:p>
    <w:p w14:paraId="74F24978" w14:textId="77777777" w:rsidR="009718F7" w:rsidRPr="00B53505" w:rsidRDefault="009718F7" w:rsidP="004F0097">
      <w:pPr>
        <w:sectPr w:rsidR="009718F7" w:rsidRPr="00B53505" w:rsidSect="00772B42">
          <w:pgSz w:w="11907" w:h="16840" w:code="9"/>
          <w:pgMar w:top="1134" w:right="1418" w:bottom="1134" w:left="1418" w:header="709" w:footer="709" w:gutter="0"/>
          <w:cols w:space="708"/>
          <w:docGrid w:linePitch="360"/>
        </w:sectPr>
      </w:pPr>
    </w:p>
    <w:p w14:paraId="0DF97CFA" w14:textId="77777777" w:rsidR="009718F7" w:rsidRPr="00B53505" w:rsidRDefault="009718F7" w:rsidP="009718F7">
      <w:pPr>
        <w:pStyle w:val="Fichefinanciretitre"/>
      </w:pPr>
      <w:r w:rsidRPr="00B53505">
        <w:t>LEGISLATIVE FINANCIAL STATEMENT</w:t>
      </w:r>
    </w:p>
    <w:p w14:paraId="373C4A61" w14:textId="77777777" w:rsidR="009718F7" w:rsidRPr="00B53505" w:rsidRDefault="009718F7">
      <w:pPr>
        <w:pStyle w:val="ManualHeading1"/>
      </w:pPr>
      <w:r w:rsidRPr="00B53505">
        <w:t>1.</w:t>
      </w:r>
      <w:r w:rsidRPr="00B53505">
        <w:tab/>
        <w:t xml:space="preserve">FRAMEWORK OF THE PROPOSAL/INITIATIVE </w:t>
      </w:r>
    </w:p>
    <w:p w14:paraId="1EFE30A0" w14:textId="77777777" w:rsidR="009718F7" w:rsidRPr="00B53505" w:rsidRDefault="009718F7">
      <w:pPr>
        <w:pStyle w:val="ManualHeading2"/>
        <w:rPr>
          <w:b w:val="0"/>
        </w:rPr>
      </w:pPr>
      <w:r w:rsidRPr="00B53505">
        <w:tab/>
      </w:r>
      <w:r w:rsidRPr="00B53505">
        <w:rPr>
          <w:b w:val="0"/>
        </w:rPr>
        <w:t>1.1.</w:t>
      </w:r>
      <w:r w:rsidRPr="00B53505">
        <w:rPr>
          <w:b w:val="0"/>
        </w:rPr>
        <w:tab/>
        <w:t xml:space="preserve">Title of the proposal/initiative </w:t>
      </w:r>
    </w:p>
    <w:p w14:paraId="189C253F" w14:textId="77777777" w:rsidR="009718F7" w:rsidRPr="00B53505" w:rsidRDefault="009718F7">
      <w:pPr>
        <w:pStyle w:val="ManualHeading2"/>
        <w:rPr>
          <w:b w:val="0"/>
        </w:rPr>
      </w:pPr>
      <w:r w:rsidRPr="00B53505">
        <w:rPr>
          <w:b w:val="0"/>
        </w:rPr>
        <w:tab/>
        <w:t>1.2.</w:t>
      </w:r>
      <w:r w:rsidRPr="00B53505">
        <w:rPr>
          <w:b w:val="0"/>
        </w:rPr>
        <w:tab/>
        <w:t>Policy area(s) concerned in the ABM/ABB structure</w:t>
      </w:r>
    </w:p>
    <w:p w14:paraId="394DA16D" w14:textId="77777777" w:rsidR="009718F7" w:rsidRPr="00B53505" w:rsidRDefault="009718F7">
      <w:pPr>
        <w:pStyle w:val="ManualHeading2"/>
        <w:rPr>
          <w:b w:val="0"/>
        </w:rPr>
      </w:pPr>
      <w:r w:rsidRPr="00B53505">
        <w:rPr>
          <w:b w:val="0"/>
        </w:rPr>
        <w:tab/>
        <w:t>1.3.</w:t>
      </w:r>
      <w:r w:rsidRPr="00B53505">
        <w:rPr>
          <w:b w:val="0"/>
        </w:rPr>
        <w:tab/>
        <w:t xml:space="preserve">Nature of the proposal/initiative </w:t>
      </w:r>
    </w:p>
    <w:p w14:paraId="7236ADA2" w14:textId="77777777" w:rsidR="009718F7" w:rsidRPr="00B53505" w:rsidRDefault="009718F7">
      <w:pPr>
        <w:pStyle w:val="ManualHeading2"/>
        <w:rPr>
          <w:b w:val="0"/>
        </w:rPr>
      </w:pPr>
      <w:r w:rsidRPr="00B53505">
        <w:rPr>
          <w:b w:val="0"/>
        </w:rPr>
        <w:tab/>
        <w:t>1.4.</w:t>
      </w:r>
      <w:r w:rsidRPr="00B53505">
        <w:rPr>
          <w:b w:val="0"/>
        </w:rPr>
        <w:tab/>
        <w:t xml:space="preserve">Objective(s) </w:t>
      </w:r>
    </w:p>
    <w:p w14:paraId="36B0144B" w14:textId="77777777" w:rsidR="009718F7" w:rsidRPr="00B53505" w:rsidRDefault="009718F7">
      <w:pPr>
        <w:pStyle w:val="ManualHeading2"/>
        <w:rPr>
          <w:b w:val="0"/>
        </w:rPr>
      </w:pPr>
      <w:r w:rsidRPr="00B53505">
        <w:rPr>
          <w:b w:val="0"/>
        </w:rPr>
        <w:tab/>
        <w:t>1.5.</w:t>
      </w:r>
      <w:r w:rsidRPr="00B53505">
        <w:rPr>
          <w:b w:val="0"/>
        </w:rPr>
        <w:tab/>
        <w:t xml:space="preserve">Grounds for the proposal/initiative </w:t>
      </w:r>
    </w:p>
    <w:p w14:paraId="1C073F37" w14:textId="77777777" w:rsidR="009718F7" w:rsidRPr="00B53505" w:rsidRDefault="009718F7">
      <w:pPr>
        <w:pStyle w:val="ManualHeading2"/>
        <w:rPr>
          <w:b w:val="0"/>
        </w:rPr>
      </w:pPr>
      <w:r w:rsidRPr="00B53505">
        <w:rPr>
          <w:b w:val="0"/>
        </w:rPr>
        <w:tab/>
        <w:t>1.6.</w:t>
      </w:r>
      <w:r w:rsidRPr="00B53505">
        <w:rPr>
          <w:b w:val="0"/>
        </w:rPr>
        <w:tab/>
        <w:t xml:space="preserve">Duration and financial impact </w:t>
      </w:r>
    </w:p>
    <w:p w14:paraId="5D10DCC6" w14:textId="77777777" w:rsidR="009718F7" w:rsidRPr="00B53505" w:rsidRDefault="009718F7">
      <w:pPr>
        <w:pStyle w:val="ManualHeading2"/>
        <w:rPr>
          <w:b w:val="0"/>
        </w:rPr>
      </w:pPr>
      <w:r w:rsidRPr="00B53505">
        <w:rPr>
          <w:b w:val="0"/>
        </w:rPr>
        <w:tab/>
        <w:t>1.7.</w:t>
      </w:r>
      <w:r w:rsidRPr="00B53505">
        <w:rPr>
          <w:b w:val="0"/>
        </w:rPr>
        <w:tab/>
        <w:t xml:space="preserve">Management mode(s) planned </w:t>
      </w:r>
    </w:p>
    <w:p w14:paraId="6AF26FD1" w14:textId="77777777" w:rsidR="009718F7" w:rsidRPr="00B53505" w:rsidRDefault="009718F7">
      <w:pPr>
        <w:pStyle w:val="ManualHeading1"/>
      </w:pPr>
      <w:r w:rsidRPr="00B53505">
        <w:t>2.</w:t>
      </w:r>
      <w:r w:rsidRPr="00B53505">
        <w:tab/>
        <w:t xml:space="preserve">MANAGEMENT MEASURES </w:t>
      </w:r>
    </w:p>
    <w:p w14:paraId="71B8A799" w14:textId="77777777" w:rsidR="009718F7" w:rsidRPr="00B53505" w:rsidRDefault="009718F7">
      <w:pPr>
        <w:pStyle w:val="ManualHeading2"/>
        <w:rPr>
          <w:b w:val="0"/>
        </w:rPr>
      </w:pPr>
      <w:r w:rsidRPr="00B53505">
        <w:rPr>
          <w:b w:val="0"/>
        </w:rPr>
        <w:tab/>
        <w:t>2.1.</w:t>
      </w:r>
      <w:r w:rsidRPr="00B53505">
        <w:rPr>
          <w:b w:val="0"/>
        </w:rPr>
        <w:tab/>
        <w:t xml:space="preserve">Monitoring and reporting rules </w:t>
      </w:r>
    </w:p>
    <w:p w14:paraId="54029064" w14:textId="77777777" w:rsidR="009718F7" w:rsidRPr="00B53505" w:rsidRDefault="009718F7">
      <w:pPr>
        <w:pStyle w:val="ManualHeading2"/>
        <w:rPr>
          <w:b w:val="0"/>
        </w:rPr>
      </w:pPr>
      <w:r w:rsidRPr="00B53505">
        <w:rPr>
          <w:b w:val="0"/>
        </w:rPr>
        <w:tab/>
        <w:t>2.2.</w:t>
      </w:r>
      <w:r w:rsidRPr="00B53505">
        <w:rPr>
          <w:b w:val="0"/>
        </w:rPr>
        <w:tab/>
        <w:t xml:space="preserve">Management and control system </w:t>
      </w:r>
    </w:p>
    <w:p w14:paraId="016A3741" w14:textId="77777777" w:rsidR="009718F7" w:rsidRPr="00B53505" w:rsidRDefault="009718F7">
      <w:pPr>
        <w:pStyle w:val="ManualHeading2"/>
        <w:rPr>
          <w:b w:val="0"/>
        </w:rPr>
      </w:pPr>
      <w:r w:rsidRPr="00B53505">
        <w:rPr>
          <w:b w:val="0"/>
        </w:rPr>
        <w:tab/>
        <w:t>2.3.</w:t>
      </w:r>
      <w:r w:rsidRPr="00B53505">
        <w:rPr>
          <w:b w:val="0"/>
        </w:rPr>
        <w:tab/>
        <w:t xml:space="preserve">Measures to prevent fraud and irregularities </w:t>
      </w:r>
    </w:p>
    <w:p w14:paraId="62D673CE" w14:textId="77777777" w:rsidR="009718F7" w:rsidRPr="00B53505" w:rsidRDefault="009718F7">
      <w:pPr>
        <w:pStyle w:val="ManualHeading1"/>
      </w:pPr>
      <w:r w:rsidRPr="00B53505">
        <w:t>3.</w:t>
      </w:r>
      <w:r w:rsidRPr="00B53505">
        <w:tab/>
        <w:t xml:space="preserve">ESTIMATED FINANCIAL IMPACT OF THE PROPOSAL/INITIATIVE </w:t>
      </w:r>
    </w:p>
    <w:p w14:paraId="582592B5" w14:textId="77777777" w:rsidR="009718F7" w:rsidRPr="00B53505" w:rsidRDefault="009718F7">
      <w:pPr>
        <w:pStyle w:val="ManualHeading2"/>
        <w:rPr>
          <w:b w:val="0"/>
        </w:rPr>
      </w:pPr>
      <w:r w:rsidRPr="00B53505">
        <w:rPr>
          <w:b w:val="0"/>
        </w:rPr>
        <w:tab/>
        <w:t>3.1.</w:t>
      </w:r>
      <w:r w:rsidRPr="00B53505">
        <w:rPr>
          <w:b w:val="0"/>
        </w:rPr>
        <w:tab/>
        <w:t xml:space="preserve">Heading(s) of the multiannual financial framework and expenditure budget line(s) affected </w:t>
      </w:r>
    </w:p>
    <w:p w14:paraId="347A0C23" w14:textId="77777777" w:rsidR="009718F7" w:rsidRPr="00B53505" w:rsidRDefault="009718F7">
      <w:pPr>
        <w:pStyle w:val="ManualHeading2"/>
      </w:pPr>
      <w:r w:rsidRPr="00B53505">
        <w:rPr>
          <w:b w:val="0"/>
        </w:rPr>
        <w:tab/>
        <w:t>3.2.</w:t>
      </w:r>
      <w:r w:rsidRPr="00B53505">
        <w:rPr>
          <w:b w:val="0"/>
        </w:rPr>
        <w:tab/>
        <w:t>Estimated impact on expenditure</w:t>
      </w:r>
      <w:r w:rsidRPr="00B53505">
        <w:t xml:space="preserve"> </w:t>
      </w:r>
    </w:p>
    <w:p w14:paraId="49306126" w14:textId="77777777" w:rsidR="009718F7" w:rsidRPr="00B53505" w:rsidRDefault="009718F7">
      <w:pPr>
        <w:pStyle w:val="ManualHeading3"/>
      </w:pPr>
      <w:r w:rsidRPr="00B53505">
        <w:tab/>
        <w:t>3.2.1.</w:t>
      </w:r>
      <w:r w:rsidRPr="00B53505">
        <w:tab/>
        <w:t xml:space="preserve">Summary of estimated impact on expenditure </w:t>
      </w:r>
    </w:p>
    <w:p w14:paraId="600BBEC0" w14:textId="77777777" w:rsidR="009718F7" w:rsidRPr="00B53505" w:rsidRDefault="009718F7">
      <w:pPr>
        <w:pStyle w:val="ManualHeading3"/>
      </w:pPr>
      <w:r w:rsidRPr="00B53505">
        <w:tab/>
        <w:t>3.2.2.</w:t>
      </w:r>
      <w:r w:rsidRPr="00B53505">
        <w:tab/>
        <w:t xml:space="preserve">Estimated impact on operational appropriations </w:t>
      </w:r>
    </w:p>
    <w:p w14:paraId="3DA1C4AF" w14:textId="77777777" w:rsidR="009718F7" w:rsidRPr="00B53505" w:rsidRDefault="009718F7">
      <w:pPr>
        <w:pStyle w:val="ManualHeading3"/>
      </w:pPr>
      <w:r w:rsidRPr="00B53505">
        <w:tab/>
        <w:t>3.2.3.</w:t>
      </w:r>
      <w:r w:rsidRPr="00B53505">
        <w:tab/>
        <w:t>Estimated impact on appropriations of an administrative nature</w:t>
      </w:r>
    </w:p>
    <w:p w14:paraId="02034DDC" w14:textId="77777777" w:rsidR="009718F7" w:rsidRPr="00B53505" w:rsidRDefault="009718F7">
      <w:pPr>
        <w:pStyle w:val="ManualHeading3"/>
      </w:pPr>
      <w:r w:rsidRPr="00B53505">
        <w:tab/>
        <w:t>3.2.4.</w:t>
      </w:r>
      <w:r w:rsidRPr="00B53505">
        <w:tab/>
        <w:t>Compatibility with the current multiannual financial framework</w:t>
      </w:r>
    </w:p>
    <w:p w14:paraId="53CEB40F" w14:textId="77777777" w:rsidR="009718F7" w:rsidRPr="00B53505" w:rsidRDefault="009718F7">
      <w:pPr>
        <w:pStyle w:val="ManualHeading3"/>
      </w:pPr>
      <w:r w:rsidRPr="00B53505">
        <w:tab/>
        <w:t>3.2.5.</w:t>
      </w:r>
      <w:r w:rsidRPr="00B53505">
        <w:tab/>
        <w:t xml:space="preserve">Third-party contributions </w:t>
      </w:r>
    </w:p>
    <w:p w14:paraId="3BDE73B3" w14:textId="77777777" w:rsidR="009718F7" w:rsidRPr="00B53505" w:rsidRDefault="009718F7">
      <w:pPr>
        <w:pStyle w:val="ManualHeading2"/>
        <w:jc w:val="left"/>
        <w:rPr>
          <w:b w:val="0"/>
        </w:rPr>
        <w:sectPr w:rsidR="009718F7" w:rsidRPr="00B53505" w:rsidSect="00772B42">
          <w:pgSz w:w="11907" w:h="16840" w:code="9"/>
          <w:pgMar w:top="1134" w:right="1418" w:bottom="1134" w:left="1418" w:header="709" w:footer="709" w:gutter="0"/>
          <w:cols w:space="708"/>
          <w:docGrid w:linePitch="360"/>
        </w:sectPr>
      </w:pPr>
      <w:r w:rsidRPr="00B53505">
        <w:rPr>
          <w:b w:val="0"/>
        </w:rPr>
        <w:tab/>
        <w:t>3.3.</w:t>
      </w:r>
      <w:r w:rsidRPr="00B53505">
        <w:rPr>
          <w:b w:val="0"/>
        </w:rPr>
        <w:tab/>
        <w:t>Estimated impact on revenue</w:t>
      </w:r>
    </w:p>
    <w:p w14:paraId="6009791C" w14:textId="77777777" w:rsidR="009718F7" w:rsidRPr="00B53505" w:rsidRDefault="009718F7">
      <w:pPr>
        <w:jc w:val="center"/>
        <w:rPr>
          <w:b/>
          <w:u w:val="single"/>
        </w:rPr>
      </w:pPr>
      <w:r w:rsidRPr="00B53505">
        <w:rPr>
          <w:b/>
          <w:u w:val="single"/>
        </w:rPr>
        <w:t>LEGISLATIVE FINANCIAL STATEMENT</w:t>
      </w:r>
    </w:p>
    <w:p w14:paraId="66781444" w14:textId="77777777" w:rsidR="009718F7" w:rsidRPr="00B53505" w:rsidRDefault="009718F7" w:rsidP="002011AA">
      <w:pPr>
        <w:pStyle w:val="Heading1"/>
        <w:numPr>
          <w:ilvl w:val="0"/>
          <w:numId w:val="24"/>
        </w:numPr>
      </w:pPr>
      <w:r w:rsidRPr="00B53505">
        <w:t xml:space="preserve">FRAMEWORK OF THE PROPOSAL/INITIATIVE </w:t>
      </w:r>
    </w:p>
    <w:p w14:paraId="27AE6087" w14:textId="77777777" w:rsidR="009718F7" w:rsidRPr="00B53505" w:rsidRDefault="009718F7">
      <w:pPr>
        <w:pStyle w:val="Heading2"/>
      </w:pPr>
      <w:r w:rsidRPr="00B53505">
        <w:t xml:space="preserve">Title of the proposal/initiative </w:t>
      </w:r>
    </w:p>
    <w:p w14:paraId="67B9DD21" w14:textId="77777777" w:rsidR="009718F7" w:rsidRPr="00B53505" w:rsidRDefault="009718F7">
      <w:pPr>
        <w:pStyle w:val="Text1"/>
        <w:pBdr>
          <w:top w:val="single" w:sz="4" w:space="1" w:color="auto"/>
          <w:left w:val="single" w:sz="4" w:space="4" w:color="auto"/>
          <w:bottom w:val="single" w:sz="4" w:space="1" w:color="auto"/>
          <w:right w:val="single" w:sz="4" w:space="4" w:color="auto"/>
        </w:pBdr>
      </w:pPr>
      <w:r w:rsidRPr="00B53505">
        <w:t xml:space="preserve">Proposal for a Regulation of the European Parliament and of the Council on the European Fund for Sustainable Development (EFSD) </w:t>
      </w:r>
    </w:p>
    <w:p w14:paraId="60651CC5" w14:textId="77777777" w:rsidR="009718F7" w:rsidRPr="00B53505" w:rsidRDefault="009718F7">
      <w:pPr>
        <w:pStyle w:val="Heading2"/>
        <w:rPr>
          <w:szCs w:val="24"/>
        </w:rPr>
      </w:pPr>
      <w:r w:rsidRPr="00B53505">
        <w:t>Policy area(s) concerned in the ABM/ABB structure</w:t>
      </w:r>
      <w:r w:rsidRPr="00B53505">
        <w:rPr>
          <w:rStyle w:val="FootnoteReference"/>
          <w:bCs w:val="0"/>
        </w:rPr>
        <w:footnoteReference w:id="38"/>
      </w:r>
      <w:r w:rsidRPr="00B53505">
        <w:rPr>
          <w:i/>
        </w:rPr>
        <w:t xml:space="preserve"> </w:t>
      </w:r>
    </w:p>
    <w:p w14:paraId="220D8CFB" w14:textId="0EB5F0C8" w:rsidR="009718F7" w:rsidRPr="00B53505" w:rsidRDefault="00D71438" w:rsidP="002A6466">
      <w:pPr>
        <w:pStyle w:val="Text1"/>
        <w:pBdr>
          <w:top w:val="single" w:sz="4" w:space="1" w:color="auto"/>
          <w:left w:val="single" w:sz="4" w:space="4" w:color="auto"/>
          <w:bottom w:val="single" w:sz="4" w:space="1" w:color="auto"/>
          <w:right w:val="single" w:sz="4" w:space="4" w:color="auto"/>
        </w:pBdr>
      </w:pPr>
      <w:r>
        <w:t>01 03</w:t>
      </w:r>
      <w:r w:rsidRPr="00B53505">
        <w:t> </w:t>
      </w:r>
    </w:p>
    <w:p w14:paraId="7CE643BC" w14:textId="3E1B3669"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 xml:space="preserve">ABB Activity: International </w:t>
      </w:r>
      <w:r w:rsidR="00623FF5">
        <w:t>e</w:t>
      </w:r>
      <w:r w:rsidR="00D71438">
        <w:t xml:space="preserve">conomic and </w:t>
      </w:r>
      <w:r w:rsidR="00623FF5">
        <w:t>f</w:t>
      </w:r>
      <w:r w:rsidR="00D71438">
        <w:t xml:space="preserve">inancial </w:t>
      </w:r>
      <w:r w:rsidR="00623FF5">
        <w:t>a</w:t>
      </w:r>
      <w:r w:rsidR="00D71438">
        <w:t>ffairs</w:t>
      </w:r>
    </w:p>
    <w:p w14:paraId="28C1793C" w14:textId="77777777" w:rsidR="009718F7" w:rsidRPr="00B53505" w:rsidRDefault="009718F7">
      <w:pPr>
        <w:pStyle w:val="Heading2"/>
        <w:rPr>
          <w:bCs w:val="0"/>
          <w:szCs w:val="24"/>
        </w:rPr>
      </w:pPr>
      <w:r w:rsidRPr="00B53505">
        <w:t xml:space="preserve">Nature of the proposal/initiative </w:t>
      </w:r>
    </w:p>
    <w:p w14:paraId="2154C90B" w14:textId="77777777" w:rsidR="009718F7" w:rsidRPr="00B53505" w:rsidRDefault="009718F7">
      <w:pPr>
        <w:pStyle w:val="Text1"/>
        <w:rPr>
          <w:b/>
          <w:sz w:val="22"/>
        </w:rPr>
      </w:pPr>
      <w:r w:rsidRPr="00B53505">
        <w:rPr>
          <w:sz w:val="22"/>
        </w:rPr>
        <w:sym w:font="Webdings" w:char="F072"/>
      </w:r>
      <w:r w:rsidRPr="00B53505">
        <w:rPr>
          <w:b/>
          <w:i/>
          <w:sz w:val="22"/>
        </w:rPr>
        <w:t xml:space="preserve"> </w:t>
      </w:r>
      <w:r w:rsidRPr="00B53505">
        <w:t xml:space="preserve">The proposal/initiative relates to </w:t>
      </w:r>
      <w:r w:rsidRPr="00B53505">
        <w:rPr>
          <w:b/>
        </w:rPr>
        <w:t>a new action</w:t>
      </w:r>
      <w:r w:rsidRPr="00B53505">
        <w:rPr>
          <w:b/>
          <w:sz w:val="22"/>
        </w:rPr>
        <w:t xml:space="preserve"> </w:t>
      </w:r>
    </w:p>
    <w:p w14:paraId="4CB16118" w14:textId="77777777" w:rsidR="009718F7" w:rsidRPr="00B53505" w:rsidRDefault="009718F7">
      <w:pPr>
        <w:pStyle w:val="Text1"/>
        <w:rPr>
          <w:sz w:val="22"/>
        </w:rPr>
      </w:pPr>
      <w:r w:rsidRPr="00B53505">
        <w:rPr>
          <w:sz w:val="22"/>
        </w:rPr>
        <w:sym w:font="Wingdings" w:char="F0A8"/>
      </w:r>
      <w:r w:rsidRPr="00B53505">
        <w:rPr>
          <w:i/>
          <w:sz w:val="22"/>
        </w:rPr>
        <w:t xml:space="preserve"> </w:t>
      </w:r>
      <w:r w:rsidRPr="00B53505">
        <w:t xml:space="preserve">The proposal/initiative relates to </w:t>
      </w:r>
      <w:r w:rsidRPr="00B53505">
        <w:rPr>
          <w:b/>
        </w:rPr>
        <w:t>a new action following a pilot project/preparatory action</w:t>
      </w:r>
      <w:r w:rsidRPr="00B53505">
        <w:rPr>
          <w:rStyle w:val="FootnoteReference"/>
          <w:b/>
        </w:rPr>
        <w:footnoteReference w:id="39"/>
      </w:r>
      <w:r w:rsidRPr="00B53505">
        <w:rPr>
          <w:sz w:val="22"/>
        </w:rPr>
        <w:t xml:space="preserve"> </w:t>
      </w:r>
    </w:p>
    <w:p w14:paraId="4BE6B51A" w14:textId="77777777" w:rsidR="009718F7" w:rsidRPr="00B53505" w:rsidRDefault="009718F7">
      <w:pPr>
        <w:pStyle w:val="Text1"/>
        <w:rPr>
          <w:sz w:val="22"/>
        </w:rPr>
      </w:pPr>
      <w:r w:rsidRPr="00B53505">
        <w:rPr>
          <w:sz w:val="22"/>
        </w:rPr>
        <w:sym w:font="Wingdings" w:char="F0A8"/>
      </w:r>
      <w:r w:rsidRPr="00B53505">
        <w:rPr>
          <w:i/>
          <w:sz w:val="22"/>
        </w:rPr>
        <w:t xml:space="preserve"> </w:t>
      </w:r>
      <w:r w:rsidRPr="00B53505">
        <w:t xml:space="preserve">The proposal/initiative relates to </w:t>
      </w:r>
      <w:r w:rsidRPr="00B53505">
        <w:rPr>
          <w:b/>
        </w:rPr>
        <w:t>the extension of an existing action</w:t>
      </w:r>
      <w:r w:rsidRPr="00B53505">
        <w:rPr>
          <w:sz w:val="22"/>
        </w:rPr>
        <w:t xml:space="preserve"> </w:t>
      </w:r>
    </w:p>
    <w:p w14:paraId="6CBE890C" w14:textId="77777777" w:rsidR="009718F7" w:rsidRPr="00B53505" w:rsidRDefault="009718F7">
      <w:pPr>
        <w:pStyle w:val="Text1"/>
      </w:pPr>
      <w:r w:rsidRPr="00B53505">
        <w:rPr>
          <w:sz w:val="22"/>
        </w:rPr>
        <w:sym w:font="Wingdings" w:char="F0A8"/>
      </w:r>
      <w:r w:rsidRPr="00B53505">
        <w:rPr>
          <w:i/>
          <w:sz w:val="22"/>
        </w:rPr>
        <w:t xml:space="preserve"> </w:t>
      </w:r>
      <w:r w:rsidRPr="00B53505">
        <w:t xml:space="preserve">The proposal/initiative relates to </w:t>
      </w:r>
      <w:r w:rsidRPr="00B53505">
        <w:rPr>
          <w:b/>
        </w:rPr>
        <w:t>an action redirected towards a new action</w:t>
      </w:r>
      <w:r w:rsidRPr="00B53505">
        <w:t xml:space="preserve"> </w:t>
      </w:r>
    </w:p>
    <w:p w14:paraId="649C930F" w14:textId="77777777" w:rsidR="009718F7" w:rsidRPr="00B53505" w:rsidRDefault="009718F7" w:rsidP="002A6466">
      <w:pPr>
        <w:autoSpaceDE w:val="0"/>
        <w:autoSpaceDN w:val="0"/>
        <w:adjustRightInd w:val="0"/>
        <w:spacing w:before="0" w:after="0"/>
        <w:ind w:left="720"/>
      </w:pPr>
      <w:r w:rsidRPr="00B53505">
        <w:t>The EFSD will be composed of Regional Investment Platforms combining the existing blending facilities in external action and the new EFSG Guarantee.</w:t>
      </w:r>
    </w:p>
    <w:p w14:paraId="65C29079" w14:textId="77777777" w:rsidR="009718F7" w:rsidRPr="00B53505" w:rsidRDefault="009718F7">
      <w:pPr>
        <w:pStyle w:val="Heading2"/>
        <w:rPr>
          <w:bCs w:val="0"/>
          <w:szCs w:val="24"/>
        </w:rPr>
      </w:pPr>
      <w:r w:rsidRPr="00B53505">
        <w:t>Objective(s)</w:t>
      </w:r>
    </w:p>
    <w:p w14:paraId="742D4C9E" w14:textId="2C121421" w:rsidR="009718F7" w:rsidRPr="00B53505" w:rsidRDefault="009718F7">
      <w:pPr>
        <w:pStyle w:val="Heading3"/>
      </w:pPr>
      <w:r w:rsidRPr="00B53505">
        <w:t>The Commission</w:t>
      </w:r>
      <w:r w:rsidR="00B53505">
        <w:t>'</w:t>
      </w:r>
      <w:r w:rsidRPr="00B53505">
        <w:t xml:space="preserve">s multiannual strategic objective(s) targeted by the proposal/initiative </w:t>
      </w:r>
    </w:p>
    <w:p w14:paraId="08E1415D" w14:textId="6D6E3D49" w:rsidR="009718F7" w:rsidRPr="00B53505" w:rsidRDefault="009718F7">
      <w:pPr>
        <w:pStyle w:val="Text1"/>
        <w:pBdr>
          <w:top w:val="single" w:sz="4" w:space="1" w:color="auto"/>
          <w:left w:val="single" w:sz="4" w:space="4" w:color="auto"/>
          <w:bottom w:val="single" w:sz="4" w:space="1" w:color="auto"/>
          <w:right w:val="single" w:sz="4" w:space="4" w:color="auto"/>
        </w:pBdr>
      </w:pPr>
      <w:r w:rsidRPr="00B53505">
        <w:t xml:space="preserve">To support investments in regions outside the EU as a means to </w:t>
      </w:r>
      <w:r w:rsidR="00CB162C" w:rsidRPr="00B53505">
        <w:t xml:space="preserve">address </w:t>
      </w:r>
      <w:r w:rsidRPr="00B53505">
        <w:t>root causes of migration.</w:t>
      </w:r>
    </w:p>
    <w:p w14:paraId="449538EB" w14:textId="77777777" w:rsidR="009718F7" w:rsidRPr="00B53505" w:rsidRDefault="009718F7">
      <w:pPr>
        <w:pStyle w:val="Heading3"/>
        <w:rPr>
          <w:bCs w:val="0"/>
          <w:szCs w:val="24"/>
        </w:rPr>
      </w:pPr>
      <w:r w:rsidRPr="00B53505">
        <w:t xml:space="preserve">Specific objective(s) and ABM/ABB activity(ies) concerned </w:t>
      </w:r>
    </w:p>
    <w:p w14:paraId="2BB568B0" w14:textId="77777777" w:rsidR="009718F7" w:rsidRPr="00B53505" w:rsidRDefault="009718F7">
      <w:pPr>
        <w:pStyle w:val="Text1"/>
        <w:pBdr>
          <w:top w:val="single" w:sz="4" w:space="1" w:color="auto"/>
          <w:left w:val="single" w:sz="4" w:space="4" w:color="auto"/>
          <w:bottom w:val="single" w:sz="4" w:space="1" w:color="auto"/>
          <w:right w:val="single" w:sz="4" w:space="4" w:color="auto"/>
        </w:pBdr>
        <w:rPr>
          <w:u w:val="single"/>
        </w:rPr>
      </w:pPr>
      <w:r w:rsidRPr="00B53505">
        <w:rPr>
          <w:u w:val="single"/>
        </w:rPr>
        <w:t xml:space="preserve">Specific objective </w:t>
      </w:r>
    </w:p>
    <w:p w14:paraId="697DEF31" w14:textId="77777777" w:rsidR="009718F7" w:rsidRPr="00B53505" w:rsidRDefault="009718F7">
      <w:pPr>
        <w:pStyle w:val="Text1"/>
        <w:pBdr>
          <w:top w:val="single" w:sz="4" w:space="1" w:color="auto"/>
          <w:left w:val="single" w:sz="4" w:space="4" w:color="auto"/>
          <w:bottom w:val="single" w:sz="4" w:space="1" w:color="auto"/>
          <w:right w:val="single" w:sz="4" w:space="4" w:color="auto"/>
        </w:pBdr>
      </w:pPr>
      <w:r w:rsidRPr="00B53505">
        <w:t>Provide an integrated package of measures to finance investments in regions outside the EU, thereby creating growth and employment opportunities, maximising additionality, delivering innovative products and crowding-in private sector funds.</w:t>
      </w:r>
    </w:p>
    <w:p w14:paraId="1F4E210A" w14:textId="77777777" w:rsidR="009718F7" w:rsidRPr="00B53505" w:rsidRDefault="009718F7">
      <w:pPr>
        <w:pStyle w:val="Text1"/>
        <w:pBdr>
          <w:top w:val="single" w:sz="4" w:space="1" w:color="auto"/>
          <w:left w:val="single" w:sz="4" w:space="4" w:color="auto"/>
          <w:bottom w:val="single" w:sz="4" w:space="1" w:color="auto"/>
          <w:right w:val="single" w:sz="4" w:space="4" w:color="auto"/>
        </w:pBdr>
        <w:rPr>
          <w:u w:val="single"/>
        </w:rPr>
      </w:pPr>
      <w:r w:rsidRPr="00B53505">
        <w:rPr>
          <w:u w:val="single"/>
        </w:rPr>
        <w:t>ABM/ABB activity(ies) concerned</w:t>
      </w:r>
    </w:p>
    <w:p w14:paraId="1356483D" w14:textId="74849E77" w:rsidR="009718F7" w:rsidRPr="00B53505" w:rsidRDefault="00D71438" w:rsidP="002A6466">
      <w:pPr>
        <w:pStyle w:val="Text1"/>
        <w:pBdr>
          <w:top w:val="single" w:sz="4" w:space="1" w:color="auto"/>
          <w:left w:val="single" w:sz="4" w:space="4" w:color="auto"/>
          <w:bottom w:val="single" w:sz="4" w:space="1" w:color="auto"/>
          <w:right w:val="single" w:sz="4" w:space="4" w:color="auto"/>
        </w:pBdr>
      </w:pPr>
      <w:r>
        <w:t>0</w:t>
      </w:r>
      <w:r w:rsidR="00BA171F">
        <w:t>1</w:t>
      </w:r>
      <w:r>
        <w:t xml:space="preserve"> 03 International economic and financial affairs</w:t>
      </w:r>
    </w:p>
    <w:p w14:paraId="701E0A33" w14:textId="77777777" w:rsidR="009718F7" w:rsidRPr="00B53505" w:rsidRDefault="009718F7">
      <w:pPr>
        <w:pStyle w:val="Heading3"/>
        <w:rPr>
          <w:bCs w:val="0"/>
          <w:szCs w:val="24"/>
        </w:rPr>
      </w:pPr>
      <w:r w:rsidRPr="00B53505">
        <w:t>Expected result(s) and impact</w:t>
      </w:r>
    </w:p>
    <w:p w14:paraId="4B7A2FA7" w14:textId="77777777" w:rsidR="009718F7" w:rsidRPr="00B53505" w:rsidRDefault="009718F7">
      <w:pPr>
        <w:pStyle w:val="Text1"/>
        <w:rPr>
          <w:i/>
          <w:sz w:val="20"/>
        </w:rPr>
      </w:pPr>
      <w:r w:rsidRPr="00B53505">
        <w:rPr>
          <w:i/>
          <w:sz w:val="20"/>
        </w:rPr>
        <w:t>Specify the effects which the proposal/initiative should have on the beneficiaries/groups targeted.</w:t>
      </w:r>
    </w:p>
    <w:p w14:paraId="2982ED84" w14:textId="77777777" w:rsidR="009718F7" w:rsidRPr="00B53505" w:rsidRDefault="009718F7">
      <w:pPr>
        <w:pStyle w:val="Text1"/>
        <w:pBdr>
          <w:top w:val="single" w:sz="4" w:space="1" w:color="auto"/>
          <w:left w:val="single" w:sz="4" w:space="4" w:color="auto"/>
          <w:bottom w:val="single" w:sz="4" w:space="1" w:color="auto"/>
          <w:right w:val="single" w:sz="4" w:space="4" w:color="auto"/>
        </w:pBdr>
      </w:pPr>
      <w:r w:rsidRPr="00B53505">
        <w:t>The European Fund for Sustainable Development (EFSD) will include a new Guarantee providing a range of innovative instruments to crowd-in private sector, such as guarantees covering specific risks in infrastructure projects.</w:t>
      </w:r>
    </w:p>
    <w:p w14:paraId="1EDE9E3F" w14:textId="0B522A93" w:rsidR="009718F7" w:rsidRPr="00B53505" w:rsidRDefault="009718F7">
      <w:pPr>
        <w:pStyle w:val="Text1"/>
        <w:pBdr>
          <w:top w:val="single" w:sz="4" w:space="1" w:color="auto"/>
          <w:left w:val="single" w:sz="4" w:space="4" w:color="auto"/>
          <w:bottom w:val="single" w:sz="4" w:space="1" w:color="auto"/>
          <w:right w:val="single" w:sz="4" w:space="4" w:color="auto"/>
        </w:pBdr>
      </w:pPr>
      <w:r w:rsidRPr="00B53505">
        <w:t>A multiplier effect should be generated by means of the provision of the EU guarantee. Like the European Fund for Strategic Investments (EFSI) and several financial instruments supported by the EU blending facilities since 2007, the EFSD Guarantee Fund aims to mobilise additional investments, in particular from private investors. It does so by providing partial guarantees, either on a first-loss or pari passu basis, to intermediary financial institutions (typically IFIs), which in turn provide support (via loans, guarantees, equity or similar products) to downstream beneficiaries. There are thus two layers of leverage between the EU budget guarantee provided and the total investment mobilised. At the first level, the EU guarantee enables the intermediary IFI to provide an amount of additional financing (</w:t>
      </w:r>
      <w:r w:rsidR="00B53505">
        <w:t>"</w:t>
      </w:r>
      <w:r w:rsidRPr="00B53505">
        <w:t>internal leverage</w:t>
      </w:r>
      <w:r w:rsidR="00B53505">
        <w:t>"</w:t>
      </w:r>
      <w:r w:rsidRPr="00B53505">
        <w:t>). At the second level (</w:t>
      </w:r>
      <w:r w:rsidR="00B53505">
        <w:t>"</w:t>
      </w:r>
      <w:r w:rsidRPr="00B53505">
        <w:t>external leverage</w:t>
      </w:r>
      <w:r w:rsidR="00B53505">
        <w:t>"</w:t>
      </w:r>
      <w:r w:rsidRPr="00B53505">
        <w:t>), the IFI financing mobilises additional investment at the project stage.</w:t>
      </w:r>
    </w:p>
    <w:p w14:paraId="5D69A0B1" w14:textId="171B8407" w:rsidR="009718F7" w:rsidRPr="00B53505" w:rsidRDefault="009718F7">
      <w:pPr>
        <w:pStyle w:val="Text1"/>
        <w:pBdr>
          <w:top w:val="single" w:sz="4" w:space="1" w:color="auto"/>
          <w:left w:val="single" w:sz="4" w:space="4" w:color="auto"/>
          <w:bottom w:val="single" w:sz="4" w:space="1" w:color="auto"/>
          <w:right w:val="single" w:sz="4" w:space="4" w:color="auto"/>
        </w:pBdr>
      </w:pPr>
      <w:r w:rsidRPr="00B53505">
        <w:t xml:space="preserve">Thereby the global initiative including the blending activities should help to mobilise total investments of up to EUR </w:t>
      </w:r>
      <w:r w:rsidR="002C4DDA">
        <w:t>44</w:t>
      </w:r>
      <w:r w:rsidRPr="00B53505">
        <w:t xml:space="preserve"> billion until 2020. </w:t>
      </w:r>
    </w:p>
    <w:p w14:paraId="38467CEB" w14:textId="77777777" w:rsidR="009718F7" w:rsidRPr="00B53505" w:rsidRDefault="009718F7">
      <w:pPr>
        <w:pStyle w:val="Heading3"/>
        <w:rPr>
          <w:bCs w:val="0"/>
          <w:szCs w:val="24"/>
        </w:rPr>
      </w:pPr>
      <w:r w:rsidRPr="00B53505">
        <w:t xml:space="preserve">Indicators of results and impact </w:t>
      </w:r>
    </w:p>
    <w:p w14:paraId="03331C51" w14:textId="77777777" w:rsidR="009718F7" w:rsidRPr="00B53505" w:rsidRDefault="009718F7" w:rsidP="002A6466">
      <w:pPr>
        <w:pStyle w:val="Text1"/>
        <w:rPr>
          <w:rFonts w:ascii="ECSquareSansPro" w:eastAsia="ECSquareSansPro" w:cs="ECSquareSansPro"/>
          <w:sz w:val="20"/>
          <w:szCs w:val="20"/>
        </w:rPr>
      </w:pPr>
      <w:r w:rsidRPr="00B53505">
        <w:rPr>
          <w:i/>
          <w:sz w:val="20"/>
        </w:rPr>
        <w:t>Specify the indicators for monitoring implementation of the proposal/initiative.</w:t>
      </w:r>
    </w:p>
    <w:p w14:paraId="5AD1F3D7" w14:textId="77777777" w:rsidR="009718F7" w:rsidRPr="00B53505" w:rsidRDefault="009718F7" w:rsidP="002A6466">
      <w:pPr>
        <w:pStyle w:val="Text1"/>
        <w:pBdr>
          <w:top w:val="single" w:sz="4" w:space="1" w:color="auto"/>
          <w:left w:val="single" w:sz="4" w:space="4" w:color="auto"/>
          <w:bottom w:val="single" w:sz="4" w:space="0" w:color="auto"/>
          <w:right w:val="single" w:sz="4" w:space="4" w:color="auto"/>
        </w:pBdr>
      </w:pPr>
      <w:r w:rsidRPr="00B53505">
        <w:t>A common and minimum set of indicators that reflect project outputs and intended outcomes has been defined for blending operations. These indicators can be used for monitoring implementation of the European Fund for Sustainable Development (EFSD) Guarantee</w:t>
      </w:r>
      <w:r w:rsidRPr="00B53505">
        <w:rPr>
          <w:rFonts w:eastAsia="ECSquareSansPro"/>
          <w:sz w:val="20"/>
          <w:szCs w:val="20"/>
        </w:rPr>
        <w:t>.</w:t>
      </w:r>
    </w:p>
    <w:p w14:paraId="43846396" w14:textId="77777777" w:rsidR="009718F7" w:rsidRPr="00B53505" w:rsidRDefault="009718F7">
      <w:pPr>
        <w:pStyle w:val="Heading2"/>
        <w:rPr>
          <w:bCs w:val="0"/>
          <w:szCs w:val="24"/>
        </w:rPr>
      </w:pPr>
      <w:r w:rsidRPr="00B53505">
        <w:t xml:space="preserve">Grounds for the proposal/initiative </w:t>
      </w:r>
    </w:p>
    <w:p w14:paraId="48ED5239" w14:textId="77777777" w:rsidR="009718F7" w:rsidRPr="00B53505" w:rsidRDefault="009718F7">
      <w:pPr>
        <w:pStyle w:val="Heading3"/>
      </w:pPr>
      <w:r w:rsidRPr="00B53505">
        <w:t xml:space="preserve">Requirement(s) to be met in the short or long term </w:t>
      </w:r>
    </w:p>
    <w:p w14:paraId="537841A7" w14:textId="77777777"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The European Fund for Sustainable Development (EFSD) provides the means for implementing the policy objectives of the External Investment Plan (pillar 1) as outlined in the Commission Communication of 7 June 2016 on establishing a new Partnership with third countries under the European Agenda on Migration. The EFSD will have the key objective of providing an integrated financial package to finance investments in regions outside the EU. This involves mobilising both public and private investments in Africa as well as the Neighbourhood.</w:t>
      </w:r>
    </w:p>
    <w:p w14:paraId="477B818E" w14:textId="77777777" w:rsidR="009718F7" w:rsidRPr="00B53505" w:rsidRDefault="009718F7">
      <w:pPr>
        <w:pStyle w:val="Heading3"/>
        <w:rPr>
          <w:bCs w:val="0"/>
          <w:szCs w:val="24"/>
        </w:rPr>
      </w:pPr>
      <w:r w:rsidRPr="00B53505">
        <w:t>Added value of EU involvement</w:t>
      </w:r>
    </w:p>
    <w:p w14:paraId="6825EEEA" w14:textId="77777777" w:rsidR="009718F7" w:rsidRPr="00B53505" w:rsidRDefault="009718F7">
      <w:pPr>
        <w:pStyle w:val="Text1"/>
        <w:pBdr>
          <w:top w:val="single" w:sz="4" w:space="1" w:color="auto"/>
          <w:left w:val="single" w:sz="4" w:space="4" w:color="auto"/>
          <w:bottom w:val="single" w:sz="4" w:space="1" w:color="auto"/>
          <w:right w:val="single" w:sz="4" w:space="4" w:color="auto"/>
        </w:pBdr>
      </w:pPr>
      <w:r w:rsidRPr="00B53505">
        <w:t xml:space="preserve">The European Fund for Sustainable Development (EFSD) aims at promoting innovative and additional types of support, notably through the new Guarantee and credit enhancement. The new Guarantee coverage will encompass innovative instruments notably aimed at addressing bottlenecks to private investment, that are not yet addressed by the market itself, such as first-loss guarantees to portfolios of guarantees to private sector projects, risk capital, SME loan guarantees or guarantees covering specific risks in infrastructure projects. </w:t>
      </w:r>
    </w:p>
    <w:p w14:paraId="124B680B" w14:textId="72DAD3C6" w:rsidR="009718F7" w:rsidRPr="00B53505" w:rsidRDefault="009718F7">
      <w:pPr>
        <w:pStyle w:val="Text1"/>
        <w:pBdr>
          <w:top w:val="single" w:sz="4" w:space="1" w:color="auto"/>
          <w:left w:val="single" w:sz="4" w:space="4" w:color="auto"/>
          <w:bottom w:val="single" w:sz="4" w:space="1" w:color="auto"/>
          <w:right w:val="single" w:sz="4" w:space="4" w:color="auto"/>
        </w:pBdr>
      </w:pPr>
      <w:r w:rsidRPr="00B53505">
        <w:t>The operations financed or guaranteed through the instruments of the European Fund for Sustainable Development (EFSD) represent a highly visible and effective tool in support of the Union</w:t>
      </w:r>
      <w:r w:rsidR="00B53505">
        <w:t>'</w:t>
      </w:r>
      <w:r w:rsidRPr="00B53505">
        <w:t>s external action. The EFSD provides the necessary EU political and financial backing for the Eligible Counterpart financing in countries and to investment projects which otherwise would not be able to comply due to high risk.</w:t>
      </w:r>
    </w:p>
    <w:p w14:paraId="71E32A16" w14:textId="4C05C288" w:rsidR="009718F7" w:rsidRPr="00B53505" w:rsidRDefault="009718F7" w:rsidP="002A6466">
      <w:pPr>
        <w:pStyle w:val="ListParagraph"/>
        <w:spacing w:after="120"/>
        <w:jc w:val="both"/>
        <w:rPr>
          <w:rFonts w:ascii="Times New Roman" w:hAnsi="Times New Roman"/>
          <w:noProof w:val="0"/>
          <w:sz w:val="24"/>
          <w:szCs w:val="24"/>
        </w:rPr>
      </w:pPr>
    </w:p>
    <w:p w14:paraId="32D281C2" w14:textId="77777777" w:rsidR="009718F7" w:rsidRPr="00B53505" w:rsidRDefault="009718F7">
      <w:pPr>
        <w:pStyle w:val="Heading3"/>
        <w:rPr>
          <w:bCs w:val="0"/>
          <w:szCs w:val="24"/>
        </w:rPr>
      </w:pPr>
      <w:r w:rsidRPr="00B53505">
        <w:t>Lessons learned from similar experiences in the past</w:t>
      </w:r>
    </w:p>
    <w:p w14:paraId="50C8BB61" w14:textId="77777777" w:rsidR="009718F7" w:rsidRPr="00B53505" w:rsidRDefault="009718F7">
      <w:pPr>
        <w:pStyle w:val="Text1"/>
        <w:pBdr>
          <w:top w:val="single" w:sz="4" w:space="1" w:color="auto"/>
          <w:left w:val="single" w:sz="4" w:space="4" w:color="auto"/>
          <w:bottom w:val="single" w:sz="4" w:space="1" w:color="auto"/>
          <w:right w:val="single" w:sz="4" w:space="4" w:color="auto"/>
        </w:pBdr>
      </w:pPr>
      <w:r w:rsidRPr="00B53505">
        <w:t xml:space="preserve">The Commission has gained valuable experience with innovative financing instruments. </w:t>
      </w:r>
    </w:p>
    <w:p w14:paraId="3FC95227" w14:textId="22A69050"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 xml:space="preserve">Since first introduced at the beginning of the Multiannual Financial Framework 2007-2013, blending gradually evolved into an important tool of EU external cooperation, complementing other methods of implementation. EU regional blending facilities have been set up in all regions of EU external cooperation. By the end of 2015, the support approved under the facilities from the EU budget and EDF resources has reached a sum of around EUR 2.7 billion, generating around EUR 50 billion total investments. </w:t>
      </w:r>
    </w:p>
    <w:p w14:paraId="29617ACF" w14:textId="15A4C21C"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 xml:space="preserve">The predecessor to the Neighbourhood Investment Platform (NIP), the Neighbourhood Investment Facility (NIF), has a successful track record to show: allocations to the NIF from the EU Budget have reached since 2007 a total of EUR 1.432 billion. Additionally, Member States have contributed to the NIF Trust Fund with more than EUR 80 million. This has enabled the implementation of 112 projects with NIF support. The NIF contribution has succeeded in mobilising approximately EUR 13.83 billion of financing from European and International Finance Institutions since 2008 and a total investment amount of about EUR 28.10 billion, i.e. a leverage of about 20 times in investment for every euro provided by the Facility. </w:t>
      </w:r>
    </w:p>
    <w:p w14:paraId="1BB12C78" w14:textId="4F76BDF5"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In Africa, the EU-Africa Infrastructure Trust Fund (AITF) was set up in 2007 and has provided since then support to projects for a total of more than EUR 500 million mainly in energy, transport and water sector. In 2015, the Africa Investment facility (AfIF) was created via Commission Decision C</w:t>
      </w:r>
      <w:r w:rsidR="00404D5F" w:rsidRPr="00B53505">
        <w:t xml:space="preserve"> </w:t>
      </w:r>
      <w:r w:rsidRPr="00B53505">
        <w:t>(2015)5210</w:t>
      </w:r>
      <w:r w:rsidRPr="00B53505">
        <w:rPr>
          <w:rStyle w:val="FootnoteReference"/>
        </w:rPr>
        <w:footnoteReference w:id="40"/>
      </w:r>
      <w:r w:rsidRPr="00B53505">
        <w:t>.</w:t>
      </w:r>
    </w:p>
    <w:p w14:paraId="7703C631" w14:textId="39320857"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 xml:space="preserve">Over the period 2007-2013, two facilities were subject to a mid-term evaluation (MTE), the EU-AITF in 2012 and the Neighbourhood Investment Facility (NIF) in 2013. Both concluded that these are valuable and effective instruments in supporting their respective objectives: European </w:t>
      </w:r>
      <w:r w:rsidR="006128CD" w:rsidRPr="00B53505">
        <w:t>Neighbourhood</w:t>
      </w:r>
      <w:r w:rsidRPr="00B53505">
        <w:t xml:space="preserve"> Partnership (ENP) objectives and the development of infrastructure in Africa. In particular, project identification, relevance and design were considered positive, and both instruments achieved their goal of leveraging significant financial resources. The MTE also pointed to the significant contribution brought to the development of partnerships and increased coordination and cooperation among finance institutions as well as with the Commission. A number of recommendations were made, notably in terms of improvements to the decision making structure and in particular on the role of EU Delegations and partner countries, further exploring the involvement of private sector, as well as the use of specific financial instruments such as risk mitigation instruments, and finally the implementation of a result measurement framework.</w:t>
      </w:r>
    </w:p>
    <w:p w14:paraId="66D73465" w14:textId="740DBAFF"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These findings have been used, with other reports, by the EU Platform for blending in external cooperation (EUBEC), set up in December 2012, to make concrete recommendations for further increasing the effectiveness of aid delivered by the EU through blending. The European Court of Auditors published a special report on blending in October 2014. The conclusions were very much in line with the above: blending the regional investment facility grants with loans from financial institutions to support EU external policies was found generally effective and projects were relevant. The recommendations covered the following aspects: to ensure documented assessment of the additionality resulting from the EU grant, to ensure the maturity of projects submitted to the executive boards, to produce guidelines on EU Blending operations, to ensure more proactive role of the EU Delegations, to simplify the decision making process, to improve Commission</w:t>
      </w:r>
      <w:r w:rsidR="00B53505">
        <w:t>'</w:t>
      </w:r>
      <w:r w:rsidRPr="00B53505">
        <w:t xml:space="preserve">s monitoring of the projects and to ensure appropriate visibility for EU funding. </w:t>
      </w:r>
    </w:p>
    <w:p w14:paraId="6901E46D" w14:textId="77777777"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 xml:space="preserve">Almost all of these recommendations have already been dealt with by the EUBEC with the development of a harmonised and improved project application form and its guidelines as well as the development of a results measurement framework including standard indicators. </w:t>
      </w:r>
    </w:p>
    <w:p w14:paraId="08A50C5B" w14:textId="2C20FC41"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Additionally, following the requirement of Article 140 of Regulation (EU, Euratom) No 966/2012 of the European Parliament and of the Council on the financial rules applicable to the general budget of the Union and repealing Council Regulation (EC, Euratom) No 1605/2002, applicable by virtue of Article 17 and Articles 40 of Council Regulation (EU) 2015/323, an ex-ante evaluation of the AfIF was carried out in 2014 on how the planned facility complies with the requirements of the Financial Regulation (FR) for the financial instruments. The recommendations of this evaluation have been taken into account in the management of the AfIF and will be</w:t>
      </w:r>
      <w:r w:rsidR="002C4DDA">
        <w:t xml:space="preserve"> </w:t>
      </w:r>
      <w:r w:rsidRPr="00B53505">
        <w:t xml:space="preserve">relevant for the EU Africa Investment Platform. </w:t>
      </w:r>
    </w:p>
    <w:p w14:paraId="3ED7C1F8" w14:textId="19623D5E"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 xml:space="preserve">The results of the ex-ante evaluation demonstrated that the nature, magnitude and focus of the challenges faced by Africa (e.g. urbanisation, degrading access to essential service, food insecurity, poverty, impacts of climate change), the current EU and partner countries cooperation objectives (i.e. sustainable and inclusive development and growth, continental integration, poverty eradication, climate change) and the need to mobilise additional financial resources require a new flexible framework of financing. Taking those results into account and with the additional objective of addressing root causes of migration, the Africa Investment Platform (AIP) can provide a value added in sectors which represent key challenges in Africa. Through a wide range of forms of assistance to be adjusted to the country risks, specific project and sectors, AIP will contribute to inclusive growth and the achievement of the Sustainable Development Goals, thus tackling some of the root causes of migration. </w:t>
      </w:r>
    </w:p>
    <w:p w14:paraId="763928CC" w14:textId="695E4252"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The current portfolio and pipeline used in the AfIF provides for projects that contribute to the objective of addressing roots causes of migration. Whereas job creation is the main focus of projects supporting the financial sector and Micro, Small and Medium Enterprises (MSMEs) through local banks or dedicated trust funds or</w:t>
      </w:r>
      <w:r w:rsidR="002C4DDA">
        <w:t xml:space="preserve"> </w:t>
      </w:r>
      <w:r w:rsidRPr="00B53505">
        <w:t>projects supporting agriculture, finance, and rural development, including rural roads and electrification, employment opportunities may also be the result of particular infrastructure projects in the (renewable) energy sector or wider transport sector including not only rural roads, but also road and port construction and rehabilitation. Job creation and poverty reduction have been mentioned as an outcome of some energy projects listed in the AITF annual report.</w:t>
      </w:r>
      <w:r w:rsidR="002C4DDA">
        <w:t xml:space="preserve"> </w:t>
      </w:r>
    </w:p>
    <w:p w14:paraId="09DF14EC" w14:textId="7FE84CA8"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 xml:space="preserve">A screening of the AITF portfolio and the AfIF pipeline indicate that these blending mechanisms contribute to the objective of addressing root causes </w:t>
      </w:r>
      <w:r w:rsidR="0033019F" w:rsidRPr="00B53505">
        <w:t>of</w:t>
      </w:r>
      <w:r w:rsidRPr="00B53505">
        <w:t xml:space="preserve"> migration, leveraging finance from the partner finance institutions involved. A screening of the 150 projects in the current AfIF pipeline reveals that possibly up to 30% of the projects could be relevant to contribute to tackling root causes of migration. Some projects target job creation and support of MSMEs as the main objectives, while the majority of the projects targets socio-economic development and resilience and in some instances also job creation and poverty reduction as a secondary effect. Out of the 23 specific countries listed as eligible under the EFSD, 18 countries are covered by the current AfIF pipeline for the Sahel/Lake Chad and for the Horn of Africa regions.</w:t>
      </w:r>
    </w:p>
    <w:p w14:paraId="4E324A1F" w14:textId="1DBF5376"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The 2015 Review of the European Neighbourhood Policy reiterated that economic and social development should be at the heart of the EU</w:t>
      </w:r>
      <w:r w:rsidR="00B53505">
        <w:t>'</w:t>
      </w:r>
      <w:r w:rsidRPr="00B53505">
        <w:t>s contribution to stabilising the neighbourhood and building partnerships. The EU should step up cooperation with the International Financial Institutions, relevant international organisations on private sector development, and initiatives that promote inclusive growth and employment and improve living conditions. In addition actions to strengthen partnerships with the private sector should be promoted, and the use of innovative approaches such as blending grants and loans as an important way of leveraging additional resources and increasing the impact of EU aid should be boosted. It also stresses the need to focus efforts on the development of skills, on competences and creation of opportunities particularly for young men and women.</w:t>
      </w:r>
    </w:p>
    <w:p w14:paraId="7A525D6D" w14:textId="77777777"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A new evaluation of the blending facilities is currently undergoing and the final report should be available before the end of 2016.</w:t>
      </w:r>
    </w:p>
    <w:p w14:paraId="44D71A74" w14:textId="77777777" w:rsidR="009718F7" w:rsidRPr="00B53505" w:rsidRDefault="009718F7">
      <w:pPr>
        <w:pStyle w:val="Heading3"/>
        <w:rPr>
          <w:bCs w:val="0"/>
          <w:szCs w:val="24"/>
        </w:rPr>
      </w:pPr>
      <w:r w:rsidRPr="00B53505">
        <w:t>Compatibility and possible synergy with other appropriate instruments</w:t>
      </w:r>
    </w:p>
    <w:p w14:paraId="0B1EB7B9" w14:textId="67BDE054"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 xml:space="preserve">As outlined in the Communication of 7 June 2016 on establishing a new Partnership with third countries under the European Agenda on Migration, the Commission is proposing an ambitious External Investment Plan that would </w:t>
      </w:r>
      <w:r w:rsidR="00CB162C" w:rsidRPr="00B53505">
        <w:t xml:space="preserve">address </w:t>
      </w:r>
      <w:r w:rsidRPr="00B53505">
        <w:t xml:space="preserve">root causes of migration. </w:t>
      </w:r>
    </w:p>
    <w:p w14:paraId="347AF70B" w14:textId="7A53D658"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 xml:space="preserve">It is proposed to establish a new strategic framework with a new governance structure, including a one-stop-shop approach that deploys a range of innovative financing instruments to crowd-in private sector to </w:t>
      </w:r>
      <w:r w:rsidR="00CB162C" w:rsidRPr="00B53505">
        <w:t>adress</w:t>
      </w:r>
      <w:r w:rsidRPr="00B53505">
        <w:t xml:space="preserve"> root causes of migration by boosting investments </w:t>
      </w:r>
      <w:r w:rsidR="00CB162C" w:rsidRPr="00B53505">
        <w:t xml:space="preserve">starting in the regions of </w:t>
      </w:r>
      <w:r w:rsidRPr="00B53505">
        <w:t xml:space="preserve">in Africa and the EU Neighbourhood. It will build on the existing architecture of EU financing instruments and resources. </w:t>
      </w:r>
    </w:p>
    <w:p w14:paraId="6C643BBB" w14:textId="7A9D3C0D"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 xml:space="preserve">The EFSD will have the key objective of providing an integrated financial package to finance investments in regions outside the EU, thereby creating growth and employment opportunities, maximising additionality, delivering innovative products and crowding-in private sector funds. With funds from the EDF and the EU budget of </w:t>
      </w:r>
      <w:r w:rsidR="002C4DDA">
        <w:t>EUR </w:t>
      </w:r>
      <w:r w:rsidRPr="00B53505">
        <w:t>3.</w:t>
      </w:r>
      <w:r w:rsidR="002C4DDA">
        <w:t>35</w:t>
      </w:r>
      <w:r w:rsidRPr="00B53505">
        <w:t xml:space="preserve"> billion until 2020 (of which </w:t>
      </w:r>
      <w:r w:rsidR="002C4DDA">
        <w:t>EUR </w:t>
      </w:r>
      <w:r w:rsidRPr="00B53505">
        <w:t>0.</w:t>
      </w:r>
      <w:r w:rsidR="0072732B">
        <w:t>7</w:t>
      </w:r>
      <w:r w:rsidRPr="00B53505">
        <w:t>5 billion are initially intended for the EFSD Guarantee Fund), the EFSD</w:t>
      </w:r>
      <w:r w:rsidR="002C4DDA">
        <w:t xml:space="preserve"> is expected to mobilise up to EUR 44</w:t>
      </w:r>
      <w:r w:rsidRPr="00B53505">
        <w:t xml:space="preserve"> billion in investments. </w:t>
      </w:r>
    </w:p>
    <w:p w14:paraId="5C5473DC" w14:textId="14CFD5F0" w:rsidR="009718F7" w:rsidRPr="00B53505" w:rsidRDefault="009718F7" w:rsidP="002A6466">
      <w:pPr>
        <w:pStyle w:val="Text1"/>
        <w:pBdr>
          <w:top w:val="single" w:sz="4" w:space="1" w:color="auto"/>
          <w:left w:val="single" w:sz="4" w:space="4" w:color="auto"/>
          <w:bottom w:val="single" w:sz="4" w:space="1" w:color="auto"/>
          <w:right w:val="single" w:sz="4" w:space="4" w:color="auto"/>
        </w:pBdr>
        <w:rPr>
          <w:bCs/>
          <w:szCs w:val="24"/>
        </w:rPr>
      </w:pPr>
      <w:r w:rsidRPr="00B53505">
        <w:t>Out of the EUR 3.</w:t>
      </w:r>
      <w:r w:rsidR="002C4DDA">
        <w:t>35</w:t>
      </w:r>
      <w:r w:rsidRPr="00B53505">
        <w:t xml:space="preserve"> billion, EUR 2.6 billion will be provided by refocusing existing blending instruments. The present proposal for a Regulation implies the mobilisation for the EFSD Guarantee Fund of EUR </w:t>
      </w:r>
      <w:r w:rsidR="002C4DDA">
        <w:t>35</w:t>
      </w:r>
      <w:r w:rsidRPr="00B53505">
        <w:t>0 million from the EU budget and EUR 400 million from the EDF. The core of the new investment plan is the EFSD, which will provide an overall framework based on three pillars</w:t>
      </w:r>
      <w:r w:rsidRPr="00B53505">
        <w:rPr>
          <w:szCs w:val="24"/>
        </w:rPr>
        <w:t xml:space="preserve">: a new </w:t>
      </w:r>
      <w:r w:rsidRPr="00B53505">
        <w:rPr>
          <w:b/>
          <w:szCs w:val="24"/>
        </w:rPr>
        <w:t xml:space="preserve">investment fund </w:t>
      </w:r>
      <w:r w:rsidRPr="00B53505">
        <w:rPr>
          <w:szCs w:val="24"/>
        </w:rPr>
        <w:t xml:space="preserve">(pillar 1); </w:t>
      </w:r>
      <w:r w:rsidRPr="00B53505">
        <w:rPr>
          <w:b/>
          <w:szCs w:val="24"/>
        </w:rPr>
        <w:t>technical assistance</w:t>
      </w:r>
      <w:r w:rsidRPr="00B53505">
        <w:rPr>
          <w:szCs w:val="24"/>
        </w:rPr>
        <w:t xml:space="preserve"> (pillar 2), to </w:t>
      </w:r>
      <w:r w:rsidRPr="00B53505">
        <w:rPr>
          <w:bCs/>
          <w:szCs w:val="24"/>
        </w:rPr>
        <w:t xml:space="preserve">help local authorities and companies develop a higher number of sustainable projects and attract investors; and a range of dedicated thematic, national and regional EU development cooperation programmes combined with structured political dialogue targeted at </w:t>
      </w:r>
      <w:r w:rsidRPr="00B53505">
        <w:rPr>
          <w:b/>
          <w:bCs/>
          <w:szCs w:val="24"/>
        </w:rPr>
        <w:t>improving the investment climate and overall policy environment</w:t>
      </w:r>
      <w:r w:rsidRPr="00B53505">
        <w:rPr>
          <w:bCs/>
          <w:szCs w:val="24"/>
        </w:rPr>
        <w:t xml:space="preserve"> in the countries concerned (pillar 3).</w:t>
      </w:r>
      <w:r w:rsidR="002C4DDA">
        <w:rPr>
          <w:bCs/>
          <w:szCs w:val="24"/>
        </w:rPr>
        <w:t xml:space="preserve"> </w:t>
      </w:r>
    </w:p>
    <w:p w14:paraId="2EEDB3BD" w14:textId="77777777"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These three pillars shall be complementary and provide a wide coordinated approach.</w:t>
      </w:r>
    </w:p>
    <w:p w14:paraId="701513F4" w14:textId="1FCEB318"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 xml:space="preserve">The EFSD will include the refocused existing blending facilities and a new Guarantee providing a range of innovative instruments to crowd-in private sector, such as guarantees covering specific risks in infrastructure projects. The Regional Investment Platforms will combine existing blending instruments, will operate as </w:t>
      </w:r>
      <w:r w:rsidR="00B53505">
        <w:t>"</w:t>
      </w:r>
      <w:r w:rsidRPr="00B53505">
        <w:t>one-stop shop</w:t>
      </w:r>
      <w:r w:rsidR="00B53505">
        <w:t>"</w:t>
      </w:r>
      <w:r w:rsidRPr="00B53505">
        <w:t xml:space="preserve"> to receive financing proposals from IFIs, public or private investors, and will deliver a wide range of financial support to eligible investments. </w:t>
      </w:r>
    </w:p>
    <w:p w14:paraId="73AB5D9D" w14:textId="02650D2B"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By enabling joint European operations (combining bilateral and EU grant funding with eligible finance institutions loan operations), the AIP will generate greater coherence and better coordination between the donors, in line with the Paris Declaration principles and in compliance with the EU Financial Regulation. Member States</w:t>
      </w:r>
      <w:r w:rsidR="00B53505">
        <w:t>'</w:t>
      </w:r>
      <w:r w:rsidRPr="00B53505">
        <w:t xml:space="preserve"> resources will reinforce the EU effort by strengthening the European dimension of external cooperation and enhancing EU visibility.</w:t>
      </w:r>
    </w:p>
    <w:p w14:paraId="1033587C" w14:textId="77777777" w:rsidR="009718F7" w:rsidRPr="00B53505" w:rsidRDefault="009718F7">
      <w:pPr>
        <w:pStyle w:val="Heading2"/>
        <w:rPr>
          <w:bCs w:val="0"/>
          <w:szCs w:val="24"/>
        </w:rPr>
      </w:pPr>
      <w:r w:rsidRPr="00B53505">
        <w:t xml:space="preserve">Duration and financial impact </w:t>
      </w:r>
    </w:p>
    <w:p w14:paraId="1CD637AF" w14:textId="77777777" w:rsidR="009718F7" w:rsidRPr="00B53505" w:rsidRDefault="009718F7">
      <w:pPr>
        <w:pStyle w:val="Text1"/>
      </w:pPr>
      <w:r w:rsidRPr="00B53505">
        <w:sym w:font="Webdings" w:char="F072"/>
      </w:r>
      <w:r w:rsidRPr="00B53505">
        <w:rPr>
          <w:b/>
          <w:i/>
        </w:rPr>
        <w:t xml:space="preserve"> </w:t>
      </w:r>
      <w:r w:rsidRPr="00B53505">
        <w:t xml:space="preserve">Proposal/initiative of </w:t>
      </w:r>
      <w:r w:rsidRPr="00B53505">
        <w:rPr>
          <w:b/>
        </w:rPr>
        <w:t xml:space="preserve">limited duration </w:t>
      </w:r>
    </w:p>
    <w:p w14:paraId="6122F59C" w14:textId="77777777" w:rsidR="009718F7" w:rsidRPr="00B53505" w:rsidRDefault="009718F7">
      <w:pPr>
        <w:pStyle w:val="ListDash2"/>
      </w:pPr>
      <w:r w:rsidRPr="00B53505">
        <w:sym w:font="Webdings" w:char="F072"/>
      </w:r>
      <w:r w:rsidRPr="00B53505">
        <w:tab/>
        <w:t xml:space="preserve">Proposal/initiative initially in effect from 2017 to 2020 </w:t>
      </w:r>
    </w:p>
    <w:p w14:paraId="153554FD" w14:textId="4BB6C1EB" w:rsidR="009718F7" w:rsidRPr="00B53505" w:rsidRDefault="00A904FA" w:rsidP="00A904FA">
      <w:pPr>
        <w:pStyle w:val="ListDash2"/>
      </w:pPr>
      <w:r w:rsidRPr="00B53505">
        <w:sym w:font="Webdings" w:char="F072"/>
      </w:r>
      <w:r w:rsidR="009718F7" w:rsidRPr="00B53505">
        <w:t>Financial impact from 2017 to 2020 with reference to the signature of Agreements with the eligible counterparts.</w:t>
      </w:r>
      <w:r w:rsidR="002C4DDA">
        <w:t xml:space="preserve"> </w:t>
      </w:r>
      <w:r w:rsidR="007B2552" w:rsidRPr="00B53505">
        <w:rPr>
          <w:b/>
        </w:rPr>
        <w:tab/>
      </w:r>
      <w:r w:rsidR="007B2552" w:rsidRPr="00B53505">
        <w:rPr>
          <w:b/>
        </w:rPr>
        <w:br/>
      </w:r>
      <w:r w:rsidR="009718F7" w:rsidRPr="00B53505">
        <w:t xml:space="preserve">The maximum duration of the EFSD Guarantee agreements under which a contract between an Eligible Counterpart and the beneficiary or financial intermediary can be signed shall be four years. </w:t>
      </w:r>
    </w:p>
    <w:p w14:paraId="3A0A364B" w14:textId="77777777" w:rsidR="009718F7" w:rsidRPr="00B53505" w:rsidRDefault="009718F7">
      <w:pPr>
        <w:pStyle w:val="Text1"/>
      </w:pPr>
      <w:r w:rsidRPr="00B53505">
        <w:sym w:font="Wingdings" w:char="F0A8"/>
      </w:r>
      <w:r w:rsidRPr="00B53505">
        <w:rPr>
          <w:b/>
          <w:i/>
        </w:rPr>
        <w:t xml:space="preserve"> </w:t>
      </w:r>
      <w:r w:rsidRPr="00B53505">
        <w:t xml:space="preserve">Proposal/initiative of </w:t>
      </w:r>
      <w:r w:rsidRPr="00B53505">
        <w:rPr>
          <w:b/>
        </w:rPr>
        <w:t>unlimited duration</w:t>
      </w:r>
    </w:p>
    <w:p w14:paraId="34D1A08E" w14:textId="77777777" w:rsidR="009718F7" w:rsidRPr="00B53505" w:rsidRDefault="009718F7">
      <w:pPr>
        <w:pStyle w:val="ListDash1"/>
      </w:pPr>
      <w:r w:rsidRPr="00B53505">
        <w:t xml:space="preserve">Indicative implementation start-up period: </w:t>
      </w:r>
    </w:p>
    <w:p w14:paraId="69094219" w14:textId="77777777" w:rsidR="009718F7" w:rsidRPr="00B53505" w:rsidRDefault="009718F7">
      <w:pPr>
        <w:pStyle w:val="ListDash1"/>
      </w:pPr>
      <w:r w:rsidRPr="00B53505">
        <w:t>followed by full-scale operation.</w:t>
      </w:r>
    </w:p>
    <w:p w14:paraId="2339A31C" w14:textId="77777777" w:rsidR="009718F7" w:rsidRPr="00B53505" w:rsidRDefault="009718F7">
      <w:pPr>
        <w:pStyle w:val="Heading2"/>
        <w:rPr>
          <w:bCs w:val="0"/>
          <w:szCs w:val="24"/>
        </w:rPr>
      </w:pPr>
      <w:r w:rsidRPr="00B53505">
        <w:t>Management mode(s) planned</w:t>
      </w:r>
      <w:r w:rsidRPr="00B53505">
        <w:rPr>
          <w:rStyle w:val="FootnoteReference"/>
          <w:bCs w:val="0"/>
        </w:rPr>
        <w:footnoteReference w:id="41"/>
      </w:r>
      <w:r w:rsidRPr="00B53505">
        <w:rPr>
          <w:rStyle w:val="FootnoteReference"/>
        </w:rPr>
        <w:t xml:space="preserve"> </w:t>
      </w:r>
    </w:p>
    <w:p w14:paraId="75331D78" w14:textId="77777777" w:rsidR="009718F7" w:rsidRPr="00B53505" w:rsidRDefault="009718F7">
      <w:pPr>
        <w:pStyle w:val="Text1"/>
      </w:pPr>
      <w:r w:rsidRPr="00B53505">
        <w:t>X</w:t>
      </w:r>
      <w:r w:rsidRPr="00B53505">
        <w:rPr>
          <w:i/>
        </w:rPr>
        <w:t xml:space="preserve"> </w:t>
      </w:r>
      <w:r w:rsidRPr="00B53505">
        <w:rPr>
          <w:b/>
        </w:rPr>
        <w:t>Direct management</w:t>
      </w:r>
      <w:r w:rsidRPr="00B53505">
        <w:t xml:space="preserve"> by the Commission (for the management of the EFSD Guarantee Fund)</w:t>
      </w:r>
    </w:p>
    <w:p w14:paraId="44FE7C8E" w14:textId="77777777" w:rsidR="009718F7" w:rsidRPr="00B53505" w:rsidRDefault="009718F7">
      <w:pPr>
        <w:pStyle w:val="ListDash2"/>
        <w:rPr>
          <w:rFonts w:cs="EUAlbertina"/>
        </w:rPr>
      </w:pPr>
      <w:r w:rsidRPr="00B53505">
        <w:t xml:space="preserve">X by its departments, including by its staff in the Union delegations; </w:t>
      </w:r>
    </w:p>
    <w:p w14:paraId="71FD2614" w14:textId="77777777" w:rsidR="009718F7" w:rsidRPr="00B53505" w:rsidRDefault="009718F7">
      <w:pPr>
        <w:pStyle w:val="ListDash2"/>
      </w:pPr>
      <w:r w:rsidRPr="00B53505">
        <w:sym w:font="Wingdings" w:char="F0A8"/>
      </w:r>
      <w:r w:rsidRPr="00B53505">
        <w:tab/>
        <w:t xml:space="preserve">by the executive agencies </w:t>
      </w:r>
    </w:p>
    <w:p w14:paraId="17AACCF2" w14:textId="77777777" w:rsidR="009718F7" w:rsidRPr="00B53505" w:rsidRDefault="009718F7">
      <w:pPr>
        <w:pStyle w:val="Text1"/>
      </w:pPr>
      <w:r w:rsidRPr="00B53505">
        <w:sym w:font="Wingdings" w:char="F0A8"/>
      </w:r>
      <w:r w:rsidRPr="00B53505">
        <w:rPr>
          <w:b/>
          <w:i/>
        </w:rPr>
        <w:t xml:space="preserve"> </w:t>
      </w:r>
      <w:r w:rsidRPr="00B53505">
        <w:rPr>
          <w:b/>
        </w:rPr>
        <w:t>Shared management</w:t>
      </w:r>
      <w:r w:rsidRPr="00B53505">
        <w:t xml:space="preserve"> with the Member States </w:t>
      </w:r>
    </w:p>
    <w:p w14:paraId="0E85272D" w14:textId="77777777" w:rsidR="009718F7" w:rsidRPr="00B53505" w:rsidRDefault="009718F7">
      <w:pPr>
        <w:pStyle w:val="Text1"/>
      </w:pPr>
      <w:r w:rsidRPr="00B53505">
        <w:sym w:font="Webdings" w:char="F072"/>
      </w:r>
      <w:r w:rsidRPr="00B53505">
        <w:rPr>
          <w:i/>
        </w:rPr>
        <w:t xml:space="preserve"> </w:t>
      </w:r>
      <w:r w:rsidRPr="00B53505">
        <w:rPr>
          <w:b/>
        </w:rPr>
        <w:t>Indirect management</w:t>
      </w:r>
      <w:r w:rsidRPr="00B53505">
        <w:t xml:space="preserve"> by entrusting budget implementation tasks to (for the Facilities backed by the EFSD guarantee): </w:t>
      </w:r>
    </w:p>
    <w:p w14:paraId="1FDACD87" w14:textId="5FE03877" w:rsidR="009718F7" w:rsidRPr="00B53505" w:rsidRDefault="009718F7">
      <w:pPr>
        <w:pStyle w:val="ListDash2"/>
      </w:pPr>
      <w:r w:rsidRPr="00B53505">
        <w:t>X international organisations and their agencies;</w:t>
      </w:r>
    </w:p>
    <w:p w14:paraId="280B7216" w14:textId="77777777" w:rsidR="009718F7" w:rsidRPr="00B53505" w:rsidRDefault="009718F7">
      <w:pPr>
        <w:pStyle w:val="ListDash2"/>
      </w:pPr>
      <w:r w:rsidRPr="00B53505">
        <w:t>X the EIB and the European Investment Fund;</w:t>
      </w:r>
    </w:p>
    <w:p w14:paraId="443957E2" w14:textId="77777777" w:rsidR="009718F7" w:rsidRPr="00B53505" w:rsidRDefault="009718F7">
      <w:pPr>
        <w:pStyle w:val="ListDash2"/>
      </w:pPr>
      <w:r w:rsidRPr="00B53505">
        <w:t>X public law bodies;</w:t>
      </w:r>
    </w:p>
    <w:p w14:paraId="764A6070" w14:textId="1ECEE9F8" w:rsidR="006128CD" w:rsidRDefault="009718F7" w:rsidP="006128CD">
      <w:pPr>
        <w:pStyle w:val="ListDash2"/>
      </w:pPr>
      <w:r w:rsidRPr="00B53505">
        <w:t xml:space="preserve">X </w:t>
      </w:r>
      <w:r w:rsidR="006128CD" w:rsidRPr="00B53505">
        <w:t>bodies governed by the private law of a Member State that provide adequate financial guarantees, by derogation from Article 58(1)(c)(vii) of Regulation (EU) No 966/2012</w:t>
      </w:r>
      <w:r w:rsidR="00881ED5">
        <w:t>;</w:t>
      </w:r>
    </w:p>
    <w:p w14:paraId="694BCD70" w14:textId="5B885CC7" w:rsidR="00881ED5" w:rsidRPr="00B53505" w:rsidRDefault="00881ED5" w:rsidP="006128CD">
      <w:pPr>
        <w:pStyle w:val="ListDash2"/>
      </w:pPr>
      <w:r w:rsidRPr="00B53505">
        <w:t xml:space="preserve">X bodies governed by the private law of a </w:t>
      </w:r>
      <w:r>
        <w:t xml:space="preserve">partner country </w:t>
      </w:r>
      <w:r w:rsidRPr="00B53505">
        <w:t>that provide adequate financial guarantees, by derogation from Article 58(1)(c)(vii)</w:t>
      </w:r>
      <w:r>
        <w:t xml:space="preserve"> of Regulation (EU) No 966/2012;</w:t>
      </w:r>
    </w:p>
    <w:p w14:paraId="66ED55C9" w14:textId="7D52FA62" w:rsidR="009718F7" w:rsidRPr="00B53505" w:rsidRDefault="006128CD">
      <w:pPr>
        <w:pStyle w:val="ListDash2"/>
      </w:pPr>
      <w:r w:rsidRPr="00B53505">
        <w:t>X b</w:t>
      </w:r>
      <w:r w:rsidR="009718F7" w:rsidRPr="00B53505">
        <w:t>odies governed by private law with a public service mission to the extent that they provide adequate financial guarantees;</w:t>
      </w:r>
    </w:p>
    <w:p w14:paraId="51A950F1" w14:textId="77777777" w:rsidR="009718F7" w:rsidRPr="00B53505" w:rsidRDefault="009718F7">
      <w:pPr>
        <w:pStyle w:val="ListDash2"/>
      </w:pPr>
      <w:r w:rsidRPr="00B53505">
        <w:sym w:font="Wingdings" w:char="F0A8"/>
      </w:r>
      <w:r w:rsidRPr="00B53505">
        <w:t xml:space="preserve"> persons entrusted with the implementation of specific actions in the CFSP pursuant to Title V of the TEU, and identified in the relevant basic act.</w:t>
      </w:r>
    </w:p>
    <w:p w14:paraId="67930A03" w14:textId="2CC8B06A" w:rsidR="009718F7" w:rsidRPr="00B53505" w:rsidRDefault="009718F7">
      <w:pPr>
        <w:pStyle w:val="ListDash2"/>
        <w:rPr>
          <w:i/>
          <w:sz w:val="18"/>
          <w:u w:val="single"/>
        </w:rPr>
      </w:pPr>
      <w:r w:rsidRPr="00B53505">
        <w:rPr>
          <w:i/>
          <w:sz w:val="18"/>
        </w:rPr>
        <w:t xml:space="preserve">If more than one management mode is indicated, please provide details in the </w:t>
      </w:r>
      <w:r w:rsidR="00B53505">
        <w:rPr>
          <w:i/>
          <w:sz w:val="18"/>
        </w:rPr>
        <w:t>'</w:t>
      </w:r>
      <w:r w:rsidRPr="00B53505">
        <w:rPr>
          <w:i/>
          <w:sz w:val="18"/>
        </w:rPr>
        <w:t>Comments</w:t>
      </w:r>
      <w:r w:rsidR="00B53505">
        <w:rPr>
          <w:i/>
          <w:sz w:val="18"/>
        </w:rPr>
        <w:t>'</w:t>
      </w:r>
      <w:r w:rsidRPr="00B53505">
        <w:rPr>
          <w:i/>
          <w:sz w:val="18"/>
        </w:rPr>
        <w:t xml:space="preserve"> section.</w:t>
      </w:r>
    </w:p>
    <w:p w14:paraId="0EF3F47A" w14:textId="77777777" w:rsidR="009718F7" w:rsidRPr="00B53505" w:rsidRDefault="009718F7">
      <w:r w:rsidRPr="00B53505">
        <w:t xml:space="preserve">Comments </w:t>
      </w:r>
    </w:p>
    <w:p w14:paraId="3FF6A890" w14:textId="77777777" w:rsidR="009718F7" w:rsidRPr="00B53505" w:rsidRDefault="009718F7" w:rsidP="002A6466">
      <w:pPr>
        <w:pBdr>
          <w:top w:val="single" w:sz="4" w:space="1" w:color="auto"/>
          <w:left w:val="single" w:sz="4" w:space="4" w:color="auto"/>
          <w:bottom w:val="single" w:sz="4" w:space="1" w:color="auto"/>
          <w:right w:val="single" w:sz="4" w:space="4" w:color="auto"/>
        </w:pBdr>
      </w:pPr>
      <w:r w:rsidRPr="00B53505">
        <w:t>The provision to and management of the EFSD Guarantee Fund will be implemented directly by the Commission, whereas the instruments covered by the Guarantee will be implemented in indirect management.</w:t>
      </w:r>
    </w:p>
    <w:p w14:paraId="3DD40541" w14:textId="77777777" w:rsidR="009718F7" w:rsidRPr="00B53505" w:rsidRDefault="009718F7">
      <w:pPr>
        <w:pStyle w:val="Heading1"/>
        <w:rPr>
          <w:bCs w:val="0"/>
          <w:szCs w:val="24"/>
        </w:rPr>
      </w:pPr>
      <w:r w:rsidRPr="00B53505">
        <w:t xml:space="preserve">MANAGEMENT MEASURES </w:t>
      </w:r>
    </w:p>
    <w:p w14:paraId="09DA6276" w14:textId="77777777" w:rsidR="009718F7" w:rsidRPr="00B53505" w:rsidRDefault="009718F7">
      <w:pPr>
        <w:pStyle w:val="Heading2"/>
      </w:pPr>
      <w:r w:rsidRPr="00B53505">
        <w:t xml:space="preserve">Monitoring and reporting rules </w:t>
      </w:r>
    </w:p>
    <w:p w14:paraId="1A000629" w14:textId="77777777" w:rsidR="009718F7" w:rsidRPr="00B53505" w:rsidRDefault="009718F7">
      <w:pPr>
        <w:pStyle w:val="Text1"/>
        <w:rPr>
          <w:i/>
          <w:sz w:val="20"/>
          <w:u w:val="single"/>
        </w:rPr>
      </w:pPr>
      <w:r w:rsidRPr="00B53505">
        <w:rPr>
          <w:i/>
          <w:sz w:val="20"/>
        </w:rPr>
        <w:t>Specify frequency and conditions.</w:t>
      </w:r>
    </w:p>
    <w:p w14:paraId="0DF91CB4" w14:textId="77777777"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The Commission shall submit an annual report to the European Parliament and to the Council on the financing and investment operation covered by the EFSD Guarantee. This report shall be made public. It shall include the following elements:</w:t>
      </w:r>
    </w:p>
    <w:p w14:paraId="28CED5A5" w14:textId="107AEC1A"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(a)</w:t>
      </w:r>
      <w:r w:rsidR="007B2552" w:rsidRPr="00B53505">
        <w:t xml:space="preserve"> </w:t>
      </w:r>
      <w:r w:rsidRPr="00B53505">
        <w:tab/>
        <w:t>an assessment of the financing and investment operations in operation and covered by the EFSD Guarantee, sector, country and regional levels and their compliance with this Regulation, in particular with the criterion of addressing root causes of migration and supporting socio-economic development in view of the sustainable development goals together with an assessment of the allocation of the financing towards the general objectives set out in Article 3;</w:t>
      </w:r>
    </w:p>
    <w:p w14:paraId="21E6F3E2" w14:textId="77777777" w:rsidR="009718F7" w:rsidRPr="00B53505" w:rsidRDefault="009718F7" w:rsidP="007B2552">
      <w:pPr>
        <w:pStyle w:val="Text1"/>
        <w:pBdr>
          <w:top w:val="single" w:sz="4" w:space="1" w:color="auto"/>
          <w:left w:val="single" w:sz="4" w:space="4" w:color="auto"/>
          <w:bottom w:val="single" w:sz="4" w:space="1" w:color="auto"/>
          <w:right w:val="single" w:sz="4" w:space="4" w:color="auto"/>
        </w:pBdr>
        <w:ind w:left="851"/>
      </w:pPr>
      <w:r w:rsidRPr="00B53505">
        <w:t>(b)</w:t>
      </w:r>
      <w:r w:rsidRPr="00B53505">
        <w:tab/>
        <w:t>an assessment of the added value, the mobilisation of private sector resources, the estimated and actual outputs and the outcomes and impact of the financing and investment operations covered by the EFSD Guarantee on an aggregated basis, including the impact on employment creation;</w:t>
      </w:r>
    </w:p>
    <w:p w14:paraId="3426EFE2" w14:textId="77777777" w:rsidR="009718F7" w:rsidRPr="00B53505" w:rsidRDefault="009718F7" w:rsidP="007B2552">
      <w:pPr>
        <w:pStyle w:val="Text1"/>
        <w:pBdr>
          <w:top w:val="single" w:sz="4" w:space="1" w:color="auto"/>
          <w:left w:val="single" w:sz="4" w:space="4" w:color="auto"/>
          <w:bottom w:val="single" w:sz="4" w:space="1" w:color="auto"/>
          <w:right w:val="single" w:sz="4" w:space="4" w:color="auto"/>
        </w:pBdr>
        <w:ind w:left="851"/>
      </w:pPr>
      <w:r w:rsidRPr="00B53505">
        <w:t>(c)</w:t>
      </w:r>
      <w:r w:rsidR="007B2552" w:rsidRPr="00B53505">
        <w:t xml:space="preserve"> </w:t>
      </w:r>
      <w:r w:rsidRPr="00B53505">
        <w:tab/>
        <w:t>an assessment of the extent to which operations covered by this Regulation contribute to the achievement of the general objectives set out in Article 3;</w:t>
      </w:r>
    </w:p>
    <w:p w14:paraId="54CD6F37" w14:textId="67133A08" w:rsidR="009718F7" w:rsidRPr="00B53505" w:rsidRDefault="009718F7" w:rsidP="007B2552">
      <w:pPr>
        <w:pStyle w:val="Text1"/>
        <w:pBdr>
          <w:top w:val="single" w:sz="4" w:space="1" w:color="auto"/>
          <w:left w:val="single" w:sz="4" w:space="4" w:color="auto"/>
          <w:bottom w:val="single" w:sz="4" w:space="1" w:color="auto"/>
          <w:right w:val="single" w:sz="4" w:space="4" w:color="auto"/>
        </w:pBdr>
        <w:ind w:left="851"/>
      </w:pPr>
      <w:r w:rsidRPr="00B53505">
        <w:t>(d)</w:t>
      </w:r>
      <w:r w:rsidR="00CB162C" w:rsidRPr="00B53505">
        <w:tab/>
      </w:r>
      <w:r w:rsidRPr="00B53505">
        <w:tab/>
        <w:t>an assessment of the compliance with the requirements concerning the use of the EFSD Guarantee and key performance indicators established for each proposal submitted;</w:t>
      </w:r>
    </w:p>
    <w:p w14:paraId="68308112" w14:textId="77777777" w:rsidR="009718F7" w:rsidRPr="00B53505" w:rsidRDefault="009718F7" w:rsidP="007B2552">
      <w:pPr>
        <w:pStyle w:val="Text1"/>
        <w:pBdr>
          <w:top w:val="single" w:sz="4" w:space="1" w:color="auto"/>
          <w:left w:val="single" w:sz="4" w:space="4" w:color="auto"/>
          <w:bottom w:val="single" w:sz="4" w:space="1" w:color="auto"/>
          <w:right w:val="single" w:sz="4" w:space="4" w:color="auto"/>
        </w:pBdr>
        <w:ind w:left="851"/>
      </w:pPr>
      <w:r w:rsidRPr="00B53505">
        <w:t>(e)</w:t>
      </w:r>
      <w:r w:rsidRPr="00B53505">
        <w:tab/>
      </w:r>
      <w:r w:rsidR="007B2552" w:rsidRPr="00B53505">
        <w:tab/>
      </w:r>
      <w:r w:rsidRPr="00B53505">
        <w:t>an assessment of the leverage effect achieved by the operations covered by the EFSD Guarantee;</w:t>
      </w:r>
    </w:p>
    <w:p w14:paraId="27D4858E" w14:textId="77777777" w:rsidR="009718F7" w:rsidRPr="00B53505" w:rsidRDefault="009718F7" w:rsidP="007B2552">
      <w:pPr>
        <w:pStyle w:val="Text1"/>
        <w:pBdr>
          <w:top w:val="single" w:sz="4" w:space="1" w:color="auto"/>
          <w:left w:val="single" w:sz="4" w:space="4" w:color="auto"/>
          <w:bottom w:val="single" w:sz="4" w:space="1" w:color="auto"/>
          <w:right w:val="single" w:sz="4" w:space="4" w:color="auto"/>
        </w:pBdr>
        <w:ind w:left="851"/>
      </w:pPr>
      <w:r w:rsidRPr="00B53505">
        <w:t>(f)</w:t>
      </w:r>
      <w:r w:rsidR="007B2552" w:rsidRPr="00B53505">
        <w:tab/>
      </w:r>
      <w:r w:rsidRPr="00B53505">
        <w:tab/>
        <w:t>the financial amount transferred to beneficiaries and an assessment financing and investment operations by each counterpart on an aggregated basis;</w:t>
      </w:r>
    </w:p>
    <w:p w14:paraId="1F144F49" w14:textId="5116539B" w:rsidR="009718F7" w:rsidRPr="00B53505" w:rsidRDefault="009718F7" w:rsidP="007B2552">
      <w:pPr>
        <w:pStyle w:val="Text1"/>
        <w:pBdr>
          <w:top w:val="single" w:sz="4" w:space="1" w:color="auto"/>
          <w:left w:val="single" w:sz="4" w:space="4" w:color="auto"/>
          <w:bottom w:val="single" w:sz="4" w:space="1" w:color="auto"/>
          <w:right w:val="single" w:sz="4" w:space="4" w:color="auto"/>
        </w:pBdr>
        <w:ind w:left="851"/>
      </w:pPr>
      <w:r w:rsidRPr="00B53505">
        <w:t>(g)</w:t>
      </w:r>
      <w:r w:rsidRPr="00B53505">
        <w:tab/>
      </w:r>
      <w:r w:rsidR="00CB162C" w:rsidRPr="00B53505">
        <w:tab/>
      </w:r>
      <w:r w:rsidRPr="00B53505">
        <w:t>an assessment of the added value of financing and investment operations of the Eligible Counterparts, and of the aggregate risk associated with those operations;</w:t>
      </w:r>
    </w:p>
    <w:p w14:paraId="69326DEC" w14:textId="6092494F" w:rsidR="009718F7" w:rsidRPr="00B53505" w:rsidRDefault="009718F7" w:rsidP="007B2552">
      <w:pPr>
        <w:pStyle w:val="Text1"/>
        <w:pBdr>
          <w:top w:val="single" w:sz="4" w:space="1" w:color="auto"/>
          <w:left w:val="single" w:sz="4" w:space="4" w:color="auto"/>
          <w:bottom w:val="single" w:sz="4" w:space="1" w:color="auto"/>
          <w:right w:val="single" w:sz="4" w:space="4" w:color="auto"/>
        </w:pBdr>
        <w:ind w:left="851"/>
      </w:pPr>
      <w:r w:rsidRPr="00B53505">
        <w:t>(h)</w:t>
      </w:r>
      <w:r w:rsidRPr="00B53505">
        <w:tab/>
      </w:r>
      <w:r w:rsidR="00CB162C" w:rsidRPr="00B53505">
        <w:tab/>
      </w:r>
      <w:r w:rsidRPr="00B53505">
        <w:t>detailed information on calls on the EFSD Guarantee, losses, returns, amounts recovered and any other payments received;</w:t>
      </w:r>
    </w:p>
    <w:p w14:paraId="4EAFDEBC" w14:textId="7F24FB97" w:rsidR="009718F7" w:rsidRPr="00B53505" w:rsidRDefault="009718F7" w:rsidP="007B2552">
      <w:pPr>
        <w:pStyle w:val="Text1"/>
        <w:pBdr>
          <w:top w:val="single" w:sz="4" w:space="1" w:color="auto"/>
          <w:left w:val="single" w:sz="4" w:space="4" w:color="auto"/>
          <w:bottom w:val="single" w:sz="4" w:space="1" w:color="auto"/>
          <w:right w:val="single" w:sz="4" w:space="4" w:color="auto"/>
        </w:pBdr>
        <w:ind w:left="851"/>
      </w:pPr>
      <w:r w:rsidRPr="00B53505">
        <w:t>(i)</w:t>
      </w:r>
      <w:r w:rsidRPr="00B53505">
        <w:tab/>
      </w:r>
      <w:r w:rsidR="007B2552" w:rsidRPr="00B53505">
        <w:tab/>
      </w:r>
      <w:r w:rsidRPr="00B53505">
        <w:t>the financial reports on financing and investment operations of the Eligible</w:t>
      </w:r>
      <w:r w:rsidR="002C4DDA">
        <w:t xml:space="preserve"> </w:t>
      </w:r>
      <w:r w:rsidRPr="00B53505">
        <w:t>Counterparts covered by this Regulation audited by an independent external auditor.</w:t>
      </w:r>
    </w:p>
    <w:p w14:paraId="4C00B0A2" w14:textId="000CDF80"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2. For the purposes of the Commission</w:t>
      </w:r>
      <w:r w:rsidR="00B53505">
        <w:t>'</w:t>
      </w:r>
      <w:r w:rsidRPr="00B53505">
        <w:t>s accounting, its reporting of the risks covered by the EFSD Guarantee and its management of the EFSD Guarantee Fund, the Eligible Counterparts with whom a guarantee agreement has been signed shall provide the Commission and Court of Auditors annually with the financial reports on financing and investment operations covered by this Regulation audited by an independent external auditor, containing, among other, information on:</w:t>
      </w:r>
    </w:p>
    <w:p w14:paraId="518504A0" w14:textId="2932CAB2"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(a)</w:t>
      </w:r>
      <w:r w:rsidRPr="00B53505">
        <w:tab/>
      </w:r>
      <w:r w:rsidR="007B2552" w:rsidRPr="00B53505">
        <w:tab/>
      </w:r>
      <w:r w:rsidRPr="00B53505">
        <w:t>the risk assessment of financing and investment operations of the Eligible Counterparts</w:t>
      </w:r>
      <w:r w:rsidR="002C4DDA">
        <w:t xml:space="preserve"> </w:t>
      </w:r>
      <w:r w:rsidRPr="00B53505">
        <w:t>covered by this Regulation including information on the EU liabilities measured in compliance with the accounting rules of the Union set by the accounting officer of the Commission based on the internationally accepted accounting standards for the public sector;</w:t>
      </w:r>
    </w:p>
    <w:p w14:paraId="770F5CCB" w14:textId="67A6390B"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(b)</w:t>
      </w:r>
      <w:r w:rsidRPr="00B53505">
        <w:tab/>
      </w:r>
      <w:r w:rsidR="00CB162C" w:rsidRPr="00B53505">
        <w:tab/>
      </w:r>
      <w:r w:rsidRPr="00B53505">
        <w:t>the outstanding financial obligation for the Union arising from the EFSD Guarantee provided towards the Eligible Counterparts and their financing and investment operations covered by this Regulation, broken down by individual operations.</w:t>
      </w:r>
    </w:p>
    <w:p w14:paraId="2367BC74" w14:textId="1F07842F"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The Counterparts shall upon request provide to the Commission any additional information necessary to fulfil the Commission</w:t>
      </w:r>
      <w:r w:rsidR="00B53505">
        <w:t>'</w:t>
      </w:r>
      <w:r w:rsidRPr="00B53505">
        <w:t>s obligations in relation to this Regulation.</w:t>
      </w:r>
    </w:p>
    <w:p w14:paraId="5DB56669" w14:textId="103C112F"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 xml:space="preserve">3. By 31 March of each year, the Commission shall submit to the European Parliament, to the Council and to the Court of Auditors, in the context of the financial statements of the Commission, the required information on the situation of the EFSD Guarantee Fund. In addition, it shall, by 31 May of each year, submit to the European Parliament, to the Council and to the Court of Auditors an annual report on the management of the EFSD Guarantee Fund in the previous calendar year, including an assessment of the adequacy of the </w:t>
      </w:r>
      <w:r w:rsidR="000E099C" w:rsidRPr="00B53505">
        <w:t>provisioning</w:t>
      </w:r>
      <w:r w:rsidRPr="00B53505">
        <w:t xml:space="preserve"> and the level of the guarantee fund and of the need for its replenishment. The annual report shall contain the presentation of the financial position of the EFSD Guarantee Fund at the end of the previous calendar year, the financial flows during the previous calendar year as well as the significant transactions and any relevant information on the financial accounts. The report shall also include information about the financial management, the performance, and the risk of the guarantee fund at the end of the previous calendar year.</w:t>
      </w:r>
    </w:p>
    <w:p w14:paraId="1326B3CC" w14:textId="77777777"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 xml:space="preserve">4. By 31 December 2019, the Commission shall evaluate the functioning of the EFSD. The Commission shall submit its evaluation report to the European Parliament and the Council. </w:t>
      </w:r>
    </w:p>
    <w:p w14:paraId="4ECC50EE" w14:textId="77777777"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5. By 30 June 2020 and every three years thereafter, the Commission shall evaluate the use of the EFSD Guarantee Fund. The Commission shall submit its evaluation report to the European Parliament and the Council. That evaluation report shall be accompanied by an opinion of the Court of Auditors.</w:t>
      </w:r>
    </w:p>
    <w:p w14:paraId="0F49A0AB" w14:textId="77777777"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6. By 30 June 2020, the Commission shall submit to the European Parliament and the Council a report containing an independent evaluation of the application of this Regulation. This report shall be submitted without delay by the Commission in the event that the approved financing and investment operations absorb in full the amount of the EFSD Guarantee available before 30 June 2020.</w:t>
      </w:r>
    </w:p>
    <w:p w14:paraId="16A56A4F" w14:textId="77777777" w:rsidR="009718F7" w:rsidRPr="00B53505" w:rsidRDefault="009718F7" w:rsidP="007B2552"/>
    <w:p w14:paraId="62EC164A" w14:textId="77777777" w:rsidR="009718F7" w:rsidRPr="00B53505" w:rsidRDefault="009718F7">
      <w:pPr>
        <w:pStyle w:val="Heading2"/>
        <w:rPr>
          <w:bCs w:val="0"/>
          <w:szCs w:val="24"/>
        </w:rPr>
      </w:pPr>
      <w:r w:rsidRPr="00B53505">
        <w:t xml:space="preserve">Management and control systems </w:t>
      </w:r>
    </w:p>
    <w:p w14:paraId="161FFA90" w14:textId="77777777" w:rsidR="009718F7" w:rsidRPr="00B53505" w:rsidRDefault="009718F7">
      <w:pPr>
        <w:pStyle w:val="Heading3"/>
      </w:pPr>
      <w:r w:rsidRPr="00B53505">
        <w:t xml:space="preserve">Risk(s) identified </w:t>
      </w:r>
    </w:p>
    <w:p w14:paraId="63DC2C72" w14:textId="56C04FFA" w:rsidR="009718F7" w:rsidRPr="00B53505" w:rsidRDefault="009718F7">
      <w:pPr>
        <w:pStyle w:val="Text1"/>
        <w:pBdr>
          <w:top w:val="single" w:sz="4" w:space="1" w:color="auto"/>
          <w:left w:val="single" w:sz="4" w:space="4" w:color="auto"/>
          <w:bottom w:val="single" w:sz="4" w:space="1" w:color="auto"/>
          <w:right w:val="single" w:sz="4" w:space="4" w:color="auto"/>
        </w:pBdr>
      </w:pPr>
      <w:r w:rsidRPr="00B53505">
        <w:t xml:space="preserve">The risk for the EU budget is linked to the budget guarantee provided by the Union to the Eligible Counterpart for its operations in third countries. The guarantee provides a comprehensive cover (to a cap specified below) for all payments not received by the Eligible Counterpart. </w:t>
      </w:r>
    </w:p>
    <w:p w14:paraId="10A1EBDB" w14:textId="2CD2A95A" w:rsidR="009718F7" w:rsidRPr="00B53505" w:rsidRDefault="009718F7">
      <w:pPr>
        <w:pStyle w:val="Text1"/>
        <w:pBdr>
          <w:top w:val="single" w:sz="4" w:space="1" w:color="auto"/>
          <w:left w:val="single" w:sz="4" w:space="4" w:color="auto"/>
          <w:bottom w:val="single" w:sz="4" w:space="1" w:color="auto"/>
          <w:right w:val="single" w:sz="4" w:space="4" w:color="auto"/>
        </w:pBdr>
      </w:pPr>
      <w:r w:rsidRPr="00B53505">
        <w:t xml:space="preserve">The EU guarantee is restricted to EUR 1 </w:t>
      </w:r>
      <w:r w:rsidR="002C4DDA">
        <w:t>5</w:t>
      </w:r>
      <w:r w:rsidRPr="00B53505">
        <w:t>00 000 000.</w:t>
      </w:r>
    </w:p>
    <w:p w14:paraId="2EE1ED40" w14:textId="28B79CAB" w:rsidR="009718F7" w:rsidRPr="00B53505" w:rsidRDefault="009718F7">
      <w:pPr>
        <w:pStyle w:val="Text1"/>
        <w:pBdr>
          <w:top w:val="single" w:sz="4" w:space="1" w:color="auto"/>
          <w:left w:val="single" w:sz="4" w:space="4" w:color="auto"/>
          <w:bottom w:val="single" w:sz="4" w:space="1" w:color="auto"/>
          <w:right w:val="single" w:sz="4" w:space="4" w:color="auto"/>
        </w:pBdr>
      </w:pPr>
      <w:r w:rsidRPr="00B53505">
        <w:t>The budget entry (</w:t>
      </w:r>
      <w:r w:rsidR="00B53505">
        <w:t>"</w:t>
      </w:r>
      <w:r w:rsidRPr="00B53505">
        <w:t>p.m.</w:t>
      </w:r>
      <w:r w:rsidR="00B53505">
        <w:t>"</w:t>
      </w:r>
      <w:r w:rsidRPr="00B53505">
        <w:t xml:space="preserve">) reflecting the budget guarantee for the Eligible Counterpart loans to third countries would be activated only in the case of an effective call on the guarantee by the Eligible Counterpart which cannot be wholly covered by the Guarantee Fund (funded with at least EUR </w:t>
      </w:r>
      <w:r w:rsidR="002C4DDA">
        <w:t>7</w:t>
      </w:r>
      <w:r w:rsidRPr="00B53505">
        <w:t xml:space="preserve">50 000 000). </w:t>
      </w:r>
      <w:r w:rsidR="00140170" w:rsidRPr="00B53505">
        <w:t>The provisioning rate of 50% is based on the past experience with guarantee schemes managed by the eligible counterparts, including also first loss structures. There was never a call for more than 50% of the funding provided. The higher provisioning rate e.g. compared to some internal instruments is due to the riskier investment climate in partner countries which needs to be taken into account.</w:t>
      </w:r>
    </w:p>
    <w:p w14:paraId="2C578F09" w14:textId="77777777" w:rsidR="009718F7" w:rsidRPr="00B53505" w:rsidRDefault="009718F7">
      <w:pPr>
        <w:pStyle w:val="Heading3"/>
        <w:rPr>
          <w:bCs w:val="0"/>
          <w:szCs w:val="24"/>
        </w:rPr>
      </w:pPr>
      <w:r w:rsidRPr="00B53505">
        <w:t>Information concerning the internal control system set up</w:t>
      </w:r>
    </w:p>
    <w:p w14:paraId="36171D7E" w14:textId="6843F197" w:rsidR="009718F7" w:rsidRPr="00B53505" w:rsidRDefault="009718F7">
      <w:pPr>
        <w:pStyle w:val="Text1"/>
        <w:pBdr>
          <w:top w:val="single" w:sz="4" w:space="1" w:color="auto"/>
          <w:left w:val="single" w:sz="4" w:space="4" w:color="auto"/>
          <w:bottom w:val="single" w:sz="4" w:space="1" w:color="auto"/>
          <w:right w:val="single" w:sz="4" w:space="4" w:color="auto"/>
        </w:pBdr>
      </w:pPr>
      <w:r w:rsidRPr="00B53505">
        <w:t xml:space="preserve">The Commission is responsible for managing the EU Guarantee. The financing operations in the context of the present regulation are carried out according to the Eligible Counterpart standard rules of procedure and sound banking practice. The Eligible Counterpart and the Commission enter into an agreement laying down the detailed provisions and procedures relating to the implementation of the present regulation. See also section above </w:t>
      </w:r>
      <w:r w:rsidR="00B53505">
        <w:t>"</w:t>
      </w:r>
      <w:r w:rsidRPr="00B53505">
        <w:t>Monitoring and reporting rules</w:t>
      </w:r>
      <w:r w:rsidR="00B53505">
        <w:t>"</w:t>
      </w:r>
      <w:r w:rsidRPr="00B53505">
        <w:t>.</w:t>
      </w:r>
    </w:p>
    <w:p w14:paraId="2FD340B8" w14:textId="77777777" w:rsidR="009718F7" w:rsidRPr="00B53505" w:rsidRDefault="009718F7">
      <w:pPr>
        <w:pStyle w:val="Heading3"/>
      </w:pPr>
      <w:r w:rsidRPr="00B53505">
        <w:t xml:space="preserve">Estimate of the costs and benefits of the controls and assessment of the expected level of risk of error </w:t>
      </w:r>
    </w:p>
    <w:p w14:paraId="5666936E" w14:textId="77777777" w:rsidR="009718F7" w:rsidRPr="00B53505" w:rsidRDefault="009718F7">
      <w:pPr>
        <w:pStyle w:val="Text1"/>
        <w:pBdr>
          <w:top w:val="single" w:sz="4" w:space="1" w:color="auto"/>
          <w:left w:val="single" w:sz="4" w:space="4" w:color="auto"/>
          <w:bottom w:val="single" w:sz="4" w:space="1" w:color="auto"/>
          <w:right w:val="single" w:sz="4" w:space="4" w:color="auto"/>
        </w:pBdr>
      </w:pPr>
      <w:r w:rsidRPr="00B53505">
        <w:t>N.A.</w:t>
      </w:r>
    </w:p>
    <w:p w14:paraId="3832D2D4" w14:textId="77777777" w:rsidR="009718F7" w:rsidRPr="00B53505" w:rsidRDefault="009718F7">
      <w:pPr>
        <w:pStyle w:val="Heading2"/>
        <w:rPr>
          <w:bCs w:val="0"/>
          <w:szCs w:val="24"/>
        </w:rPr>
      </w:pPr>
      <w:r w:rsidRPr="00B53505">
        <w:t xml:space="preserve">Measures to prevent fraud and irregularities </w:t>
      </w:r>
    </w:p>
    <w:p w14:paraId="10CEF020" w14:textId="77777777" w:rsidR="009718F7" w:rsidRPr="00B53505" w:rsidRDefault="009718F7">
      <w:pPr>
        <w:pStyle w:val="Text1"/>
        <w:rPr>
          <w:i/>
          <w:sz w:val="20"/>
        </w:rPr>
      </w:pPr>
      <w:r w:rsidRPr="00B53505">
        <w:rPr>
          <w:i/>
          <w:sz w:val="20"/>
        </w:rPr>
        <w:t>Specify existing or envisaged prevention and protection measures.</w:t>
      </w:r>
    </w:p>
    <w:p w14:paraId="6DDEBEAF" w14:textId="77777777"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1. The COM shall notify OLAF promptly and provide it with the necessary information when, at any stage of the preparation, implementation or closure of financing and investment operations covered by this Regulation, it has grounds for suspecting fraud, corruption, money laundering or any other illegal activity that may affect the financial interests of the Union.</w:t>
      </w:r>
    </w:p>
    <w:p w14:paraId="15462F38" w14:textId="77777777" w:rsidR="009718F7" w:rsidRPr="00B53505" w:rsidRDefault="009718F7" w:rsidP="002A6466">
      <w:pPr>
        <w:pStyle w:val="Text1"/>
        <w:pBdr>
          <w:top w:val="single" w:sz="4" w:space="1" w:color="auto"/>
          <w:left w:val="single" w:sz="4" w:space="4" w:color="auto"/>
          <w:bottom w:val="single" w:sz="4" w:space="1" w:color="auto"/>
          <w:right w:val="single" w:sz="4" w:space="4" w:color="auto"/>
        </w:pBdr>
      </w:pPr>
      <w:r w:rsidRPr="00B53505">
        <w:t>2. OLAF may carry out investigations, including on-the-spot checks and inspections, in accordance with the provisions and procedures laid down in Regulation (EU, Euratom) No 883/2013 of the European Parliament and of the Council (15), Council Regulation (Euratom, EC) No 2185/96 (16) and Council Regulation (EC, Euratom) No 2988/95 (17) in order to protect the financial interests of the Union, with a view to establishing whether there has been fraud, corruption, money laundering or any other illegal activity affecting the financial interests of the Union in connection with any financing and investment operations covered by this Regulation. OLAF may transmit any information obtained in the course of its investigations to the competent authorities of the Member States concerned.</w:t>
      </w:r>
    </w:p>
    <w:p w14:paraId="408E43B2" w14:textId="77777777" w:rsidR="009718F7" w:rsidRPr="00B53505" w:rsidRDefault="009718F7" w:rsidP="002A6466">
      <w:pPr>
        <w:pStyle w:val="Text1"/>
        <w:pBdr>
          <w:top w:val="single" w:sz="4" w:space="1" w:color="auto"/>
          <w:left w:val="single" w:sz="4" w:space="4" w:color="auto"/>
          <w:bottom w:val="single" w:sz="4" w:space="1" w:color="auto"/>
          <w:right w:val="single" w:sz="4" w:space="4" w:color="auto"/>
        </w:pBdr>
      </w:pPr>
    </w:p>
    <w:p w14:paraId="2CC7E107" w14:textId="77777777" w:rsidR="009718F7" w:rsidRPr="00B53505" w:rsidRDefault="009718F7">
      <w:pPr>
        <w:pStyle w:val="Text1"/>
        <w:pBdr>
          <w:top w:val="single" w:sz="4" w:space="1" w:color="auto"/>
          <w:left w:val="single" w:sz="4" w:space="4" w:color="auto"/>
          <w:bottom w:val="single" w:sz="4" w:space="1" w:color="auto"/>
          <w:right w:val="single" w:sz="4" w:space="4" w:color="auto"/>
        </w:pBdr>
      </w:pPr>
      <w:r w:rsidRPr="00B53505">
        <w:t xml:space="preserve">Where such illegal activities are proven, the Eligible Counterparts shall undertake recovery efforts with respect to its financing and investment operations covered by this Regulation that are concerned by such activities. </w:t>
      </w:r>
    </w:p>
    <w:p w14:paraId="14762506" w14:textId="77777777" w:rsidR="009718F7" w:rsidRPr="00B53505" w:rsidRDefault="009718F7">
      <w:pPr>
        <w:pStyle w:val="Heading1"/>
        <w:rPr>
          <w:bCs w:val="0"/>
          <w:szCs w:val="24"/>
        </w:rPr>
      </w:pPr>
      <w:r w:rsidRPr="00B53505">
        <w:t xml:space="preserve">ESTIMATED FINANCIAL IMPACT OF THE PROPOSAL/INITIATIVE </w:t>
      </w:r>
    </w:p>
    <w:p w14:paraId="137710A7" w14:textId="77777777" w:rsidR="009718F7" w:rsidRPr="00B53505" w:rsidRDefault="009718F7">
      <w:pPr>
        <w:pStyle w:val="Heading2"/>
      </w:pPr>
      <w:r w:rsidRPr="00B53505">
        <w:t xml:space="preserve">Heading(s) of the multiannual financial framework and expenditure budget line(s) affected </w:t>
      </w:r>
    </w:p>
    <w:p w14:paraId="59C6965B" w14:textId="77777777" w:rsidR="009718F7" w:rsidRPr="00B53505" w:rsidRDefault="009718F7">
      <w:pPr>
        <w:pStyle w:val="ListBullet1"/>
      </w:pPr>
      <w:r w:rsidRPr="00B53505">
        <w:t xml:space="preserve">New budget lines requested </w:t>
      </w:r>
    </w:p>
    <w:p w14:paraId="32830A09" w14:textId="77777777" w:rsidR="009718F7" w:rsidRPr="00B53505" w:rsidRDefault="009718F7">
      <w:pPr>
        <w:pStyle w:val="Text1"/>
        <w:rPr>
          <w:i/>
          <w:sz w:val="20"/>
        </w:rPr>
      </w:pPr>
      <w:r w:rsidRPr="00B53505">
        <w:rPr>
          <w:i/>
          <w:u w:val="single"/>
        </w:rPr>
        <w:t>In order</w:t>
      </w:r>
      <w:r w:rsidRPr="00B53505">
        <w:rPr>
          <w:i/>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718F7" w:rsidRPr="00B53505" w14:paraId="5FE3EF09" w14:textId="77777777">
        <w:tc>
          <w:tcPr>
            <w:tcW w:w="1080" w:type="dxa"/>
            <w:vMerge w:val="restart"/>
            <w:vAlign w:val="center"/>
          </w:tcPr>
          <w:p w14:paraId="6824C11A" w14:textId="77777777" w:rsidR="009718F7" w:rsidRPr="00B53505" w:rsidRDefault="009718F7">
            <w:pPr>
              <w:spacing w:before="60" w:after="60"/>
              <w:jc w:val="center"/>
              <w:rPr>
                <w:sz w:val="18"/>
                <w:szCs w:val="18"/>
              </w:rPr>
            </w:pPr>
            <w:r w:rsidRPr="00B53505">
              <w:rPr>
                <w:sz w:val="18"/>
              </w:rPr>
              <w:t>Heading of multiannual financial framework</w:t>
            </w:r>
          </w:p>
        </w:tc>
        <w:tc>
          <w:tcPr>
            <w:tcW w:w="3960" w:type="dxa"/>
            <w:vAlign w:val="center"/>
          </w:tcPr>
          <w:p w14:paraId="6510E75F" w14:textId="77777777" w:rsidR="009718F7" w:rsidRPr="00B53505" w:rsidRDefault="009718F7">
            <w:pPr>
              <w:spacing w:before="60" w:after="60"/>
              <w:jc w:val="center"/>
            </w:pPr>
            <w:r w:rsidRPr="00B53505">
              <w:rPr>
                <w:sz w:val="20"/>
              </w:rPr>
              <w:t>Budget line</w:t>
            </w:r>
          </w:p>
        </w:tc>
        <w:tc>
          <w:tcPr>
            <w:tcW w:w="1080" w:type="dxa"/>
            <w:vAlign w:val="center"/>
          </w:tcPr>
          <w:p w14:paraId="54891B0D" w14:textId="77777777" w:rsidR="009718F7" w:rsidRPr="00B53505" w:rsidRDefault="009718F7">
            <w:pPr>
              <w:spacing w:before="60" w:after="60"/>
              <w:jc w:val="center"/>
            </w:pPr>
            <w:r w:rsidRPr="00B53505">
              <w:rPr>
                <w:sz w:val="18"/>
              </w:rPr>
              <w:t>Type of</w:t>
            </w:r>
            <w:r w:rsidRPr="00B53505">
              <w:rPr>
                <w:sz w:val="22"/>
              </w:rPr>
              <w:br/>
            </w:r>
            <w:r w:rsidRPr="00B53505">
              <w:rPr>
                <w:sz w:val="18"/>
              </w:rPr>
              <w:t>expenditure</w:t>
            </w:r>
          </w:p>
        </w:tc>
        <w:tc>
          <w:tcPr>
            <w:tcW w:w="4440" w:type="dxa"/>
            <w:gridSpan w:val="4"/>
            <w:vAlign w:val="center"/>
          </w:tcPr>
          <w:p w14:paraId="2ADF9F03" w14:textId="77777777" w:rsidR="009718F7" w:rsidRPr="00B53505" w:rsidRDefault="009718F7">
            <w:pPr>
              <w:spacing w:before="60" w:after="60"/>
              <w:jc w:val="center"/>
            </w:pPr>
            <w:r w:rsidRPr="00B53505">
              <w:rPr>
                <w:sz w:val="20"/>
              </w:rPr>
              <w:t xml:space="preserve">Contribution </w:t>
            </w:r>
          </w:p>
        </w:tc>
      </w:tr>
      <w:tr w:rsidR="009718F7" w:rsidRPr="00B53505" w14:paraId="44FA5F3A" w14:textId="77777777">
        <w:tc>
          <w:tcPr>
            <w:tcW w:w="1080" w:type="dxa"/>
            <w:vMerge/>
            <w:vAlign w:val="center"/>
          </w:tcPr>
          <w:p w14:paraId="465607E8" w14:textId="77777777" w:rsidR="009718F7" w:rsidRPr="00B53505" w:rsidRDefault="009718F7">
            <w:pPr>
              <w:jc w:val="center"/>
            </w:pPr>
          </w:p>
        </w:tc>
        <w:tc>
          <w:tcPr>
            <w:tcW w:w="3960" w:type="dxa"/>
            <w:vAlign w:val="center"/>
          </w:tcPr>
          <w:p w14:paraId="6D7A2EBD" w14:textId="6162F110" w:rsidR="009718F7" w:rsidRPr="00B53505" w:rsidRDefault="009718F7" w:rsidP="002A6466">
            <w:r w:rsidRPr="00B53505">
              <w:rPr>
                <w:sz w:val="20"/>
              </w:rPr>
              <w:t xml:space="preserve">Number </w:t>
            </w:r>
            <w:r w:rsidRPr="00B53505">
              <w:rPr>
                <w:sz w:val="22"/>
              </w:rPr>
              <w:br/>
            </w:r>
            <w:r w:rsidRPr="00B53505">
              <w:rPr>
                <w:sz w:val="20"/>
              </w:rPr>
              <w:t>04</w:t>
            </w:r>
            <w:r w:rsidR="002C4DDA">
              <w:rPr>
                <w:sz w:val="20"/>
              </w:rPr>
              <w:t xml:space="preserve"> </w:t>
            </w:r>
            <w:r w:rsidRPr="00B53505">
              <w:rPr>
                <w:sz w:val="20"/>
              </w:rPr>
              <w:t>Heading EU in the World</w:t>
            </w:r>
          </w:p>
        </w:tc>
        <w:tc>
          <w:tcPr>
            <w:tcW w:w="1080" w:type="dxa"/>
            <w:vAlign w:val="center"/>
          </w:tcPr>
          <w:p w14:paraId="035FF23D" w14:textId="77777777" w:rsidR="009718F7" w:rsidRPr="00B53505" w:rsidRDefault="009718F7">
            <w:pPr>
              <w:jc w:val="center"/>
            </w:pPr>
            <w:r w:rsidRPr="00B53505">
              <w:rPr>
                <w:sz w:val="18"/>
              </w:rPr>
              <w:t>Diff./Non-diff.</w:t>
            </w:r>
          </w:p>
        </w:tc>
        <w:tc>
          <w:tcPr>
            <w:tcW w:w="956" w:type="dxa"/>
            <w:vAlign w:val="center"/>
          </w:tcPr>
          <w:p w14:paraId="12DCBF17" w14:textId="77777777" w:rsidR="009718F7" w:rsidRPr="00B53505" w:rsidRDefault="009718F7">
            <w:pPr>
              <w:jc w:val="center"/>
              <w:rPr>
                <w:sz w:val="18"/>
              </w:rPr>
            </w:pPr>
            <w:r w:rsidRPr="00B53505">
              <w:rPr>
                <w:sz w:val="18"/>
              </w:rPr>
              <w:t>from EFTA countries</w:t>
            </w:r>
          </w:p>
        </w:tc>
        <w:tc>
          <w:tcPr>
            <w:tcW w:w="1080" w:type="dxa"/>
            <w:vAlign w:val="center"/>
          </w:tcPr>
          <w:p w14:paraId="399BA049" w14:textId="77777777" w:rsidR="009718F7" w:rsidRPr="00B53505" w:rsidRDefault="009718F7">
            <w:pPr>
              <w:jc w:val="center"/>
              <w:rPr>
                <w:sz w:val="18"/>
              </w:rPr>
            </w:pPr>
            <w:r w:rsidRPr="00B53505">
              <w:rPr>
                <w:sz w:val="18"/>
              </w:rPr>
              <w:t>from candidate countries</w:t>
            </w:r>
          </w:p>
        </w:tc>
        <w:tc>
          <w:tcPr>
            <w:tcW w:w="956" w:type="dxa"/>
            <w:vAlign w:val="center"/>
          </w:tcPr>
          <w:p w14:paraId="2260DC93" w14:textId="77777777" w:rsidR="009718F7" w:rsidRPr="00B53505" w:rsidRDefault="009718F7">
            <w:pPr>
              <w:jc w:val="center"/>
              <w:rPr>
                <w:sz w:val="18"/>
              </w:rPr>
            </w:pPr>
            <w:r w:rsidRPr="00B53505">
              <w:rPr>
                <w:sz w:val="18"/>
              </w:rPr>
              <w:t>from third countries</w:t>
            </w:r>
          </w:p>
        </w:tc>
        <w:tc>
          <w:tcPr>
            <w:tcW w:w="1448" w:type="dxa"/>
            <w:vAlign w:val="center"/>
          </w:tcPr>
          <w:p w14:paraId="78FAB4E3" w14:textId="77777777" w:rsidR="009718F7" w:rsidRPr="00B53505" w:rsidRDefault="009718F7">
            <w:pPr>
              <w:jc w:val="center"/>
            </w:pPr>
            <w:r w:rsidRPr="00B53505">
              <w:rPr>
                <w:sz w:val="16"/>
              </w:rPr>
              <w:t xml:space="preserve">within the meaning of Article 21(2)(b) of the Financial Regulation </w:t>
            </w:r>
          </w:p>
        </w:tc>
      </w:tr>
      <w:tr w:rsidR="009718F7" w:rsidRPr="00B53505" w14:paraId="0F503A12" w14:textId="77777777">
        <w:tc>
          <w:tcPr>
            <w:tcW w:w="1080" w:type="dxa"/>
            <w:vAlign w:val="center"/>
          </w:tcPr>
          <w:p w14:paraId="54240A29" w14:textId="77777777" w:rsidR="009718F7" w:rsidRPr="00B53505" w:rsidRDefault="009718F7" w:rsidP="002A6466">
            <w:pPr>
              <w:spacing w:before="60"/>
              <w:jc w:val="center"/>
              <w:rPr>
                <w:sz w:val="20"/>
              </w:rPr>
            </w:pPr>
            <w:r w:rsidRPr="00B53505">
              <w:rPr>
                <w:sz w:val="20"/>
              </w:rPr>
              <w:t>4</w:t>
            </w:r>
          </w:p>
        </w:tc>
        <w:tc>
          <w:tcPr>
            <w:tcW w:w="3960" w:type="dxa"/>
            <w:vAlign w:val="center"/>
          </w:tcPr>
          <w:p w14:paraId="05A6BBC9" w14:textId="58BA0787" w:rsidR="009718F7" w:rsidRPr="00B53505" w:rsidRDefault="00D71438" w:rsidP="002A6466">
            <w:pPr>
              <w:spacing w:before="60"/>
              <w:rPr>
                <w:sz w:val="20"/>
              </w:rPr>
            </w:pPr>
            <w:r>
              <w:rPr>
                <w:sz w:val="20"/>
              </w:rPr>
              <w:t>01</w:t>
            </w:r>
            <w:r w:rsidRPr="00B53505">
              <w:rPr>
                <w:sz w:val="20"/>
              </w:rPr>
              <w:t xml:space="preserve"> </w:t>
            </w:r>
            <w:r w:rsidR="009718F7" w:rsidRPr="00B53505">
              <w:rPr>
                <w:sz w:val="20"/>
              </w:rPr>
              <w:t>0</w:t>
            </w:r>
            <w:r>
              <w:rPr>
                <w:sz w:val="20"/>
              </w:rPr>
              <w:t>3</w:t>
            </w:r>
            <w:r w:rsidR="009718F7" w:rsidRPr="00B53505">
              <w:rPr>
                <w:sz w:val="20"/>
              </w:rPr>
              <w:t xml:space="preserve"> 0</w:t>
            </w:r>
            <w:r>
              <w:rPr>
                <w:sz w:val="20"/>
              </w:rPr>
              <w:t>7</w:t>
            </w:r>
            <w:r w:rsidR="00645C12" w:rsidRPr="00B53505">
              <w:rPr>
                <w:sz w:val="20"/>
              </w:rPr>
              <w:t xml:space="preserve"> </w:t>
            </w:r>
            <w:r w:rsidR="009718F7" w:rsidRPr="00B53505">
              <w:rPr>
                <w:sz w:val="20"/>
              </w:rPr>
              <w:t>European Union guarantee for the European Fund for Sustainable Development (EFSD)</w:t>
            </w:r>
          </w:p>
          <w:p w14:paraId="687ECF48" w14:textId="77777777" w:rsidR="009718F7" w:rsidRPr="00B53505" w:rsidRDefault="009718F7" w:rsidP="002A6466">
            <w:pPr>
              <w:spacing w:after="60"/>
              <w:rPr>
                <w:sz w:val="20"/>
              </w:rPr>
            </w:pPr>
          </w:p>
        </w:tc>
        <w:tc>
          <w:tcPr>
            <w:tcW w:w="1080" w:type="dxa"/>
            <w:vAlign w:val="center"/>
          </w:tcPr>
          <w:p w14:paraId="63E2DF03" w14:textId="77777777" w:rsidR="009718F7" w:rsidRPr="00B53505" w:rsidRDefault="009718F7" w:rsidP="002A6466">
            <w:pPr>
              <w:jc w:val="center"/>
              <w:rPr>
                <w:sz w:val="22"/>
              </w:rPr>
            </w:pPr>
            <w:r w:rsidRPr="00B53505">
              <w:rPr>
                <w:sz w:val="22"/>
              </w:rPr>
              <w:t xml:space="preserve">Non-diff. </w:t>
            </w:r>
          </w:p>
        </w:tc>
        <w:tc>
          <w:tcPr>
            <w:tcW w:w="956" w:type="dxa"/>
            <w:vAlign w:val="center"/>
          </w:tcPr>
          <w:p w14:paraId="11925879" w14:textId="2AC8FBF1" w:rsidR="009718F7" w:rsidRPr="00B53505" w:rsidRDefault="00645C12" w:rsidP="00645C12">
            <w:pPr>
              <w:jc w:val="center"/>
            </w:pPr>
            <w:r w:rsidRPr="00B53505">
              <w:rPr>
                <w:sz w:val="22"/>
              </w:rPr>
              <w:t>NO</w:t>
            </w:r>
          </w:p>
        </w:tc>
        <w:tc>
          <w:tcPr>
            <w:tcW w:w="1080" w:type="dxa"/>
            <w:vAlign w:val="center"/>
          </w:tcPr>
          <w:p w14:paraId="3658E064" w14:textId="7B762962" w:rsidR="009718F7" w:rsidRPr="00B53505" w:rsidRDefault="00645C12" w:rsidP="002A6466">
            <w:pPr>
              <w:jc w:val="center"/>
              <w:rPr>
                <w:color w:val="0000FF"/>
                <w:sz w:val="18"/>
              </w:rPr>
            </w:pPr>
            <w:r w:rsidRPr="00B53505">
              <w:rPr>
                <w:sz w:val="22"/>
              </w:rPr>
              <w:t>NO</w:t>
            </w:r>
          </w:p>
        </w:tc>
        <w:tc>
          <w:tcPr>
            <w:tcW w:w="956" w:type="dxa"/>
            <w:vAlign w:val="center"/>
          </w:tcPr>
          <w:p w14:paraId="0AA52C48" w14:textId="538D112A" w:rsidR="009718F7" w:rsidRPr="00B53505" w:rsidRDefault="00645C12" w:rsidP="002A6466">
            <w:pPr>
              <w:jc w:val="center"/>
              <w:rPr>
                <w:color w:val="0000FF"/>
                <w:sz w:val="18"/>
              </w:rPr>
            </w:pPr>
            <w:r w:rsidRPr="00B53505">
              <w:rPr>
                <w:sz w:val="22"/>
              </w:rPr>
              <w:t>NO</w:t>
            </w:r>
          </w:p>
        </w:tc>
        <w:tc>
          <w:tcPr>
            <w:tcW w:w="1448" w:type="dxa"/>
            <w:vAlign w:val="center"/>
          </w:tcPr>
          <w:p w14:paraId="7DA0725C" w14:textId="7F1E96D3" w:rsidR="009718F7" w:rsidRPr="00B53505" w:rsidRDefault="00645C12" w:rsidP="00645C12">
            <w:pPr>
              <w:jc w:val="center"/>
            </w:pPr>
            <w:r w:rsidRPr="00B53505">
              <w:rPr>
                <w:sz w:val="22"/>
              </w:rPr>
              <w:t>NO</w:t>
            </w:r>
          </w:p>
        </w:tc>
      </w:tr>
      <w:tr w:rsidR="009718F7" w:rsidRPr="00B53505" w14:paraId="07EF29FA" w14:textId="77777777">
        <w:tc>
          <w:tcPr>
            <w:tcW w:w="1080" w:type="dxa"/>
            <w:vAlign w:val="center"/>
          </w:tcPr>
          <w:p w14:paraId="13D087C1" w14:textId="77777777" w:rsidR="009718F7" w:rsidRPr="00B53505" w:rsidRDefault="009718F7" w:rsidP="002A6466">
            <w:pPr>
              <w:spacing w:before="60"/>
              <w:jc w:val="center"/>
              <w:rPr>
                <w:sz w:val="20"/>
              </w:rPr>
            </w:pPr>
            <w:r w:rsidRPr="00B53505">
              <w:rPr>
                <w:sz w:val="20"/>
              </w:rPr>
              <w:t>4</w:t>
            </w:r>
          </w:p>
        </w:tc>
        <w:tc>
          <w:tcPr>
            <w:tcW w:w="3960" w:type="dxa"/>
            <w:vAlign w:val="center"/>
          </w:tcPr>
          <w:p w14:paraId="41F4A7F7" w14:textId="73BF983D" w:rsidR="009718F7" w:rsidRPr="00B53505" w:rsidRDefault="00D71438" w:rsidP="00D71438">
            <w:pPr>
              <w:spacing w:before="60"/>
              <w:rPr>
                <w:sz w:val="20"/>
              </w:rPr>
            </w:pPr>
            <w:r>
              <w:rPr>
                <w:sz w:val="20"/>
              </w:rPr>
              <w:t>01</w:t>
            </w:r>
            <w:r w:rsidRPr="00B53505">
              <w:rPr>
                <w:sz w:val="20"/>
              </w:rPr>
              <w:t xml:space="preserve"> </w:t>
            </w:r>
            <w:r w:rsidR="009718F7" w:rsidRPr="00B53505">
              <w:rPr>
                <w:sz w:val="20"/>
              </w:rPr>
              <w:t>0</w:t>
            </w:r>
            <w:r>
              <w:rPr>
                <w:sz w:val="20"/>
              </w:rPr>
              <w:t>3</w:t>
            </w:r>
            <w:r w:rsidR="009718F7" w:rsidRPr="00B53505">
              <w:rPr>
                <w:sz w:val="20"/>
              </w:rPr>
              <w:t xml:space="preserve"> </w:t>
            </w:r>
            <w:r>
              <w:rPr>
                <w:sz w:val="20"/>
              </w:rPr>
              <w:t>08</w:t>
            </w:r>
            <w:r w:rsidRPr="00B53505">
              <w:rPr>
                <w:sz w:val="20"/>
              </w:rPr>
              <w:t xml:space="preserve"> </w:t>
            </w:r>
            <w:r w:rsidR="009718F7" w:rsidRPr="00B53505">
              <w:rPr>
                <w:sz w:val="20"/>
              </w:rPr>
              <w:t>Provisioning of the EFSD Guarantee Fund</w:t>
            </w:r>
          </w:p>
        </w:tc>
        <w:tc>
          <w:tcPr>
            <w:tcW w:w="1080" w:type="dxa"/>
            <w:vAlign w:val="center"/>
          </w:tcPr>
          <w:p w14:paraId="61DC990D" w14:textId="77777777" w:rsidR="009718F7" w:rsidRPr="00B53505" w:rsidRDefault="009718F7">
            <w:pPr>
              <w:jc w:val="center"/>
              <w:rPr>
                <w:sz w:val="22"/>
              </w:rPr>
            </w:pPr>
            <w:r w:rsidRPr="00B53505">
              <w:rPr>
                <w:sz w:val="22"/>
              </w:rPr>
              <w:t>Non-diff.</w:t>
            </w:r>
          </w:p>
        </w:tc>
        <w:tc>
          <w:tcPr>
            <w:tcW w:w="956" w:type="dxa"/>
            <w:vAlign w:val="center"/>
          </w:tcPr>
          <w:p w14:paraId="66E87E42" w14:textId="77777777" w:rsidR="009718F7" w:rsidRPr="00B53505" w:rsidRDefault="009718F7">
            <w:pPr>
              <w:jc w:val="center"/>
              <w:rPr>
                <w:sz w:val="22"/>
              </w:rPr>
            </w:pPr>
            <w:r w:rsidRPr="00B53505">
              <w:rPr>
                <w:sz w:val="22"/>
              </w:rPr>
              <w:t>YES</w:t>
            </w:r>
          </w:p>
        </w:tc>
        <w:tc>
          <w:tcPr>
            <w:tcW w:w="1080" w:type="dxa"/>
            <w:vAlign w:val="center"/>
          </w:tcPr>
          <w:p w14:paraId="00409175" w14:textId="77777777" w:rsidR="009718F7" w:rsidRPr="00B53505" w:rsidRDefault="009718F7">
            <w:pPr>
              <w:jc w:val="center"/>
              <w:rPr>
                <w:sz w:val="22"/>
              </w:rPr>
            </w:pPr>
            <w:r w:rsidRPr="00B53505">
              <w:rPr>
                <w:sz w:val="22"/>
              </w:rPr>
              <w:t>YES</w:t>
            </w:r>
          </w:p>
        </w:tc>
        <w:tc>
          <w:tcPr>
            <w:tcW w:w="956" w:type="dxa"/>
            <w:vAlign w:val="center"/>
          </w:tcPr>
          <w:p w14:paraId="4818E30F" w14:textId="77777777" w:rsidR="009718F7" w:rsidRPr="00B53505" w:rsidRDefault="009718F7">
            <w:pPr>
              <w:jc w:val="center"/>
              <w:rPr>
                <w:sz w:val="22"/>
              </w:rPr>
            </w:pPr>
            <w:r w:rsidRPr="00B53505">
              <w:rPr>
                <w:sz w:val="22"/>
              </w:rPr>
              <w:t>YES</w:t>
            </w:r>
          </w:p>
        </w:tc>
        <w:tc>
          <w:tcPr>
            <w:tcW w:w="1448" w:type="dxa"/>
            <w:vAlign w:val="center"/>
          </w:tcPr>
          <w:p w14:paraId="7DCBA112" w14:textId="77777777" w:rsidR="009718F7" w:rsidRPr="00B53505" w:rsidRDefault="009718F7">
            <w:pPr>
              <w:jc w:val="center"/>
              <w:rPr>
                <w:sz w:val="22"/>
              </w:rPr>
            </w:pPr>
            <w:r w:rsidRPr="00B53505">
              <w:rPr>
                <w:sz w:val="22"/>
              </w:rPr>
              <w:t>YES</w:t>
            </w:r>
          </w:p>
        </w:tc>
      </w:tr>
    </w:tbl>
    <w:p w14:paraId="7D2A07CD" w14:textId="77777777" w:rsidR="009718F7" w:rsidRPr="00B53505" w:rsidRDefault="009718F7">
      <w:pPr>
        <w:sectPr w:rsidR="009718F7" w:rsidRPr="00B53505" w:rsidSect="00772B42">
          <w:pgSz w:w="11907" w:h="16840" w:code="1"/>
          <w:pgMar w:top="1134" w:right="1418" w:bottom="1134" w:left="1418" w:header="709" w:footer="709" w:gutter="0"/>
          <w:cols w:space="708"/>
          <w:docGrid w:linePitch="360"/>
        </w:sectPr>
      </w:pPr>
    </w:p>
    <w:p w14:paraId="507A3537" w14:textId="77777777" w:rsidR="009718F7" w:rsidRPr="00B53505" w:rsidRDefault="009718F7">
      <w:pPr>
        <w:pStyle w:val="Heading2"/>
        <w:rPr>
          <w:bCs w:val="0"/>
          <w:szCs w:val="24"/>
        </w:rPr>
      </w:pPr>
      <w:r w:rsidRPr="00B53505">
        <w:t xml:space="preserve">Estimated impact on expenditure </w:t>
      </w:r>
    </w:p>
    <w:p w14:paraId="05CD538E" w14:textId="77777777" w:rsidR="009718F7" w:rsidRPr="00B53505" w:rsidRDefault="009718F7">
      <w:pPr>
        <w:pStyle w:val="Heading3"/>
        <w:rPr>
          <w:u w:val="single"/>
        </w:rPr>
      </w:pPr>
      <w:r w:rsidRPr="00B53505">
        <w:t xml:space="preserve">Summary of estimated impact on expenditure </w:t>
      </w:r>
    </w:p>
    <w:p w14:paraId="310B12C7" w14:textId="77777777" w:rsidR="009718F7" w:rsidRPr="00B53505" w:rsidRDefault="009718F7">
      <w:pPr>
        <w:jc w:val="right"/>
        <w:rPr>
          <w:sz w:val="20"/>
        </w:rPr>
      </w:pPr>
      <w:r w:rsidRPr="00B53505">
        <w:rPr>
          <w:sz w:val="20"/>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718F7" w:rsidRPr="00B53505" w14:paraId="26F3EE7D" w14:textId="77777777">
        <w:trPr>
          <w:jc w:val="center"/>
        </w:trPr>
        <w:tc>
          <w:tcPr>
            <w:tcW w:w="4744" w:type="dxa"/>
            <w:shd w:val="thinDiagStripe" w:color="C0C0C0" w:fill="auto"/>
            <w:vAlign w:val="center"/>
          </w:tcPr>
          <w:p w14:paraId="10DC2BDF" w14:textId="77777777" w:rsidR="009718F7" w:rsidRPr="00B53505" w:rsidRDefault="009718F7">
            <w:pPr>
              <w:spacing w:before="60" w:after="60"/>
              <w:jc w:val="center"/>
              <w:rPr>
                <w:b/>
              </w:rPr>
            </w:pPr>
            <w:r w:rsidRPr="00B53505">
              <w:rPr>
                <w:b/>
                <w:sz w:val="22"/>
              </w:rPr>
              <w:t xml:space="preserve">Heading of multiannual financial </w:t>
            </w:r>
            <w:r w:rsidRPr="00B53505">
              <w:rPr>
                <w:sz w:val="22"/>
              </w:rPr>
              <w:br/>
            </w:r>
            <w:r w:rsidRPr="00B53505">
              <w:rPr>
                <w:b/>
                <w:sz w:val="22"/>
              </w:rPr>
              <w:t xml:space="preserve">framework </w:t>
            </w:r>
          </w:p>
        </w:tc>
        <w:tc>
          <w:tcPr>
            <w:tcW w:w="1080" w:type="dxa"/>
            <w:vAlign w:val="center"/>
          </w:tcPr>
          <w:p w14:paraId="698BB9BD" w14:textId="77777777" w:rsidR="009718F7" w:rsidRPr="00B53505" w:rsidRDefault="009718F7">
            <w:pPr>
              <w:spacing w:before="60" w:after="60"/>
              <w:jc w:val="center"/>
            </w:pPr>
            <w:r w:rsidRPr="00B53505">
              <w:rPr>
                <w:sz w:val="22"/>
              </w:rPr>
              <w:t>Number</w:t>
            </w:r>
          </w:p>
        </w:tc>
        <w:tc>
          <w:tcPr>
            <w:tcW w:w="7817" w:type="dxa"/>
            <w:vAlign w:val="center"/>
          </w:tcPr>
          <w:p w14:paraId="30617C8D" w14:textId="77777777" w:rsidR="009718F7" w:rsidRPr="00B53505" w:rsidRDefault="009718F7" w:rsidP="002A6466">
            <w:pPr>
              <w:spacing w:before="60" w:after="60"/>
            </w:pPr>
            <w:r w:rsidRPr="00B53505">
              <w:rPr>
                <w:sz w:val="22"/>
              </w:rPr>
              <w:t>Heading 4 EU in the World</w:t>
            </w:r>
          </w:p>
        </w:tc>
      </w:tr>
    </w:tbl>
    <w:p w14:paraId="7710ECE6" w14:textId="77777777" w:rsidR="009718F7" w:rsidRPr="00B53505" w:rsidRDefault="009718F7">
      <w:pPr>
        <w:rPr>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026"/>
        <w:gridCol w:w="793"/>
        <w:gridCol w:w="868"/>
        <w:gridCol w:w="868"/>
        <w:gridCol w:w="868"/>
        <w:gridCol w:w="868"/>
        <w:gridCol w:w="868"/>
        <w:gridCol w:w="1777"/>
      </w:tblGrid>
      <w:tr w:rsidR="009718F7" w:rsidRPr="00B53505" w14:paraId="65BC0E99" w14:textId="77777777" w:rsidTr="002A6466">
        <w:tc>
          <w:tcPr>
            <w:tcW w:w="3960" w:type="dxa"/>
            <w:vAlign w:val="center"/>
          </w:tcPr>
          <w:p w14:paraId="5F5D3C4C" w14:textId="3A0F2A11" w:rsidR="009718F7" w:rsidRPr="00B53505" w:rsidRDefault="009718F7" w:rsidP="00A6010A">
            <w:pPr>
              <w:jc w:val="center"/>
            </w:pPr>
            <w:r w:rsidRPr="00B53505">
              <w:rPr>
                <w:sz w:val="22"/>
              </w:rPr>
              <w:t xml:space="preserve">DG: </w:t>
            </w:r>
            <w:r w:rsidR="00A6010A" w:rsidRPr="00B53505">
              <w:rPr>
                <w:sz w:val="22"/>
              </w:rPr>
              <w:t>XX</w:t>
            </w:r>
          </w:p>
        </w:tc>
        <w:tc>
          <w:tcPr>
            <w:tcW w:w="1560" w:type="dxa"/>
            <w:gridSpan w:val="2"/>
          </w:tcPr>
          <w:p w14:paraId="16DF1C7C" w14:textId="77777777" w:rsidR="009718F7" w:rsidRPr="00B53505" w:rsidRDefault="009718F7">
            <w:pPr>
              <w:rPr>
                <w:sz w:val="20"/>
              </w:rPr>
            </w:pPr>
          </w:p>
        </w:tc>
        <w:tc>
          <w:tcPr>
            <w:tcW w:w="534" w:type="dxa"/>
          </w:tcPr>
          <w:p w14:paraId="0854719B" w14:textId="77777777" w:rsidR="009718F7" w:rsidRPr="00B53505" w:rsidRDefault="009718F7">
            <w:pPr>
              <w:jc w:val="center"/>
              <w:rPr>
                <w:sz w:val="20"/>
              </w:rPr>
            </w:pPr>
          </w:p>
        </w:tc>
        <w:tc>
          <w:tcPr>
            <w:tcW w:w="1026" w:type="dxa"/>
            <w:vAlign w:val="center"/>
          </w:tcPr>
          <w:p w14:paraId="2A96EF66"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2017</w:t>
            </w:r>
            <w:r w:rsidRPr="00B53505">
              <w:rPr>
                <w:rStyle w:val="FootnoteReference"/>
                <w:b/>
                <w:sz w:val="20"/>
              </w:rPr>
              <w:footnoteReference w:id="42"/>
            </w:r>
          </w:p>
        </w:tc>
        <w:tc>
          <w:tcPr>
            <w:tcW w:w="793" w:type="dxa"/>
            <w:vAlign w:val="center"/>
          </w:tcPr>
          <w:p w14:paraId="7B6AD658"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2018</w:t>
            </w:r>
          </w:p>
        </w:tc>
        <w:tc>
          <w:tcPr>
            <w:tcW w:w="868" w:type="dxa"/>
            <w:vAlign w:val="center"/>
          </w:tcPr>
          <w:p w14:paraId="4CADFA4F"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2019</w:t>
            </w:r>
          </w:p>
        </w:tc>
        <w:tc>
          <w:tcPr>
            <w:tcW w:w="868" w:type="dxa"/>
            <w:vAlign w:val="center"/>
          </w:tcPr>
          <w:p w14:paraId="49688AC8"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2020</w:t>
            </w:r>
          </w:p>
        </w:tc>
        <w:tc>
          <w:tcPr>
            <w:tcW w:w="2604" w:type="dxa"/>
            <w:gridSpan w:val="3"/>
            <w:vAlign w:val="center"/>
          </w:tcPr>
          <w:p w14:paraId="4AA0EB94" w14:textId="77777777" w:rsidR="009718F7" w:rsidRPr="00B53505" w:rsidRDefault="009718F7">
            <w:pPr>
              <w:jc w:val="center"/>
              <w:rPr>
                <w:b/>
                <w:sz w:val="18"/>
              </w:rPr>
            </w:pPr>
            <w:r w:rsidRPr="00B53505">
              <w:rPr>
                <w:sz w:val="18"/>
              </w:rPr>
              <w:t>Enter as many years as necessary to show the duration of the impact (see point 1.6)</w:t>
            </w:r>
          </w:p>
        </w:tc>
        <w:tc>
          <w:tcPr>
            <w:tcW w:w="1777" w:type="dxa"/>
            <w:vAlign w:val="center"/>
          </w:tcPr>
          <w:p w14:paraId="1A7A6D33" w14:textId="77777777" w:rsidR="009718F7" w:rsidRPr="00B53505" w:rsidRDefault="009718F7">
            <w:pPr>
              <w:jc w:val="center"/>
              <w:rPr>
                <w:b/>
                <w:sz w:val="20"/>
              </w:rPr>
            </w:pPr>
            <w:r w:rsidRPr="00B53505">
              <w:rPr>
                <w:b/>
                <w:sz w:val="20"/>
              </w:rPr>
              <w:t>TOTAL</w:t>
            </w:r>
          </w:p>
        </w:tc>
      </w:tr>
      <w:tr w:rsidR="009718F7" w:rsidRPr="00B53505" w14:paraId="0BCA6FBD" w14:textId="77777777" w:rsidTr="002A6466">
        <w:trPr>
          <w:trHeight w:val="213"/>
        </w:trPr>
        <w:tc>
          <w:tcPr>
            <w:tcW w:w="6054" w:type="dxa"/>
            <w:gridSpan w:val="4"/>
            <w:vAlign w:val="center"/>
          </w:tcPr>
          <w:p w14:paraId="7A88F1F3" w14:textId="77777777" w:rsidR="009718F7" w:rsidRPr="00B53505" w:rsidRDefault="009718F7">
            <w:pPr>
              <w:spacing w:before="20" w:after="20"/>
              <w:rPr>
                <w:sz w:val="21"/>
              </w:rPr>
            </w:pPr>
            <w:r w:rsidRPr="00B53505">
              <w:rPr>
                <w:sz w:val="21"/>
              </w:rPr>
              <w:sym w:font="Wingdings" w:char="F09F"/>
            </w:r>
            <w:r w:rsidRPr="00B53505">
              <w:rPr>
                <w:sz w:val="21"/>
              </w:rPr>
              <w:t xml:space="preserve"> Operational appropriations </w:t>
            </w:r>
          </w:p>
        </w:tc>
        <w:tc>
          <w:tcPr>
            <w:tcW w:w="1026" w:type="dxa"/>
            <w:vAlign w:val="center"/>
          </w:tcPr>
          <w:p w14:paraId="72B6E678" w14:textId="77777777" w:rsidR="009718F7" w:rsidRPr="00B53505" w:rsidRDefault="009718F7">
            <w:pPr>
              <w:rPr>
                <w:sz w:val="20"/>
              </w:rPr>
            </w:pPr>
          </w:p>
        </w:tc>
        <w:tc>
          <w:tcPr>
            <w:tcW w:w="793" w:type="dxa"/>
            <w:vAlign w:val="center"/>
          </w:tcPr>
          <w:p w14:paraId="6DB478B6" w14:textId="77777777" w:rsidR="009718F7" w:rsidRPr="00B53505" w:rsidRDefault="009718F7">
            <w:pPr>
              <w:rPr>
                <w:sz w:val="20"/>
              </w:rPr>
            </w:pPr>
          </w:p>
        </w:tc>
        <w:tc>
          <w:tcPr>
            <w:tcW w:w="868" w:type="dxa"/>
            <w:vAlign w:val="center"/>
          </w:tcPr>
          <w:p w14:paraId="3F87C658" w14:textId="77777777" w:rsidR="009718F7" w:rsidRPr="00B53505" w:rsidRDefault="009718F7">
            <w:pPr>
              <w:rPr>
                <w:sz w:val="20"/>
              </w:rPr>
            </w:pPr>
          </w:p>
        </w:tc>
        <w:tc>
          <w:tcPr>
            <w:tcW w:w="868" w:type="dxa"/>
            <w:vAlign w:val="center"/>
          </w:tcPr>
          <w:p w14:paraId="56D0EAEB" w14:textId="77777777" w:rsidR="009718F7" w:rsidRPr="00B53505" w:rsidRDefault="009718F7">
            <w:pPr>
              <w:rPr>
                <w:sz w:val="20"/>
              </w:rPr>
            </w:pPr>
          </w:p>
        </w:tc>
        <w:tc>
          <w:tcPr>
            <w:tcW w:w="868" w:type="dxa"/>
            <w:vAlign w:val="center"/>
          </w:tcPr>
          <w:p w14:paraId="27D1281E" w14:textId="77777777" w:rsidR="009718F7" w:rsidRPr="00B53505" w:rsidRDefault="009718F7">
            <w:pPr>
              <w:rPr>
                <w:sz w:val="20"/>
              </w:rPr>
            </w:pPr>
          </w:p>
        </w:tc>
        <w:tc>
          <w:tcPr>
            <w:tcW w:w="868" w:type="dxa"/>
            <w:vAlign w:val="center"/>
          </w:tcPr>
          <w:p w14:paraId="1DFCCC36" w14:textId="77777777" w:rsidR="009718F7" w:rsidRPr="00B53505" w:rsidRDefault="009718F7">
            <w:pPr>
              <w:rPr>
                <w:sz w:val="20"/>
              </w:rPr>
            </w:pPr>
          </w:p>
        </w:tc>
        <w:tc>
          <w:tcPr>
            <w:tcW w:w="868" w:type="dxa"/>
            <w:vAlign w:val="center"/>
          </w:tcPr>
          <w:p w14:paraId="0632E7C5" w14:textId="77777777" w:rsidR="009718F7" w:rsidRPr="00B53505" w:rsidRDefault="009718F7">
            <w:pPr>
              <w:rPr>
                <w:b/>
                <w:sz w:val="20"/>
              </w:rPr>
            </w:pPr>
          </w:p>
        </w:tc>
        <w:tc>
          <w:tcPr>
            <w:tcW w:w="1777" w:type="dxa"/>
            <w:vAlign w:val="center"/>
          </w:tcPr>
          <w:p w14:paraId="69F23439" w14:textId="77777777" w:rsidR="009718F7" w:rsidRPr="00B53505" w:rsidRDefault="009718F7">
            <w:pPr>
              <w:rPr>
                <w:b/>
                <w:sz w:val="20"/>
              </w:rPr>
            </w:pPr>
          </w:p>
        </w:tc>
      </w:tr>
      <w:tr w:rsidR="009718F7" w:rsidRPr="00B53505" w14:paraId="02B13940" w14:textId="77777777" w:rsidTr="002A6466">
        <w:trPr>
          <w:trHeight w:val="277"/>
        </w:trPr>
        <w:tc>
          <w:tcPr>
            <w:tcW w:w="3960" w:type="dxa"/>
            <w:vMerge w:val="restart"/>
            <w:vAlign w:val="center"/>
          </w:tcPr>
          <w:p w14:paraId="702D50E4" w14:textId="18403FF8" w:rsidR="009718F7" w:rsidRPr="00B53505" w:rsidRDefault="00D71438" w:rsidP="002A6466">
            <w:pPr>
              <w:spacing w:before="60"/>
              <w:rPr>
                <w:sz w:val="22"/>
              </w:rPr>
            </w:pPr>
            <w:r>
              <w:rPr>
                <w:sz w:val="22"/>
              </w:rPr>
              <w:t>0</w:t>
            </w:r>
            <w:r w:rsidR="009718F7" w:rsidRPr="00B53505">
              <w:rPr>
                <w:sz w:val="22"/>
              </w:rPr>
              <w:t>1 0</w:t>
            </w:r>
            <w:r>
              <w:rPr>
                <w:sz w:val="22"/>
              </w:rPr>
              <w:t>3</w:t>
            </w:r>
            <w:r w:rsidR="009718F7" w:rsidRPr="00B53505">
              <w:rPr>
                <w:sz w:val="22"/>
              </w:rPr>
              <w:t xml:space="preserve"> 0</w:t>
            </w:r>
            <w:r>
              <w:rPr>
                <w:sz w:val="22"/>
              </w:rPr>
              <w:t>7</w:t>
            </w:r>
            <w:r w:rsidR="002C4DDA">
              <w:rPr>
                <w:sz w:val="22"/>
              </w:rPr>
              <w:t xml:space="preserve"> </w:t>
            </w:r>
            <w:r w:rsidR="009718F7" w:rsidRPr="00B53505">
              <w:rPr>
                <w:sz w:val="22"/>
              </w:rPr>
              <w:t xml:space="preserve">European Union Guarantee for the European Fund for Sustainable Development </w:t>
            </w:r>
          </w:p>
          <w:p w14:paraId="1585339E" w14:textId="77777777" w:rsidR="009718F7" w:rsidRPr="00B53505" w:rsidRDefault="009718F7" w:rsidP="002A6466">
            <w:pPr>
              <w:rPr>
                <w:sz w:val="22"/>
              </w:rPr>
            </w:pPr>
          </w:p>
        </w:tc>
        <w:tc>
          <w:tcPr>
            <w:tcW w:w="1440" w:type="dxa"/>
            <w:vAlign w:val="center"/>
          </w:tcPr>
          <w:p w14:paraId="3219E062" w14:textId="77777777" w:rsidR="009718F7" w:rsidRPr="00B53505" w:rsidRDefault="009718F7">
            <w:pPr>
              <w:spacing w:before="20" w:after="20"/>
              <w:rPr>
                <w:sz w:val="22"/>
              </w:rPr>
            </w:pPr>
            <w:r w:rsidRPr="00B53505">
              <w:rPr>
                <w:sz w:val="22"/>
              </w:rPr>
              <w:t>Commitments</w:t>
            </w:r>
          </w:p>
        </w:tc>
        <w:tc>
          <w:tcPr>
            <w:tcW w:w="654" w:type="dxa"/>
            <w:gridSpan w:val="2"/>
            <w:vAlign w:val="center"/>
          </w:tcPr>
          <w:p w14:paraId="25C1DAFB" w14:textId="77777777" w:rsidR="009718F7" w:rsidRPr="00B53505" w:rsidRDefault="009718F7">
            <w:pPr>
              <w:spacing w:before="20" w:after="20"/>
              <w:jc w:val="center"/>
              <w:rPr>
                <w:sz w:val="22"/>
              </w:rPr>
            </w:pPr>
            <w:r w:rsidRPr="00B53505">
              <w:rPr>
                <w:sz w:val="22"/>
              </w:rPr>
              <w:t>(1)</w:t>
            </w:r>
          </w:p>
        </w:tc>
        <w:tc>
          <w:tcPr>
            <w:tcW w:w="1026" w:type="dxa"/>
          </w:tcPr>
          <w:p w14:paraId="18FA9EAF" w14:textId="77777777" w:rsidR="009718F7" w:rsidRPr="00B53505" w:rsidRDefault="009718F7">
            <w:pPr>
              <w:spacing w:before="20" w:after="20"/>
              <w:jc w:val="right"/>
              <w:rPr>
                <w:sz w:val="20"/>
              </w:rPr>
            </w:pPr>
            <w:r w:rsidRPr="00B53505">
              <w:rPr>
                <w:sz w:val="20"/>
              </w:rPr>
              <w:t>pm</w:t>
            </w:r>
          </w:p>
        </w:tc>
        <w:tc>
          <w:tcPr>
            <w:tcW w:w="793" w:type="dxa"/>
          </w:tcPr>
          <w:p w14:paraId="61A66EB2" w14:textId="77777777" w:rsidR="009718F7" w:rsidRPr="00B53505" w:rsidRDefault="009718F7">
            <w:pPr>
              <w:spacing w:before="20" w:after="20"/>
              <w:jc w:val="right"/>
              <w:rPr>
                <w:sz w:val="20"/>
              </w:rPr>
            </w:pPr>
            <w:r w:rsidRPr="00B53505">
              <w:rPr>
                <w:sz w:val="20"/>
              </w:rPr>
              <w:t>pm</w:t>
            </w:r>
          </w:p>
        </w:tc>
        <w:tc>
          <w:tcPr>
            <w:tcW w:w="868" w:type="dxa"/>
          </w:tcPr>
          <w:p w14:paraId="48F19BAC" w14:textId="77777777" w:rsidR="009718F7" w:rsidRPr="00B53505" w:rsidRDefault="009718F7">
            <w:pPr>
              <w:spacing w:before="20" w:after="20"/>
              <w:jc w:val="right"/>
              <w:rPr>
                <w:sz w:val="20"/>
              </w:rPr>
            </w:pPr>
            <w:r w:rsidRPr="00B53505">
              <w:rPr>
                <w:sz w:val="20"/>
              </w:rPr>
              <w:t>pm</w:t>
            </w:r>
          </w:p>
        </w:tc>
        <w:tc>
          <w:tcPr>
            <w:tcW w:w="868" w:type="dxa"/>
          </w:tcPr>
          <w:p w14:paraId="77EDFCBC" w14:textId="77777777" w:rsidR="009718F7" w:rsidRPr="00B53505" w:rsidRDefault="009718F7">
            <w:pPr>
              <w:spacing w:before="20" w:after="20"/>
              <w:jc w:val="right"/>
              <w:rPr>
                <w:sz w:val="20"/>
              </w:rPr>
            </w:pPr>
            <w:r w:rsidRPr="00B53505">
              <w:rPr>
                <w:sz w:val="20"/>
              </w:rPr>
              <w:t>pm</w:t>
            </w:r>
          </w:p>
        </w:tc>
        <w:tc>
          <w:tcPr>
            <w:tcW w:w="868" w:type="dxa"/>
          </w:tcPr>
          <w:p w14:paraId="00059DAE" w14:textId="77777777" w:rsidR="009718F7" w:rsidRPr="00B53505" w:rsidRDefault="009718F7">
            <w:pPr>
              <w:spacing w:before="20" w:after="20"/>
              <w:jc w:val="right"/>
              <w:rPr>
                <w:sz w:val="20"/>
              </w:rPr>
            </w:pPr>
            <w:r w:rsidRPr="00B53505">
              <w:rPr>
                <w:sz w:val="20"/>
              </w:rPr>
              <w:t>pm</w:t>
            </w:r>
          </w:p>
        </w:tc>
        <w:tc>
          <w:tcPr>
            <w:tcW w:w="868" w:type="dxa"/>
          </w:tcPr>
          <w:p w14:paraId="727EC68B" w14:textId="77777777" w:rsidR="009718F7" w:rsidRPr="00B53505" w:rsidRDefault="009718F7">
            <w:pPr>
              <w:spacing w:before="20" w:after="20"/>
              <w:jc w:val="right"/>
              <w:rPr>
                <w:sz w:val="20"/>
              </w:rPr>
            </w:pPr>
            <w:r w:rsidRPr="00B53505">
              <w:rPr>
                <w:sz w:val="20"/>
              </w:rPr>
              <w:t>pm</w:t>
            </w:r>
          </w:p>
        </w:tc>
        <w:tc>
          <w:tcPr>
            <w:tcW w:w="868" w:type="dxa"/>
          </w:tcPr>
          <w:p w14:paraId="0493B464" w14:textId="77777777" w:rsidR="009718F7" w:rsidRPr="00B53505" w:rsidRDefault="009718F7">
            <w:pPr>
              <w:spacing w:before="20" w:after="20"/>
              <w:jc w:val="right"/>
              <w:rPr>
                <w:b/>
                <w:sz w:val="20"/>
              </w:rPr>
            </w:pPr>
            <w:r w:rsidRPr="00B53505">
              <w:rPr>
                <w:sz w:val="20"/>
              </w:rPr>
              <w:t>pm</w:t>
            </w:r>
          </w:p>
        </w:tc>
        <w:tc>
          <w:tcPr>
            <w:tcW w:w="1777" w:type="dxa"/>
            <w:vAlign w:val="center"/>
          </w:tcPr>
          <w:p w14:paraId="317C2557" w14:textId="77777777" w:rsidR="009718F7" w:rsidRPr="00B53505" w:rsidRDefault="009718F7">
            <w:pPr>
              <w:spacing w:before="20" w:after="20"/>
              <w:jc w:val="right"/>
              <w:rPr>
                <w:b/>
                <w:sz w:val="20"/>
              </w:rPr>
            </w:pPr>
            <w:r w:rsidRPr="00B53505">
              <w:rPr>
                <w:b/>
                <w:sz w:val="20"/>
              </w:rPr>
              <w:t>pm</w:t>
            </w:r>
          </w:p>
        </w:tc>
      </w:tr>
      <w:tr w:rsidR="009718F7" w:rsidRPr="00B53505" w14:paraId="07E54F5C" w14:textId="77777777" w:rsidTr="002A6466">
        <w:tc>
          <w:tcPr>
            <w:tcW w:w="3960" w:type="dxa"/>
            <w:vMerge/>
            <w:vAlign w:val="center"/>
          </w:tcPr>
          <w:p w14:paraId="63EDFA08" w14:textId="77777777" w:rsidR="009718F7" w:rsidRPr="00B53505" w:rsidRDefault="009718F7">
            <w:pPr>
              <w:jc w:val="center"/>
              <w:rPr>
                <w:sz w:val="22"/>
              </w:rPr>
            </w:pPr>
          </w:p>
        </w:tc>
        <w:tc>
          <w:tcPr>
            <w:tcW w:w="1440" w:type="dxa"/>
            <w:vAlign w:val="center"/>
          </w:tcPr>
          <w:p w14:paraId="3B9DDE13" w14:textId="77777777" w:rsidR="009718F7" w:rsidRPr="00B53505" w:rsidRDefault="009718F7">
            <w:pPr>
              <w:spacing w:before="20" w:after="20"/>
              <w:rPr>
                <w:sz w:val="22"/>
              </w:rPr>
            </w:pPr>
            <w:r w:rsidRPr="00B53505">
              <w:rPr>
                <w:sz w:val="22"/>
              </w:rPr>
              <w:t>Payments</w:t>
            </w:r>
          </w:p>
        </w:tc>
        <w:tc>
          <w:tcPr>
            <w:tcW w:w="654" w:type="dxa"/>
            <w:gridSpan w:val="2"/>
            <w:vAlign w:val="center"/>
          </w:tcPr>
          <w:p w14:paraId="325D4F3A" w14:textId="77777777" w:rsidR="009718F7" w:rsidRPr="00B53505" w:rsidRDefault="009718F7">
            <w:pPr>
              <w:spacing w:before="20" w:after="20"/>
              <w:jc w:val="center"/>
              <w:rPr>
                <w:sz w:val="22"/>
              </w:rPr>
            </w:pPr>
            <w:r w:rsidRPr="00B53505">
              <w:rPr>
                <w:sz w:val="22"/>
              </w:rPr>
              <w:t>(2)</w:t>
            </w:r>
          </w:p>
        </w:tc>
        <w:tc>
          <w:tcPr>
            <w:tcW w:w="1026" w:type="dxa"/>
          </w:tcPr>
          <w:p w14:paraId="40B5331F" w14:textId="77777777" w:rsidR="009718F7" w:rsidRPr="00B53505" w:rsidRDefault="009718F7">
            <w:pPr>
              <w:spacing w:before="20" w:after="20"/>
              <w:jc w:val="right"/>
              <w:rPr>
                <w:sz w:val="20"/>
              </w:rPr>
            </w:pPr>
            <w:r w:rsidRPr="00B53505">
              <w:rPr>
                <w:sz w:val="20"/>
              </w:rPr>
              <w:t>pm</w:t>
            </w:r>
          </w:p>
        </w:tc>
        <w:tc>
          <w:tcPr>
            <w:tcW w:w="793" w:type="dxa"/>
          </w:tcPr>
          <w:p w14:paraId="0276F7F2" w14:textId="77777777" w:rsidR="009718F7" w:rsidRPr="00B53505" w:rsidRDefault="009718F7">
            <w:pPr>
              <w:spacing w:before="20" w:after="20"/>
              <w:jc w:val="right"/>
              <w:rPr>
                <w:sz w:val="20"/>
              </w:rPr>
            </w:pPr>
            <w:r w:rsidRPr="00B53505">
              <w:rPr>
                <w:sz w:val="20"/>
              </w:rPr>
              <w:t>pm</w:t>
            </w:r>
          </w:p>
        </w:tc>
        <w:tc>
          <w:tcPr>
            <w:tcW w:w="868" w:type="dxa"/>
          </w:tcPr>
          <w:p w14:paraId="29129D90" w14:textId="77777777" w:rsidR="009718F7" w:rsidRPr="00B53505" w:rsidRDefault="009718F7">
            <w:pPr>
              <w:spacing w:before="20" w:after="20"/>
              <w:jc w:val="right"/>
              <w:rPr>
                <w:sz w:val="20"/>
              </w:rPr>
            </w:pPr>
            <w:r w:rsidRPr="00B53505">
              <w:rPr>
                <w:sz w:val="20"/>
              </w:rPr>
              <w:t>pm</w:t>
            </w:r>
          </w:p>
        </w:tc>
        <w:tc>
          <w:tcPr>
            <w:tcW w:w="868" w:type="dxa"/>
          </w:tcPr>
          <w:p w14:paraId="4A335BF4" w14:textId="77777777" w:rsidR="009718F7" w:rsidRPr="00B53505" w:rsidRDefault="009718F7">
            <w:pPr>
              <w:spacing w:before="20" w:after="20"/>
              <w:jc w:val="right"/>
              <w:rPr>
                <w:sz w:val="20"/>
              </w:rPr>
            </w:pPr>
            <w:r w:rsidRPr="00B53505">
              <w:rPr>
                <w:sz w:val="20"/>
              </w:rPr>
              <w:t>pm</w:t>
            </w:r>
          </w:p>
        </w:tc>
        <w:tc>
          <w:tcPr>
            <w:tcW w:w="868" w:type="dxa"/>
          </w:tcPr>
          <w:p w14:paraId="2F5B8ACA" w14:textId="77777777" w:rsidR="009718F7" w:rsidRPr="00B53505" w:rsidRDefault="009718F7">
            <w:pPr>
              <w:spacing w:before="20" w:after="20"/>
              <w:jc w:val="right"/>
              <w:rPr>
                <w:sz w:val="20"/>
              </w:rPr>
            </w:pPr>
            <w:r w:rsidRPr="00B53505">
              <w:rPr>
                <w:sz w:val="20"/>
              </w:rPr>
              <w:t>pm</w:t>
            </w:r>
          </w:p>
        </w:tc>
        <w:tc>
          <w:tcPr>
            <w:tcW w:w="868" w:type="dxa"/>
          </w:tcPr>
          <w:p w14:paraId="65E8377B" w14:textId="77777777" w:rsidR="009718F7" w:rsidRPr="00B53505" w:rsidRDefault="009718F7">
            <w:pPr>
              <w:spacing w:before="20" w:after="20"/>
              <w:jc w:val="right"/>
              <w:rPr>
                <w:sz w:val="20"/>
              </w:rPr>
            </w:pPr>
            <w:r w:rsidRPr="00B53505">
              <w:rPr>
                <w:sz w:val="20"/>
              </w:rPr>
              <w:t>pm</w:t>
            </w:r>
          </w:p>
        </w:tc>
        <w:tc>
          <w:tcPr>
            <w:tcW w:w="868" w:type="dxa"/>
          </w:tcPr>
          <w:p w14:paraId="18A54A32" w14:textId="77777777" w:rsidR="009718F7" w:rsidRPr="00B53505" w:rsidRDefault="009718F7">
            <w:pPr>
              <w:spacing w:before="20" w:after="20"/>
              <w:jc w:val="right"/>
              <w:rPr>
                <w:b/>
                <w:sz w:val="20"/>
              </w:rPr>
            </w:pPr>
            <w:r w:rsidRPr="00B53505">
              <w:rPr>
                <w:sz w:val="20"/>
              </w:rPr>
              <w:t>pm</w:t>
            </w:r>
          </w:p>
        </w:tc>
        <w:tc>
          <w:tcPr>
            <w:tcW w:w="1777" w:type="dxa"/>
            <w:vAlign w:val="center"/>
          </w:tcPr>
          <w:p w14:paraId="181C11D8" w14:textId="77777777" w:rsidR="009718F7" w:rsidRPr="00B53505" w:rsidRDefault="009718F7">
            <w:pPr>
              <w:spacing w:before="20" w:after="20"/>
              <w:jc w:val="right"/>
              <w:rPr>
                <w:b/>
                <w:sz w:val="20"/>
              </w:rPr>
            </w:pPr>
            <w:r w:rsidRPr="00B53505">
              <w:rPr>
                <w:b/>
                <w:sz w:val="20"/>
              </w:rPr>
              <w:t>pm</w:t>
            </w:r>
          </w:p>
        </w:tc>
      </w:tr>
      <w:tr w:rsidR="009718F7" w:rsidRPr="00B53505" w14:paraId="6493DB66" w14:textId="77777777" w:rsidTr="002A6466">
        <w:tc>
          <w:tcPr>
            <w:tcW w:w="3960" w:type="dxa"/>
            <w:vMerge w:val="restart"/>
            <w:vAlign w:val="center"/>
          </w:tcPr>
          <w:p w14:paraId="03221F44" w14:textId="73E2BE78" w:rsidR="009718F7" w:rsidRPr="00B53505" w:rsidRDefault="00D71438" w:rsidP="002A6466">
            <w:pPr>
              <w:spacing w:before="60"/>
              <w:rPr>
                <w:sz w:val="22"/>
              </w:rPr>
            </w:pPr>
            <w:r>
              <w:rPr>
                <w:sz w:val="22"/>
              </w:rPr>
              <w:t>0</w:t>
            </w:r>
            <w:r w:rsidR="009718F7" w:rsidRPr="00B53505">
              <w:rPr>
                <w:sz w:val="22"/>
              </w:rPr>
              <w:t>1 0</w:t>
            </w:r>
            <w:r>
              <w:rPr>
                <w:sz w:val="22"/>
              </w:rPr>
              <w:t>3</w:t>
            </w:r>
            <w:r w:rsidR="009718F7" w:rsidRPr="00B53505">
              <w:rPr>
                <w:sz w:val="22"/>
              </w:rPr>
              <w:t xml:space="preserve"> </w:t>
            </w:r>
            <w:r>
              <w:rPr>
                <w:sz w:val="22"/>
              </w:rPr>
              <w:t>08</w:t>
            </w:r>
            <w:r w:rsidR="009718F7" w:rsidRPr="00B53505">
              <w:rPr>
                <w:sz w:val="22"/>
              </w:rPr>
              <w:t xml:space="preserve"> Provisioning of the EFSD Guarantee Fund </w:t>
            </w:r>
          </w:p>
          <w:p w14:paraId="4F1638F0" w14:textId="77777777" w:rsidR="009718F7" w:rsidRPr="00B53505" w:rsidRDefault="009718F7" w:rsidP="002A6466">
            <w:pPr>
              <w:rPr>
                <w:sz w:val="22"/>
              </w:rPr>
            </w:pPr>
          </w:p>
        </w:tc>
        <w:tc>
          <w:tcPr>
            <w:tcW w:w="1440" w:type="dxa"/>
            <w:vAlign w:val="center"/>
          </w:tcPr>
          <w:p w14:paraId="229322BD" w14:textId="77777777" w:rsidR="009718F7" w:rsidRPr="00B53505" w:rsidRDefault="009718F7">
            <w:pPr>
              <w:spacing w:before="20" w:after="20"/>
              <w:rPr>
                <w:sz w:val="22"/>
              </w:rPr>
            </w:pPr>
            <w:r w:rsidRPr="00B53505">
              <w:rPr>
                <w:sz w:val="22"/>
              </w:rPr>
              <w:t>Commitments</w:t>
            </w:r>
          </w:p>
        </w:tc>
        <w:tc>
          <w:tcPr>
            <w:tcW w:w="654" w:type="dxa"/>
            <w:gridSpan w:val="2"/>
            <w:vAlign w:val="center"/>
          </w:tcPr>
          <w:p w14:paraId="01A86516" w14:textId="77777777" w:rsidR="009718F7" w:rsidRPr="00B53505" w:rsidRDefault="009718F7">
            <w:pPr>
              <w:spacing w:before="20" w:after="20"/>
              <w:jc w:val="center"/>
              <w:rPr>
                <w:sz w:val="22"/>
              </w:rPr>
            </w:pPr>
            <w:r w:rsidRPr="00B53505">
              <w:rPr>
                <w:sz w:val="22"/>
              </w:rPr>
              <w:t>(1a)</w:t>
            </w:r>
          </w:p>
        </w:tc>
        <w:tc>
          <w:tcPr>
            <w:tcW w:w="1026" w:type="dxa"/>
          </w:tcPr>
          <w:p w14:paraId="343AA7DA" w14:textId="270214BA" w:rsidR="009718F7" w:rsidRPr="00B53505" w:rsidRDefault="004F2B8C" w:rsidP="004F2B8C">
            <w:pPr>
              <w:spacing w:before="20" w:after="20"/>
              <w:jc w:val="right"/>
              <w:rPr>
                <w:sz w:val="20"/>
              </w:rPr>
            </w:pPr>
            <w:r>
              <w:rPr>
                <w:sz w:val="20"/>
              </w:rPr>
              <w:t>27</w:t>
            </w:r>
            <w:r w:rsidR="009718F7" w:rsidRPr="00B53505">
              <w:rPr>
                <w:sz w:val="20"/>
              </w:rPr>
              <w:t>5.000</w:t>
            </w:r>
          </w:p>
        </w:tc>
        <w:tc>
          <w:tcPr>
            <w:tcW w:w="793" w:type="dxa"/>
          </w:tcPr>
          <w:p w14:paraId="49462C24" w14:textId="77777777" w:rsidR="009718F7" w:rsidRPr="00B53505" w:rsidRDefault="009718F7">
            <w:pPr>
              <w:spacing w:before="20" w:after="20"/>
              <w:jc w:val="right"/>
              <w:rPr>
                <w:color w:val="FF0000"/>
                <w:sz w:val="20"/>
              </w:rPr>
            </w:pPr>
            <w:r w:rsidRPr="00B53505">
              <w:rPr>
                <w:sz w:val="20"/>
              </w:rPr>
              <w:t>25.000</w:t>
            </w:r>
          </w:p>
        </w:tc>
        <w:tc>
          <w:tcPr>
            <w:tcW w:w="868" w:type="dxa"/>
          </w:tcPr>
          <w:p w14:paraId="24182D2B" w14:textId="77777777" w:rsidR="009718F7" w:rsidRPr="00B53505" w:rsidRDefault="009718F7">
            <w:pPr>
              <w:spacing w:before="20" w:after="20"/>
              <w:jc w:val="right"/>
              <w:rPr>
                <w:color w:val="FF0000"/>
                <w:sz w:val="20"/>
              </w:rPr>
            </w:pPr>
            <w:r w:rsidRPr="00B53505">
              <w:rPr>
                <w:sz w:val="20"/>
              </w:rPr>
              <w:t>25.000</w:t>
            </w:r>
          </w:p>
        </w:tc>
        <w:tc>
          <w:tcPr>
            <w:tcW w:w="868" w:type="dxa"/>
          </w:tcPr>
          <w:p w14:paraId="4E89A2BC" w14:textId="77777777" w:rsidR="009718F7" w:rsidRPr="00B53505" w:rsidRDefault="009718F7">
            <w:pPr>
              <w:spacing w:before="20" w:after="20"/>
              <w:jc w:val="right"/>
              <w:rPr>
                <w:color w:val="FF0000"/>
                <w:sz w:val="20"/>
              </w:rPr>
            </w:pPr>
            <w:r w:rsidRPr="00B53505">
              <w:rPr>
                <w:sz w:val="20"/>
              </w:rPr>
              <w:t>25.000</w:t>
            </w:r>
          </w:p>
        </w:tc>
        <w:tc>
          <w:tcPr>
            <w:tcW w:w="868" w:type="dxa"/>
          </w:tcPr>
          <w:p w14:paraId="1134F784" w14:textId="77777777" w:rsidR="009718F7" w:rsidRPr="00B53505" w:rsidRDefault="009718F7">
            <w:pPr>
              <w:spacing w:before="20" w:after="20"/>
              <w:jc w:val="right"/>
              <w:rPr>
                <w:sz w:val="20"/>
              </w:rPr>
            </w:pPr>
            <w:r w:rsidRPr="00B53505">
              <w:rPr>
                <w:sz w:val="20"/>
              </w:rPr>
              <w:t>pm</w:t>
            </w:r>
          </w:p>
        </w:tc>
        <w:tc>
          <w:tcPr>
            <w:tcW w:w="868" w:type="dxa"/>
          </w:tcPr>
          <w:p w14:paraId="3808480A" w14:textId="77777777" w:rsidR="009718F7" w:rsidRPr="00B53505" w:rsidRDefault="009718F7">
            <w:pPr>
              <w:spacing w:before="20" w:after="20"/>
              <w:jc w:val="right"/>
              <w:rPr>
                <w:sz w:val="20"/>
              </w:rPr>
            </w:pPr>
            <w:r w:rsidRPr="00B53505">
              <w:rPr>
                <w:sz w:val="20"/>
              </w:rPr>
              <w:t>pm</w:t>
            </w:r>
          </w:p>
        </w:tc>
        <w:tc>
          <w:tcPr>
            <w:tcW w:w="868" w:type="dxa"/>
          </w:tcPr>
          <w:p w14:paraId="30C06D3E" w14:textId="77777777" w:rsidR="009718F7" w:rsidRPr="00B53505" w:rsidRDefault="009718F7">
            <w:pPr>
              <w:spacing w:before="20" w:after="20"/>
              <w:jc w:val="right"/>
              <w:rPr>
                <w:b/>
                <w:sz w:val="20"/>
              </w:rPr>
            </w:pPr>
            <w:r w:rsidRPr="00B53505">
              <w:rPr>
                <w:sz w:val="20"/>
              </w:rPr>
              <w:t>pm</w:t>
            </w:r>
          </w:p>
        </w:tc>
        <w:tc>
          <w:tcPr>
            <w:tcW w:w="1777" w:type="dxa"/>
            <w:vAlign w:val="center"/>
          </w:tcPr>
          <w:p w14:paraId="612BB38C" w14:textId="15E1FDC9" w:rsidR="009718F7" w:rsidRPr="00B53505" w:rsidRDefault="004F2B8C" w:rsidP="004F2B8C">
            <w:pPr>
              <w:spacing w:before="20" w:after="20"/>
              <w:jc w:val="right"/>
              <w:rPr>
                <w:b/>
                <w:sz w:val="20"/>
              </w:rPr>
            </w:pPr>
            <w:r>
              <w:rPr>
                <w:b/>
                <w:sz w:val="20"/>
              </w:rPr>
              <w:t>35</w:t>
            </w:r>
            <w:r w:rsidR="009718F7" w:rsidRPr="00B53505">
              <w:rPr>
                <w:b/>
                <w:sz w:val="20"/>
              </w:rPr>
              <w:t>0.000</w:t>
            </w:r>
          </w:p>
        </w:tc>
      </w:tr>
      <w:tr w:rsidR="009718F7" w:rsidRPr="00B53505" w14:paraId="0ADCD14A" w14:textId="77777777" w:rsidTr="002A6466">
        <w:tc>
          <w:tcPr>
            <w:tcW w:w="3960" w:type="dxa"/>
            <w:vMerge/>
          </w:tcPr>
          <w:p w14:paraId="1754B438" w14:textId="77777777" w:rsidR="009718F7" w:rsidRPr="00B53505" w:rsidRDefault="009718F7">
            <w:pPr>
              <w:jc w:val="center"/>
              <w:rPr>
                <w:sz w:val="22"/>
              </w:rPr>
            </w:pPr>
          </w:p>
        </w:tc>
        <w:tc>
          <w:tcPr>
            <w:tcW w:w="1440" w:type="dxa"/>
            <w:vAlign w:val="center"/>
          </w:tcPr>
          <w:p w14:paraId="27928BDB" w14:textId="77777777" w:rsidR="009718F7" w:rsidRPr="00B53505" w:rsidRDefault="009718F7">
            <w:pPr>
              <w:spacing w:before="20" w:after="20"/>
              <w:rPr>
                <w:sz w:val="22"/>
              </w:rPr>
            </w:pPr>
            <w:r w:rsidRPr="00B53505">
              <w:rPr>
                <w:sz w:val="22"/>
              </w:rPr>
              <w:t>Payments</w:t>
            </w:r>
          </w:p>
        </w:tc>
        <w:tc>
          <w:tcPr>
            <w:tcW w:w="654" w:type="dxa"/>
            <w:gridSpan w:val="2"/>
            <w:vAlign w:val="center"/>
          </w:tcPr>
          <w:p w14:paraId="3C0C1D49" w14:textId="77777777" w:rsidR="009718F7" w:rsidRPr="00B53505" w:rsidRDefault="009718F7">
            <w:pPr>
              <w:spacing w:before="20" w:after="20"/>
              <w:jc w:val="center"/>
              <w:rPr>
                <w:sz w:val="22"/>
              </w:rPr>
            </w:pPr>
            <w:r w:rsidRPr="00B53505">
              <w:rPr>
                <w:sz w:val="22"/>
              </w:rPr>
              <w:t>(2a)</w:t>
            </w:r>
          </w:p>
        </w:tc>
        <w:tc>
          <w:tcPr>
            <w:tcW w:w="1026" w:type="dxa"/>
          </w:tcPr>
          <w:p w14:paraId="37CC535C" w14:textId="291B1B2C" w:rsidR="009718F7" w:rsidRPr="00B53505" w:rsidRDefault="009718F7">
            <w:pPr>
              <w:spacing w:before="20" w:after="20"/>
              <w:jc w:val="right"/>
              <w:rPr>
                <w:sz w:val="20"/>
              </w:rPr>
            </w:pPr>
            <w:r w:rsidRPr="00B53505">
              <w:rPr>
                <w:sz w:val="20"/>
              </w:rPr>
              <w:t>2</w:t>
            </w:r>
            <w:r w:rsidR="004F2B8C">
              <w:rPr>
                <w:sz w:val="20"/>
              </w:rPr>
              <w:t>7</w:t>
            </w:r>
            <w:r w:rsidRPr="00B53505">
              <w:rPr>
                <w:sz w:val="20"/>
              </w:rPr>
              <w:t>5.000</w:t>
            </w:r>
          </w:p>
        </w:tc>
        <w:tc>
          <w:tcPr>
            <w:tcW w:w="793" w:type="dxa"/>
          </w:tcPr>
          <w:p w14:paraId="34A6C218" w14:textId="77777777" w:rsidR="009718F7" w:rsidRPr="00B53505" w:rsidRDefault="009718F7">
            <w:pPr>
              <w:spacing w:before="20" w:after="20"/>
              <w:jc w:val="right"/>
              <w:rPr>
                <w:color w:val="FF0000"/>
                <w:sz w:val="20"/>
              </w:rPr>
            </w:pPr>
            <w:r w:rsidRPr="00B53505">
              <w:rPr>
                <w:sz w:val="20"/>
              </w:rPr>
              <w:t>25.000</w:t>
            </w:r>
          </w:p>
        </w:tc>
        <w:tc>
          <w:tcPr>
            <w:tcW w:w="868" w:type="dxa"/>
          </w:tcPr>
          <w:p w14:paraId="7C70EC1B" w14:textId="77777777" w:rsidR="009718F7" w:rsidRPr="00B53505" w:rsidRDefault="009718F7">
            <w:pPr>
              <w:spacing w:before="20" w:after="20"/>
              <w:jc w:val="right"/>
              <w:rPr>
                <w:color w:val="FF0000"/>
                <w:sz w:val="20"/>
              </w:rPr>
            </w:pPr>
            <w:r w:rsidRPr="00B53505">
              <w:rPr>
                <w:sz w:val="20"/>
              </w:rPr>
              <w:t>25.000</w:t>
            </w:r>
          </w:p>
        </w:tc>
        <w:tc>
          <w:tcPr>
            <w:tcW w:w="868" w:type="dxa"/>
          </w:tcPr>
          <w:p w14:paraId="131EBC66" w14:textId="77777777" w:rsidR="009718F7" w:rsidRPr="00B53505" w:rsidRDefault="009718F7">
            <w:pPr>
              <w:spacing w:before="20" w:after="20"/>
              <w:jc w:val="right"/>
              <w:rPr>
                <w:color w:val="FF0000"/>
                <w:sz w:val="20"/>
              </w:rPr>
            </w:pPr>
            <w:r w:rsidRPr="00B53505">
              <w:rPr>
                <w:sz w:val="20"/>
              </w:rPr>
              <w:t>25.000</w:t>
            </w:r>
          </w:p>
        </w:tc>
        <w:tc>
          <w:tcPr>
            <w:tcW w:w="868" w:type="dxa"/>
          </w:tcPr>
          <w:p w14:paraId="1D2E60CF" w14:textId="77777777" w:rsidR="009718F7" w:rsidRPr="00B53505" w:rsidRDefault="009718F7">
            <w:pPr>
              <w:spacing w:before="20" w:after="20"/>
              <w:jc w:val="right"/>
              <w:rPr>
                <w:sz w:val="20"/>
              </w:rPr>
            </w:pPr>
            <w:r w:rsidRPr="00B53505">
              <w:rPr>
                <w:sz w:val="20"/>
              </w:rPr>
              <w:t>pm</w:t>
            </w:r>
          </w:p>
        </w:tc>
        <w:tc>
          <w:tcPr>
            <w:tcW w:w="868" w:type="dxa"/>
          </w:tcPr>
          <w:p w14:paraId="1744B12E" w14:textId="77777777" w:rsidR="009718F7" w:rsidRPr="00B53505" w:rsidRDefault="009718F7">
            <w:pPr>
              <w:spacing w:before="20" w:after="20"/>
              <w:jc w:val="right"/>
              <w:rPr>
                <w:sz w:val="20"/>
              </w:rPr>
            </w:pPr>
            <w:r w:rsidRPr="00B53505">
              <w:rPr>
                <w:sz w:val="20"/>
              </w:rPr>
              <w:t>pm</w:t>
            </w:r>
          </w:p>
        </w:tc>
        <w:tc>
          <w:tcPr>
            <w:tcW w:w="868" w:type="dxa"/>
          </w:tcPr>
          <w:p w14:paraId="414DEC3B" w14:textId="77777777" w:rsidR="009718F7" w:rsidRPr="00B53505" w:rsidRDefault="009718F7">
            <w:pPr>
              <w:spacing w:before="20" w:after="20"/>
              <w:jc w:val="right"/>
              <w:rPr>
                <w:b/>
                <w:sz w:val="20"/>
              </w:rPr>
            </w:pPr>
            <w:r w:rsidRPr="00B53505">
              <w:rPr>
                <w:sz w:val="20"/>
              </w:rPr>
              <w:t>pm</w:t>
            </w:r>
          </w:p>
        </w:tc>
        <w:tc>
          <w:tcPr>
            <w:tcW w:w="1777" w:type="dxa"/>
            <w:vAlign w:val="center"/>
          </w:tcPr>
          <w:p w14:paraId="656C67F3" w14:textId="19D1D62C" w:rsidR="009718F7" w:rsidRPr="00B53505" w:rsidRDefault="004F2B8C" w:rsidP="004F2B8C">
            <w:pPr>
              <w:spacing w:before="20" w:after="20"/>
              <w:jc w:val="right"/>
              <w:rPr>
                <w:b/>
                <w:sz w:val="20"/>
              </w:rPr>
            </w:pPr>
            <w:r>
              <w:rPr>
                <w:b/>
                <w:sz w:val="20"/>
              </w:rPr>
              <w:t>35</w:t>
            </w:r>
            <w:r w:rsidR="009718F7" w:rsidRPr="00B53505">
              <w:rPr>
                <w:b/>
                <w:sz w:val="20"/>
              </w:rPr>
              <w:t>0.000</w:t>
            </w:r>
          </w:p>
        </w:tc>
      </w:tr>
      <w:tr w:rsidR="009718F7" w:rsidRPr="00B53505" w14:paraId="48F45570" w14:textId="77777777" w:rsidTr="002A6466">
        <w:trPr>
          <w:trHeight w:val="231"/>
        </w:trPr>
        <w:tc>
          <w:tcPr>
            <w:tcW w:w="6054" w:type="dxa"/>
            <w:gridSpan w:val="4"/>
            <w:vAlign w:val="center"/>
          </w:tcPr>
          <w:p w14:paraId="5455A899" w14:textId="77777777" w:rsidR="009718F7" w:rsidRPr="00B53505" w:rsidRDefault="009718F7">
            <w:pPr>
              <w:spacing w:before="20" w:after="20"/>
              <w:rPr>
                <w:sz w:val="22"/>
              </w:rPr>
            </w:pPr>
            <w:r w:rsidRPr="00B53505">
              <w:rPr>
                <w:sz w:val="22"/>
              </w:rPr>
              <w:t>Appropriations of an administrative nature financed from the envelope of specific programmes</w:t>
            </w:r>
            <w:r w:rsidRPr="00B53505">
              <w:rPr>
                <w:rStyle w:val="FootnoteReference"/>
                <w:sz w:val="22"/>
              </w:rPr>
              <w:footnoteReference w:id="43"/>
            </w:r>
            <w:r w:rsidRPr="00B53505">
              <w:rPr>
                <w:sz w:val="22"/>
              </w:rPr>
              <w:t xml:space="preserve"> </w:t>
            </w:r>
          </w:p>
          <w:p w14:paraId="7531CF91" w14:textId="77777777" w:rsidR="009718F7" w:rsidRPr="00B53505" w:rsidRDefault="009718F7">
            <w:pPr>
              <w:spacing w:before="0" w:after="0"/>
              <w:rPr>
                <w:sz w:val="22"/>
              </w:rPr>
            </w:pPr>
          </w:p>
        </w:tc>
        <w:tc>
          <w:tcPr>
            <w:tcW w:w="1026" w:type="dxa"/>
            <w:vAlign w:val="center"/>
          </w:tcPr>
          <w:p w14:paraId="12F4F3A7" w14:textId="77777777" w:rsidR="009718F7" w:rsidRPr="00B53505" w:rsidRDefault="009718F7">
            <w:pPr>
              <w:rPr>
                <w:b/>
                <w:sz w:val="20"/>
              </w:rPr>
            </w:pPr>
          </w:p>
        </w:tc>
        <w:tc>
          <w:tcPr>
            <w:tcW w:w="793" w:type="dxa"/>
            <w:vAlign w:val="center"/>
          </w:tcPr>
          <w:p w14:paraId="5A33F873" w14:textId="77777777" w:rsidR="009718F7" w:rsidRPr="00B53505" w:rsidRDefault="009718F7">
            <w:pPr>
              <w:rPr>
                <w:b/>
                <w:sz w:val="20"/>
              </w:rPr>
            </w:pPr>
          </w:p>
        </w:tc>
        <w:tc>
          <w:tcPr>
            <w:tcW w:w="868" w:type="dxa"/>
            <w:vAlign w:val="center"/>
          </w:tcPr>
          <w:p w14:paraId="16CF491E" w14:textId="77777777" w:rsidR="009718F7" w:rsidRPr="00B53505" w:rsidRDefault="009718F7">
            <w:pPr>
              <w:rPr>
                <w:b/>
                <w:sz w:val="20"/>
              </w:rPr>
            </w:pPr>
          </w:p>
        </w:tc>
        <w:tc>
          <w:tcPr>
            <w:tcW w:w="868" w:type="dxa"/>
            <w:vAlign w:val="center"/>
          </w:tcPr>
          <w:p w14:paraId="2934C89C" w14:textId="77777777" w:rsidR="009718F7" w:rsidRPr="00B53505" w:rsidRDefault="009718F7">
            <w:pPr>
              <w:rPr>
                <w:b/>
                <w:sz w:val="20"/>
              </w:rPr>
            </w:pPr>
          </w:p>
        </w:tc>
        <w:tc>
          <w:tcPr>
            <w:tcW w:w="868" w:type="dxa"/>
            <w:vAlign w:val="center"/>
          </w:tcPr>
          <w:p w14:paraId="6900D1CD" w14:textId="77777777" w:rsidR="009718F7" w:rsidRPr="00B53505" w:rsidRDefault="009718F7">
            <w:pPr>
              <w:rPr>
                <w:b/>
                <w:sz w:val="20"/>
              </w:rPr>
            </w:pPr>
          </w:p>
        </w:tc>
        <w:tc>
          <w:tcPr>
            <w:tcW w:w="868" w:type="dxa"/>
            <w:vAlign w:val="center"/>
          </w:tcPr>
          <w:p w14:paraId="5F7D8A1A" w14:textId="77777777" w:rsidR="009718F7" w:rsidRPr="00B53505" w:rsidRDefault="009718F7">
            <w:pPr>
              <w:rPr>
                <w:b/>
                <w:sz w:val="20"/>
              </w:rPr>
            </w:pPr>
          </w:p>
        </w:tc>
        <w:tc>
          <w:tcPr>
            <w:tcW w:w="868" w:type="dxa"/>
            <w:vAlign w:val="center"/>
          </w:tcPr>
          <w:p w14:paraId="6E27DF1C" w14:textId="77777777" w:rsidR="009718F7" w:rsidRPr="00B53505" w:rsidRDefault="009718F7">
            <w:pPr>
              <w:rPr>
                <w:b/>
                <w:sz w:val="20"/>
              </w:rPr>
            </w:pPr>
          </w:p>
        </w:tc>
        <w:tc>
          <w:tcPr>
            <w:tcW w:w="1777" w:type="dxa"/>
            <w:vAlign w:val="center"/>
          </w:tcPr>
          <w:p w14:paraId="0AA722F2" w14:textId="77777777" w:rsidR="009718F7" w:rsidRPr="00B53505" w:rsidRDefault="009718F7">
            <w:pPr>
              <w:rPr>
                <w:b/>
                <w:sz w:val="20"/>
              </w:rPr>
            </w:pPr>
          </w:p>
        </w:tc>
      </w:tr>
      <w:tr w:rsidR="009718F7" w:rsidRPr="00B53505" w14:paraId="44BDB5C9" w14:textId="77777777" w:rsidTr="002A6466">
        <w:trPr>
          <w:trHeight w:val="319"/>
        </w:trPr>
        <w:tc>
          <w:tcPr>
            <w:tcW w:w="3960" w:type="dxa"/>
            <w:vAlign w:val="center"/>
          </w:tcPr>
          <w:p w14:paraId="607E7404" w14:textId="77777777" w:rsidR="009718F7" w:rsidRPr="00B53505" w:rsidRDefault="009718F7">
            <w:pPr>
              <w:spacing w:before="60" w:after="60"/>
            </w:pPr>
            <w:r w:rsidRPr="00B53505">
              <w:rPr>
                <w:sz w:val="20"/>
              </w:rPr>
              <w:t>-</w:t>
            </w:r>
          </w:p>
        </w:tc>
        <w:tc>
          <w:tcPr>
            <w:tcW w:w="1440" w:type="dxa"/>
            <w:vAlign w:val="center"/>
          </w:tcPr>
          <w:p w14:paraId="6E359E7C" w14:textId="77777777" w:rsidR="009718F7" w:rsidRPr="00B53505" w:rsidRDefault="009718F7">
            <w:pPr>
              <w:spacing w:before="40" w:after="40"/>
              <w:jc w:val="right"/>
              <w:rPr>
                <w:sz w:val="18"/>
              </w:rPr>
            </w:pPr>
          </w:p>
        </w:tc>
        <w:tc>
          <w:tcPr>
            <w:tcW w:w="654" w:type="dxa"/>
            <w:gridSpan w:val="2"/>
            <w:vAlign w:val="center"/>
          </w:tcPr>
          <w:p w14:paraId="1A0DDD81" w14:textId="77777777" w:rsidR="009718F7" w:rsidRPr="00B53505" w:rsidRDefault="009718F7">
            <w:pPr>
              <w:spacing w:before="40" w:after="40"/>
              <w:jc w:val="center"/>
              <w:rPr>
                <w:sz w:val="14"/>
              </w:rPr>
            </w:pPr>
            <w:r w:rsidRPr="00B53505">
              <w:rPr>
                <w:sz w:val="14"/>
              </w:rPr>
              <w:t>(3)</w:t>
            </w:r>
          </w:p>
        </w:tc>
        <w:tc>
          <w:tcPr>
            <w:tcW w:w="1026" w:type="dxa"/>
            <w:vAlign w:val="center"/>
          </w:tcPr>
          <w:p w14:paraId="20F76B6B" w14:textId="77777777" w:rsidR="009718F7" w:rsidRPr="00B53505" w:rsidRDefault="009718F7">
            <w:pPr>
              <w:spacing w:before="40" w:after="40"/>
              <w:jc w:val="right"/>
              <w:rPr>
                <w:b/>
                <w:sz w:val="20"/>
              </w:rPr>
            </w:pPr>
            <w:r w:rsidRPr="00B53505">
              <w:rPr>
                <w:b/>
                <w:sz w:val="20"/>
              </w:rPr>
              <w:t>0</w:t>
            </w:r>
          </w:p>
        </w:tc>
        <w:tc>
          <w:tcPr>
            <w:tcW w:w="793" w:type="dxa"/>
            <w:vAlign w:val="center"/>
          </w:tcPr>
          <w:p w14:paraId="4EE09B45" w14:textId="77777777" w:rsidR="009718F7" w:rsidRPr="00B53505" w:rsidRDefault="009718F7">
            <w:pPr>
              <w:spacing w:before="40" w:after="40"/>
              <w:jc w:val="right"/>
              <w:rPr>
                <w:b/>
                <w:sz w:val="20"/>
              </w:rPr>
            </w:pPr>
            <w:r w:rsidRPr="00B53505">
              <w:rPr>
                <w:b/>
                <w:sz w:val="20"/>
              </w:rPr>
              <w:t>0</w:t>
            </w:r>
          </w:p>
        </w:tc>
        <w:tc>
          <w:tcPr>
            <w:tcW w:w="868" w:type="dxa"/>
            <w:vAlign w:val="center"/>
          </w:tcPr>
          <w:p w14:paraId="19B19723" w14:textId="77777777" w:rsidR="009718F7" w:rsidRPr="00B53505" w:rsidRDefault="009718F7">
            <w:pPr>
              <w:spacing w:before="40" w:after="40"/>
              <w:jc w:val="right"/>
              <w:rPr>
                <w:b/>
                <w:sz w:val="20"/>
              </w:rPr>
            </w:pPr>
            <w:r w:rsidRPr="00B53505">
              <w:rPr>
                <w:b/>
                <w:sz w:val="20"/>
              </w:rPr>
              <w:t>0</w:t>
            </w:r>
          </w:p>
        </w:tc>
        <w:tc>
          <w:tcPr>
            <w:tcW w:w="868" w:type="dxa"/>
            <w:vAlign w:val="center"/>
          </w:tcPr>
          <w:p w14:paraId="4CFFD0DD" w14:textId="77777777" w:rsidR="009718F7" w:rsidRPr="00B53505" w:rsidRDefault="009718F7">
            <w:pPr>
              <w:spacing w:before="40" w:after="40"/>
              <w:jc w:val="right"/>
              <w:rPr>
                <w:b/>
                <w:sz w:val="20"/>
              </w:rPr>
            </w:pPr>
            <w:r w:rsidRPr="00B53505">
              <w:rPr>
                <w:b/>
                <w:sz w:val="20"/>
              </w:rPr>
              <w:t>0</w:t>
            </w:r>
          </w:p>
        </w:tc>
        <w:tc>
          <w:tcPr>
            <w:tcW w:w="868" w:type="dxa"/>
            <w:vAlign w:val="center"/>
          </w:tcPr>
          <w:p w14:paraId="0CFC7C24" w14:textId="77777777" w:rsidR="009718F7" w:rsidRPr="00B53505" w:rsidRDefault="009718F7">
            <w:pPr>
              <w:spacing w:before="40" w:after="40"/>
              <w:jc w:val="right"/>
              <w:rPr>
                <w:b/>
                <w:sz w:val="20"/>
              </w:rPr>
            </w:pPr>
            <w:r w:rsidRPr="00B53505">
              <w:rPr>
                <w:b/>
                <w:sz w:val="20"/>
              </w:rPr>
              <w:t>0</w:t>
            </w:r>
          </w:p>
        </w:tc>
        <w:tc>
          <w:tcPr>
            <w:tcW w:w="868" w:type="dxa"/>
            <w:vAlign w:val="center"/>
          </w:tcPr>
          <w:p w14:paraId="4D3319FD" w14:textId="77777777" w:rsidR="009718F7" w:rsidRPr="00B53505" w:rsidRDefault="009718F7">
            <w:pPr>
              <w:spacing w:before="40" w:after="40"/>
              <w:jc w:val="right"/>
              <w:rPr>
                <w:b/>
                <w:sz w:val="20"/>
              </w:rPr>
            </w:pPr>
            <w:r w:rsidRPr="00B53505">
              <w:rPr>
                <w:b/>
                <w:sz w:val="20"/>
              </w:rPr>
              <w:t>0</w:t>
            </w:r>
          </w:p>
        </w:tc>
        <w:tc>
          <w:tcPr>
            <w:tcW w:w="868" w:type="dxa"/>
            <w:vAlign w:val="center"/>
          </w:tcPr>
          <w:p w14:paraId="3C78DF7E" w14:textId="77777777" w:rsidR="009718F7" w:rsidRPr="00B53505" w:rsidRDefault="009718F7">
            <w:pPr>
              <w:spacing w:before="40" w:after="40"/>
              <w:jc w:val="right"/>
              <w:rPr>
                <w:b/>
                <w:sz w:val="20"/>
              </w:rPr>
            </w:pPr>
            <w:r w:rsidRPr="00B53505">
              <w:rPr>
                <w:b/>
                <w:sz w:val="20"/>
              </w:rPr>
              <w:t>0</w:t>
            </w:r>
          </w:p>
        </w:tc>
        <w:tc>
          <w:tcPr>
            <w:tcW w:w="1777" w:type="dxa"/>
            <w:vAlign w:val="center"/>
          </w:tcPr>
          <w:p w14:paraId="0422C3C9" w14:textId="77777777" w:rsidR="009718F7" w:rsidRPr="00B53505" w:rsidRDefault="009718F7">
            <w:pPr>
              <w:spacing w:before="40" w:after="40"/>
              <w:jc w:val="right"/>
              <w:rPr>
                <w:b/>
                <w:sz w:val="20"/>
              </w:rPr>
            </w:pPr>
            <w:r w:rsidRPr="00B53505">
              <w:rPr>
                <w:b/>
                <w:sz w:val="20"/>
              </w:rPr>
              <w:t>0</w:t>
            </w:r>
          </w:p>
        </w:tc>
      </w:tr>
      <w:tr w:rsidR="009718F7" w:rsidRPr="00B53505" w14:paraId="550A2D4D" w14:textId="77777777" w:rsidTr="002A6466">
        <w:tc>
          <w:tcPr>
            <w:tcW w:w="3960" w:type="dxa"/>
            <w:vMerge w:val="restart"/>
            <w:vAlign w:val="center"/>
          </w:tcPr>
          <w:p w14:paraId="3CF3A99A" w14:textId="5426F07B" w:rsidR="009718F7" w:rsidRPr="00B53505" w:rsidRDefault="009718F7" w:rsidP="00A6010A">
            <w:pPr>
              <w:jc w:val="center"/>
              <w:rPr>
                <w:b/>
              </w:rPr>
            </w:pPr>
            <w:r w:rsidRPr="00B53505">
              <w:rPr>
                <w:b/>
                <w:sz w:val="22"/>
              </w:rPr>
              <w:t>TOTAL appropriations</w:t>
            </w:r>
            <w:r w:rsidRPr="00B53505">
              <w:rPr>
                <w:sz w:val="22"/>
              </w:rPr>
              <w:br/>
            </w:r>
            <w:r w:rsidRPr="00B53505">
              <w:rPr>
                <w:b/>
                <w:sz w:val="22"/>
              </w:rPr>
              <w:t xml:space="preserve">for DG </w:t>
            </w:r>
            <w:r w:rsidR="00A6010A" w:rsidRPr="00B53505">
              <w:rPr>
                <w:sz w:val="22"/>
              </w:rPr>
              <w:t>XX</w:t>
            </w:r>
            <w:r w:rsidRPr="00B53505">
              <w:rPr>
                <w:sz w:val="22"/>
              </w:rPr>
              <w:t xml:space="preserve"> </w:t>
            </w:r>
          </w:p>
        </w:tc>
        <w:tc>
          <w:tcPr>
            <w:tcW w:w="1440" w:type="dxa"/>
            <w:vAlign w:val="center"/>
          </w:tcPr>
          <w:p w14:paraId="6ABE3AA8" w14:textId="77777777" w:rsidR="009718F7" w:rsidRPr="00B53505" w:rsidRDefault="009718F7">
            <w:pPr>
              <w:rPr>
                <w:sz w:val="18"/>
              </w:rPr>
            </w:pPr>
            <w:r w:rsidRPr="00B53505">
              <w:rPr>
                <w:sz w:val="18"/>
              </w:rPr>
              <w:t>Commitments</w:t>
            </w:r>
          </w:p>
        </w:tc>
        <w:tc>
          <w:tcPr>
            <w:tcW w:w="654" w:type="dxa"/>
            <w:gridSpan w:val="2"/>
            <w:vAlign w:val="center"/>
          </w:tcPr>
          <w:p w14:paraId="1EDD2456" w14:textId="77777777" w:rsidR="009718F7" w:rsidRPr="00B53505" w:rsidRDefault="009718F7">
            <w:pPr>
              <w:jc w:val="center"/>
              <w:rPr>
                <w:sz w:val="14"/>
              </w:rPr>
            </w:pPr>
            <w:r w:rsidRPr="00B53505">
              <w:rPr>
                <w:sz w:val="14"/>
              </w:rPr>
              <w:t>=1+1a +3</w:t>
            </w:r>
          </w:p>
        </w:tc>
        <w:tc>
          <w:tcPr>
            <w:tcW w:w="1026" w:type="dxa"/>
          </w:tcPr>
          <w:p w14:paraId="24C7C0E6" w14:textId="5BDA7969" w:rsidR="009718F7" w:rsidRPr="00B53505" w:rsidRDefault="009718F7">
            <w:pPr>
              <w:spacing w:before="20" w:after="20"/>
              <w:jc w:val="right"/>
              <w:rPr>
                <w:sz w:val="20"/>
              </w:rPr>
            </w:pPr>
            <w:r w:rsidRPr="00B53505">
              <w:rPr>
                <w:sz w:val="20"/>
              </w:rPr>
              <w:t>2</w:t>
            </w:r>
            <w:r w:rsidR="004F2B8C">
              <w:rPr>
                <w:sz w:val="20"/>
              </w:rPr>
              <w:t>7</w:t>
            </w:r>
            <w:r w:rsidRPr="00B53505">
              <w:rPr>
                <w:sz w:val="20"/>
              </w:rPr>
              <w:t>5.000</w:t>
            </w:r>
          </w:p>
        </w:tc>
        <w:tc>
          <w:tcPr>
            <w:tcW w:w="793" w:type="dxa"/>
          </w:tcPr>
          <w:p w14:paraId="1E40003D" w14:textId="77777777" w:rsidR="009718F7" w:rsidRPr="00B53505" w:rsidRDefault="009718F7">
            <w:pPr>
              <w:spacing w:before="20" w:after="20"/>
              <w:jc w:val="right"/>
              <w:rPr>
                <w:sz w:val="20"/>
              </w:rPr>
            </w:pPr>
            <w:r w:rsidRPr="00B53505">
              <w:rPr>
                <w:sz w:val="20"/>
              </w:rPr>
              <w:t>25.000</w:t>
            </w:r>
          </w:p>
        </w:tc>
        <w:tc>
          <w:tcPr>
            <w:tcW w:w="868" w:type="dxa"/>
          </w:tcPr>
          <w:p w14:paraId="1855DEFB" w14:textId="77777777" w:rsidR="009718F7" w:rsidRPr="00B53505" w:rsidRDefault="009718F7">
            <w:pPr>
              <w:spacing w:before="20" w:after="20"/>
              <w:jc w:val="right"/>
              <w:rPr>
                <w:sz w:val="20"/>
              </w:rPr>
            </w:pPr>
            <w:r w:rsidRPr="00B53505">
              <w:rPr>
                <w:sz w:val="20"/>
              </w:rPr>
              <w:t>25.000</w:t>
            </w:r>
          </w:p>
        </w:tc>
        <w:tc>
          <w:tcPr>
            <w:tcW w:w="868" w:type="dxa"/>
          </w:tcPr>
          <w:p w14:paraId="31580D37" w14:textId="77777777" w:rsidR="009718F7" w:rsidRPr="00B53505" w:rsidRDefault="009718F7">
            <w:pPr>
              <w:spacing w:before="20" w:after="20"/>
              <w:jc w:val="right"/>
              <w:rPr>
                <w:sz w:val="20"/>
              </w:rPr>
            </w:pPr>
            <w:r w:rsidRPr="00B53505">
              <w:rPr>
                <w:sz w:val="20"/>
              </w:rPr>
              <w:t>25.000</w:t>
            </w:r>
          </w:p>
        </w:tc>
        <w:tc>
          <w:tcPr>
            <w:tcW w:w="868" w:type="dxa"/>
          </w:tcPr>
          <w:p w14:paraId="19FFBC24" w14:textId="77777777" w:rsidR="009718F7" w:rsidRPr="00B53505" w:rsidRDefault="009718F7">
            <w:pPr>
              <w:spacing w:before="20" w:after="20"/>
              <w:jc w:val="right"/>
              <w:rPr>
                <w:sz w:val="20"/>
              </w:rPr>
            </w:pPr>
          </w:p>
        </w:tc>
        <w:tc>
          <w:tcPr>
            <w:tcW w:w="868" w:type="dxa"/>
          </w:tcPr>
          <w:p w14:paraId="02E17DA9" w14:textId="77777777" w:rsidR="009718F7" w:rsidRPr="00B53505" w:rsidRDefault="009718F7">
            <w:pPr>
              <w:spacing w:before="20" w:after="20"/>
              <w:jc w:val="right"/>
              <w:rPr>
                <w:sz w:val="20"/>
              </w:rPr>
            </w:pPr>
          </w:p>
        </w:tc>
        <w:tc>
          <w:tcPr>
            <w:tcW w:w="868" w:type="dxa"/>
          </w:tcPr>
          <w:p w14:paraId="1F9E61F0" w14:textId="77777777" w:rsidR="009718F7" w:rsidRPr="00B53505" w:rsidRDefault="009718F7">
            <w:pPr>
              <w:spacing w:before="20" w:after="20"/>
              <w:jc w:val="right"/>
              <w:rPr>
                <w:b/>
                <w:sz w:val="20"/>
              </w:rPr>
            </w:pPr>
          </w:p>
        </w:tc>
        <w:tc>
          <w:tcPr>
            <w:tcW w:w="1777" w:type="dxa"/>
            <w:vAlign w:val="center"/>
          </w:tcPr>
          <w:p w14:paraId="1A1FE7BE" w14:textId="22121AC5" w:rsidR="009718F7" w:rsidRPr="00B53505" w:rsidRDefault="004F2B8C" w:rsidP="004F2B8C">
            <w:pPr>
              <w:spacing w:before="20" w:after="20"/>
              <w:jc w:val="right"/>
              <w:rPr>
                <w:b/>
                <w:sz w:val="20"/>
              </w:rPr>
            </w:pPr>
            <w:r>
              <w:rPr>
                <w:b/>
                <w:sz w:val="20"/>
              </w:rPr>
              <w:t>35</w:t>
            </w:r>
            <w:r w:rsidR="009718F7" w:rsidRPr="00B53505">
              <w:rPr>
                <w:b/>
                <w:sz w:val="20"/>
              </w:rPr>
              <w:t>0.000</w:t>
            </w:r>
          </w:p>
        </w:tc>
      </w:tr>
      <w:tr w:rsidR="009718F7" w:rsidRPr="00B53505" w14:paraId="15D29EFE" w14:textId="77777777" w:rsidTr="002A6466">
        <w:tc>
          <w:tcPr>
            <w:tcW w:w="3960" w:type="dxa"/>
            <w:vMerge/>
          </w:tcPr>
          <w:p w14:paraId="0278D58B" w14:textId="77777777" w:rsidR="009718F7" w:rsidRPr="00B53505" w:rsidRDefault="009718F7">
            <w:pPr>
              <w:rPr>
                <w:sz w:val="20"/>
              </w:rPr>
            </w:pPr>
          </w:p>
        </w:tc>
        <w:tc>
          <w:tcPr>
            <w:tcW w:w="1440" w:type="dxa"/>
            <w:vAlign w:val="center"/>
          </w:tcPr>
          <w:p w14:paraId="70A4DE8E" w14:textId="77777777" w:rsidR="009718F7" w:rsidRPr="00B53505" w:rsidRDefault="009718F7">
            <w:pPr>
              <w:rPr>
                <w:sz w:val="18"/>
              </w:rPr>
            </w:pPr>
            <w:r w:rsidRPr="00B53505">
              <w:rPr>
                <w:sz w:val="18"/>
              </w:rPr>
              <w:t>Payments</w:t>
            </w:r>
          </w:p>
        </w:tc>
        <w:tc>
          <w:tcPr>
            <w:tcW w:w="654" w:type="dxa"/>
            <w:gridSpan w:val="2"/>
            <w:vAlign w:val="center"/>
          </w:tcPr>
          <w:p w14:paraId="7FFADC1B" w14:textId="77777777" w:rsidR="009718F7" w:rsidRPr="00B53505" w:rsidRDefault="009718F7">
            <w:pPr>
              <w:jc w:val="center"/>
              <w:rPr>
                <w:sz w:val="14"/>
              </w:rPr>
            </w:pPr>
            <w:r w:rsidRPr="00B53505">
              <w:rPr>
                <w:sz w:val="14"/>
              </w:rPr>
              <w:t>=2+2a</w:t>
            </w:r>
          </w:p>
          <w:p w14:paraId="55DAE594" w14:textId="77777777" w:rsidR="009718F7" w:rsidRPr="00B53505" w:rsidRDefault="009718F7">
            <w:pPr>
              <w:jc w:val="center"/>
              <w:rPr>
                <w:sz w:val="14"/>
              </w:rPr>
            </w:pPr>
            <w:r w:rsidRPr="00B53505">
              <w:rPr>
                <w:sz w:val="14"/>
              </w:rPr>
              <w:t>+3</w:t>
            </w:r>
          </w:p>
        </w:tc>
        <w:tc>
          <w:tcPr>
            <w:tcW w:w="1026" w:type="dxa"/>
          </w:tcPr>
          <w:p w14:paraId="49A63CA7" w14:textId="67709EEA" w:rsidR="009718F7" w:rsidRPr="00B53505" w:rsidRDefault="009718F7">
            <w:pPr>
              <w:spacing w:before="20" w:after="20"/>
              <w:jc w:val="right"/>
              <w:rPr>
                <w:sz w:val="20"/>
              </w:rPr>
            </w:pPr>
            <w:r w:rsidRPr="00B53505">
              <w:rPr>
                <w:sz w:val="20"/>
              </w:rPr>
              <w:t>2</w:t>
            </w:r>
            <w:r w:rsidR="004F2B8C">
              <w:rPr>
                <w:sz w:val="20"/>
              </w:rPr>
              <w:t>7</w:t>
            </w:r>
            <w:r w:rsidRPr="00B53505">
              <w:rPr>
                <w:sz w:val="20"/>
              </w:rPr>
              <w:t>5.000</w:t>
            </w:r>
          </w:p>
        </w:tc>
        <w:tc>
          <w:tcPr>
            <w:tcW w:w="793" w:type="dxa"/>
          </w:tcPr>
          <w:p w14:paraId="09719D00" w14:textId="77777777" w:rsidR="009718F7" w:rsidRPr="00B53505" w:rsidRDefault="009718F7">
            <w:pPr>
              <w:spacing w:before="20" w:after="20"/>
              <w:jc w:val="right"/>
              <w:rPr>
                <w:color w:val="FF0000"/>
                <w:sz w:val="20"/>
              </w:rPr>
            </w:pPr>
            <w:r w:rsidRPr="00B53505">
              <w:rPr>
                <w:sz w:val="20"/>
              </w:rPr>
              <w:t>25.000</w:t>
            </w:r>
          </w:p>
        </w:tc>
        <w:tc>
          <w:tcPr>
            <w:tcW w:w="868" w:type="dxa"/>
          </w:tcPr>
          <w:p w14:paraId="66A0C3AB" w14:textId="77777777" w:rsidR="009718F7" w:rsidRPr="00B53505" w:rsidRDefault="009718F7">
            <w:pPr>
              <w:spacing w:before="20" w:after="20"/>
              <w:jc w:val="right"/>
              <w:rPr>
                <w:color w:val="FF0000"/>
                <w:sz w:val="20"/>
              </w:rPr>
            </w:pPr>
            <w:r w:rsidRPr="00B53505">
              <w:rPr>
                <w:sz w:val="20"/>
              </w:rPr>
              <w:t>25.000</w:t>
            </w:r>
          </w:p>
        </w:tc>
        <w:tc>
          <w:tcPr>
            <w:tcW w:w="868" w:type="dxa"/>
          </w:tcPr>
          <w:p w14:paraId="407F5994" w14:textId="77777777" w:rsidR="009718F7" w:rsidRPr="00B53505" w:rsidRDefault="009718F7">
            <w:pPr>
              <w:spacing w:before="20" w:after="20"/>
              <w:jc w:val="right"/>
              <w:rPr>
                <w:color w:val="FF0000"/>
                <w:sz w:val="20"/>
              </w:rPr>
            </w:pPr>
            <w:r w:rsidRPr="00B53505">
              <w:rPr>
                <w:sz w:val="20"/>
              </w:rPr>
              <w:t>25.000</w:t>
            </w:r>
          </w:p>
        </w:tc>
        <w:tc>
          <w:tcPr>
            <w:tcW w:w="868" w:type="dxa"/>
          </w:tcPr>
          <w:p w14:paraId="709C502A" w14:textId="77777777" w:rsidR="009718F7" w:rsidRPr="00B53505" w:rsidRDefault="009718F7">
            <w:pPr>
              <w:spacing w:before="20" w:after="20"/>
              <w:jc w:val="right"/>
              <w:rPr>
                <w:sz w:val="20"/>
              </w:rPr>
            </w:pPr>
            <w:r w:rsidRPr="00B53505">
              <w:rPr>
                <w:sz w:val="20"/>
              </w:rPr>
              <w:t>pm</w:t>
            </w:r>
          </w:p>
        </w:tc>
        <w:tc>
          <w:tcPr>
            <w:tcW w:w="868" w:type="dxa"/>
          </w:tcPr>
          <w:p w14:paraId="37BC4D73" w14:textId="77777777" w:rsidR="009718F7" w:rsidRPr="00B53505" w:rsidRDefault="009718F7">
            <w:pPr>
              <w:spacing w:before="20" w:after="20"/>
              <w:jc w:val="right"/>
              <w:rPr>
                <w:sz w:val="20"/>
              </w:rPr>
            </w:pPr>
            <w:r w:rsidRPr="00B53505">
              <w:rPr>
                <w:sz w:val="20"/>
              </w:rPr>
              <w:t>pm</w:t>
            </w:r>
          </w:p>
        </w:tc>
        <w:tc>
          <w:tcPr>
            <w:tcW w:w="868" w:type="dxa"/>
          </w:tcPr>
          <w:p w14:paraId="4DF407B9" w14:textId="77777777" w:rsidR="009718F7" w:rsidRPr="00B53505" w:rsidRDefault="009718F7">
            <w:pPr>
              <w:spacing w:before="20" w:after="20"/>
              <w:jc w:val="right"/>
              <w:rPr>
                <w:b/>
                <w:sz w:val="20"/>
              </w:rPr>
            </w:pPr>
            <w:r w:rsidRPr="00B53505">
              <w:rPr>
                <w:sz w:val="20"/>
              </w:rPr>
              <w:t>pm</w:t>
            </w:r>
          </w:p>
        </w:tc>
        <w:tc>
          <w:tcPr>
            <w:tcW w:w="1777" w:type="dxa"/>
            <w:vAlign w:val="center"/>
          </w:tcPr>
          <w:p w14:paraId="25D920F8" w14:textId="2B99C7AB" w:rsidR="009718F7" w:rsidRPr="00B53505" w:rsidRDefault="004F2B8C" w:rsidP="004F2B8C">
            <w:pPr>
              <w:spacing w:before="20" w:after="20"/>
              <w:jc w:val="right"/>
              <w:rPr>
                <w:b/>
                <w:sz w:val="20"/>
              </w:rPr>
            </w:pPr>
            <w:r>
              <w:rPr>
                <w:b/>
                <w:sz w:val="20"/>
              </w:rPr>
              <w:t>35</w:t>
            </w:r>
            <w:r w:rsidR="009718F7" w:rsidRPr="00B53505">
              <w:rPr>
                <w:b/>
                <w:sz w:val="20"/>
              </w:rPr>
              <w:t>0.000</w:t>
            </w:r>
          </w:p>
        </w:tc>
      </w:tr>
    </w:tbl>
    <w:p w14:paraId="4C2A2208" w14:textId="77777777" w:rsidR="009718F7" w:rsidRPr="00B53505" w:rsidRDefault="009718F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9718F7" w:rsidRPr="00B53505" w14:paraId="58329EA5" w14:textId="77777777">
        <w:trPr>
          <w:trHeight w:val="277"/>
        </w:trPr>
        <w:tc>
          <w:tcPr>
            <w:tcW w:w="3960" w:type="dxa"/>
            <w:vMerge w:val="restart"/>
            <w:vAlign w:val="center"/>
          </w:tcPr>
          <w:p w14:paraId="076869BF" w14:textId="77777777" w:rsidR="009718F7" w:rsidRPr="00B53505" w:rsidRDefault="009718F7">
            <w:pPr>
              <w:spacing w:before="20" w:after="20"/>
            </w:pPr>
            <w:r w:rsidRPr="00B53505">
              <w:rPr>
                <w:sz w:val="22"/>
              </w:rPr>
              <w:br w:type="page"/>
            </w:r>
            <w:r w:rsidRPr="00B53505">
              <w:rPr>
                <w:sz w:val="21"/>
              </w:rPr>
              <w:sym w:font="Wingdings" w:char="F09F"/>
            </w:r>
            <w:r w:rsidRPr="00B53505">
              <w:rPr>
                <w:sz w:val="21"/>
              </w:rPr>
              <w:t xml:space="preserve"> TOTAL operational appropriations </w:t>
            </w:r>
          </w:p>
        </w:tc>
        <w:tc>
          <w:tcPr>
            <w:tcW w:w="1440" w:type="dxa"/>
            <w:vAlign w:val="center"/>
          </w:tcPr>
          <w:p w14:paraId="4BAD79E3" w14:textId="77777777" w:rsidR="009718F7" w:rsidRPr="00B53505" w:rsidRDefault="009718F7">
            <w:pPr>
              <w:spacing w:beforeLines="20" w:before="48" w:afterLines="20" w:after="48"/>
              <w:rPr>
                <w:sz w:val="18"/>
              </w:rPr>
            </w:pPr>
            <w:r w:rsidRPr="00B53505">
              <w:rPr>
                <w:sz w:val="18"/>
              </w:rPr>
              <w:t>Commitments</w:t>
            </w:r>
          </w:p>
        </w:tc>
        <w:tc>
          <w:tcPr>
            <w:tcW w:w="654" w:type="dxa"/>
            <w:vAlign w:val="center"/>
          </w:tcPr>
          <w:p w14:paraId="5929C777" w14:textId="77777777" w:rsidR="009718F7" w:rsidRPr="00B53505" w:rsidRDefault="009718F7">
            <w:pPr>
              <w:spacing w:beforeLines="20" w:before="48" w:afterLines="20" w:after="48"/>
              <w:jc w:val="center"/>
              <w:rPr>
                <w:sz w:val="14"/>
              </w:rPr>
            </w:pPr>
            <w:r w:rsidRPr="00B53505">
              <w:rPr>
                <w:sz w:val="14"/>
              </w:rPr>
              <w:t>(4)</w:t>
            </w:r>
          </w:p>
        </w:tc>
        <w:tc>
          <w:tcPr>
            <w:tcW w:w="868" w:type="dxa"/>
            <w:vAlign w:val="center"/>
          </w:tcPr>
          <w:p w14:paraId="32D5FD71" w14:textId="77777777" w:rsidR="009718F7" w:rsidRPr="00B53505" w:rsidRDefault="009718F7">
            <w:pPr>
              <w:spacing w:before="20" w:after="20"/>
              <w:jc w:val="right"/>
              <w:rPr>
                <w:sz w:val="20"/>
              </w:rPr>
            </w:pPr>
          </w:p>
        </w:tc>
        <w:tc>
          <w:tcPr>
            <w:tcW w:w="868" w:type="dxa"/>
            <w:vAlign w:val="center"/>
          </w:tcPr>
          <w:p w14:paraId="5668B064" w14:textId="77777777" w:rsidR="009718F7" w:rsidRPr="00B53505" w:rsidRDefault="009718F7">
            <w:pPr>
              <w:spacing w:before="20" w:after="20"/>
              <w:jc w:val="right"/>
              <w:rPr>
                <w:sz w:val="20"/>
              </w:rPr>
            </w:pPr>
          </w:p>
        </w:tc>
        <w:tc>
          <w:tcPr>
            <w:tcW w:w="868" w:type="dxa"/>
            <w:vAlign w:val="center"/>
          </w:tcPr>
          <w:p w14:paraId="0943CC17" w14:textId="77777777" w:rsidR="009718F7" w:rsidRPr="00B53505" w:rsidRDefault="009718F7">
            <w:pPr>
              <w:spacing w:before="20" w:after="20"/>
              <w:jc w:val="right"/>
              <w:rPr>
                <w:sz w:val="20"/>
              </w:rPr>
            </w:pPr>
          </w:p>
        </w:tc>
        <w:tc>
          <w:tcPr>
            <w:tcW w:w="868" w:type="dxa"/>
            <w:vAlign w:val="center"/>
          </w:tcPr>
          <w:p w14:paraId="08F94714" w14:textId="77777777" w:rsidR="009718F7" w:rsidRPr="00B53505" w:rsidRDefault="009718F7">
            <w:pPr>
              <w:spacing w:before="20" w:after="20"/>
              <w:jc w:val="right"/>
              <w:rPr>
                <w:sz w:val="20"/>
              </w:rPr>
            </w:pPr>
          </w:p>
        </w:tc>
        <w:tc>
          <w:tcPr>
            <w:tcW w:w="868" w:type="dxa"/>
            <w:vAlign w:val="center"/>
          </w:tcPr>
          <w:p w14:paraId="5E2890FF" w14:textId="77777777" w:rsidR="009718F7" w:rsidRPr="00B53505" w:rsidRDefault="009718F7">
            <w:pPr>
              <w:spacing w:before="20" w:after="20"/>
              <w:jc w:val="right"/>
              <w:rPr>
                <w:sz w:val="20"/>
              </w:rPr>
            </w:pPr>
          </w:p>
        </w:tc>
        <w:tc>
          <w:tcPr>
            <w:tcW w:w="868" w:type="dxa"/>
            <w:vAlign w:val="center"/>
          </w:tcPr>
          <w:p w14:paraId="554F7275" w14:textId="77777777" w:rsidR="009718F7" w:rsidRPr="00B53505" w:rsidRDefault="009718F7">
            <w:pPr>
              <w:spacing w:before="20" w:after="20"/>
              <w:jc w:val="right"/>
              <w:rPr>
                <w:sz w:val="20"/>
              </w:rPr>
            </w:pPr>
          </w:p>
        </w:tc>
        <w:tc>
          <w:tcPr>
            <w:tcW w:w="868" w:type="dxa"/>
            <w:vAlign w:val="center"/>
          </w:tcPr>
          <w:p w14:paraId="63E6DAF4" w14:textId="77777777" w:rsidR="009718F7" w:rsidRPr="00B53505" w:rsidRDefault="009718F7">
            <w:pPr>
              <w:spacing w:before="20" w:after="20"/>
              <w:jc w:val="right"/>
              <w:rPr>
                <w:b/>
                <w:sz w:val="20"/>
              </w:rPr>
            </w:pPr>
          </w:p>
        </w:tc>
        <w:tc>
          <w:tcPr>
            <w:tcW w:w="1777" w:type="dxa"/>
            <w:vAlign w:val="center"/>
          </w:tcPr>
          <w:p w14:paraId="2A6AA46C" w14:textId="77777777" w:rsidR="009718F7" w:rsidRPr="00B53505" w:rsidRDefault="009718F7">
            <w:pPr>
              <w:spacing w:before="20" w:after="20"/>
              <w:jc w:val="right"/>
              <w:rPr>
                <w:b/>
                <w:sz w:val="20"/>
              </w:rPr>
            </w:pPr>
          </w:p>
        </w:tc>
      </w:tr>
      <w:tr w:rsidR="009718F7" w:rsidRPr="00B53505" w14:paraId="67429539" w14:textId="77777777">
        <w:tc>
          <w:tcPr>
            <w:tcW w:w="3960" w:type="dxa"/>
            <w:vMerge/>
          </w:tcPr>
          <w:p w14:paraId="28FD10DC" w14:textId="77777777" w:rsidR="009718F7" w:rsidRPr="00B53505" w:rsidRDefault="009718F7">
            <w:pPr>
              <w:jc w:val="center"/>
              <w:rPr>
                <w:sz w:val="20"/>
              </w:rPr>
            </w:pPr>
          </w:p>
        </w:tc>
        <w:tc>
          <w:tcPr>
            <w:tcW w:w="1440" w:type="dxa"/>
            <w:vAlign w:val="center"/>
          </w:tcPr>
          <w:p w14:paraId="0F7C9780" w14:textId="77777777" w:rsidR="009718F7" w:rsidRPr="00B53505" w:rsidRDefault="009718F7">
            <w:pPr>
              <w:spacing w:beforeLines="20" w:before="48" w:afterLines="20" w:after="48"/>
              <w:rPr>
                <w:sz w:val="18"/>
              </w:rPr>
            </w:pPr>
            <w:r w:rsidRPr="00B53505">
              <w:rPr>
                <w:sz w:val="18"/>
              </w:rPr>
              <w:t>Payments</w:t>
            </w:r>
          </w:p>
        </w:tc>
        <w:tc>
          <w:tcPr>
            <w:tcW w:w="654" w:type="dxa"/>
            <w:vAlign w:val="center"/>
          </w:tcPr>
          <w:p w14:paraId="39CCB93B" w14:textId="77777777" w:rsidR="009718F7" w:rsidRPr="00B53505" w:rsidRDefault="009718F7">
            <w:pPr>
              <w:spacing w:beforeLines="20" w:before="48" w:afterLines="20" w:after="48"/>
              <w:jc w:val="center"/>
              <w:rPr>
                <w:sz w:val="14"/>
              </w:rPr>
            </w:pPr>
            <w:r w:rsidRPr="00B53505">
              <w:rPr>
                <w:sz w:val="14"/>
              </w:rPr>
              <w:t>(5)</w:t>
            </w:r>
          </w:p>
        </w:tc>
        <w:tc>
          <w:tcPr>
            <w:tcW w:w="868" w:type="dxa"/>
            <w:vAlign w:val="center"/>
          </w:tcPr>
          <w:p w14:paraId="7DEADAF4" w14:textId="77777777" w:rsidR="009718F7" w:rsidRPr="00B53505" w:rsidRDefault="009718F7">
            <w:pPr>
              <w:spacing w:before="20" w:after="20"/>
              <w:jc w:val="right"/>
              <w:rPr>
                <w:sz w:val="20"/>
              </w:rPr>
            </w:pPr>
          </w:p>
        </w:tc>
        <w:tc>
          <w:tcPr>
            <w:tcW w:w="868" w:type="dxa"/>
            <w:vAlign w:val="center"/>
          </w:tcPr>
          <w:p w14:paraId="35DED0A1" w14:textId="77777777" w:rsidR="009718F7" w:rsidRPr="00B53505" w:rsidRDefault="009718F7">
            <w:pPr>
              <w:spacing w:before="20" w:after="20"/>
              <w:jc w:val="right"/>
              <w:rPr>
                <w:sz w:val="20"/>
              </w:rPr>
            </w:pPr>
          </w:p>
        </w:tc>
        <w:tc>
          <w:tcPr>
            <w:tcW w:w="868" w:type="dxa"/>
            <w:vAlign w:val="center"/>
          </w:tcPr>
          <w:p w14:paraId="3FF6926B" w14:textId="77777777" w:rsidR="009718F7" w:rsidRPr="00B53505" w:rsidRDefault="009718F7">
            <w:pPr>
              <w:spacing w:before="20" w:after="20"/>
              <w:jc w:val="right"/>
              <w:rPr>
                <w:sz w:val="20"/>
              </w:rPr>
            </w:pPr>
          </w:p>
        </w:tc>
        <w:tc>
          <w:tcPr>
            <w:tcW w:w="868" w:type="dxa"/>
            <w:vAlign w:val="center"/>
          </w:tcPr>
          <w:p w14:paraId="715BFC38" w14:textId="77777777" w:rsidR="009718F7" w:rsidRPr="00B53505" w:rsidRDefault="009718F7">
            <w:pPr>
              <w:spacing w:before="20" w:after="20"/>
              <w:jc w:val="right"/>
              <w:rPr>
                <w:sz w:val="20"/>
              </w:rPr>
            </w:pPr>
          </w:p>
        </w:tc>
        <w:tc>
          <w:tcPr>
            <w:tcW w:w="868" w:type="dxa"/>
            <w:vAlign w:val="center"/>
          </w:tcPr>
          <w:p w14:paraId="70E7D904" w14:textId="77777777" w:rsidR="009718F7" w:rsidRPr="00B53505" w:rsidRDefault="009718F7">
            <w:pPr>
              <w:spacing w:before="20" w:after="20"/>
              <w:jc w:val="right"/>
              <w:rPr>
                <w:sz w:val="20"/>
              </w:rPr>
            </w:pPr>
          </w:p>
        </w:tc>
        <w:tc>
          <w:tcPr>
            <w:tcW w:w="868" w:type="dxa"/>
            <w:vAlign w:val="center"/>
          </w:tcPr>
          <w:p w14:paraId="097D6538" w14:textId="77777777" w:rsidR="009718F7" w:rsidRPr="00B53505" w:rsidRDefault="009718F7">
            <w:pPr>
              <w:spacing w:before="20" w:after="20"/>
              <w:jc w:val="right"/>
              <w:rPr>
                <w:sz w:val="20"/>
              </w:rPr>
            </w:pPr>
          </w:p>
        </w:tc>
        <w:tc>
          <w:tcPr>
            <w:tcW w:w="868" w:type="dxa"/>
            <w:vAlign w:val="center"/>
          </w:tcPr>
          <w:p w14:paraId="2AA0C513" w14:textId="77777777" w:rsidR="009718F7" w:rsidRPr="00B53505" w:rsidRDefault="009718F7">
            <w:pPr>
              <w:spacing w:before="20" w:after="20"/>
              <w:jc w:val="right"/>
              <w:rPr>
                <w:b/>
                <w:sz w:val="20"/>
              </w:rPr>
            </w:pPr>
          </w:p>
        </w:tc>
        <w:tc>
          <w:tcPr>
            <w:tcW w:w="1777" w:type="dxa"/>
            <w:vAlign w:val="center"/>
          </w:tcPr>
          <w:p w14:paraId="74B5386D" w14:textId="77777777" w:rsidR="009718F7" w:rsidRPr="00B53505" w:rsidRDefault="009718F7">
            <w:pPr>
              <w:spacing w:before="20" w:after="20"/>
              <w:jc w:val="right"/>
              <w:rPr>
                <w:b/>
                <w:sz w:val="20"/>
              </w:rPr>
            </w:pPr>
          </w:p>
        </w:tc>
      </w:tr>
      <w:tr w:rsidR="009718F7" w:rsidRPr="00B53505" w14:paraId="27B38A1B" w14:textId="77777777">
        <w:trPr>
          <w:trHeight w:val="533"/>
        </w:trPr>
        <w:tc>
          <w:tcPr>
            <w:tcW w:w="5400" w:type="dxa"/>
            <w:gridSpan w:val="2"/>
            <w:vAlign w:val="center"/>
          </w:tcPr>
          <w:p w14:paraId="00638DA4" w14:textId="77777777" w:rsidR="009718F7" w:rsidRPr="00B53505" w:rsidRDefault="009718F7">
            <w:pPr>
              <w:spacing w:beforeLines="20" w:before="48" w:afterLines="20" w:after="48"/>
            </w:pPr>
            <w:r w:rsidRPr="00B53505">
              <w:rPr>
                <w:sz w:val="21"/>
              </w:rPr>
              <w:sym w:font="Wingdings" w:char="F09F"/>
            </w:r>
            <w:r w:rsidRPr="00B53505">
              <w:rPr>
                <w:sz w:val="21"/>
              </w:rPr>
              <w:t xml:space="preserve"> TOTAL appropriations of an administrative nature financed from the envelope for specific programmes </w:t>
            </w:r>
          </w:p>
        </w:tc>
        <w:tc>
          <w:tcPr>
            <w:tcW w:w="654" w:type="dxa"/>
            <w:vAlign w:val="center"/>
          </w:tcPr>
          <w:p w14:paraId="063D8F91" w14:textId="77777777" w:rsidR="009718F7" w:rsidRPr="00B53505" w:rsidRDefault="009718F7">
            <w:pPr>
              <w:spacing w:beforeLines="20" w:before="48" w:afterLines="20" w:after="48"/>
              <w:jc w:val="center"/>
              <w:rPr>
                <w:sz w:val="14"/>
              </w:rPr>
            </w:pPr>
            <w:r w:rsidRPr="00B53505">
              <w:rPr>
                <w:sz w:val="14"/>
              </w:rPr>
              <w:t>(6)</w:t>
            </w:r>
          </w:p>
        </w:tc>
        <w:tc>
          <w:tcPr>
            <w:tcW w:w="868" w:type="dxa"/>
            <w:vAlign w:val="center"/>
          </w:tcPr>
          <w:p w14:paraId="02B96FFE" w14:textId="77777777" w:rsidR="009718F7" w:rsidRPr="00B53505" w:rsidRDefault="009718F7">
            <w:pPr>
              <w:spacing w:before="20" w:after="20"/>
              <w:jc w:val="right"/>
              <w:rPr>
                <w:b/>
                <w:sz w:val="20"/>
              </w:rPr>
            </w:pPr>
          </w:p>
        </w:tc>
        <w:tc>
          <w:tcPr>
            <w:tcW w:w="868" w:type="dxa"/>
            <w:vAlign w:val="center"/>
          </w:tcPr>
          <w:p w14:paraId="1F0A1B9C" w14:textId="77777777" w:rsidR="009718F7" w:rsidRPr="00B53505" w:rsidRDefault="009718F7">
            <w:pPr>
              <w:spacing w:before="20" w:after="20"/>
              <w:jc w:val="right"/>
              <w:rPr>
                <w:b/>
                <w:sz w:val="20"/>
              </w:rPr>
            </w:pPr>
          </w:p>
        </w:tc>
        <w:tc>
          <w:tcPr>
            <w:tcW w:w="868" w:type="dxa"/>
            <w:vAlign w:val="center"/>
          </w:tcPr>
          <w:p w14:paraId="61D1E30A" w14:textId="77777777" w:rsidR="009718F7" w:rsidRPr="00B53505" w:rsidRDefault="009718F7">
            <w:pPr>
              <w:spacing w:before="20" w:after="20"/>
              <w:jc w:val="right"/>
              <w:rPr>
                <w:b/>
                <w:sz w:val="20"/>
              </w:rPr>
            </w:pPr>
          </w:p>
        </w:tc>
        <w:tc>
          <w:tcPr>
            <w:tcW w:w="868" w:type="dxa"/>
            <w:vAlign w:val="center"/>
          </w:tcPr>
          <w:p w14:paraId="4BFFEFA4" w14:textId="77777777" w:rsidR="009718F7" w:rsidRPr="00B53505" w:rsidRDefault="009718F7">
            <w:pPr>
              <w:spacing w:before="20" w:after="20"/>
              <w:jc w:val="right"/>
              <w:rPr>
                <w:b/>
                <w:sz w:val="20"/>
              </w:rPr>
            </w:pPr>
          </w:p>
        </w:tc>
        <w:tc>
          <w:tcPr>
            <w:tcW w:w="868" w:type="dxa"/>
            <w:vAlign w:val="center"/>
          </w:tcPr>
          <w:p w14:paraId="34994DD5" w14:textId="77777777" w:rsidR="009718F7" w:rsidRPr="00B53505" w:rsidRDefault="009718F7">
            <w:pPr>
              <w:spacing w:before="20" w:after="20"/>
              <w:jc w:val="right"/>
              <w:rPr>
                <w:b/>
                <w:sz w:val="20"/>
              </w:rPr>
            </w:pPr>
          </w:p>
        </w:tc>
        <w:tc>
          <w:tcPr>
            <w:tcW w:w="868" w:type="dxa"/>
            <w:vAlign w:val="center"/>
          </w:tcPr>
          <w:p w14:paraId="784BA364" w14:textId="77777777" w:rsidR="009718F7" w:rsidRPr="00B53505" w:rsidRDefault="009718F7">
            <w:pPr>
              <w:spacing w:before="20" w:after="20"/>
              <w:jc w:val="right"/>
              <w:rPr>
                <w:b/>
                <w:sz w:val="20"/>
              </w:rPr>
            </w:pPr>
          </w:p>
        </w:tc>
        <w:tc>
          <w:tcPr>
            <w:tcW w:w="868" w:type="dxa"/>
            <w:vAlign w:val="center"/>
          </w:tcPr>
          <w:p w14:paraId="08C82A51" w14:textId="77777777" w:rsidR="009718F7" w:rsidRPr="00B53505" w:rsidRDefault="009718F7">
            <w:pPr>
              <w:spacing w:before="20" w:after="20"/>
              <w:jc w:val="right"/>
              <w:rPr>
                <w:b/>
                <w:sz w:val="20"/>
              </w:rPr>
            </w:pPr>
          </w:p>
        </w:tc>
        <w:tc>
          <w:tcPr>
            <w:tcW w:w="1777" w:type="dxa"/>
            <w:vAlign w:val="center"/>
          </w:tcPr>
          <w:p w14:paraId="020C29FD" w14:textId="77777777" w:rsidR="009718F7" w:rsidRPr="00B53505" w:rsidRDefault="009718F7">
            <w:pPr>
              <w:spacing w:before="20" w:after="20"/>
              <w:jc w:val="right"/>
              <w:rPr>
                <w:b/>
                <w:sz w:val="20"/>
              </w:rPr>
            </w:pPr>
          </w:p>
        </w:tc>
      </w:tr>
      <w:tr w:rsidR="009718F7" w:rsidRPr="00B53505" w14:paraId="5D25D81C" w14:textId="77777777" w:rsidTr="002A6466">
        <w:tc>
          <w:tcPr>
            <w:tcW w:w="3960" w:type="dxa"/>
            <w:vMerge w:val="restart"/>
            <w:shd w:val="thinDiagStripe" w:color="C0C0C0" w:fill="auto"/>
            <w:vAlign w:val="center"/>
          </w:tcPr>
          <w:p w14:paraId="2DC5F452" w14:textId="77777777" w:rsidR="009718F7" w:rsidRPr="00B53505" w:rsidRDefault="009718F7" w:rsidP="002A6466">
            <w:pPr>
              <w:jc w:val="center"/>
              <w:rPr>
                <w:b/>
              </w:rPr>
            </w:pPr>
            <w:r w:rsidRPr="00B53505">
              <w:rPr>
                <w:b/>
                <w:sz w:val="22"/>
              </w:rPr>
              <w:t xml:space="preserve">TOTAL appropriations </w:t>
            </w:r>
            <w:r w:rsidRPr="00B53505">
              <w:rPr>
                <w:sz w:val="22"/>
              </w:rPr>
              <w:br/>
            </w:r>
            <w:r w:rsidRPr="00B53505">
              <w:rPr>
                <w:b/>
                <w:sz w:val="22"/>
              </w:rPr>
              <w:t>under HEADING &lt;4&gt;</w:t>
            </w:r>
            <w:r w:rsidRPr="00B53505">
              <w:rPr>
                <w:sz w:val="22"/>
              </w:rPr>
              <w:br/>
              <w:t>of the multiannual financial framework</w:t>
            </w:r>
          </w:p>
        </w:tc>
        <w:tc>
          <w:tcPr>
            <w:tcW w:w="1440" w:type="dxa"/>
            <w:vAlign w:val="center"/>
          </w:tcPr>
          <w:p w14:paraId="1E3AB559" w14:textId="77777777" w:rsidR="009718F7" w:rsidRPr="00B53505" w:rsidRDefault="009718F7">
            <w:pPr>
              <w:rPr>
                <w:sz w:val="18"/>
              </w:rPr>
            </w:pPr>
            <w:r w:rsidRPr="00B53505">
              <w:rPr>
                <w:sz w:val="18"/>
              </w:rPr>
              <w:t>Commitments</w:t>
            </w:r>
          </w:p>
        </w:tc>
        <w:tc>
          <w:tcPr>
            <w:tcW w:w="654" w:type="dxa"/>
            <w:vAlign w:val="center"/>
          </w:tcPr>
          <w:p w14:paraId="4D4BDCB7" w14:textId="77777777" w:rsidR="009718F7" w:rsidRPr="00B53505" w:rsidRDefault="009718F7">
            <w:pPr>
              <w:jc w:val="center"/>
              <w:rPr>
                <w:sz w:val="14"/>
              </w:rPr>
            </w:pPr>
            <w:r w:rsidRPr="00B53505">
              <w:rPr>
                <w:sz w:val="14"/>
              </w:rPr>
              <w:t>=4+ 6</w:t>
            </w:r>
          </w:p>
        </w:tc>
        <w:tc>
          <w:tcPr>
            <w:tcW w:w="868" w:type="dxa"/>
          </w:tcPr>
          <w:p w14:paraId="725F39F6" w14:textId="458DA544" w:rsidR="009718F7" w:rsidRPr="00B53505" w:rsidRDefault="004F2B8C" w:rsidP="002A6466">
            <w:pPr>
              <w:spacing w:before="20" w:after="20"/>
              <w:jc w:val="right"/>
              <w:rPr>
                <w:sz w:val="20"/>
              </w:rPr>
            </w:pPr>
            <w:r>
              <w:rPr>
                <w:sz w:val="20"/>
              </w:rPr>
              <w:t>27</w:t>
            </w:r>
            <w:r w:rsidR="009718F7" w:rsidRPr="00B53505">
              <w:rPr>
                <w:sz w:val="20"/>
              </w:rPr>
              <w:t>5.000</w:t>
            </w:r>
          </w:p>
        </w:tc>
        <w:tc>
          <w:tcPr>
            <w:tcW w:w="868" w:type="dxa"/>
          </w:tcPr>
          <w:p w14:paraId="4A3F7845" w14:textId="77777777" w:rsidR="009718F7" w:rsidRPr="00B53505" w:rsidRDefault="009718F7" w:rsidP="002A6466">
            <w:pPr>
              <w:spacing w:before="20" w:after="20"/>
              <w:jc w:val="right"/>
              <w:rPr>
                <w:sz w:val="20"/>
              </w:rPr>
            </w:pPr>
            <w:r w:rsidRPr="00B53505">
              <w:rPr>
                <w:sz w:val="20"/>
              </w:rPr>
              <w:t>25.000</w:t>
            </w:r>
          </w:p>
        </w:tc>
        <w:tc>
          <w:tcPr>
            <w:tcW w:w="868" w:type="dxa"/>
          </w:tcPr>
          <w:p w14:paraId="7FF5CA1A" w14:textId="77777777" w:rsidR="009718F7" w:rsidRPr="00B53505" w:rsidRDefault="009718F7" w:rsidP="002A6466">
            <w:pPr>
              <w:spacing w:before="20" w:after="20"/>
              <w:jc w:val="right"/>
              <w:rPr>
                <w:sz w:val="20"/>
              </w:rPr>
            </w:pPr>
            <w:r w:rsidRPr="00B53505">
              <w:rPr>
                <w:sz w:val="20"/>
              </w:rPr>
              <w:t>25.000</w:t>
            </w:r>
          </w:p>
        </w:tc>
        <w:tc>
          <w:tcPr>
            <w:tcW w:w="868" w:type="dxa"/>
          </w:tcPr>
          <w:p w14:paraId="13573BE3" w14:textId="77777777" w:rsidR="009718F7" w:rsidRPr="00B53505" w:rsidRDefault="009718F7" w:rsidP="002A6466">
            <w:pPr>
              <w:spacing w:before="20" w:after="20"/>
              <w:jc w:val="right"/>
              <w:rPr>
                <w:sz w:val="20"/>
              </w:rPr>
            </w:pPr>
            <w:r w:rsidRPr="00B53505">
              <w:rPr>
                <w:sz w:val="20"/>
              </w:rPr>
              <w:t>25.000</w:t>
            </w:r>
          </w:p>
        </w:tc>
        <w:tc>
          <w:tcPr>
            <w:tcW w:w="868" w:type="dxa"/>
          </w:tcPr>
          <w:p w14:paraId="14A1316F" w14:textId="77777777" w:rsidR="009718F7" w:rsidRPr="00B53505" w:rsidRDefault="009718F7" w:rsidP="002A6466">
            <w:pPr>
              <w:spacing w:before="20" w:after="20"/>
              <w:jc w:val="right"/>
              <w:rPr>
                <w:sz w:val="20"/>
              </w:rPr>
            </w:pPr>
            <w:r w:rsidRPr="00B53505">
              <w:rPr>
                <w:sz w:val="20"/>
              </w:rPr>
              <w:t>pm</w:t>
            </w:r>
          </w:p>
        </w:tc>
        <w:tc>
          <w:tcPr>
            <w:tcW w:w="868" w:type="dxa"/>
          </w:tcPr>
          <w:p w14:paraId="06F22B1F" w14:textId="77777777" w:rsidR="009718F7" w:rsidRPr="00B53505" w:rsidRDefault="009718F7" w:rsidP="002A6466">
            <w:pPr>
              <w:spacing w:before="20" w:after="20"/>
              <w:jc w:val="right"/>
              <w:rPr>
                <w:sz w:val="20"/>
              </w:rPr>
            </w:pPr>
            <w:r w:rsidRPr="00B53505">
              <w:rPr>
                <w:sz w:val="20"/>
              </w:rPr>
              <w:t>pm</w:t>
            </w:r>
          </w:p>
        </w:tc>
        <w:tc>
          <w:tcPr>
            <w:tcW w:w="868" w:type="dxa"/>
          </w:tcPr>
          <w:p w14:paraId="136CF5CB" w14:textId="77777777" w:rsidR="009718F7" w:rsidRPr="00B53505" w:rsidRDefault="009718F7" w:rsidP="002A6466">
            <w:pPr>
              <w:spacing w:before="20" w:after="20"/>
              <w:jc w:val="right"/>
              <w:rPr>
                <w:b/>
                <w:sz w:val="20"/>
              </w:rPr>
            </w:pPr>
            <w:r w:rsidRPr="00B53505">
              <w:rPr>
                <w:sz w:val="20"/>
              </w:rPr>
              <w:t>pm</w:t>
            </w:r>
          </w:p>
        </w:tc>
        <w:tc>
          <w:tcPr>
            <w:tcW w:w="1777" w:type="dxa"/>
            <w:vAlign w:val="center"/>
          </w:tcPr>
          <w:p w14:paraId="561E22B2" w14:textId="6609F9BE" w:rsidR="009718F7" w:rsidRPr="00B53505" w:rsidRDefault="004F2B8C" w:rsidP="004F2B8C">
            <w:pPr>
              <w:spacing w:before="20" w:after="20"/>
              <w:jc w:val="right"/>
              <w:rPr>
                <w:b/>
                <w:sz w:val="20"/>
              </w:rPr>
            </w:pPr>
            <w:r>
              <w:rPr>
                <w:b/>
                <w:sz w:val="20"/>
              </w:rPr>
              <w:t>35</w:t>
            </w:r>
            <w:r w:rsidR="009718F7" w:rsidRPr="00B53505">
              <w:rPr>
                <w:b/>
                <w:sz w:val="20"/>
              </w:rPr>
              <w:t>0.000</w:t>
            </w:r>
          </w:p>
        </w:tc>
      </w:tr>
      <w:tr w:rsidR="009718F7" w:rsidRPr="00B53505" w14:paraId="37314C44" w14:textId="77777777" w:rsidTr="002A6466">
        <w:tc>
          <w:tcPr>
            <w:tcW w:w="3960" w:type="dxa"/>
            <w:vMerge/>
            <w:shd w:val="thinDiagStripe" w:color="C0C0C0" w:fill="auto"/>
          </w:tcPr>
          <w:p w14:paraId="0FE09506" w14:textId="77777777" w:rsidR="009718F7" w:rsidRPr="00B53505" w:rsidRDefault="009718F7">
            <w:pPr>
              <w:rPr>
                <w:sz w:val="20"/>
              </w:rPr>
            </w:pPr>
          </w:p>
        </w:tc>
        <w:tc>
          <w:tcPr>
            <w:tcW w:w="1440" w:type="dxa"/>
            <w:vAlign w:val="center"/>
          </w:tcPr>
          <w:p w14:paraId="35C1BB68" w14:textId="77777777" w:rsidR="009718F7" w:rsidRPr="00B53505" w:rsidRDefault="009718F7">
            <w:pPr>
              <w:rPr>
                <w:sz w:val="18"/>
              </w:rPr>
            </w:pPr>
            <w:r w:rsidRPr="00B53505">
              <w:rPr>
                <w:sz w:val="18"/>
              </w:rPr>
              <w:t>Payments</w:t>
            </w:r>
          </w:p>
        </w:tc>
        <w:tc>
          <w:tcPr>
            <w:tcW w:w="654" w:type="dxa"/>
            <w:vAlign w:val="center"/>
          </w:tcPr>
          <w:p w14:paraId="643F4F68" w14:textId="77777777" w:rsidR="009718F7" w:rsidRPr="00B53505" w:rsidRDefault="009718F7">
            <w:pPr>
              <w:jc w:val="center"/>
              <w:rPr>
                <w:sz w:val="14"/>
              </w:rPr>
            </w:pPr>
            <w:r w:rsidRPr="00B53505">
              <w:rPr>
                <w:sz w:val="14"/>
              </w:rPr>
              <w:t>=5+ 6</w:t>
            </w:r>
          </w:p>
        </w:tc>
        <w:tc>
          <w:tcPr>
            <w:tcW w:w="868" w:type="dxa"/>
          </w:tcPr>
          <w:p w14:paraId="6BD645AF" w14:textId="7C22BDDB" w:rsidR="009718F7" w:rsidRPr="00B53505" w:rsidRDefault="009718F7" w:rsidP="002A6466">
            <w:pPr>
              <w:spacing w:before="20" w:after="20"/>
              <w:jc w:val="right"/>
              <w:rPr>
                <w:sz w:val="20"/>
              </w:rPr>
            </w:pPr>
            <w:r w:rsidRPr="00B53505">
              <w:rPr>
                <w:sz w:val="20"/>
              </w:rPr>
              <w:t>2</w:t>
            </w:r>
            <w:r w:rsidR="004F2B8C">
              <w:rPr>
                <w:sz w:val="20"/>
              </w:rPr>
              <w:t>7</w:t>
            </w:r>
            <w:r w:rsidRPr="00B53505">
              <w:rPr>
                <w:sz w:val="20"/>
              </w:rPr>
              <w:t>5.000</w:t>
            </w:r>
          </w:p>
        </w:tc>
        <w:tc>
          <w:tcPr>
            <w:tcW w:w="868" w:type="dxa"/>
          </w:tcPr>
          <w:p w14:paraId="163C42E9" w14:textId="77777777" w:rsidR="009718F7" w:rsidRPr="00B53505" w:rsidRDefault="009718F7" w:rsidP="002A6466">
            <w:pPr>
              <w:spacing w:before="20" w:after="20"/>
              <w:jc w:val="right"/>
              <w:rPr>
                <w:sz w:val="20"/>
              </w:rPr>
            </w:pPr>
            <w:r w:rsidRPr="00B53505">
              <w:rPr>
                <w:sz w:val="20"/>
              </w:rPr>
              <w:t>25.000</w:t>
            </w:r>
          </w:p>
        </w:tc>
        <w:tc>
          <w:tcPr>
            <w:tcW w:w="868" w:type="dxa"/>
          </w:tcPr>
          <w:p w14:paraId="20DFB3B2" w14:textId="77777777" w:rsidR="009718F7" w:rsidRPr="00B53505" w:rsidRDefault="009718F7" w:rsidP="002A6466">
            <w:pPr>
              <w:spacing w:before="20" w:after="20"/>
              <w:jc w:val="right"/>
              <w:rPr>
                <w:sz w:val="20"/>
              </w:rPr>
            </w:pPr>
            <w:r w:rsidRPr="00B53505">
              <w:rPr>
                <w:sz w:val="20"/>
              </w:rPr>
              <w:t>25.000</w:t>
            </w:r>
          </w:p>
        </w:tc>
        <w:tc>
          <w:tcPr>
            <w:tcW w:w="868" w:type="dxa"/>
          </w:tcPr>
          <w:p w14:paraId="40FD7F58" w14:textId="77777777" w:rsidR="009718F7" w:rsidRPr="00B53505" w:rsidRDefault="009718F7" w:rsidP="002A6466">
            <w:pPr>
              <w:spacing w:before="20" w:after="20"/>
              <w:jc w:val="right"/>
              <w:rPr>
                <w:sz w:val="20"/>
              </w:rPr>
            </w:pPr>
            <w:r w:rsidRPr="00B53505">
              <w:rPr>
                <w:sz w:val="20"/>
              </w:rPr>
              <w:t>25.00</w:t>
            </w:r>
          </w:p>
        </w:tc>
        <w:tc>
          <w:tcPr>
            <w:tcW w:w="868" w:type="dxa"/>
          </w:tcPr>
          <w:p w14:paraId="580B17FA" w14:textId="77777777" w:rsidR="009718F7" w:rsidRPr="00B53505" w:rsidRDefault="009718F7" w:rsidP="002A6466">
            <w:pPr>
              <w:spacing w:before="20" w:after="20"/>
              <w:jc w:val="right"/>
              <w:rPr>
                <w:sz w:val="20"/>
              </w:rPr>
            </w:pPr>
            <w:r w:rsidRPr="00B53505">
              <w:rPr>
                <w:sz w:val="20"/>
              </w:rPr>
              <w:t>pm</w:t>
            </w:r>
          </w:p>
        </w:tc>
        <w:tc>
          <w:tcPr>
            <w:tcW w:w="868" w:type="dxa"/>
          </w:tcPr>
          <w:p w14:paraId="3CA3B6D3" w14:textId="77777777" w:rsidR="009718F7" w:rsidRPr="00B53505" w:rsidRDefault="009718F7" w:rsidP="002A6466">
            <w:pPr>
              <w:spacing w:before="20" w:after="20"/>
              <w:jc w:val="right"/>
              <w:rPr>
                <w:sz w:val="20"/>
              </w:rPr>
            </w:pPr>
            <w:r w:rsidRPr="00B53505">
              <w:rPr>
                <w:sz w:val="20"/>
              </w:rPr>
              <w:t>pm</w:t>
            </w:r>
          </w:p>
        </w:tc>
        <w:tc>
          <w:tcPr>
            <w:tcW w:w="868" w:type="dxa"/>
          </w:tcPr>
          <w:p w14:paraId="6FA990CB" w14:textId="77777777" w:rsidR="009718F7" w:rsidRPr="00B53505" w:rsidRDefault="009718F7" w:rsidP="002A6466">
            <w:pPr>
              <w:spacing w:before="20" w:after="20"/>
              <w:jc w:val="right"/>
              <w:rPr>
                <w:b/>
                <w:sz w:val="20"/>
              </w:rPr>
            </w:pPr>
            <w:r w:rsidRPr="00B53505">
              <w:rPr>
                <w:sz w:val="20"/>
              </w:rPr>
              <w:t>pm</w:t>
            </w:r>
          </w:p>
        </w:tc>
        <w:tc>
          <w:tcPr>
            <w:tcW w:w="1777" w:type="dxa"/>
            <w:vAlign w:val="center"/>
          </w:tcPr>
          <w:p w14:paraId="5724BB46" w14:textId="27BED846" w:rsidR="009718F7" w:rsidRPr="00B53505" w:rsidRDefault="004F2B8C" w:rsidP="004F2B8C">
            <w:pPr>
              <w:spacing w:before="20" w:after="20"/>
              <w:jc w:val="right"/>
              <w:rPr>
                <w:b/>
                <w:sz w:val="20"/>
              </w:rPr>
            </w:pPr>
            <w:r>
              <w:rPr>
                <w:b/>
                <w:sz w:val="20"/>
              </w:rPr>
              <w:t>35</w:t>
            </w:r>
            <w:r w:rsidR="009718F7" w:rsidRPr="00B53505">
              <w:rPr>
                <w:b/>
                <w:sz w:val="20"/>
              </w:rPr>
              <w:t>0.000</w:t>
            </w:r>
          </w:p>
        </w:tc>
      </w:tr>
    </w:tbl>
    <w:p w14:paraId="79478C64" w14:textId="77777777" w:rsidR="009718F7" w:rsidRPr="00B53505" w:rsidRDefault="009718F7">
      <w:pPr>
        <w:spacing w:after="40"/>
        <w:rPr>
          <w:b/>
          <w:sz w:val="22"/>
          <w:u w:val="single"/>
        </w:rPr>
      </w:pPr>
      <w:r w:rsidRPr="00B53505">
        <w:rPr>
          <w:b/>
          <w:sz w:val="22"/>
          <w:u w:val="single"/>
        </w:rPr>
        <w:t>If more than one heading is affected by the proposal / initiative: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9718F7" w:rsidRPr="00B53505" w14:paraId="654284BC" w14:textId="77777777">
        <w:trPr>
          <w:trHeight w:val="277"/>
        </w:trPr>
        <w:tc>
          <w:tcPr>
            <w:tcW w:w="3960" w:type="dxa"/>
            <w:vMerge w:val="restart"/>
            <w:tcBorders>
              <w:top w:val="single" w:sz="4" w:space="0" w:color="FF0000"/>
              <w:left w:val="single" w:sz="4" w:space="0" w:color="auto"/>
              <w:bottom w:val="single" w:sz="4" w:space="0" w:color="FF0000"/>
            </w:tcBorders>
            <w:vAlign w:val="center"/>
          </w:tcPr>
          <w:p w14:paraId="48E1C14D" w14:textId="77777777" w:rsidR="009718F7" w:rsidRPr="00B53505" w:rsidRDefault="009718F7">
            <w:pPr>
              <w:spacing w:before="20" w:after="20"/>
            </w:pPr>
            <w:r w:rsidRPr="00B53505">
              <w:rPr>
                <w:sz w:val="21"/>
              </w:rPr>
              <w:sym w:font="Wingdings" w:char="F09F"/>
            </w:r>
            <w:r w:rsidRPr="00B53505">
              <w:rPr>
                <w:sz w:val="21"/>
              </w:rPr>
              <w:t xml:space="preserve"> TOTAL operational appropriations </w:t>
            </w:r>
          </w:p>
        </w:tc>
        <w:tc>
          <w:tcPr>
            <w:tcW w:w="1440" w:type="dxa"/>
            <w:tcBorders>
              <w:top w:val="single" w:sz="4" w:space="0" w:color="FF0000"/>
            </w:tcBorders>
            <w:vAlign w:val="center"/>
          </w:tcPr>
          <w:p w14:paraId="17C1933F" w14:textId="77777777" w:rsidR="009718F7" w:rsidRPr="00B53505" w:rsidRDefault="009718F7">
            <w:pPr>
              <w:spacing w:beforeLines="20" w:before="48" w:afterLines="20" w:after="48"/>
              <w:rPr>
                <w:sz w:val="18"/>
              </w:rPr>
            </w:pPr>
            <w:r w:rsidRPr="00B53505">
              <w:rPr>
                <w:sz w:val="18"/>
              </w:rPr>
              <w:t>Commitments</w:t>
            </w:r>
          </w:p>
        </w:tc>
        <w:tc>
          <w:tcPr>
            <w:tcW w:w="654" w:type="dxa"/>
            <w:tcBorders>
              <w:top w:val="single" w:sz="4" w:space="0" w:color="FF0000"/>
            </w:tcBorders>
            <w:vAlign w:val="center"/>
          </w:tcPr>
          <w:p w14:paraId="783A9D6B" w14:textId="77777777" w:rsidR="009718F7" w:rsidRPr="00B53505" w:rsidRDefault="009718F7">
            <w:pPr>
              <w:spacing w:beforeLines="20" w:before="48" w:afterLines="20" w:after="48"/>
              <w:jc w:val="center"/>
              <w:rPr>
                <w:sz w:val="14"/>
              </w:rPr>
            </w:pPr>
            <w:r w:rsidRPr="00B53505">
              <w:rPr>
                <w:sz w:val="14"/>
              </w:rPr>
              <w:t>(4)</w:t>
            </w:r>
          </w:p>
        </w:tc>
        <w:tc>
          <w:tcPr>
            <w:tcW w:w="868" w:type="dxa"/>
            <w:tcBorders>
              <w:top w:val="single" w:sz="4" w:space="0" w:color="FF0000"/>
            </w:tcBorders>
            <w:vAlign w:val="center"/>
          </w:tcPr>
          <w:p w14:paraId="7BB60149" w14:textId="77777777" w:rsidR="009718F7" w:rsidRPr="00B53505" w:rsidRDefault="009718F7">
            <w:pPr>
              <w:spacing w:before="20" w:after="20"/>
              <w:jc w:val="right"/>
              <w:rPr>
                <w:sz w:val="20"/>
              </w:rPr>
            </w:pPr>
          </w:p>
        </w:tc>
        <w:tc>
          <w:tcPr>
            <w:tcW w:w="868" w:type="dxa"/>
            <w:tcBorders>
              <w:top w:val="single" w:sz="4" w:space="0" w:color="FF0000"/>
            </w:tcBorders>
            <w:vAlign w:val="center"/>
          </w:tcPr>
          <w:p w14:paraId="105C519F" w14:textId="77777777" w:rsidR="009718F7" w:rsidRPr="00B53505" w:rsidRDefault="009718F7">
            <w:pPr>
              <w:spacing w:before="20" w:after="20"/>
              <w:jc w:val="right"/>
              <w:rPr>
                <w:sz w:val="20"/>
              </w:rPr>
            </w:pPr>
          </w:p>
        </w:tc>
        <w:tc>
          <w:tcPr>
            <w:tcW w:w="868" w:type="dxa"/>
            <w:tcBorders>
              <w:top w:val="single" w:sz="4" w:space="0" w:color="FF0000"/>
            </w:tcBorders>
            <w:vAlign w:val="center"/>
          </w:tcPr>
          <w:p w14:paraId="40B3FD3B" w14:textId="77777777" w:rsidR="009718F7" w:rsidRPr="00B53505" w:rsidRDefault="009718F7">
            <w:pPr>
              <w:spacing w:before="20" w:after="20"/>
              <w:jc w:val="right"/>
              <w:rPr>
                <w:sz w:val="20"/>
              </w:rPr>
            </w:pPr>
          </w:p>
        </w:tc>
        <w:tc>
          <w:tcPr>
            <w:tcW w:w="868" w:type="dxa"/>
            <w:tcBorders>
              <w:top w:val="single" w:sz="4" w:space="0" w:color="FF0000"/>
            </w:tcBorders>
            <w:vAlign w:val="center"/>
          </w:tcPr>
          <w:p w14:paraId="54068A50" w14:textId="77777777" w:rsidR="009718F7" w:rsidRPr="00B53505" w:rsidRDefault="009718F7">
            <w:pPr>
              <w:spacing w:before="20" w:after="20"/>
              <w:jc w:val="right"/>
              <w:rPr>
                <w:sz w:val="20"/>
              </w:rPr>
            </w:pPr>
          </w:p>
        </w:tc>
        <w:tc>
          <w:tcPr>
            <w:tcW w:w="868" w:type="dxa"/>
            <w:tcBorders>
              <w:top w:val="single" w:sz="4" w:space="0" w:color="FF0000"/>
            </w:tcBorders>
            <w:vAlign w:val="center"/>
          </w:tcPr>
          <w:p w14:paraId="19F4FCA7" w14:textId="77777777" w:rsidR="009718F7" w:rsidRPr="00B53505" w:rsidRDefault="009718F7">
            <w:pPr>
              <w:spacing w:before="20" w:after="20"/>
              <w:jc w:val="right"/>
              <w:rPr>
                <w:sz w:val="20"/>
              </w:rPr>
            </w:pPr>
          </w:p>
        </w:tc>
        <w:tc>
          <w:tcPr>
            <w:tcW w:w="868" w:type="dxa"/>
            <w:tcBorders>
              <w:top w:val="single" w:sz="4" w:space="0" w:color="FF0000"/>
            </w:tcBorders>
            <w:vAlign w:val="center"/>
          </w:tcPr>
          <w:p w14:paraId="668D411F" w14:textId="77777777" w:rsidR="009718F7" w:rsidRPr="00B53505" w:rsidRDefault="009718F7">
            <w:pPr>
              <w:spacing w:before="20" w:after="20"/>
              <w:jc w:val="right"/>
              <w:rPr>
                <w:sz w:val="20"/>
              </w:rPr>
            </w:pPr>
          </w:p>
        </w:tc>
        <w:tc>
          <w:tcPr>
            <w:tcW w:w="868" w:type="dxa"/>
            <w:tcBorders>
              <w:top w:val="single" w:sz="4" w:space="0" w:color="FF0000"/>
            </w:tcBorders>
            <w:vAlign w:val="center"/>
          </w:tcPr>
          <w:p w14:paraId="540833C7" w14:textId="77777777" w:rsidR="009718F7" w:rsidRPr="00B53505" w:rsidRDefault="009718F7">
            <w:pPr>
              <w:spacing w:before="20" w:after="20"/>
              <w:jc w:val="right"/>
              <w:rPr>
                <w:b/>
                <w:sz w:val="20"/>
              </w:rPr>
            </w:pPr>
          </w:p>
        </w:tc>
        <w:tc>
          <w:tcPr>
            <w:tcW w:w="1777" w:type="dxa"/>
            <w:tcBorders>
              <w:top w:val="single" w:sz="4" w:space="0" w:color="FF0000"/>
              <w:right w:val="single" w:sz="4" w:space="0" w:color="auto"/>
            </w:tcBorders>
            <w:vAlign w:val="center"/>
          </w:tcPr>
          <w:p w14:paraId="59B73A40" w14:textId="77777777" w:rsidR="009718F7" w:rsidRPr="00B53505" w:rsidRDefault="009718F7">
            <w:pPr>
              <w:spacing w:before="20" w:after="20"/>
              <w:jc w:val="right"/>
              <w:rPr>
                <w:b/>
                <w:sz w:val="20"/>
              </w:rPr>
            </w:pPr>
          </w:p>
        </w:tc>
      </w:tr>
      <w:tr w:rsidR="009718F7" w:rsidRPr="00B53505" w14:paraId="66C603A2" w14:textId="77777777">
        <w:tc>
          <w:tcPr>
            <w:tcW w:w="3960" w:type="dxa"/>
            <w:vMerge/>
            <w:tcBorders>
              <w:top w:val="single" w:sz="4" w:space="0" w:color="FF0000"/>
              <w:left w:val="single" w:sz="4" w:space="0" w:color="auto"/>
              <w:bottom w:val="single" w:sz="4" w:space="0" w:color="FF0000"/>
            </w:tcBorders>
          </w:tcPr>
          <w:p w14:paraId="43EB182F" w14:textId="77777777" w:rsidR="009718F7" w:rsidRPr="00B53505" w:rsidRDefault="009718F7">
            <w:pPr>
              <w:jc w:val="center"/>
              <w:rPr>
                <w:sz w:val="20"/>
              </w:rPr>
            </w:pPr>
          </w:p>
        </w:tc>
        <w:tc>
          <w:tcPr>
            <w:tcW w:w="1440" w:type="dxa"/>
            <w:vAlign w:val="center"/>
          </w:tcPr>
          <w:p w14:paraId="2D0B8E87" w14:textId="77777777" w:rsidR="009718F7" w:rsidRPr="00B53505" w:rsidRDefault="009718F7">
            <w:pPr>
              <w:spacing w:beforeLines="20" w:before="48" w:afterLines="20" w:after="48"/>
              <w:rPr>
                <w:sz w:val="18"/>
              </w:rPr>
            </w:pPr>
            <w:r w:rsidRPr="00B53505">
              <w:rPr>
                <w:sz w:val="18"/>
              </w:rPr>
              <w:t>Payments</w:t>
            </w:r>
          </w:p>
        </w:tc>
        <w:tc>
          <w:tcPr>
            <w:tcW w:w="654" w:type="dxa"/>
            <w:vAlign w:val="center"/>
          </w:tcPr>
          <w:p w14:paraId="2F67A783" w14:textId="77777777" w:rsidR="009718F7" w:rsidRPr="00B53505" w:rsidRDefault="009718F7">
            <w:pPr>
              <w:spacing w:beforeLines="20" w:before="48" w:afterLines="20" w:after="48"/>
              <w:jc w:val="center"/>
              <w:rPr>
                <w:sz w:val="14"/>
              </w:rPr>
            </w:pPr>
            <w:r w:rsidRPr="00B53505">
              <w:rPr>
                <w:sz w:val="14"/>
              </w:rPr>
              <w:t>(5)</w:t>
            </w:r>
          </w:p>
        </w:tc>
        <w:tc>
          <w:tcPr>
            <w:tcW w:w="868" w:type="dxa"/>
            <w:vAlign w:val="center"/>
          </w:tcPr>
          <w:p w14:paraId="36921798" w14:textId="77777777" w:rsidR="009718F7" w:rsidRPr="00B53505" w:rsidRDefault="009718F7">
            <w:pPr>
              <w:spacing w:before="20" w:after="20"/>
              <w:jc w:val="right"/>
              <w:rPr>
                <w:sz w:val="20"/>
              </w:rPr>
            </w:pPr>
          </w:p>
        </w:tc>
        <w:tc>
          <w:tcPr>
            <w:tcW w:w="868" w:type="dxa"/>
            <w:vAlign w:val="center"/>
          </w:tcPr>
          <w:p w14:paraId="1D9FF53E" w14:textId="77777777" w:rsidR="009718F7" w:rsidRPr="00B53505" w:rsidRDefault="009718F7">
            <w:pPr>
              <w:spacing w:before="20" w:after="20"/>
              <w:jc w:val="right"/>
              <w:rPr>
                <w:sz w:val="20"/>
              </w:rPr>
            </w:pPr>
          </w:p>
        </w:tc>
        <w:tc>
          <w:tcPr>
            <w:tcW w:w="868" w:type="dxa"/>
            <w:vAlign w:val="center"/>
          </w:tcPr>
          <w:p w14:paraId="1C9008E4" w14:textId="77777777" w:rsidR="009718F7" w:rsidRPr="00B53505" w:rsidRDefault="009718F7">
            <w:pPr>
              <w:spacing w:before="20" w:after="20"/>
              <w:jc w:val="right"/>
              <w:rPr>
                <w:sz w:val="20"/>
              </w:rPr>
            </w:pPr>
          </w:p>
        </w:tc>
        <w:tc>
          <w:tcPr>
            <w:tcW w:w="868" w:type="dxa"/>
            <w:vAlign w:val="center"/>
          </w:tcPr>
          <w:p w14:paraId="5CB1E399" w14:textId="77777777" w:rsidR="009718F7" w:rsidRPr="00B53505" w:rsidRDefault="009718F7">
            <w:pPr>
              <w:spacing w:before="20" w:after="20"/>
              <w:jc w:val="right"/>
              <w:rPr>
                <w:sz w:val="20"/>
              </w:rPr>
            </w:pPr>
          </w:p>
        </w:tc>
        <w:tc>
          <w:tcPr>
            <w:tcW w:w="868" w:type="dxa"/>
            <w:vAlign w:val="center"/>
          </w:tcPr>
          <w:p w14:paraId="2F755D71" w14:textId="77777777" w:rsidR="009718F7" w:rsidRPr="00B53505" w:rsidRDefault="009718F7">
            <w:pPr>
              <w:spacing w:before="20" w:after="20"/>
              <w:jc w:val="right"/>
              <w:rPr>
                <w:sz w:val="20"/>
              </w:rPr>
            </w:pPr>
          </w:p>
        </w:tc>
        <w:tc>
          <w:tcPr>
            <w:tcW w:w="868" w:type="dxa"/>
            <w:vAlign w:val="center"/>
          </w:tcPr>
          <w:p w14:paraId="448E915E" w14:textId="77777777" w:rsidR="009718F7" w:rsidRPr="00B53505" w:rsidRDefault="009718F7">
            <w:pPr>
              <w:spacing w:before="20" w:after="20"/>
              <w:jc w:val="right"/>
              <w:rPr>
                <w:sz w:val="20"/>
              </w:rPr>
            </w:pPr>
          </w:p>
        </w:tc>
        <w:tc>
          <w:tcPr>
            <w:tcW w:w="868" w:type="dxa"/>
            <w:vAlign w:val="center"/>
          </w:tcPr>
          <w:p w14:paraId="2C6B8A68" w14:textId="77777777" w:rsidR="009718F7" w:rsidRPr="00B53505" w:rsidRDefault="009718F7">
            <w:pPr>
              <w:spacing w:before="20" w:after="20"/>
              <w:jc w:val="right"/>
              <w:rPr>
                <w:b/>
                <w:sz w:val="20"/>
              </w:rPr>
            </w:pPr>
          </w:p>
        </w:tc>
        <w:tc>
          <w:tcPr>
            <w:tcW w:w="1777" w:type="dxa"/>
            <w:tcBorders>
              <w:right w:val="single" w:sz="4" w:space="0" w:color="auto"/>
            </w:tcBorders>
            <w:vAlign w:val="center"/>
          </w:tcPr>
          <w:p w14:paraId="34A987A8" w14:textId="77777777" w:rsidR="009718F7" w:rsidRPr="00B53505" w:rsidRDefault="009718F7">
            <w:pPr>
              <w:spacing w:before="20" w:after="20"/>
              <w:jc w:val="right"/>
              <w:rPr>
                <w:b/>
                <w:sz w:val="20"/>
              </w:rPr>
            </w:pPr>
          </w:p>
        </w:tc>
      </w:tr>
      <w:tr w:rsidR="009718F7" w:rsidRPr="00B53505" w14:paraId="7F891A52" w14:textId="77777777">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14:paraId="55864241" w14:textId="77777777" w:rsidR="009718F7" w:rsidRPr="00B53505" w:rsidRDefault="009718F7">
            <w:pPr>
              <w:spacing w:beforeLines="20" w:before="48" w:afterLines="20" w:after="48"/>
            </w:pPr>
            <w:r w:rsidRPr="00B53505">
              <w:rPr>
                <w:sz w:val="21"/>
              </w:rPr>
              <w:sym w:font="Wingdings" w:char="F09F"/>
            </w:r>
            <w:r w:rsidRPr="00B53505">
              <w:rPr>
                <w:sz w:val="21"/>
              </w:rPr>
              <w:t xml:space="preserve"> TOTAL appropriations of an administrative nature financed from the envelope for specific programmes </w:t>
            </w:r>
          </w:p>
        </w:tc>
        <w:tc>
          <w:tcPr>
            <w:tcW w:w="654" w:type="dxa"/>
            <w:vAlign w:val="center"/>
          </w:tcPr>
          <w:p w14:paraId="1AA8A0BE" w14:textId="77777777" w:rsidR="009718F7" w:rsidRPr="00B53505" w:rsidRDefault="009718F7">
            <w:pPr>
              <w:spacing w:beforeLines="20" w:before="48" w:afterLines="20" w:after="48"/>
              <w:jc w:val="center"/>
              <w:rPr>
                <w:sz w:val="14"/>
              </w:rPr>
            </w:pPr>
            <w:r w:rsidRPr="00B53505">
              <w:rPr>
                <w:sz w:val="14"/>
              </w:rPr>
              <w:t>(6)</w:t>
            </w:r>
          </w:p>
        </w:tc>
        <w:tc>
          <w:tcPr>
            <w:tcW w:w="868" w:type="dxa"/>
            <w:vAlign w:val="center"/>
          </w:tcPr>
          <w:p w14:paraId="522B466E" w14:textId="77777777" w:rsidR="009718F7" w:rsidRPr="00B53505" w:rsidRDefault="009718F7">
            <w:pPr>
              <w:spacing w:before="20" w:after="20"/>
              <w:jc w:val="right"/>
              <w:rPr>
                <w:b/>
                <w:sz w:val="20"/>
              </w:rPr>
            </w:pPr>
          </w:p>
        </w:tc>
        <w:tc>
          <w:tcPr>
            <w:tcW w:w="868" w:type="dxa"/>
            <w:vAlign w:val="center"/>
          </w:tcPr>
          <w:p w14:paraId="6139C6A5" w14:textId="77777777" w:rsidR="009718F7" w:rsidRPr="00B53505" w:rsidRDefault="009718F7">
            <w:pPr>
              <w:spacing w:before="20" w:after="20"/>
              <w:jc w:val="right"/>
              <w:rPr>
                <w:b/>
                <w:sz w:val="20"/>
              </w:rPr>
            </w:pPr>
          </w:p>
        </w:tc>
        <w:tc>
          <w:tcPr>
            <w:tcW w:w="868" w:type="dxa"/>
            <w:vAlign w:val="center"/>
          </w:tcPr>
          <w:p w14:paraId="00869C3C" w14:textId="77777777" w:rsidR="009718F7" w:rsidRPr="00B53505" w:rsidRDefault="009718F7">
            <w:pPr>
              <w:spacing w:before="20" w:after="20"/>
              <w:jc w:val="right"/>
              <w:rPr>
                <w:b/>
                <w:sz w:val="20"/>
              </w:rPr>
            </w:pPr>
          </w:p>
        </w:tc>
        <w:tc>
          <w:tcPr>
            <w:tcW w:w="868" w:type="dxa"/>
            <w:vAlign w:val="center"/>
          </w:tcPr>
          <w:p w14:paraId="472459AD" w14:textId="77777777" w:rsidR="009718F7" w:rsidRPr="00B53505" w:rsidRDefault="009718F7">
            <w:pPr>
              <w:spacing w:before="20" w:after="20"/>
              <w:jc w:val="right"/>
              <w:rPr>
                <w:b/>
                <w:sz w:val="20"/>
              </w:rPr>
            </w:pPr>
          </w:p>
        </w:tc>
        <w:tc>
          <w:tcPr>
            <w:tcW w:w="868" w:type="dxa"/>
            <w:vAlign w:val="center"/>
          </w:tcPr>
          <w:p w14:paraId="58911E4F" w14:textId="77777777" w:rsidR="009718F7" w:rsidRPr="00B53505" w:rsidRDefault="009718F7">
            <w:pPr>
              <w:spacing w:before="20" w:after="20"/>
              <w:jc w:val="right"/>
              <w:rPr>
                <w:b/>
                <w:sz w:val="20"/>
              </w:rPr>
            </w:pPr>
          </w:p>
        </w:tc>
        <w:tc>
          <w:tcPr>
            <w:tcW w:w="868" w:type="dxa"/>
            <w:vAlign w:val="center"/>
          </w:tcPr>
          <w:p w14:paraId="5244A78C" w14:textId="77777777" w:rsidR="009718F7" w:rsidRPr="00B53505" w:rsidRDefault="009718F7">
            <w:pPr>
              <w:spacing w:before="20" w:after="20"/>
              <w:jc w:val="right"/>
              <w:rPr>
                <w:b/>
                <w:sz w:val="20"/>
              </w:rPr>
            </w:pPr>
          </w:p>
        </w:tc>
        <w:tc>
          <w:tcPr>
            <w:tcW w:w="868" w:type="dxa"/>
            <w:vAlign w:val="center"/>
          </w:tcPr>
          <w:p w14:paraId="2EDC8073" w14:textId="77777777" w:rsidR="009718F7" w:rsidRPr="00B53505" w:rsidRDefault="009718F7">
            <w:pPr>
              <w:spacing w:before="20" w:after="20"/>
              <w:jc w:val="right"/>
              <w:rPr>
                <w:b/>
                <w:sz w:val="20"/>
              </w:rPr>
            </w:pPr>
          </w:p>
        </w:tc>
        <w:tc>
          <w:tcPr>
            <w:tcW w:w="1777" w:type="dxa"/>
            <w:vAlign w:val="center"/>
          </w:tcPr>
          <w:p w14:paraId="5C388668" w14:textId="77777777" w:rsidR="009718F7" w:rsidRPr="00B53505" w:rsidRDefault="009718F7">
            <w:pPr>
              <w:spacing w:before="20" w:after="20"/>
              <w:jc w:val="right"/>
              <w:rPr>
                <w:b/>
                <w:sz w:val="20"/>
              </w:rPr>
            </w:pPr>
          </w:p>
        </w:tc>
      </w:tr>
      <w:tr w:rsidR="009718F7" w:rsidRPr="00B53505" w14:paraId="46D4DC5B" w14:textId="77777777">
        <w:tc>
          <w:tcPr>
            <w:tcW w:w="3960" w:type="dxa"/>
            <w:vMerge w:val="restart"/>
            <w:tcBorders>
              <w:top w:val="single" w:sz="4" w:space="0" w:color="FF0000"/>
              <w:left w:val="single" w:sz="4" w:space="0" w:color="auto"/>
              <w:bottom w:val="single" w:sz="4" w:space="0" w:color="FF0000"/>
            </w:tcBorders>
            <w:shd w:val="thinDiagStripe" w:color="C0C0C0" w:fill="auto"/>
            <w:vAlign w:val="center"/>
          </w:tcPr>
          <w:p w14:paraId="49C3B420" w14:textId="77777777" w:rsidR="009718F7" w:rsidRPr="00B53505" w:rsidRDefault="009718F7">
            <w:pPr>
              <w:jc w:val="center"/>
              <w:rPr>
                <w:b/>
              </w:rPr>
            </w:pPr>
            <w:r w:rsidRPr="00B53505">
              <w:rPr>
                <w:b/>
                <w:sz w:val="22"/>
              </w:rPr>
              <w:t xml:space="preserve">TOTAL appropriations </w:t>
            </w:r>
            <w:r w:rsidRPr="00B53505">
              <w:rPr>
                <w:sz w:val="22"/>
              </w:rPr>
              <w:br/>
            </w:r>
            <w:r w:rsidRPr="00B53505">
              <w:rPr>
                <w:b/>
                <w:sz w:val="22"/>
              </w:rPr>
              <w:t>under HEADINGS 1 to 4</w:t>
            </w:r>
            <w:r w:rsidRPr="00B53505">
              <w:rPr>
                <w:sz w:val="22"/>
              </w:rPr>
              <w:br/>
              <w:t>of the multiannual financial framework</w:t>
            </w:r>
            <w:r w:rsidRPr="00B53505">
              <w:rPr>
                <w:sz w:val="22"/>
              </w:rPr>
              <w:br/>
            </w:r>
            <w:r w:rsidRPr="00B53505">
              <w:rPr>
                <w:sz w:val="20"/>
              </w:rPr>
              <w:t>(Reference amount)</w:t>
            </w:r>
          </w:p>
        </w:tc>
        <w:tc>
          <w:tcPr>
            <w:tcW w:w="1440" w:type="dxa"/>
            <w:vAlign w:val="center"/>
          </w:tcPr>
          <w:p w14:paraId="73E1FEAC" w14:textId="77777777" w:rsidR="009718F7" w:rsidRPr="00B53505" w:rsidRDefault="009718F7">
            <w:pPr>
              <w:rPr>
                <w:sz w:val="18"/>
              </w:rPr>
            </w:pPr>
            <w:r w:rsidRPr="00B53505">
              <w:rPr>
                <w:sz w:val="18"/>
              </w:rPr>
              <w:t>Commitments</w:t>
            </w:r>
          </w:p>
        </w:tc>
        <w:tc>
          <w:tcPr>
            <w:tcW w:w="654" w:type="dxa"/>
            <w:vAlign w:val="center"/>
          </w:tcPr>
          <w:p w14:paraId="3FF3FE87" w14:textId="77777777" w:rsidR="009718F7" w:rsidRPr="00B53505" w:rsidRDefault="009718F7">
            <w:pPr>
              <w:jc w:val="center"/>
              <w:rPr>
                <w:sz w:val="14"/>
              </w:rPr>
            </w:pPr>
            <w:r w:rsidRPr="00B53505">
              <w:rPr>
                <w:sz w:val="14"/>
              </w:rPr>
              <w:t>=4+ 6</w:t>
            </w:r>
          </w:p>
        </w:tc>
        <w:tc>
          <w:tcPr>
            <w:tcW w:w="868" w:type="dxa"/>
            <w:vAlign w:val="center"/>
          </w:tcPr>
          <w:p w14:paraId="0E784635" w14:textId="77777777" w:rsidR="009718F7" w:rsidRPr="00B53505" w:rsidRDefault="009718F7">
            <w:pPr>
              <w:spacing w:before="20" w:after="20"/>
              <w:jc w:val="right"/>
              <w:rPr>
                <w:sz w:val="20"/>
              </w:rPr>
            </w:pPr>
          </w:p>
        </w:tc>
        <w:tc>
          <w:tcPr>
            <w:tcW w:w="868" w:type="dxa"/>
            <w:vAlign w:val="center"/>
          </w:tcPr>
          <w:p w14:paraId="372A0578" w14:textId="77777777" w:rsidR="009718F7" w:rsidRPr="00B53505" w:rsidRDefault="009718F7">
            <w:pPr>
              <w:spacing w:before="20" w:after="20"/>
              <w:jc w:val="right"/>
              <w:rPr>
                <w:sz w:val="20"/>
              </w:rPr>
            </w:pPr>
          </w:p>
        </w:tc>
        <w:tc>
          <w:tcPr>
            <w:tcW w:w="868" w:type="dxa"/>
            <w:vAlign w:val="center"/>
          </w:tcPr>
          <w:p w14:paraId="6220987F" w14:textId="77777777" w:rsidR="009718F7" w:rsidRPr="00B53505" w:rsidRDefault="009718F7">
            <w:pPr>
              <w:spacing w:before="20" w:after="20"/>
              <w:jc w:val="right"/>
              <w:rPr>
                <w:sz w:val="20"/>
              </w:rPr>
            </w:pPr>
          </w:p>
        </w:tc>
        <w:tc>
          <w:tcPr>
            <w:tcW w:w="868" w:type="dxa"/>
            <w:vAlign w:val="center"/>
          </w:tcPr>
          <w:p w14:paraId="17871A0E" w14:textId="77777777" w:rsidR="009718F7" w:rsidRPr="00B53505" w:rsidRDefault="009718F7">
            <w:pPr>
              <w:spacing w:before="20" w:after="20"/>
              <w:jc w:val="right"/>
              <w:rPr>
                <w:sz w:val="20"/>
              </w:rPr>
            </w:pPr>
          </w:p>
        </w:tc>
        <w:tc>
          <w:tcPr>
            <w:tcW w:w="868" w:type="dxa"/>
            <w:vAlign w:val="center"/>
          </w:tcPr>
          <w:p w14:paraId="34FF3D5D" w14:textId="77777777" w:rsidR="009718F7" w:rsidRPr="00B53505" w:rsidRDefault="009718F7">
            <w:pPr>
              <w:spacing w:before="20" w:after="20"/>
              <w:jc w:val="right"/>
              <w:rPr>
                <w:sz w:val="20"/>
              </w:rPr>
            </w:pPr>
          </w:p>
        </w:tc>
        <w:tc>
          <w:tcPr>
            <w:tcW w:w="868" w:type="dxa"/>
            <w:vAlign w:val="center"/>
          </w:tcPr>
          <w:p w14:paraId="3EE1EE0E" w14:textId="77777777" w:rsidR="009718F7" w:rsidRPr="00B53505" w:rsidRDefault="009718F7">
            <w:pPr>
              <w:spacing w:before="20" w:after="20"/>
              <w:jc w:val="right"/>
              <w:rPr>
                <w:sz w:val="20"/>
              </w:rPr>
            </w:pPr>
          </w:p>
        </w:tc>
        <w:tc>
          <w:tcPr>
            <w:tcW w:w="868" w:type="dxa"/>
            <w:vAlign w:val="center"/>
          </w:tcPr>
          <w:p w14:paraId="7C765DAF" w14:textId="77777777" w:rsidR="009718F7" w:rsidRPr="00B53505" w:rsidRDefault="009718F7">
            <w:pPr>
              <w:spacing w:before="20" w:after="20"/>
              <w:jc w:val="right"/>
              <w:rPr>
                <w:b/>
                <w:sz w:val="20"/>
              </w:rPr>
            </w:pPr>
          </w:p>
        </w:tc>
        <w:tc>
          <w:tcPr>
            <w:tcW w:w="1777" w:type="dxa"/>
            <w:tcBorders>
              <w:right w:val="single" w:sz="4" w:space="0" w:color="auto"/>
            </w:tcBorders>
            <w:vAlign w:val="center"/>
          </w:tcPr>
          <w:p w14:paraId="63F4F12B" w14:textId="77777777" w:rsidR="009718F7" w:rsidRPr="00B53505" w:rsidRDefault="009718F7">
            <w:pPr>
              <w:spacing w:before="20" w:after="20"/>
              <w:jc w:val="right"/>
              <w:rPr>
                <w:b/>
                <w:sz w:val="20"/>
              </w:rPr>
            </w:pPr>
          </w:p>
        </w:tc>
      </w:tr>
      <w:tr w:rsidR="009718F7" w:rsidRPr="00B53505" w14:paraId="44858DA3" w14:textId="77777777">
        <w:tc>
          <w:tcPr>
            <w:tcW w:w="3960" w:type="dxa"/>
            <w:vMerge/>
            <w:tcBorders>
              <w:top w:val="single" w:sz="4" w:space="0" w:color="FF0000"/>
              <w:left w:val="single" w:sz="4" w:space="0" w:color="auto"/>
              <w:bottom w:val="single" w:sz="4" w:space="0" w:color="FF0000"/>
            </w:tcBorders>
            <w:shd w:val="thinDiagStripe" w:color="C0C0C0" w:fill="auto"/>
          </w:tcPr>
          <w:p w14:paraId="6F1671D0" w14:textId="77777777" w:rsidR="009718F7" w:rsidRPr="00B53505" w:rsidRDefault="009718F7">
            <w:pPr>
              <w:rPr>
                <w:sz w:val="20"/>
              </w:rPr>
            </w:pPr>
          </w:p>
        </w:tc>
        <w:tc>
          <w:tcPr>
            <w:tcW w:w="1440" w:type="dxa"/>
            <w:tcBorders>
              <w:bottom w:val="single" w:sz="4" w:space="0" w:color="FF0000"/>
            </w:tcBorders>
            <w:vAlign w:val="center"/>
          </w:tcPr>
          <w:p w14:paraId="4B1921D6" w14:textId="77777777" w:rsidR="009718F7" w:rsidRPr="00B53505" w:rsidRDefault="009718F7">
            <w:pPr>
              <w:rPr>
                <w:sz w:val="18"/>
              </w:rPr>
            </w:pPr>
            <w:r w:rsidRPr="00B53505">
              <w:rPr>
                <w:sz w:val="18"/>
              </w:rPr>
              <w:t>Payments</w:t>
            </w:r>
          </w:p>
        </w:tc>
        <w:tc>
          <w:tcPr>
            <w:tcW w:w="654" w:type="dxa"/>
            <w:tcBorders>
              <w:bottom w:val="single" w:sz="4" w:space="0" w:color="FF0000"/>
            </w:tcBorders>
            <w:vAlign w:val="center"/>
          </w:tcPr>
          <w:p w14:paraId="1E33F087" w14:textId="77777777" w:rsidR="009718F7" w:rsidRPr="00B53505" w:rsidRDefault="009718F7">
            <w:pPr>
              <w:jc w:val="center"/>
              <w:rPr>
                <w:sz w:val="14"/>
              </w:rPr>
            </w:pPr>
            <w:r w:rsidRPr="00B53505">
              <w:rPr>
                <w:sz w:val="14"/>
              </w:rPr>
              <w:t>=5+ 6</w:t>
            </w:r>
          </w:p>
        </w:tc>
        <w:tc>
          <w:tcPr>
            <w:tcW w:w="868" w:type="dxa"/>
            <w:tcBorders>
              <w:bottom w:val="single" w:sz="4" w:space="0" w:color="FF0000"/>
            </w:tcBorders>
            <w:vAlign w:val="center"/>
          </w:tcPr>
          <w:p w14:paraId="499F2018" w14:textId="77777777" w:rsidR="009718F7" w:rsidRPr="00B53505" w:rsidRDefault="009718F7">
            <w:pPr>
              <w:spacing w:before="20" w:after="20"/>
              <w:jc w:val="right"/>
              <w:rPr>
                <w:sz w:val="20"/>
              </w:rPr>
            </w:pPr>
          </w:p>
        </w:tc>
        <w:tc>
          <w:tcPr>
            <w:tcW w:w="868" w:type="dxa"/>
            <w:tcBorders>
              <w:bottom w:val="single" w:sz="4" w:space="0" w:color="FF0000"/>
            </w:tcBorders>
            <w:vAlign w:val="center"/>
          </w:tcPr>
          <w:p w14:paraId="789F0345" w14:textId="77777777" w:rsidR="009718F7" w:rsidRPr="00B53505" w:rsidRDefault="009718F7">
            <w:pPr>
              <w:spacing w:before="20" w:after="20"/>
              <w:jc w:val="right"/>
              <w:rPr>
                <w:sz w:val="20"/>
              </w:rPr>
            </w:pPr>
          </w:p>
        </w:tc>
        <w:tc>
          <w:tcPr>
            <w:tcW w:w="868" w:type="dxa"/>
            <w:tcBorders>
              <w:bottom w:val="single" w:sz="4" w:space="0" w:color="FF0000"/>
            </w:tcBorders>
            <w:vAlign w:val="center"/>
          </w:tcPr>
          <w:p w14:paraId="074D6402" w14:textId="77777777" w:rsidR="009718F7" w:rsidRPr="00B53505" w:rsidRDefault="009718F7">
            <w:pPr>
              <w:spacing w:before="20" w:after="20"/>
              <w:jc w:val="right"/>
              <w:rPr>
                <w:sz w:val="20"/>
              </w:rPr>
            </w:pPr>
          </w:p>
        </w:tc>
        <w:tc>
          <w:tcPr>
            <w:tcW w:w="868" w:type="dxa"/>
            <w:tcBorders>
              <w:bottom w:val="single" w:sz="4" w:space="0" w:color="FF0000"/>
            </w:tcBorders>
            <w:vAlign w:val="center"/>
          </w:tcPr>
          <w:p w14:paraId="3F02509B" w14:textId="77777777" w:rsidR="009718F7" w:rsidRPr="00B53505" w:rsidRDefault="009718F7">
            <w:pPr>
              <w:spacing w:before="20" w:after="20"/>
              <w:jc w:val="right"/>
              <w:rPr>
                <w:sz w:val="20"/>
              </w:rPr>
            </w:pPr>
          </w:p>
        </w:tc>
        <w:tc>
          <w:tcPr>
            <w:tcW w:w="868" w:type="dxa"/>
            <w:tcBorders>
              <w:bottom w:val="single" w:sz="4" w:space="0" w:color="FF0000"/>
            </w:tcBorders>
            <w:vAlign w:val="center"/>
          </w:tcPr>
          <w:p w14:paraId="56DB26C5" w14:textId="77777777" w:rsidR="009718F7" w:rsidRPr="00B53505" w:rsidRDefault="009718F7">
            <w:pPr>
              <w:spacing w:before="20" w:after="20"/>
              <w:jc w:val="right"/>
              <w:rPr>
                <w:sz w:val="20"/>
              </w:rPr>
            </w:pPr>
          </w:p>
        </w:tc>
        <w:tc>
          <w:tcPr>
            <w:tcW w:w="868" w:type="dxa"/>
            <w:tcBorders>
              <w:bottom w:val="single" w:sz="4" w:space="0" w:color="FF0000"/>
            </w:tcBorders>
            <w:vAlign w:val="center"/>
          </w:tcPr>
          <w:p w14:paraId="306B32F4" w14:textId="77777777" w:rsidR="009718F7" w:rsidRPr="00B53505" w:rsidRDefault="009718F7">
            <w:pPr>
              <w:spacing w:before="20" w:after="20"/>
              <w:jc w:val="right"/>
              <w:rPr>
                <w:sz w:val="20"/>
              </w:rPr>
            </w:pPr>
          </w:p>
        </w:tc>
        <w:tc>
          <w:tcPr>
            <w:tcW w:w="868" w:type="dxa"/>
            <w:tcBorders>
              <w:bottom w:val="single" w:sz="4" w:space="0" w:color="FF0000"/>
            </w:tcBorders>
            <w:vAlign w:val="center"/>
          </w:tcPr>
          <w:p w14:paraId="1B8E76E3" w14:textId="77777777" w:rsidR="009718F7" w:rsidRPr="00B53505" w:rsidRDefault="009718F7">
            <w:pPr>
              <w:spacing w:before="20" w:after="20"/>
              <w:jc w:val="right"/>
              <w:rPr>
                <w:b/>
                <w:sz w:val="20"/>
              </w:rPr>
            </w:pPr>
          </w:p>
        </w:tc>
        <w:tc>
          <w:tcPr>
            <w:tcW w:w="1777" w:type="dxa"/>
            <w:tcBorders>
              <w:bottom w:val="single" w:sz="4" w:space="0" w:color="FF0000"/>
              <w:right w:val="single" w:sz="4" w:space="0" w:color="auto"/>
            </w:tcBorders>
            <w:vAlign w:val="center"/>
          </w:tcPr>
          <w:p w14:paraId="43739770" w14:textId="77777777" w:rsidR="009718F7" w:rsidRPr="00B53505" w:rsidRDefault="009718F7">
            <w:pPr>
              <w:spacing w:before="20" w:after="20"/>
              <w:jc w:val="right"/>
              <w:rPr>
                <w:b/>
                <w:sz w:val="20"/>
              </w:rPr>
            </w:pPr>
          </w:p>
        </w:tc>
      </w:tr>
    </w:tbl>
    <w:p w14:paraId="529779E9" w14:textId="77777777" w:rsidR="009718F7" w:rsidRPr="00B53505" w:rsidRDefault="009718F7"/>
    <w:p w14:paraId="182CB55E" w14:textId="77777777" w:rsidR="009718F7" w:rsidRPr="00B53505" w:rsidRDefault="009718F7">
      <w:r w:rsidRPr="00B53505">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718F7" w:rsidRPr="00B53505" w14:paraId="7C6A5BB6" w14:textId="77777777">
        <w:trPr>
          <w:jc w:val="center"/>
        </w:trPr>
        <w:tc>
          <w:tcPr>
            <w:tcW w:w="4744" w:type="dxa"/>
            <w:shd w:val="thinDiagStripe" w:color="C0C0C0" w:fill="auto"/>
            <w:vAlign w:val="center"/>
          </w:tcPr>
          <w:p w14:paraId="063682D6" w14:textId="77777777" w:rsidR="009718F7" w:rsidRPr="00B53505" w:rsidRDefault="009718F7">
            <w:pPr>
              <w:spacing w:before="60" w:after="60"/>
              <w:jc w:val="center"/>
              <w:rPr>
                <w:b/>
              </w:rPr>
            </w:pPr>
            <w:r w:rsidRPr="00B53505">
              <w:rPr>
                <w:sz w:val="22"/>
              </w:rPr>
              <w:br w:type="page"/>
            </w:r>
            <w:r w:rsidRPr="00B53505">
              <w:rPr>
                <w:b/>
                <w:sz w:val="22"/>
              </w:rPr>
              <w:t xml:space="preserve">Heading of multiannual financial </w:t>
            </w:r>
            <w:r w:rsidRPr="00B53505">
              <w:rPr>
                <w:sz w:val="22"/>
              </w:rPr>
              <w:br/>
            </w:r>
            <w:r w:rsidRPr="00B53505">
              <w:rPr>
                <w:b/>
                <w:sz w:val="22"/>
              </w:rPr>
              <w:t xml:space="preserve">framework </w:t>
            </w:r>
          </w:p>
        </w:tc>
        <w:tc>
          <w:tcPr>
            <w:tcW w:w="1080" w:type="dxa"/>
            <w:shd w:val="thinDiagStripe" w:color="C0C0C0" w:fill="auto"/>
            <w:vAlign w:val="center"/>
          </w:tcPr>
          <w:p w14:paraId="7445FB3E" w14:textId="77777777" w:rsidR="009718F7" w:rsidRPr="00B53505" w:rsidRDefault="009718F7">
            <w:pPr>
              <w:spacing w:before="60" w:after="60"/>
              <w:jc w:val="center"/>
            </w:pPr>
            <w:r w:rsidRPr="00B53505">
              <w:rPr>
                <w:b/>
                <w:sz w:val="22"/>
              </w:rPr>
              <w:t>5</w:t>
            </w:r>
          </w:p>
        </w:tc>
        <w:tc>
          <w:tcPr>
            <w:tcW w:w="7817" w:type="dxa"/>
            <w:vAlign w:val="center"/>
          </w:tcPr>
          <w:p w14:paraId="3BC47FDF" w14:textId="1A9F614A" w:rsidR="009718F7" w:rsidRPr="00B53505" w:rsidRDefault="00B53505" w:rsidP="002A6466">
            <w:pPr>
              <w:spacing w:before="60" w:after="60"/>
            </w:pPr>
            <w:r>
              <w:rPr>
                <w:sz w:val="22"/>
              </w:rPr>
              <w:t>'</w:t>
            </w:r>
            <w:r w:rsidR="009718F7" w:rsidRPr="00B53505">
              <w:rPr>
                <w:sz w:val="22"/>
              </w:rPr>
              <w:t>Administrative expenditure</w:t>
            </w:r>
            <w:r>
              <w:rPr>
                <w:sz w:val="22"/>
              </w:rPr>
              <w:t>'</w:t>
            </w:r>
            <w:r w:rsidR="002C4DDA">
              <w:rPr>
                <w:sz w:val="22"/>
              </w:rPr>
              <w:t xml:space="preserve"> </w:t>
            </w:r>
          </w:p>
        </w:tc>
      </w:tr>
    </w:tbl>
    <w:p w14:paraId="174D3CD2" w14:textId="77777777" w:rsidR="009718F7" w:rsidRPr="00B53505" w:rsidRDefault="009718F7">
      <w:pPr>
        <w:jc w:val="right"/>
        <w:rPr>
          <w:sz w:val="20"/>
        </w:rPr>
      </w:pPr>
      <w:r w:rsidRPr="00B53505">
        <w:rPr>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252"/>
        <w:gridCol w:w="992"/>
        <w:gridCol w:w="993"/>
        <w:gridCol w:w="850"/>
        <w:gridCol w:w="1134"/>
        <w:gridCol w:w="709"/>
        <w:gridCol w:w="709"/>
        <w:gridCol w:w="1214"/>
      </w:tblGrid>
      <w:tr w:rsidR="009718F7" w:rsidRPr="00B53505" w14:paraId="07716E77" w14:textId="77777777" w:rsidTr="002A6466">
        <w:tc>
          <w:tcPr>
            <w:tcW w:w="3960" w:type="dxa"/>
            <w:tcBorders>
              <w:top w:val="nil"/>
              <w:left w:val="nil"/>
              <w:right w:val="nil"/>
            </w:tcBorders>
            <w:vAlign w:val="center"/>
          </w:tcPr>
          <w:p w14:paraId="092306C1" w14:textId="77777777" w:rsidR="009718F7" w:rsidRPr="00B53505" w:rsidRDefault="009718F7">
            <w:pPr>
              <w:jc w:val="center"/>
            </w:pPr>
          </w:p>
        </w:tc>
        <w:tc>
          <w:tcPr>
            <w:tcW w:w="1560" w:type="dxa"/>
            <w:tcBorders>
              <w:top w:val="nil"/>
              <w:left w:val="nil"/>
              <w:right w:val="nil"/>
            </w:tcBorders>
          </w:tcPr>
          <w:p w14:paraId="1FC6D203" w14:textId="77777777" w:rsidR="009718F7" w:rsidRPr="00B53505" w:rsidRDefault="009718F7">
            <w:pPr>
              <w:rPr>
                <w:sz w:val="20"/>
              </w:rPr>
            </w:pPr>
          </w:p>
        </w:tc>
        <w:tc>
          <w:tcPr>
            <w:tcW w:w="534" w:type="dxa"/>
            <w:tcBorders>
              <w:top w:val="nil"/>
              <w:left w:val="nil"/>
            </w:tcBorders>
          </w:tcPr>
          <w:p w14:paraId="297383E6" w14:textId="77777777" w:rsidR="009718F7" w:rsidRPr="00B53505" w:rsidRDefault="009718F7">
            <w:pPr>
              <w:jc w:val="center"/>
              <w:rPr>
                <w:sz w:val="20"/>
              </w:rPr>
            </w:pPr>
          </w:p>
        </w:tc>
        <w:tc>
          <w:tcPr>
            <w:tcW w:w="1252" w:type="dxa"/>
            <w:vAlign w:val="center"/>
          </w:tcPr>
          <w:p w14:paraId="4F97DAFB"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2017</w:t>
            </w:r>
          </w:p>
        </w:tc>
        <w:tc>
          <w:tcPr>
            <w:tcW w:w="992" w:type="dxa"/>
            <w:vAlign w:val="center"/>
          </w:tcPr>
          <w:p w14:paraId="0FB8B384"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2018</w:t>
            </w:r>
          </w:p>
        </w:tc>
        <w:tc>
          <w:tcPr>
            <w:tcW w:w="993" w:type="dxa"/>
            <w:vAlign w:val="center"/>
          </w:tcPr>
          <w:p w14:paraId="3BCB8ABF"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2019</w:t>
            </w:r>
          </w:p>
        </w:tc>
        <w:tc>
          <w:tcPr>
            <w:tcW w:w="850" w:type="dxa"/>
            <w:vAlign w:val="center"/>
          </w:tcPr>
          <w:p w14:paraId="0A969948"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2020</w:t>
            </w:r>
          </w:p>
        </w:tc>
        <w:tc>
          <w:tcPr>
            <w:tcW w:w="2552" w:type="dxa"/>
            <w:gridSpan w:val="3"/>
            <w:vAlign w:val="center"/>
          </w:tcPr>
          <w:p w14:paraId="4E83151B" w14:textId="77777777" w:rsidR="009718F7" w:rsidRPr="00B53505" w:rsidRDefault="009718F7">
            <w:pPr>
              <w:jc w:val="center"/>
              <w:rPr>
                <w:b/>
                <w:sz w:val="18"/>
              </w:rPr>
            </w:pPr>
            <w:r w:rsidRPr="00B53505">
              <w:rPr>
                <w:sz w:val="18"/>
              </w:rPr>
              <w:t xml:space="preserve">Enter as many years as necessary to show the duration of the impact (see point 1.6) </w:t>
            </w:r>
          </w:p>
        </w:tc>
        <w:tc>
          <w:tcPr>
            <w:tcW w:w="1214" w:type="dxa"/>
            <w:vAlign w:val="center"/>
          </w:tcPr>
          <w:p w14:paraId="15CD7E42" w14:textId="77777777" w:rsidR="009718F7" w:rsidRPr="00B53505" w:rsidRDefault="009718F7">
            <w:pPr>
              <w:jc w:val="center"/>
              <w:rPr>
                <w:b/>
                <w:sz w:val="20"/>
              </w:rPr>
            </w:pPr>
            <w:r w:rsidRPr="00B53505">
              <w:rPr>
                <w:b/>
                <w:sz w:val="20"/>
              </w:rPr>
              <w:t>TOTAL</w:t>
            </w:r>
          </w:p>
        </w:tc>
      </w:tr>
      <w:tr w:rsidR="009718F7" w:rsidRPr="00B53505" w14:paraId="25D17622" w14:textId="77777777">
        <w:trPr>
          <w:gridAfter w:val="10"/>
          <w:wAfter w:w="9947" w:type="dxa"/>
        </w:trPr>
        <w:tc>
          <w:tcPr>
            <w:tcW w:w="3960" w:type="dxa"/>
            <w:vAlign w:val="center"/>
          </w:tcPr>
          <w:p w14:paraId="25A77F75" w14:textId="7E186584" w:rsidR="009718F7" w:rsidRPr="00B53505" w:rsidRDefault="009718F7" w:rsidP="00A6010A">
            <w:pPr>
              <w:spacing w:before="60" w:after="60"/>
              <w:jc w:val="center"/>
            </w:pPr>
            <w:r w:rsidRPr="00B53505">
              <w:rPr>
                <w:sz w:val="22"/>
              </w:rPr>
              <w:t xml:space="preserve">DGs: </w:t>
            </w:r>
            <w:r w:rsidR="00A6010A" w:rsidRPr="00B53505">
              <w:rPr>
                <w:sz w:val="22"/>
              </w:rPr>
              <w:t>XX</w:t>
            </w:r>
          </w:p>
        </w:tc>
      </w:tr>
      <w:tr w:rsidR="009718F7" w:rsidRPr="00B53505" w14:paraId="78E0C812" w14:textId="77777777" w:rsidTr="002A6466">
        <w:trPr>
          <w:trHeight w:val="313"/>
        </w:trPr>
        <w:tc>
          <w:tcPr>
            <w:tcW w:w="6054" w:type="dxa"/>
            <w:gridSpan w:val="3"/>
            <w:vAlign w:val="center"/>
          </w:tcPr>
          <w:p w14:paraId="6FADCCE4" w14:textId="77777777" w:rsidR="009718F7" w:rsidRPr="00B53505" w:rsidRDefault="009718F7">
            <w:pPr>
              <w:spacing w:before="20" w:after="20"/>
            </w:pPr>
            <w:r w:rsidRPr="00B53505">
              <w:rPr>
                <w:sz w:val="22"/>
              </w:rPr>
              <w:sym w:font="Wingdings" w:char="F09F"/>
            </w:r>
            <w:r w:rsidRPr="00B53505">
              <w:rPr>
                <w:sz w:val="22"/>
              </w:rPr>
              <w:t xml:space="preserve"> Human resources </w:t>
            </w:r>
          </w:p>
        </w:tc>
        <w:tc>
          <w:tcPr>
            <w:tcW w:w="1252" w:type="dxa"/>
            <w:vAlign w:val="center"/>
          </w:tcPr>
          <w:p w14:paraId="799A3F29" w14:textId="347A6D39" w:rsidR="009718F7" w:rsidRPr="00B53505" w:rsidRDefault="009718F7">
            <w:pPr>
              <w:spacing w:before="20" w:after="20"/>
              <w:jc w:val="right"/>
              <w:rPr>
                <w:sz w:val="20"/>
              </w:rPr>
            </w:pPr>
            <w:r w:rsidRPr="00B53505">
              <w:rPr>
                <w:sz w:val="20"/>
              </w:rPr>
              <w:t>3.</w:t>
            </w:r>
            <w:r w:rsidR="003F0A5E" w:rsidRPr="00B53505">
              <w:rPr>
                <w:sz w:val="20"/>
              </w:rPr>
              <w:t>2</w:t>
            </w:r>
            <w:r w:rsidRPr="00B53505">
              <w:rPr>
                <w:sz w:val="20"/>
              </w:rPr>
              <w:t>6</w:t>
            </w:r>
            <w:r w:rsidR="003F0A5E" w:rsidRPr="00B53505">
              <w:rPr>
                <w:sz w:val="20"/>
              </w:rPr>
              <w:t>4</w:t>
            </w:r>
            <w:r w:rsidRPr="00B53505">
              <w:rPr>
                <w:sz w:val="20"/>
              </w:rPr>
              <w:t xml:space="preserve"> (0.134*1</w:t>
            </w:r>
            <w:r w:rsidR="003F0A5E" w:rsidRPr="00B53505">
              <w:rPr>
                <w:sz w:val="20"/>
              </w:rPr>
              <w:t>6</w:t>
            </w:r>
            <w:r w:rsidRPr="00B53505">
              <w:rPr>
                <w:sz w:val="20"/>
              </w:rPr>
              <w:t>+</w:t>
            </w:r>
          </w:p>
          <w:p w14:paraId="2D75FD4F" w14:textId="57BD04D0" w:rsidR="009718F7" w:rsidRPr="00B53505" w:rsidRDefault="009718F7">
            <w:pPr>
              <w:spacing w:before="20" w:after="20"/>
              <w:jc w:val="right"/>
              <w:rPr>
                <w:sz w:val="20"/>
              </w:rPr>
            </w:pPr>
            <w:r w:rsidRPr="00B53505">
              <w:rPr>
                <w:sz w:val="20"/>
              </w:rPr>
              <w:t>0.07*1</w:t>
            </w:r>
            <w:r w:rsidR="003F0A5E" w:rsidRPr="00B53505">
              <w:rPr>
                <w:sz w:val="20"/>
              </w:rPr>
              <w:t>6</w:t>
            </w:r>
            <w:r w:rsidRPr="00B53505">
              <w:rPr>
                <w:sz w:val="20"/>
              </w:rPr>
              <w:t>)</w:t>
            </w:r>
          </w:p>
        </w:tc>
        <w:tc>
          <w:tcPr>
            <w:tcW w:w="992" w:type="dxa"/>
            <w:vAlign w:val="center"/>
          </w:tcPr>
          <w:p w14:paraId="22838B74" w14:textId="096E88FE" w:rsidR="009718F7" w:rsidRPr="00B53505" w:rsidRDefault="009718F7" w:rsidP="003F0A5E">
            <w:pPr>
              <w:spacing w:before="20" w:after="20"/>
              <w:jc w:val="right"/>
              <w:rPr>
                <w:sz w:val="20"/>
              </w:rPr>
            </w:pPr>
            <w:r w:rsidRPr="00B53505">
              <w:rPr>
                <w:sz w:val="20"/>
              </w:rPr>
              <w:t>3.</w:t>
            </w:r>
            <w:r w:rsidR="003F0A5E" w:rsidRPr="00B53505">
              <w:rPr>
                <w:sz w:val="20"/>
              </w:rPr>
              <w:t>2</w:t>
            </w:r>
            <w:r w:rsidRPr="00B53505">
              <w:rPr>
                <w:sz w:val="20"/>
              </w:rPr>
              <w:t>6</w:t>
            </w:r>
            <w:r w:rsidR="003F0A5E" w:rsidRPr="00B53505">
              <w:rPr>
                <w:sz w:val="20"/>
              </w:rPr>
              <w:t>4</w:t>
            </w:r>
          </w:p>
        </w:tc>
        <w:tc>
          <w:tcPr>
            <w:tcW w:w="993" w:type="dxa"/>
            <w:vAlign w:val="center"/>
          </w:tcPr>
          <w:p w14:paraId="2B89AD1F" w14:textId="708A1B30" w:rsidR="009718F7" w:rsidRPr="00B53505" w:rsidRDefault="009718F7" w:rsidP="003F0A5E">
            <w:pPr>
              <w:spacing w:before="20" w:after="20"/>
              <w:jc w:val="right"/>
              <w:rPr>
                <w:sz w:val="20"/>
              </w:rPr>
            </w:pPr>
            <w:r w:rsidRPr="00B53505">
              <w:rPr>
                <w:sz w:val="20"/>
              </w:rPr>
              <w:t>3.</w:t>
            </w:r>
            <w:r w:rsidR="003F0A5E" w:rsidRPr="00B53505">
              <w:rPr>
                <w:sz w:val="20"/>
              </w:rPr>
              <w:t>2</w:t>
            </w:r>
            <w:r w:rsidRPr="00B53505">
              <w:rPr>
                <w:sz w:val="20"/>
              </w:rPr>
              <w:t>6</w:t>
            </w:r>
            <w:r w:rsidR="003F0A5E" w:rsidRPr="00B53505">
              <w:rPr>
                <w:sz w:val="20"/>
              </w:rPr>
              <w:t>4</w:t>
            </w:r>
          </w:p>
        </w:tc>
        <w:tc>
          <w:tcPr>
            <w:tcW w:w="850" w:type="dxa"/>
            <w:vAlign w:val="center"/>
          </w:tcPr>
          <w:p w14:paraId="5BC338C8" w14:textId="7D41F300" w:rsidR="009718F7" w:rsidRPr="00B53505" w:rsidRDefault="009718F7" w:rsidP="003F0A5E">
            <w:pPr>
              <w:spacing w:before="20" w:after="20"/>
              <w:jc w:val="right"/>
              <w:rPr>
                <w:sz w:val="20"/>
              </w:rPr>
            </w:pPr>
            <w:r w:rsidRPr="00B53505">
              <w:rPr>
                <w:sz w:val="20"/>
              </w:rPr>
              <w:t>3.</w:t>
            </w:r>
            <w:r w:rsidR="003F0A5E" w:rsidRPr="00B53505">
              <w:rPr>
                <w:sz w:val="20"/>
              </w:rPr>
              <w:t>2</w:t>
            </w:r>
            <w:r w:rsidRPr="00B53505">
              <w:rPr>
                <w:sz w:val="20"/>
              </w:rPr>
              <w:t>6</w:t>
            </w:r>
            <w:r w:rsidR="003F0A5E" w:rsidRPr="00B53505">
              <w:rPr>
                <w:sz w:val="20"/>
              </w:rPr>
              <w:t>4</w:t>
            </w:r>
          </w:p>
        </w:tc>
        <w:tc>
          <w:tcPr>
            <w:tcW w:w="1134" w:type="dxa"/>
            <w:vAlign w:val="center"/>
          </w:tcPr>
          <w:p w14:paraId="6B66252C" w14:textId="77777777" w:rsidR="009718F7" w:rsidRPr="00B53505" w:rsidRDefault="009718F7">
            <w:pPr>
              <w:spacing w:before="20" w:after="20"/>
              <w:jc w:val="right"/>
              <w:rPr>
                <w:sz w:val="20"/>
              </w:rPr>
            </w:pPr>
          </w:p>
        </w:tc>
        <w:tc>
          <w:tcPr>
            <w:tcW w:w="709" w:type="dxa"/>
            <w:vAlign w:val="center"/>
          </w:tcPr>
          <w:p w14:paraId="48AD04FE" w14:textId="77777777" w:rsidR="009718F7" w:rsidRPr="00B53505" w:rsidRDefault="009718F7">
            <w:pPr>
              <w:spacing w:before="20" w:after="20"/>
              <w:jc w:val="right"/>
              <w:rPr>
                <w:sz w:val="20"/>
              </w:rPr>
            </w:pPr>
          </w:p>
        </w:tc>
        <w:tc>
          <w:tcPr>
            <w:tcW w:w="709" w:type="dxa"/>
            <w:vAlign w:val="center"/>
          </w:tcPr>
          <w:p w14:paraId="30A54F6E" w14:textId="77777777" w:rsidR="009718F7" w:rsidRPr="00B53505" w:rsidRDefault="009718F7">
            <w:pPr>
              <w:spacing w:before="20" w:after="20"/>
              <w:jc w:val="right"/>
              <w:rPr>
                <w:b/>
                <w:sz w:val="20"/>
              </w:rPr>
            </w:pPr>
          </w:p>
        </w:tc>
        <w:tc>
          <w:tcPr>
            <w:tcW w:w="1214" w:type="dxa"/>
            <w:vAlign w:val="center"/>
          </w:tcPr>
          <w:p w14:paraId="50E4E98E" w14:textId="316FB97C" w:rsidR="009718F7" w:rsidRPr="00B53505" w:rsidRDefault="009718F7" w:rsidP="003F0A5E">
            <w:pPr>
              <w:spacing w:before="20" w:after="20"/>
              <w:jc w:val="right"/>
              <w:rPr>
                <w:b/>
                <w:sz w:val="20"/>
              </w:rPr>
            </w:pPr>
            <w:r w:rsidRPr="00B53505">
              <w:rPr>
                <w:b/>
                <w:sz w:val="20"/>
              </w:rPr>
              <w:t>1</w:t>
            </w:r>
            <w:r w:rsidR="003F0A5E" w:rsidRPr="00B53505">
              <w:rPr>
                <w:b/>
                <w:sz w:val="20"/>
              </w:rPr>
              <w:t>3</w:t>
            </w:r>
            <w:r w:rsidRPr="00B53505">
              <w:rPr>
                <w:b/>
                <w:sz w:val="20"/>
              </w:rPr>
              <w:t>.0</w:t>
            </w:r>
            <w:r w:rsidR="003F0A5E" w:rsidRPr="00B53505">
              <w:rPr>
                <w:b/>
                <w:sz w:val="20"/>
              </w:rPr>
              <w:t>56</w:t>
            </w:r>
          </w:p>
        </w:tc>
      </w:tr>
      <w:tr w:rsidR="009718F7" w:rsidRPr="00B53505" w14:paraId="674FCAAD" w14:textId="77777777" w:rsidTr="002A6466">
        <w:trPr>
          <w:trHeight w:val="351"/>
        </w:trPr>
        <w:tc>
          <w:tcPr>
            <w:tcW w:w="6054" w:type="dxa"/>
            <w:gridSpan w:val="3"/>
            <w:vAlign w:val="center"/>
          </w:tcPr>
          <w:p w14:paraId="6268526C" w14:textId="77777777" w:rsidR="009718F7" w:rsidRPr="00B53505" w:rsidRDefault="009718F7">
            <w:pPr>
              <w:spacing w:before="20" w:after="20"/>
            </w:pPr>
            <w:r w:rsidRPr="00B53505">
              <w:rPr>
                <w:sz w:val="22"/>
              </w:rPr>
              <w:sym w:font="Wingdings" w:char="F09F"/>
            </w:r>
            <w:r w:rsidRPr="00B53505">
              <w:rPr>
                <w:sz w:val="22"/>
              </w:rPr>
              <w:t xml:space="preserve"> Other administrative expenditure </w:t>
            </w:r>
          </w:p>
        </w:tc>
        <w:tc>
          <w:tcPr>
            <w:tcW w:w="1252" w:type="dxa"/>
            <w:vAlign w:val="center"/>
          </w:tcPr>
          <w:p w14:paraId="572EEB0D" w14:textId="77777777" w:rsidR="009718F7" w:rsidRPr="00B53505" w:rsidRDefault="009718F7" w:rsidP="002A6466">
            <w:pPr>
              <w:spacing w:before="20" w:after="20"/>
              <w:jc w:val="right"/>
              <w:rPr>
                <w:sz w:val="20"/>
              </w:rPr>
            </w:pPr>
            <w:r w:rsidRPr="00B53505">
              <w:rPr>
                <w:sz w:val="20"/>
              </w:rPr>
              <w:t>0.5</w:t>
            </w:r>
          </w:p>
        </w:tc>
        <w:tc>
          <w:tcPr>
            <w:tcW w:w="992" w:type="dxa"/>
            <w:vAlign w:val="center"/>
          </w:tcPr>
          <w:p w14:paraId="3DFC2831" w14:textId="77777777" w:rsidR="009718F7" w:rsidRPr="00B53505" w:rsidRDefault="009718F7">
            <w:pPr>
              <w:spacing w:before="20" w:after="20"/>
              <w:jc w:val="right"/>
              <w:rPr>
                <w:sz w:val="20"/>
              </w:rPr>
            </w:pPr>
            <w:r w:rsidRPr="00B53505">
              <w:rPr>
                <w:sz w:val="20"/>
              </w:rPr>
              <w:t>0.5</w:t>
            </w:r>
          </w:p>
        </w:tc>
        <w:tc>
          <w:tcPr>
            <w:tcW w:w="993" w:type="dxa"/>
            <w:vAlign w:val="center"/>
          </w:tcPr>
          <w:p w14:paraId="0D9EAACF" w14:textId="77777777" w:rsidR="009718F7" w:rsidRPr="00B53505" w:rsidRDefault="009718F7">
            <w:pPr>
              <w:spacing w:before="20" w:after="20"/>
              <w:jc w:val="right"/>
              <w:rPr>
                <w:sz w:val="20"/>
              </w:rPr>
            </w:pPr>
            <w:r w:rsidRPr="00B53505">
              <w:rPr>
                <w:sz w:val="20"/>
              </w:rPr>
              <w:t>0.5</w:t>
            </w:r>
          </w:p>
        </w:tc>
        <w:tc>
          <w:tcPr>
            <w:tcW w:w="850" w:type="dxa"/>
            <w:vAlign w:val="center"/>
          </w:tcPr>
          <w:p w14:paraId="1B0B73DC" w14:textId="77777777" w:rsidR="009718F7" w:rsidRPr="00B53505" w:rsidRDefault="009718F7">
            <w:pPr>
              <w:spacing w:before="20" w:after="20"/>
              <w:jc w:val="right"/>
              <w:rPr>
                <w:sz w:val="20"/>
              </w:rPr>
            </w:pPr>
            <w:r w:rsidRPr="00B53505">
              <w:rPr>
                <w:sz w:val="20"/>
              </w:rPr>
              <w:t>0.5</w:t>
            </w:r>
          </w:p>
        </w:tc>
        <w:tc>
          <w:tcPr>
            <w:tcW w:w="1134" w:type="dxa"/>
            <w:vAlign w:val="center"/>
          </w:tcPr>
          <w:p w14:paraId="21687C4A" w14:textId="77777777" w:rsidR="009718F7" w:rsidRPr="00B53505" w:rsidRDefault="009718F7">
            <w:pPr>
              <w:spacing w:before="20" w:after="20"/>
              <w:jc w:val="right"/>
              <w:rPr>
                <w:sz w:val="20"/>
              </w:rPr>
            </w:pPr>
          </w:p>
        </w:tc>
        <w:tc>
          <w:tcPr>
            <w:tcW w:w="709" w:type="dxa"/>
            <w:vAlign w:val="center"/>
          </w:tcPr>
          <w:p w14:paraId="4074F3A8" w14:textId="77777777" w:rsidR="009718F7" w:rsidRPr="00B53505" w:rsidRDefault="009718F7">
            <w:pPr>
              <w:spacing w:before="20" w:after="20"/>
              <w:jc w:val="right"/>
              <w:rPr>
                <w:sz w:val="20"/>
              </w:rPr>
            </w:pPr>
          </w:p>
        </w:tc>
        <w:tc>
          <w:tcPr>
            <w:tcW w:w="709" w:type="dxa"/>
            <w:vAlign w:val="center"/>
          </w:tcPr>
          <w:p w14:paraId="61B44687" w14:textId="77777777" w:rsidR="009718F7" w:rsidRPr="00B53505" w:rsidRDefault="009718F7">
            <w:pPr>
              <w:spacing w:before="20" w:after="20"/>
              <w:jc w:val="right"/>
              <w:rPr>
                <w:sz w:val="20"/>
              </w:rPr>
            </w:pPr>
          </w:p>
        </w:tc>
        <w:tc>
          <w:tcPr>
            <w:tcW w:w="1214" w:type="dxa"/>
            <w:vAlign w:val="center"/>
          </w:tcPr>
          <w:p w14:paraId="5C02825B" w14:textId="77777777" w:rsidR="009718F7" w:rsidRPr="00B53505" w:rsidRDefault="009718F7">
            <w:pPr>
              <w:spacing w:before="20" w:after="20"/>
              <w:jc w:val="right"/>
              <w:rPr>
                <w:b/>
                <w:sz w:val="20"/>
              </w:rPr>
            </w:pPr>
            <w:r w:rsidRPr="00B53505">
              <w:rPr>
                <w:b/>
                <w:sz w:val="20"/>
              </w:rPr>
              <w:t>2.000</w:t>
            </w:r>
          </w:p>
        </w:tc>
      </w:tr>
      <w:tr w:rsidR="009718F7" w:rsidRPr="00B53505" w14:paraId="54FB6326" w14:textId="77777777" w:rsidTr="002A6466">
        <w:tc>
          <w:tcPr>
            <w:tcW w:w="3960" w:type="dxa"/>
            <w:vAlign w:val="center"/>
          </w:tcPr>
          <w:p w14:paraId="7B1F4515" w14:textId="262BA3AA" w:rsidR="009718F7" w:rsidRPr="00B53505" w:rsidRDefault="009718F7" w:rsidP="00A6010A">
            <w:pPr>
              <w:jc w:val="center"/>
              <w:rPr>
                <w:b/>
              </w:rPr>
            </w:pPr>
            <w:r w:rsidRPr="00B53505">
              <w:rPr>
                <w:b/>
                <w:sz w:val="22"/>
              </w:rPr>
              <w:t xml:space="preserve">TOTAL DG </w:t>
            </w:r>
            <w:r w:rsidR="00A6010A" w:rsidRPr="00B53505">
              <w:rPr>
                <w:sz w:val="22"/>
              </w:rPr>
              <w:t>XX</w:t>
            </w:r>
          </w:p>
        </w:tc>
        <w:tc>
          <w:tcPr>
            <w:tcW w:w="2094" w:type="dxa"/>
            <w:gridSpan w:val="2"/>
            <w:vAlign w:val="center"/>
          </w:tcPr>
          <w:p w14:paraId="79AA2897" w14:textId="77777777" w:rsidR="009718F7" w:rsidRPr="00B53505" w:rsidRDefault="009718F7">
            <w:pPr>
              <w:rPr>
                <w:sz w:val="14"/>
              </w:rPr>
            </w:pPr>
            <w:r w:rsidRPr="00B53505">
              <w:rPr>
                <w:sz w:val="18"/>
              </w:rPr>
              <w:t xml:space="preserve">Appropriations </w:t>
            </w:r>
          </w:p>
        </w:tc>
        <w:tc>
          <w:tcPr>
            <w:tcW w:w="1252" w:type="dxa"/>
            <w:vAlign w:val="center"/>
          </w:tcPr>
          <w:p w14:paraId="0FE433B3" w14:textId="73326D86" w:rsidR="009718F7" w:rsidRPr="00B53505" w:rsidRDefault="009718F7" w:rsidP="003F0A5E">
            <w:pPr>
              <w:spacing w:before="60" w:after="60"/>
              <w:jc w:val="right"/>
              <w:rPr>
                <w:sz w:val="20"/>
              </w:rPr>
            </w:pPr>
            <w:r w:rsidRPr="00B53505">
              <w:rPr>
                <w:sz w:val="20"/>
              </w:rPr>
              <w:t>3.</w:t>
            </w:r>
            <w:r w:rsidR="003F0A5E" w:rsidRPr="00B53505">
              <w:rPr>
                <w:sz w:val="20"/>
              </w:rPr>
              <w:t>7</w:t>
            </w:r>
            <w:r w:rsidRPr="00B53505">
              <w:rPr>
                <w:sz w:val="20"/>
              </w:rPr>
              <w:t>6</w:t>
            </w:r>
            <w:r w:rsidR="003F0A5E" w:rsidRPr="00B53505">
              <w:rPr>
                <w:sz w:val="20"/>
              </w:rPr>
              <w:t>4</w:t>
            </w:r>
          </w:p>
        </w:tc>
        <w:tc>
          <w:tcPr>
            <w:tcW w:w="992" w:type="dxa"/>
            <w:vAlign w:val="center"/>
          </w:tcPr>
          <w:p w14:paraId="40A023D5" w14:textId="70A0936E" w:rsidR="009718F7" w:rsidRPr="00B53505" w:rsidRDefault="009718F7" w:rsidP="003F0A5E">
            <w:pPr>
              <w:spacing w:before="20" w:after="20"/>
              <w:jc w:val="right"/>
              <w:rPr>
                <w:sz w:val="20"/>
              </w:rPr>
            </w:pPr>
            <w:r w:rsidRPr="00B53505">
              <w:rPr>
                <w:sz w:val="20"/>
              </w:rPr>
              <w:t>3.</w:t>
            </w:r>
            <w:r w:rsidR="003F0A5E" w:rsidRPr="00B53505">
              <w:rPr>
                <w:sz w:val="20"/>
              </w:rPr>
              <w:t>7</w:t>
            </w:r>
            <w:r w:rsidRPr="00B53505">
              <w:rPr>
                <w:sz w:val="20"/>
              </w:rPr>
              <w:t>6</w:t>
            </w:r>
            <w:r w:rsidR="003F0A5E" w:rsidRPr="00B53505">
              <w:rPr>
                <w:sz w:val="20"/>
              </w:rPr>
              <w:t>4</w:t>
            </w:r>
          </w:p>
        </w:tc>
        <w:tc>
          <w:tcPr>
            <w:tcW w:w="993" w:type="dxa"/>
            <w:vAlign w:val="center"/>
          </w:tcPr>
          <w:p w14:paraId="5A8B78FF" w14:textId="5B44D66D" w:rsidR="009718F7" w:rsidRPr="00B53505" w:rsidRDefault="009718F7" w:rsidP="003F0A5E">
            <w:pPr>
              <w:spacing w:before="20" w:after="20"/>
              <w:jc w:val="right"/>
              <w:rPr>
                <w:sz w:val="20"/>
              </w:rPr>
            </w:pPr>
            <w:r w:rsidRPr="00B53505">
              <w:rPr>
                <w:sz w:val="20"/>
              </w:rPr>
              <w:t>3.</w:t>
            </w:r>
            <w:r w:rsidR="003F0A5E" w:rsidRPr="00B53505">
              <w:rPr>
                <w:sz w:val="20"/>
              </w:rPr>
              <w:t>7</w:t>
            </w:r>
            <w:r w:rsidRPr="00B53505">
              <w:rPr>
                <w:sz w:val="20"/>
              </w:rPr>
              <w:t>6</w:t>
            </w:r>
            <w:r w:rsidR="003F0A5E" w:rsidRPr="00B53505">
              <w:rPr>
                <w:sz w:val="20"/>
              </w:rPr>
              <w:t>4</w:t>
            </w:r>
          </w:p>
        </w:tc>
        <w:tc>
          <w:tcPr>
            <w:tcW w:w="850" w:type="dxa"/>
            <w:vAlign w:val="center"/>
          </w:tcPr>
          <w:p w14:paraId="33ADA794" w14:textId="7AE2E9FD" w:rsidR="009718F7" w:rsidRPr="00B53505" w:rsidRDefault="009718F7" w:rsidP="003F0A5E">
            <w:pPr>
              <w:spacing w:before="20" w:after="20"/>
              <w:jc w:val="right"/>
              <w:rPr>
                <w:sz w:val="20"/>
              </w:rPr>
            </w:pPr>
            <w:r w:rsidRPr="00B53505">
              <w:rPr>
                <w:sz w:val="20"/>
              </w:rPr>
              <w:t>3.</w:t>
            </w:r>
            <w:r w:rsidR="003F0A5E" w:rsidRPr="00B53505">
              <w:rPr>
                <w:sz w:val="20"/>
              </w:rPr>
              <w:t>7</w:t>
            </w:r>
            <w:r w:rsidRPr="00B53505">
              <w:rPr>
                <w:sz w:val="20"/>
              </w:rPr>
              <w:t>6</w:t>
            </w:r>
            <w:r w:rsidR="003F0A5E" w:rsidRPr="00B53505">
              <w:rPr>
                <w:sz w:val="20"/>
              </w:rPr>
              <w:t>4</w:t>
            </w:r>
          </w:p>
        </w:tc>
        <w:tc>
          <w:tcPr>
            <w:tcW w:w="1134" w:type="dxa"/>
            <w:vAlign w:val="center"/>
          </w:tcPr>
          <w:p w14:paraId="2802A38C" w14:textId="77777777" w:rsidR="009718F7" w:rsidRPr="00B53505" w:rsidRDefault="009718F7">
            <w:pPr>
              <w:spacing w:before="20" w:after="20"/>
              <w:jc w:val="right"/>
              <w:rPr>
                <w:sz w:val="20"/>
              </w:rPr>
            </w:pPr>
          </w:p>
        </w:tc>
        <w:tc>
          <w:tcPr>
            <w:tcW w:w="709" w:type="dxa"/>
            <w:vAlign w:val="center"/>
          </w:tcPr>
          <w:p w14:paraId="0848EFFB" w14:textId="77777777" w:rsidR="009718F7" w:rsidRPr="00B53505" w:rsidRDefault="009718F7">
            <w:pPr>
              <w:spacing w:before="20" w:after="20"/>
              <w:jc w:val="right"/>
              <w:rPr>
                <w:sz w:val="20"/>
              </w:rPr>
            </w:pPr>
          </w:p>
        </w:tc>
        <w:tc>
          <w:tcPr>
            <w:tcW w:w="709" w:type="dxa"/>
            <w:vAlign w:val="center"/>
          </w:tcPr>
          <w:p w14:paraId="712B138C" w14:textId="77777777" w:rsidR="009718F7" w:rsidRPr="00B53505" w:rsidRDefault="009718F7">
            <w:pPr>
              <w:spacing w:before="20" w:after="20"/>
              <w:jc w:val="right"/>
              <w:rPr>
                <w:b/>
                <w:sz w:val="20"/>
              </w:rPr>
            </w:pPr>
          </w:p>
        </w:tc>
        <w:tc>
          <w:tcPr>
            <w:tcW w:w="1214" w:type="dxa"/>
            <w:vAlign w:val="center"/>
          </w:tcPr>
          <w:p w14:paraId="1C99D7E0" w14:textId="6135A2D7" w:rsidR="009718F7" w:rsidRPr="00B53505" w:rsidRDefault="009718F7" w:rsidP="003F0A5E">
            <w:pPr>
              <w:spacing w:before="20" w:after="20"/>
              <w:jc w:val="right"/>
              <w:rPr>
                <w:b/>
                <w:sz w:val="20"/>
              </w:rPr>
            </w:pPr>
            <w:r w:rsidRPr="00B53505">
              <w:rPr>
                <w:b/>
                <w:sz w:val="20"/>
              </w:rPr>
              <w:t>1</w:t>
            </w:r>
            <w:r w:rsidR="003F0A5E" w:rsidRPr="00B53505">
              <w:rPr>
                <w:b/>
                <w:sz w:val="20"/>
              </w:rPr>
              <w:t>5</w:t>
            </w:r>
            <w:r w:rsidRPr="00B53505">
              <w:rPr>
                <w:b/>
                <w:sz w:val="20"/>
              </w:rPr>
              <w:t>.0</w:t>
            </w:r>
            <w:r w:rsidR="003F0A5E" w:rsidRPr="00B53505">
              <w:rPr>
                <w:b/>
                <w:sz w:val="20"/>
              </w:rPr>
              <w:t>56</w:t>
            </w:r>
          </w:p>
        </w:tc>
      </w:tr>
    </w:tbl>
    <w:p w14:paraId="4B177A2D" w14:textId="77777777" w:rsidR="009718F7" w:rsidRPr="00B53505" w:rsidRDefault="009718F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1252"/>
        <w:gridCol w:w="992"/>
        <w:gridCol w:w="993"/>
        <w:gridCol w:w="850"/>
        <w:gridCol w:w="567"/>
        <w:gridCol w:w="554"/>
        <w:gridCol w:w="1431"/>
        <w:gridCol w:w="1214"/>
      </w:tblGrid>
      <w:tr w:rsidR="009718F7" w:rsidRPr="00B53505" w14:paraId="37557F59" w14:textId="77777777" w:rsidTr="002A6466">
        <w:tc>
          <w:tcPr>
            <w:tcW w:w="3960" w:type="dxa"/>
            <w:shd w:val="thinDiagStripe" w:color="C0C0C0" w:fill="auto"/>
            <w:vAlign w:val="center"/>
          </w:tcPr>
          <w:p w14:paraId="5EB6F43A" w14:textId="77777777" w:rsidR="009718F7" w:rsidRPr="00B53505" w:rsidRDefault="009718F7">
            <w:pPr>
              <w:jc w:val="center"/>
              <w:rPr>
                <w:b/>
              </w:rPr>
            </w:pPr>
            <w:r w:rsidRPr="00B53505">
              <w:rPr>
                <w:b/>
                <w:sz w:val="22"/>
              </w:rPr>
              <w:t>TOTAL appropriations</w:t>
            </w:r>
            <w:r w:rsidRPr="00B53505">
              <w:rPr>
                <w:sz w:val="22"/>
              </w:rPr>
              <w:br/>
            </w:r>
            <w:r w:rsidRPr="00B53505">
              <w:rPr>
                <w:b/>
                <w:sz w:val="22"/>
              </w:rPr>
              <w:t>under HEADING 5</w:t>
            </w:r>
            <w:r w:rsidRPr="00B53505">
              <w:rPr>
                <w:sz w:val="22"/>
              </w:rPr>
              <w:br/>
              <w:t>of the multiannual financial framework</w:t>
            </w:r>
            <w:r w:rsidRPr="00B53505">
              <w:rPr>
                <w:b/>
                <w:sz w:val="22"/>
              </w:rPr>
              <w:t xml:space="preserve"> </w:t>
            </w:r>
          </w:p>
        </w:tc>
        <w:tc>
          <w:tcPr>
            <w:tcW w:w="2094" w:type="dxa"/>
            <w:vAlign w:val="center"/>
          </w:tcPr>
          <w:p w14:paraId="2BC433C8" w14:textId="77777777" w:rsidR="009718F7" w:rsidRPr="00B53505" w:rsidRDefault="009718F7">
            <w:pPr>
              <w:spacing w:before="40" w:after="40"/>
            </w:pPr>
            <w:r w:rsidRPr="00B53505">
              <w:rPr>
                <w:sz w:val="18"/>
              </w:rPr>
              <w:t>(Total commitments = Total payments)</w:t>
            </w:r>
          </w:p>
        </w:tc>
        <w:tc>
          <w:tcPr>
            <w:tcW w:w="1252" w:type="dxa"/>
            <w:vAlign w:val="center"/>
          </w:tcPr>
          <w:p w14:paraId="210349EA" w14:textId="61B4F589" w:rsidR="009718F7" w:rsidRPr="00B53505" w:rsidRDefault="009718F7" w:rsidP="003F0A5E">
            <w:pPr>
              <w:spacing w:before="20" w:after="20"/>
              <w:jc w:val="right"/>
              <w:rPr>
                <w:sz w:val="20"/>
              </w:rPr>
            </w:pPr>
            <w:r w:rsidRPr="00B53505">
              <w:rPr>
                <w:sz w:val="20"/>
              </w:rPr>
              <w:t>3.</w:t>
            </w:r>
            <w:r w:rsidR="003F0A5E" w:rsidRPr="00B53505">
              <w:rPr>
                <w:sz w:val="20"/>
              </w:rPr>
              <w:t>7</w:t>
            </w:r>
            <w:r w:rsidRPr="00B53505">
              <w:rPr>
                <w:sz w:val="20"/>
              </w:rPr>
              <w:t>6</w:t>
            </w:r>
            <w:r w:rsidR="003F0A5E" w:rsidRPr="00B53505">
              <w:rPr>
                <w:sz w:val="20"/>
              </w:rPr>
              <w:t>4</w:t>
            </w:r>
          </w:p>
        </w:tc>
        <w:tc>
          <w:tcPr>
            <w:tcW w:w="992" w:type="dxa"/>
            <w:vAlign w:val="center"/>
          </w:tcPr>
          <w:p w14:paraId="163749B6" w14:textId="763C6407" w:rsidR="009718F7" w:rsidRPr="00B53505" w:rsidRDefault="009718F7" w:rsidP="003F0A5E">
            <w:pPr>
              <w:spacing w:before="20" w:after="20"/>
              <w:jc w:val="right"/>
              <w:rPr>
                <w:sz w:val="20"/>
              </w:rPr>
            </w:pPr>
            <w:r w:rsidRPr="00B53505">
              <w:rPr>
                <w:sz w:val="20"/>
              </w:rPr>
              <w:t>3.</w:t>
            </w:r>
            <w:r w:rsidR="003F0A5E" w:rsidRPr="00B53505">
              <w:rPr>
                <w:sz w:val="20"/>
              </w:rPr>
              <w:t>7</w:t>
            </w:r>
            <w:r w:rsidRPr="00B53505">
              <w:rPr>
                <w:sz w:val="20"/>
              </w:rPr>
              <w:t>6</w:t>
            </w:r>
            <w:r w:rsidR="003F0A5E" w:rsidRPr="00B53505">
              <w:rPr>
                <w:sz w:val="20"/>
              </w:rPr>
              <w:t>4</w:t>
            </w:r>
          </w:p>
        </w:tc>
        <w:tc>
          <w:tcPr>
            <w:tcW w:w="993" w:type="dxa"/>
            <w:vAlign w:val="center"/>
          </w:tcPr>
          <w:p w14:paraId="62138B54" w14:textId="05D669E4" w:rsidR="009718F7" w:rsidRPr="00B53505" w:rsidRDefault="009718F7">
            <w:pPr>
              <w:spacing w:before="20" w:after="20"/>
              <w:jc w:val="right"/>
              <w:rPr>
                <w:sz w:val="20"/>
              </w:rPr>
            </w:pPr>
            <w:r w:rsidRPr="00B53505">
              <w:rPr>
                <w:sz w:val="20"/>
              </w:rPr>
              <w:t>3.</w:t>
            </w:r>
            <w:r w:rsidR="003F0A5E" w:rsidRPr="00B53505">
              <w:rPr>
                <w:sz w:val="20"/>
              </w:rPr>
              <w:t>7</w:t>
            </w:r>
            <w:r w:rsidRPr="00B53505">
              <w:rPr>
                <w:sz w:val="20"/>
              </w:rPr>
              <w:t>6</w:t>
            </w:r>
            <w:r w:rsidR="003F0A5E" w:rsidRPr="00B53505">
              <w:rPr>
                <w:sz w:val="20"/>
              </w:rPr>
              <w:t>4</w:t>
            </w:r>
          </w:p>
        </w:tc>
        <w:tc>
          <w:tcPr>
            <w:tcW w:w="850" w:type="dxa"/>
            <w:vAlign w:val="center"/>
          </w:tcPr>
          <w:p w14:paraId="22D508E8" w14:textId="0DA9015C" w:rsidR="009718F7" w:rsidRPr="00B53505" w:rsidRDefault="009718F7" w:rsidP="003F0A5E">
            <w:pPr>
              <w:spacing w:before="20" w:after="20"/>
              <w:jc w:val="right"/>
              <w:rPr>
                <w:sz w:val="20"/>
              </w:rPr>
            </w:pPr>
            <w:r w:rsidRPr="00B53505">
              <w:rPr>
                <w:sz w:val="20"/>
              </w:rPr>
              <w:t>3.</w:t>
            </w:r>
            <w:r w:rsidR="003F0A5E" w:rsidRPr="00B53505">
              <w:rPr>
                <w:sz w:val="20"/>
              </w:rPr>
              <w:t>7</w:t>
            </w:r>
            <w:r w:rsidRPr="00B53505">
              <w:rPr>
                <w:sz w:val="20"/>
              </w:rPr>
              <w:t>6</w:t>
            </w:r>
            <w:r w:rsidR="003F0A5E" w:rsidRPr="00B53505">
              <w:rPr>
                <w:sz w:val="20"/>
              </w:rPr>
              <w:t>4</w:t>
            </w:r>
          </w:p>
        </w:tc>
        <w:tc>
          <w:tcPr>
            <w:tcW w:w="567" w:type="dxa"/>
            <w:vAlign w:val="center"/>
          </w:tcPr>
          <w:p w14:paraId="61C37BA1" w14:textId="77777777" w:rsidR="009718F7" w:rsidRPr="00B53505" w:rsidRDefault="009718F7">
            <w:pPr>
              <w:spacing w:before="20" w:after="20"/>
              <w:jc w:val="right"/>
              <w:rPr>
                <w:sz w:val="20"/>
              </w:rPr>
            </w:pPr>
          </w:p>
        </w:tc>
        <w:tc>
          <w:tcPr>
            <w:tcW w:w="554" w:type="dxa"/>
            <w:vAlign w:val="center"/>
          </w:tcPr>
          <w:p w14:paraId="236AB70B" w14:textId="77777777" w:rsidR="009718F7" w:rsidRPr="00B53505" w:rsidRDefault="009718F7">
            <w:pPr>
              <w:spacing w:before="20" w:after="20"/>
              <w:jc w:val="right"/>
              <w:rPr>
                <w:sz w:val="20"/>
              </w:rPr>
            </w:pPr>
          </w:p>
        </w:tc>
        <w:tc>
          <w:tcPr>
            <w:tcW w:w="1431" w:type="dxa"/>
            <w:vAlign w:val="center"/>
          </w:tcPr>
          <w:p w14:paraId="4FFCD585" w14:textId="77777777" w:rsidR="009718F7" w:rsidRPr="00B53505" w:rsidRDefault="009718F7">
            <w:pPr>
              <w:spacing w:before="20" w:after="20"/>
              <w:jc w:val="right"/>
              <w:rPr>
                <w:b/>
                <w:sz w:val="20"/>
              </w:rPr>
            </w:pPr>
          </w:p>
        </w:tc>
        <w:tc>
          <w:tcPr>
            <w:tcW w:w="1214" w:type="dxa"/>
            <w:vAlign w:val="center"/>
          </w:tcPr>
          <w:p w14:paraId="319835D2" w14:textId="31FE92E9" w:rsidR="009718F7" w:rsidRPr="00B53505" w:rsidRDefault="009718F7" w:rsidP="003F0A5E">
            <w:pPr>
              <w:spacing w:before="20" w:after="20"/>
              <w:jc w:val="right"/>
              <w:rPr>
                <w:b/>
                <w:sz w:val="20"/>
              </w:rPr>
            </w:pPr>
            <w:r w:rsidRPr="00B53505">
              <w:rPr>
                <w:b/>
                <w:sz w:val="20"/>
              </w:rPr>
              <w:t>1</w:t>
            </w:r>
            <w:r w:rsidR="003F0A5E" w:rsidRPr="00B53505">
              <w:rPr>
                <w:b/>
                <w:sz w:val="20"/>
              </w:rPr>
              <w:t>5</w:t>
            </w:r>
            <w:r w:rsidRPr="00B53505">
              <w:rPr>
                <w:b/>
                <w:sz w:val="20"/>
              </w:rPr>
              <w:t>.0</w:t>
            </w:r>
            <w:r w:rsidR="003F0A5E" w:rsidRPr="00B53505">
              <w:rPr>
                <w:b/>
                <w:sz w:val="20"/>
              </w:rPr>
              <w:t>56</w:t>
            </w:r>
            <w:r w:rsidR="003F0A5E" w:rsidRPr="00B53505">
              <w:rPr>
                <w:rStyle w:val="FootnoteReference"/>
                <w:b/>
                <w:sz w:val="20"/>
              </w:rPr>
              <w:footnoteReference w:id="44"/>
            </w:r>
          </w:p>
        </w:tc>
      </w:tr>
    </w:tbl>
    <w:p w14:paraId="66034CCD" w14:textId="77777777" w:rsidR="009718F7" w:rsidRPr="00B53505" w:rsidRDefault="009718F7">
      <w:pPr>
        <w:jc w:val="right"/>
        <w:rPr>
          <w:sz w:val="20"/>
        </w:rPr>
      </w:pPr>
      <w:r w:rsidRPr="00B53505">
        <w:rPr>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252"/>
        <w:gridCol w:w="992"/>
        <w:gridCol w:w="993"/>
        <w:gridCol w:w="850"/>
        <w:gridCol w:w="567"/>
        <w:gridCol w:w="554"/>
        <w:gridCol w:w="1431"/>
        <w:gridCol w:w="1214"/>
      </w:tblGrid>
      <w:tr w:rsidR="009718F7" w:rsidRPr="00B53505" w14:paraId="3ED3242D" w14:textId="77777777" w:rsidTr="002A6466">
        <w:tc>
          <w:tcPr>
            <w:tcW w:w="3960" w:type="dxa"/>
            <w:tcBorders>
              <w:top w:val="nil"/>
              <w:left w:val="nil"/>
              <w:right w:val="nil"/>
            </w:tcBorders>
            <w:vAlign w:val="center"/>
          </w:tcPr>
          <w:p w14:paraId="27A63BA7" w14:textId="77777777" w:rsidR="009718F7" w:rsidRPr="00B53505" w:rsidRDefault="009718F7">
            <w:pPr>
              <w:jc w:val="center"/>
            </w:pPr>
          </w:p>
        </w:tc>
        <w:tc>
          <w:tcPr>
            <w:tcW w:w="1560" w:type="dxa"/>
            <w:tcBorders>
              <w:top w:val="nil"/>
              <w:left w:val="nil"/>
              <w:right w:val="nil"/>
            </w:tcBorders>
          </w:tcPr>
          <w:p w14:paraId="2F4B2DB7" w14:textId="77777777" w:rsidR="009718F7" w:rsidRPr="00B53505" w:rsidRDefault="009718F7">
            <w:pPr>
              <w:rPr>
                <w:sz w:val="20"/>
              </w:rPr>
            </w:pPr>
          </w:p>
        </w:tc>
        <w:tc>
          <w:tcPr>
            <w:tcW w:w="534" w:type="dxa"/>
            <w:tcBorders>
              <w:top w:val="nil"/>
              <w:left w:val="nil"/>
            </w:tcBorders>
          </w:tcPr>
          <w:p w14:paraId="72259A39" w14:textId="77777777" w:rsidR="009718F7" w:rsidRPr="00B53505" w:rsidRDefault="009718F7">
            <w:pPr>
              <w:jc w:val="center"/>
              <w:rPr>
                <w:sz w:val="20"/>
              </w:rPr>
            </w:pPr>
          </w:p>
        </w:tc>
        <w:tc>
          <w:tcPr>
            <w:tcW w:w="1252" w:type="dxa"/>
            <w:vAlign w:val="center"/>
          </w:tcPr>
          <w:p w14:paraId="279A6742"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2017</w:t>
            </w:r>
          </w:p>
        </w:tc>
        <w:tc>
          <w:tcPr>
            <w:tcW w:w="992" w:type="dxa"/>
            <w:vAlign w:val="center"/>
          </w:tcPr>
          <w:p w14:paraId="69780DD7"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2018</w:t>
            </w:r>
          </w:p>
        </w:tc>
        <w:tc>
          <w:tcPr>
            <w:tcW w:w="993" w:type="dxa"/>
            <w:vAlign w:val="center"/>
          </w:tcPr>
          <w:p w14:paraId="3DB7DA28"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2019</w:t>
            </w:r>
          </w:p>
        </w:tc>
        <w:tc>
          <w:tcPr>
            <w:tcW w:w="850" w:type="dxa"/>
            <w:vAlign w:val="center"/>
          </w:tcPr>
          <w:p w14:paraId="5138FD55"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2020</w:t>
            </w:r>
          </w:p>
        </w:tc>
        <w:tc>
          <w:tcPr>
            <w:tcW w:w="2552" w:type="dxa"/>
            <w:gridSpan w:val="3"/>
            <w:vAlign w:val="center"/>
          </w:tcPr>
          <w:p w14:paraId="125B86B0" w14:textId="77777777" w:rsidR="009718F7" w:rsidRPr="00B53505" w:rsidRDefault="009718F7">
            <w:pPr>
              <w:jc w:val="center"/>
              <w:rPr>
                <w:b/>
                <w:sz w:val="18"/>
              </w:rPr>
            </w:pPr>
            <w:r w:rsidRPr="00B53505">
              <w:rPr>
                <w:sz w:val="18"/>
              </w:rPr>
              <w:t>Enter as many years as necessary to show the duration of the impact (see point 1.6)</w:t>
            </w:r>
          </w:p>
        </w:tc>
        <w:tc>
          <w:tcPr>
            <w:tcW w:w="1214" w:type="dxa"/>
            <w:vAlign w:val="center"/>
          </w:tcPr>
          <w:p w14:paraId="5C4ADB7D" w14:textId="77777777" w:rsidR="009718F7" w:rsidRPr="00B53505" w:rsidRDefault="009718F7">
            <w:pPr>
              <w:jc w:val="center"/>
              <w:rPr>
                <w:b/>
                <w:sz w:val="20"/>
              </w:rPr>
            </w:pPr>
            <w:r w:rsidRPr="00B53505">
              <w:rPr>
                <w:b/>
                <w:sz w:val="20"/>
              </w:rPr>
              <w:t>TOTAL</w:t>
            </w:r>
          </w:p>
        </w:tc>
      </w:tr>
      <w:tr w:rsidR="009718F7" w:rsidRPr="00B53505" w14:paraId="2D748231" w14:textId="77777777" w:rsidTr="002A6466">
        <w:tc>
          <w:tcPr>
            <w:tcW w:w="3960" w:type="dxa"/>
            <w:vMerge w:val="restart"/>
            <w:shd w:val="clear" w:color="auto" w:fill="C0C0C0"/>
            <w:vAlign w:val="center"/>
          </w:tcPr>
          <w:p w14:paraId="451F9D0D" w14:textId="77777777" w:rsidR="009718F7" w:rsidRPr="00B53505" w:rsidRDefault="009718F7">
            <w:pPr>
              <w:jc w:val="center"/>
              <w:rPr>
                <w:b/>
              </w:rPr>
            </w:pPr>
            <w:r w:rsidRPr="00B53505">
              <w:rPr>
                <w:b/>
                <w:sz w:val="22"/>
              </w:rPr>
              <w:t xml:space="preserve">TOTAL appropriations </w:t>
            </w:r>
            <w:r w:rsidRPr="00B53505">
              <w:rPr>
                <w:sz w:val="22"/>
              </w:rPr>
              <w:br/>
            </w:r>
            <w:r w:rsidRPr="00B53505">
              <w:rPr>
                <w:b/>
                <w:sz w:val="22"/>
              </w:rPr>
              <w:t>under HEADINGS 1 to 5</w:t>
            </w:r>
            <w:r w:rsidRPr="00B53505">
              <w:rPr>
                <w:sz w:val="22"/>
              </w:rPr>
              <w:br/>
              <w:t>of the multiannual financial framework</w:t>
            </w:r>
            <w:r w:rsidRPr="00B53505">
              <w:rPr>
                <w:b/>
                <w:sz w:val="22"/>
              </w:rPr>
              <w:t xml:space="preserve"> </w:t>
            </w:r>
          </w:p>
        </w:tc>
        <w:tc>
          <w:tcPr>
            <w:tcW w:w="2094" w:type="dxa"/>
            <w:gridSpan w:val="2"/>
            <w:vAlign w:val="center"/>
          </w:tcPr>
          <w:p w14:paraId="68D8D93B" w14:textId="77777777" w:rsidR="009718F7" w:rsidRPr="00B53505" w:rsidRDefault="009718F7">
            <w:pPr>
              <w:rPr>
                <w:sz w:val="14"/>
              </w:rPr>
            </w:pPr>
            <w:r w:rsidRPr="00B53505">
              <w:rPr>
                <w:sz w:val="18"/>
              </w:rPr>
              <w:t>Commitments</w:t>
            </w:r>
          </w:p>
        </w:tc>
        <w:tc>
          <w:tcPr>
            <w:tcW w:w="1252" w:type="dxa"/>
            <w:vAlign w:val="center"/>
          </w:tcPr>
          <w:p w14:paraId="6212A0A5" w14:textId="2F4D7C11" w:rsidR="009718F7" w:rsidRPr="00B53505" w:rsidRDefault="009718F7" w:rsidP="003F0A5E">
            <w:pPr>
              <w:spacing w:before="60" w:after="60"/>
              <w:jc w:val="right"/>
              <w:rPr>
                <w:sz w:val="20"/>
              </w:rPr>
            </w:pPr>
            <w:r w:rsidRPr="00B53505">
              <w:rPr>
                <w:sz w:val="20"/>
              </w:rPr>
              <w:t>2</w:t>
            </w:r>
            <w:r w:rsidR="00487240">
              <w:rPr>
                <w:sz w:val="20"/>
              </w:rPr>
              <w:t>7</w:t>
            </w:r>
            <w:r w:rsidRPr="00B53505">
              <w:rPr>
                <w:sz w:val="20"/>
              </w:rPr>
              <w:t>8.</w:t>
            </w:r>
            <w:r w:rsidR="003F0A5E" w:rsidRPr="00B53505">
              <w:rPr>
                <w:sz w:val="20"/>
              </w:rPr>
              <w:t>7</w:t>
            </w:r>
            <w:r w:rsidRPr="00B53505">
              <w:rPr>
                <w:sz w:val="20"/>
              </w:rPr>
              <w:t>6</w:t>
            </w:r>
            <w:r w:rsidR="003F0A5E" w:rsidRPr="00B53505">
              <w:rPr>
                <w:sz w:val="20"/>
              </w:rPr>
              <w:t>4</w:t>
            </w:r>
          </w:p>
        </w:tc>
        <w:tc>
          <w:tcPr>
            <w:tcW w:w="992" w:type="dxa"/>
            <w:vAlign w:val="center"/>
          </w:tcPr>
          <w:p w14:paraId="7FA9CF93" w14:textId="7C0E83C8" w:rsidR="009718F7" w:rsidRPr="00B53505" w:rsidRDefault="009718F7" w:rsidP="003F0A5E">
            <w:pPr>
              <w:spacing w:before="60" w:after="60"/>
              <w:jc w:val="right"/>
              <w:rPr>
                <w:sz w:val="20"/>
              </w:rPr>
            </w:pPr>
            <w:r w:rsidRPr="00B53505">
              <w:rPr>
                <w:sz w:val="20"/>
              </w:rPr>
              <w:t>28.</w:t>
            </w:r>
            <w:r w:rsidR="003F0A5E" w:rsidRPr="00B53505">
              <w:rPr>
                <w:sz w:val="20"/>
              </w:rPr>
              <w:t>7</w:t>
            </w:r>
            <w:r w:rsidRPr="00B53505">
              <w:rPr>
                <w:sz w:val="20"/>
              </w:rPr>
              <w:t>6</w:t>
            </w:r>
            <w:r w:rsidR="003F0A5E" w:rsidRPr="00B53505">
              <w:rPr>
                <w:sz w:val="20"/>
              </w:rPr>
              <w:t>4</w:t>
            </w:r>
          </w:p>
        </w:tc>
        <w:tc>
          <w:tcPr>
            <w:tcW w:w="993" w:type="dxa"/>
            <w:vAlign w:val="center"/>
          </w:tcPr>
          <w:p w14:paraId="308D4159" w14:textId="53E280A6" w:rsidR="009718F7" w:rsidRPr="00B53505" w:rsidRDefault="009718F7" w:rsidP="003F0A5E">
            <w:pPr>
              <w:spacing w:before="60" w:after="60"/>
              <w:jc w:val="right"/>
              <w:rPr>
                <w:sz w:val="20"/>
              </w:rPr>
            </w:pPr>
            <w:r w:rsidRPr="00B53505">
              <w:rPr>
                <w:sz w:val="20"/>
              </w:rPr>
              <w:t>28.</w:t>
            </w:r>
            <w:r w:rsidR="003F0A5E" w:rsidRPr="00B53505">
              <w:rPr>
                <w:sz w:val="20"/>
              </w:rPr>
              <w:t>7</w:t>
            </w:r>
            <w:r w:rsidRPr="00B53505">
              <w:rPr>
                <w:sz w:val="20"/>
              </w:rPr>
              <w:t>6</w:t>
            </w:r>
            <w:r w:rsidR="003F0A5E" w:rsidRPr="00B53505">
              <w:rPr>
                <w:sz w:val="20"/>
              </w:rPr>
              <w:t>4</w:t>
            </w:r>
          </w:p>
        </w:tc>
        <w:tc>
          <w:tcPr>
            <w:tcW w:w="850" w:type="dxa"/>
            <w:vAlign w:val="center"/>
          </w:tcPr>
          <w:p w14:paraId="3610D26B" w14:textId="336E36D9" w:rsidR="009718F7" w:rsidRPr="00B53505" w:rsidRDefault="009718F7" w:rsidP="003F0A5E">
            <w:pPr>
              <w:spacing w:before="60" w:after="60"/>
              <w:jc w:val="right"/>
              <w:rPr>
                <w:sz w:val="20"/>
              </w:rPr>
            </w:pPr>
            <w:r w:rsidRPr="00B53505">
              <w:rPr>
                <w:sz w:val="20"/>
              </w:rPr>
              <w:t>28.</w:t>
            </w:r>
            <w:r w:rsidR="003F0A5E" w:rsidRPr="00B53505">
              <w:rPr>
                <w:sz w:val="20"/>
              </w:rPr>
              <w:t>74</w:t>
            </w:r>
            <w:r w:rsidRPr="00B53505">
              <w:rPr>
                <w:sz w:val="20"/>
              </w:rPr>
              <w:t>6</w:t>
            </w:r>
          </w:p>
        </w:tc>
        <w:tc>
          <w:tcPr>
            <w:tcW w:w="567" w:type="dxa"/>
            <w:vAlign w:val="center"/>
          </w:tcPr>
          <w:p w14:paraId="3E65199B" w14:textId="77777777" w:rsidR="009718F7" w:rsidRPr="00B53505" w:rsidRDefault="009718F7">
            <w:pPr>
              <w:spacing w:before="60" w:after="60"/>
              <w:jc w:val="right"/>
              <w:rPr>
                <w:sz w:val="20"/>
              </w:rPr>
            </w:pPr>
          </w:p>
        </w:tc>
        <w:tc>
          <w:tcPr>
            <w:tcW w:w="554" w:type="dxa"/>
            <w:vAlign w:val="center"/>
          </w:tcPr>
          <w:p w14:paraId="479414C4" w14:textId="77777777" w:rsidR="009718F7" w:rsidRPr="00B53505" w:rsidRDefault="009718F7">
            <w:pPr>
              <w:spacing w:before="60" w:after="60"/>
              <w:jc w:val="right"/>
              <w:rPr>
                <w:sz w:val="20"/>
              </w:rPr>
            </w:pPr>
          </w:p>
        </w:tc>
        <w:tc>
          <w:tcPr>
            <w:tcW w:w="1431" w:type="dxa"/>
            <w:vAlign w:val="center"/>
          </w:tcPr>
          <w:p w14:paraId="16ED8BA8" w14:textId="77777777" w:rsidR="009718F7" w:rsidRPr="00B53505" w:rsidRDefault="009718F7">
            <w:pPr>
              <w:spacing w:before="60" w:after="60"/>
              <w:jc w:val="right"/>
              <w:rPr>
                <w:b/>
                <w:sz w:val="20"/>
              </w:rPr>
            </w:pPr>
          </w:p>
        </w:tc>
        <w:tc>
          <w:tcPr>
            <w:tcW w:w="1214" w:type="dxa"/>
            <w:vAlign w:val="center"/>
          </w:tcPr>
          <w:p w14:paraId="32136773" w14:textId="09B69735" w:rsidR="009718F7" w:rsidRPr="00B53505" w:rsidRDefault="00543A6F" w:rsidP="003F0A5E">
            <w:pPr>
              <w:spacing w:before="60" w:after="60"/>
              <w:jc w:val="right"/>
              <w:rPr>
                <w:b/>
                <w:sz w:val="20"/>
              </w:rPr>
            </w:pPr>
            <w:r>
              <w:rPr>
                <w:b/>
                <w:sz w:val="20"/>
              </w:rPr>
              <w:t>36</w:t>
            </w:r>
            <w:r w:rsidR="003F0A5E" w:rsidRPr="00B53505">
              <w:rPr>
                <w:b/>
                <w:sz w:val="20"/>
              </w:rPr>
              <w:t>5</w:t>
            </w:r>
            <w:r w:rsidR="009718F7" w:rsidRPr="00B53505">
              <w:rPr>
                <w:b/>
                <w:sz w:val="20"/>
              </w:rPr>
              <w:t>.0</w:t>
            </w:r>
            <w:r w:rsidR="003F0A5E" w:rsidRPr="00B53505">
              <w:rPr>
                <w:b/>
                <w:sz w:val="20"/>
              </w:rPr>
              <w:t>56</w:t>
            </w:r>
          </w:p>
        </w:tc>
      </w:tr>
      <w:tr w:rsidR="009718F7" w:rsidRPr="00B53505" w14:paraId="7C1DDE95" w14:textId="77777777" w:rsidTr="002A6466">
        <w:tc>
          <w:tcPr>
            <w:tcW w:w="3960" w:type="dxa"/>
            <w:vMerge/>
            <w:shd w:val="clear" w:color="auto" w:fill="C0C0C0"/>
          </w:tcPr>
          <w:p w14:paraId="69B35C5A" w14:textId="77777777" w:rsidR="009718F7" w:rsidRPr="00B53505" w:rsidRDefault="009718F7">
            <w:pPr>
              <w:rPr>
                <w:sz w:val="20"/>
              </w:rPr>
            </w:pPr>
          </w:p>
        </w:tc>
        <w:tc>
          <w:tcPr>
            <w:tcW w:w="2094" w:type="dxa"/>
            <w:gridSpan w:val="2"/>
            <w:vAlign w:val="center"/>
          </w:tcPr>
          <w:p w14:paraId="20EADEA2" w14:textId="77777777" w:rsidR="009718F7" w:rsidRPr="00B53505" w:rsidRDefault="009718F7">
            <w:pPr>
              <w:rPr>
                <w:sz w:val="14"/>
              </w:rPr>
            </w:pPr>
            <w:r w:rsidRPr="00B53505">
              <w:rPr>
                <w:sz w:val="18"/>
              </w:rPr>
              <w:t>Payments</w:t>
            </w:r>
          </w:p>
        </w:tc>
        <w:tc>
          <w:tcPr>
            <w:tcW w:w="1252" w:type="dxa"/>
            <w:vAlign w:val="center"/>
          </w:tcPr>
          <w:p w14:paraId="6D6BC2F1" w14:textId="4A9D64FA" w:rsidR="009718F7" w:rsidRPr="00B53505" w:rsidRDefault="009718F7" w:rsidP="003F0A5E">
            <w:pPr>
              <w:spacing w:before="60" w:after="60"/>
              <w:jc w:val="right"/>
              <w:rPr>
                <w:sz w:val="20"/>
              </w:rPr>
            </w:pPr>
            <w:r w:rsidRPr="00B53505">
              <w:rPr>
                <w:sz w:val="20"/>
              </w:rPr>
              <w:t>2</w:t>
            </w:r>
            <w:r w:rsidR="00487240">
              <w:rPr>
                <w:sz w:val="20"/>
              </w:rPr>
              <w:t>7</w:t>
            </w:r>
            <w:r w:rsidRPr="00B53505">
              <w:rPr>
                <w:sz w:val="20"/>
              </w:rPr>
              <w:t>8.</w:t>
            </w:r>
            <w:r w:rsidR="003F0A5E" w:rsidRPr="00B53505">
              <w:rPr>
                <w:sz w:val="20"/>
              </w:rPr>
              <w:t>7</w:t>
            </w:r>
            <w:r w:rsidRPr="00B53505">
              <w:rPr>
                <w:sz w:val="20"/>
              </w:rPr>
              <w:t>6</w:t>
            </w:r>
            <w:r w:rsidR="003F0A5E" w:rsidRPr="00B53505">
              <w:rPr>
                <w:sz w:val="20"/>
              </w:rPr>
              <w:t>4</w:t>
            </w:r>
          </w:p>
        </w:tc>
        <w:tc>
          <w:tcPr>
            <w:tcW w:w="992" w:type="dxa"/>
            <w:vAlign w:val="center"/>
          </w:tcPr>
          <w:p w14:paraId="5A228C70" w14:textId="2231A5AC" w:rsidR="009718F7" w:rsidRPr="00B53505" w:rsidRDefault="009718F7">
            <w:pPr>
              <w:spacing w:before="60" w:after="60"/>
              <w:jc w:val="right"/>
              <w:rPr>
                <w:sz w:val="20"/>
              </w:rPr>
            </w:pPr>
            <w:r w:rsidRPr="00B53505">
              <w:rPr>
                <w:sz w:val="20"/>
              </w:rPr>
              <w:t>28.</w:t>
            </w:r>
            <w:r w:rsidR="003F0A5E" w:rsidRPr="00B53505">
              <w:rPr>
                <w:sz w:val="20"/>
              </w:rPr>
              <w:t>7</w:t>
            </w:r>
            <w:r w:rsidRPr="00B53505">
              <w:rPr>
                <w:sz w:val="20"/>
              </w:rPr>
              <w:t>6</w:t>
            </w:r>
            <w:r w:rsidR="003F0A5E" w:rsidRPr="00B53505">
              <w:rPr>
                <w:sz w:val="20"/>
              </w:rPr>
              <w:t>4</w:t>
            </w:r>
          </w:p>
        </w:tc>
        <w:tc>
          <w:tcPr>
            <w:tcW w:w="993" w:type="dxa"/>
            <w:vAlign w:val="center"/>
          </w:tcPr>
          <w:p w14:paraId="7A728C4F" w14:textId="65AD7560" w:rsidR="009718F7" w:rsidRPr="00B53505" w:rsidRDefault="009718F7">
            <w:pPr>
              <w:spacing w:before="60" w:after="60"/>
              <w:jc w:val="right"/>
              <w:rPr>
                <w:sz w:val="20"/>
              </w:rPr>
            </w:pPr>
            <w:r w:rsidRPr="00B53505">
              <w:rPr>
                <w:sz w:val="20"/>
              </w:rPr>
              <w:t>28.</w:t>
            </w:r>
            <w:r w:rsidR="003F0A5E" w:rsidRPr="00B53505">
              <w:rPr>
                <w:sz w:val="20"/>
              </w:rPr>
              <w:t>7</w:t>
            </w:r>
            <w:r w:rsidRPr="00B53505">
              <w:rPr>
                <w:sz w:val="20"/>
              </w:rPr>
              <w:t>6</w:t>
            </w:r>
            <w:r w:rsidR="003F0A5E" w:rsidRPr="00B53505">
              <w:rPr>
                <w:sz w:val="20"/>
              </w:rPr>
              <w:t>4</w:t>
            </w:r>
          </w:p>
        </w:tc>
        <w:tc>
          <w:tcPr>
            <w:tcW w:w="850" w:type="dxa"/>
            <w:vAlign w:val="center"/>
          </w:tcPr>
          <w:p w14:paraId="177DBAEC" w14:textId="4A7CBF10" w:rsidR="009718F7" w:rsidRPr="00B53505" w:rsidRDefault="009718F7">
            <w:pPr>
              <w:spacing w:before="60" w:after="60"/>
              <w:jc w:val="right"/>
              <w:rPr>
                <w:sz w:val="20"/>
              </w:rPr>
            </w:pPr>
            <w:r w:rsidRPr="00B53505">
              <w:rPr>
                <w:sz w:val="20"/>
              </w:rPr>
              <w:t>28.</w:t>
            </w:r>
            <w:r w:rsidR="003F0A5E" w:rsidRPr="00B53505">
              <w:rPr>
                <w:sz w:val="20"/>
              </w:rPr>
              <w:t>7</w:t>
            </w:r>
            <w:r w:rsidRPr="00B53505">
              <w:rPr>
                <w:sz w:val="20"/>
              </w:rPr>
              <w:t>6</w:t>
            </w:r>
            <w:r w:rsidR="003F0A5E" w:rsidRPr="00B53505">
              <w:rPr>
                <w:sz w:val="20"/>
              </w:rPr>
              <w:t>4</w:t>
            </w:r>
          </w:p>
        </w:tc>
        <w:tc>
          <w:tcPr>
            <w:tcW w:w="567" w:type="dxa"/>
            <w:vAlign w:val="center"/>
          </w:tcPr>
          <w:p w14:paraId="4D78ABE7" w14:textId="77777777" w:rsidR="009718F7" w:rsidRPr="00B53505" w:rsidRDefault="009718F7">
            <w:pPr>
              <w:spacing w:before="60" w:after="60"/>
              <w:jc w:val="right"/>
              <w:rPr>
                <w:sz w:val="20"/>
              </w:rPr>
            </w:pPr>
          </w:p>
        </w:tc>
        <w:tc>
          <w:tcPr>
            <w:tcW w:w="554" w:type="dxa"/>
            <w:vAlign w:val="center"/>
          </w:tcPr>
          <w:p w14:paraId="2967914A" w14:textId="77777777" w:rsidR="009718F7" w:rsidRPr="00B53505" w:rsidRDefault="009718F7">
            <w:pPr>
              <w:spacing w:before="60" w:after="60"/>
              <w:jc w:val="right"/>
              <w:rPr>
                <w:sz w:val="20"/>
              </w:rPr>
            </w:pPr>
          </w:p>
        </w:tc>
        <w:tc>
          <w:tcPr>
            <w:tcW w:w="1431" w:type="dxa"/>
            <w:vAlign w:val="center"/>
          </w:tcPr>
          <w:p w14:paraId="053D8B98" w14:textId="77777777" w:rsidR="009718F7" w:rsidRPr="00B53505" w:rsidRDefault="009718F7">
            <w:pPr>
              <w:spacing w:before="60" w:after="60"/>
              <w:jc w:val="right"/>
              <w:rPr>
                <w:b/>
                <w:sz w:val="20"/>
              </w:rPr>
            </w:pPr>
          </w:p>
        </w:tc>
        <w:tc>
          <w:tcPr>
            <w:tcW w:w="1214" w:type="dxa"/>
            <w:vAlign w:val="center"/>
          </w:tcPr>
          <w:p w14:paraId="2520F32D" w14:textId="3CD380A1" w:rsidR="009718F7" w:rsidRPr="00B53505" w:rsidRDefault="00543A6F" w:rsidP="003F0A5E">
            <w:pPr>
              <w:spacing w:before="60" w:after="60"/>
              <w:jc w:val="right"/>
              <w:rPr>
                <w:b/>
                <w:sz w:val="20"/>
              </w:rPr>
            </w:pPr>
            <w:r>
              <w:rPr>
                <w:b/>
                <w:sz w:val="20"/>
              </w:rPr>
              <w:t>36</w:t>
            </w:r>
            <w:r w:rsidR="003F0A5E" w:rsidRPr="00B53505">
              <w:rPr>
                <w:b/>
                <w:sz w:val="20"/>
              </w:rPr>
              <w:t>5</w:t>
            </w:r>
            <w:r w:rsidR="009718F7" w:rsidRPr="00B53505">
              <w:rPr>
                <w:b/>
                <w:sz w:val="20"/>
              </w:rPr>
              <w:t>.0</w:t>
            </w:r>
            <w:r w:rsidR="003F0A5E" w:rsidRPr="00B53505">
              <w:rPr>
                <w:b/>
                <w:sz w:val="20"/>
              </w:rPr>
              <w:t>56</w:t>
            </w:r>
          </w:p>
        </w:tc>
      </w:tr>
    </w:tbl>
    <w:p w14:paraId="20F10725" w14:textId="77777777" w:rsidR="009718F7" w:rsidRPr="00B53505" w:rsidRDefault="009718F7">
      <w:pPr>
        <w:sectPr w:rsidR="009718F7" w:rsidRPr="00B53505" w:rsidSect="00772B42">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14:paraId="59ABEA96" w14:textId="77777777" w:rsidR="009718F7" w:rsidRPr="00B53505" w:rsidRDefault="009718F7">
      <w:pPr>
        <w:pStyle w:val="Heading3"/>
        <w:rPr>
          <w:bCs w:val="0"/>
          <w:szCs w:val="24"/>
        </w:rPr>
      </w:pPr>
      <w:r w:rsidRPr="00B53505">
        <w:t xml:space="preserve">Estimated impact on operational appropriations </w:t>
      </w:r>
    </w:p>
    <w:p w14:paraId="335355A8" w14:textId="77777777" w:rsidR="009718F7" w:rsidRPr="00B53505" w:rsidRDefault="009718F7">
      <w:pPr>
        <w:pStyle w:val="ListDash1"/>
      </w:pPr>
      <w:r w:rsidRPr="00B53505">
        <w:sym w:font="Wingdings" w:char="F0A8"/>
      </w:r>
      <w:r w:rsidRPr="00B53505">
        <w:tab/>
        <w:t xml:space="preserve">The proposal/initiative does not require the use of operational appropriations </w:t>
      </w:r>
    </w:p>
    <w:p w14:paraId="1F09EDB8" w14:textId="77777777" w:rsidR="009718F7" w:rsidRPr="00B53505" w:rsidRDefault="009718F7">
      <w:pPr>
        <w:pStyle w:val="ListDash1"/>
      </w:pPr>
      <w:r w:rsidRPr="00B53505">
        <w:t>X</w:t>
      </w:r>
      <w:r w:rsidRPr="00B53505">
        <w:tab/>
        <w:t>The proposal/initiative requires the use of operational appropriations, as explained below:</w:t>
      </w:r>
    </w:p>
    <w:p w14:paraId="5AF15D98" w14:textId="77777777" w:rsidR="009718F7" w:rsidRPr="00B53505" w:rsidRDefault="009718F7">
      <w:pPr>
        <w:jc w:val="right"/>
        <w:rPr>
          <w:sz w:val="20"/>
        </w:rPr>
      </w:pPr>
      <w:r w:rsidRPr="00B53505">
        <w:rPr>
          <w:sz w:val="20"/>
        </w:rPr>
        <w:t>Commitment appropriations in EUR million (to three decimal places)</w:t>
      </w:r>
    </w:p>
    <w:tbl>
      <w:tblPr>
        <w:tblW w:w="13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6"/>
        <w:gridCol w:w="714"/>
        <w:gridCol w:w="540"/>
        <w:gridCol w:w="797"/>
        <w:gridCol w:w="432"/>
        <w:gridCol w:w="720"/>
        <w:gridCol w:w="540"/>
        <w:gridCol w:w="571"/>
        <w:gridCol w:w="149"/>
        <w:gridCol w:w="720"/>
        <w:gridCol w:w="751"/>
        <w:gridCol w:w="149"/>
      </w:tblGrid>
      <w:tr w:rsidR="009718F7" w:rsidRPr="00B53505" w14:paraId="77532F63" w14:textId="77777777" w:rsidTr="002A6466">
        <w:trPr>
          <w:gridAfter w:val="1"/>
          <w:wAfter w:w="149" w:type="dxa"/>
          <w:jc w:val="center"/>
        </w:trPr>
        <w:tc>
          <w:tcPr>
            <w:tcW w:w="1423" w:type="dxa"/>
            <w:vMerge w:val="restart"/>
            <w:vAlign w:val="center"/>
          </w:tcPr>
          <w:p w14:paraId="78A0816F" w14:textId="77777777" w:rsidR="009718F7" w:rsidRPr="00B53505" w:rsidRDefault="009718F7">
            <w:pPr>
              <w:ind w:right="-29"/>
              <w:jc w:val="center"/>
              <w:rPr>
                <w:b/>
                <w:sz w:val="18"/>
                <w:szCs w:val="18"/>
              </w:rPr>
            </w:pPr>
            <w:r w:rsidRPr="00B53505">
              <w:rPr>
                <w:b/>
                <w:sz w:val="18"/>
              </w:rPr>
              <w:t xml:space="preserve">Indicate objectives and outputs </w:t>
            </w:r>
          </w:p>
          <w:p w14:paraId="40926AC6" w14:textId="77777777" w:rsidR="009718F7" w:rsidRPr="00B53505" w:rsidRDefault="009718F7">
            <w:pPr>
              <w:ind w:right="-29"/>
              <w:jc w:val="center"/>
              <w:rPr>
                <w:b/>
                <w:sz w:val="18"/>
                <w:szCs w:val="18"/>
              </w:rPr>
            </w:pPr>
          </w:p>
          <w:p w14:paraId="4C16F3B0" w14:textId="77777777" w:rsidR="009718F7" w:rsidRPr="00B53505" w:rsidRDefault="009718F7">
            <w:pPr>
              <w:ind w:right="-29"/>
              <w:jc w:val="center"/>
              <w:rPr>
                <w:sz w:val="18"/>
                <w:szCs w:val="18"/>
              </w:rPr>
            </w:pPr>
            <w:r w:rsidRPr="00B53505">
              <w:rPr>
                <w:sz w:val="18"/>
              </w:rPr>
              <w:sym w:font="Wingdings" w:char="F0F2"/>
            </w:r>
          </w:p>
        </w:tc>
        <w:tc>
          <w:tcPr>
            <w:tcW w:w="720" w:type="dxa"/>
            <w:vAlign w:val="center"/>
          </w:tcPr>
          <w:p w14:paraId="278F84E6" w14:textId="77777777" w:rsidR="009718F7" w:rsidRPr="00B53505" w:rsidRDefault="009718F7">
            <w:pPr>
              <w:ind w:right="-29"/>
              <w:jc w:val="center"/>
              <w:rPr>
                <w:sz w:val="18"/>
                <w:szCs w:val="18"/>
              </w:rPr>
            </w:pPr>
          </w:p>
        </w:tc>
        <w:tc>
          <w:tcPr>
            <w:tcW w:w="701" w:type="dxa"/>
            <w:vAlign w:val="center"/>
          </w:tcPr>
          <w:p w14:paraId="47EA3CDA" w14:textId="77777777" w:rsidR="009718F7" w:rsidRPr="00B53505" w:rsidRDefault="009718F7">
            <w:pPr>
              <w:ind w:right="-29"/>
              <w:jc w:val="center"/>
              <w:rPr>
                <w:sz w:val="18"/>
                <w:szCs w:val="18"/>
              </w:rPr>
            </w:pPr>
          </w:p>
        </w:tc>
        <w:tc>
          <w:tcPr>
            <w:tcW w:w="1224" w:type="dxa"/>
            <w:gridSpan w:val="2"/>
            <w:tcBorders>
              <w:left w:val="nil"/>
            </w:tcBorders>
            <w:vAlign w:val="center"/>
          </w:tcPr>
          <w:p w14:paraId="002D541C" w14:textId="77777777" w:rsidR="009718F7" w:rsidRPr="00B53505" w:rsidRDefault="009718F7">
            <w:pPr>
              <w:ind w:right="-29"/>
              <w:jc w:val="center"/>
              <w:rPr>
                <w:sz w:val="18"/>
                <w:szCs w:val="18"/>
              </w:rPr>
            </w:pPr>
            <w:r w:rsidRPr="00B53505">
              <w:rPr>
                <w:sz w:val="18"/>
              </w:rPr>
              <w:t>Year</w:t>
            </w:r>
            <w:r w:rsidRPr="00B53505">
              <w:rPr>
                <w:sz w:val="22"/>
              </w:rPr>
              <w:br/>
            </w:r>
            <w:r w:rsidRPr="00B53505">
              <w:rPr>
                <w:b/>
                <w:sz w:val="18"/>
              </w:rPr>
              <w:t>N</w:t>
            </w:r>
          </w:p>
        </w:tc>
        <w:tc>
          <w:tcPr>
            <w:tcW w:w="1260" w:type="dxa"/>
            <w:gridSpan w:val="2"/>
            <w:vAlign w:val="center"/>
          </w:tcPr>
          <w:p w14:paraId="660072A3" w14:textId="77777777" w:rsidR="009718F7" w:rsidRPr="00B53505" w:rsidRDefault="009718F7">
            <w:pPr>
              <w:ind w:right="-29"/>
              <w:jc w:val="center"/>
              <w:rPr>
                <w:sz w:val="18"/>
                <w:szCs w:val="18"/>
              </w:rPr>
            </w:pPr>
            <w:r w:rsidRPr="00B53505">
              <w:rPr>
                <w:sz w:val="18"/>
              </w:rPr>
              <w:t>Year</w:t>
            </w:r>
            <w:r w:rsidRPr="00B53505">
              <w:rPr>
                <w:sz w:val="22"/>
              </w:rPr>
              <w:br/>
            </w:r>
            <w:r w:rsidRPr="00B53505">
              <w:rPr>
                <w:b/>
                <w:sz w:val="18"/>
              </w:rPr>
              <w:t>N+1</w:t>
            </w:r>
          </w:p>
        </w:tc>
        <w:tc>
          <w:tcPr>
            <w:tcW w:w="1440" w:type="dxa"/>
            <w:gridSpan w:val="2"/>
            <w:vAlign w:val="center"/>
          </w:tcPr>
          <w:p w14:paraId="3A3AC776" w14:textId="77777777" w:rsidR="009718F7" w:rsidRPr="00B53505" w:rsidRDefault="009718F7">
            <w:pPr>
              <w:ind w:right="-29"/>
              <w:jc w:val="center"/>
              <w:rPr>
                <w:sz w:val="18"/>
                <w:szCs w:val="18"/>
              </w:rPr>
            </w:pPr>
            <w:r w:rsidRPr="00B53505">
              <w:rPr>
                <w:sz w:val="18"/>
              </w:rPr>
              <w:t>Year</w:t>
            </w:r>
            <w:r w:rsidRPr="00B53505">
              <w:rPr>
                <w:sz w:val="22"/>
              </w:rPr>
              <w:br/>
            </w:r>
            <w:r w:rsidRPr="00B53505">
              <w:rPr>
                <w:b/>
                <w:sz w:val="18"/>
              </w:rPr>
              <w:t>N+2</w:t>
            </w:r>
          </w:p>
        </w:tc>
        <w:tc>
          <w:tcPr>
            <w:tcW w:w="1620" w:type="dxa"/>
            <w:gridSpan w:val="3"/>
            <w:vAlign w:val="center"/>
          </w:tcPr>
          <w:p w14:paraId="7C02BF79" w14:textId="77777777" w:rsidR="009718F7" w:rsidRPr="00B53505" w:rsidRDefault="009718F7">
            <w:pPr>
              <w:ind w:right="-29"/>
              <w:jc w:val="center"/>
              <w:rPr>
                <w:sz w:val="18"/>
                <w:szCs w:val="18"/>
              </w:rPr>
            </w:pPr>
            <w:r w:rsidRPr="00B53505">
              <w:rPr>
                <w:sz w:val="18"/>
              </w:rPr>
              <w:t>Year</w:t>
            </w:r>
            <w:r w:rsidRPr="00B53505">
              <w:rPr>
                <w:sz w:val="22"/>
              </w:rPr>
              <w:br/>
            </w:r>
            <w:r w:rsidRPr="00B53505">
              <w:rPr>
                <w:b/>
                <w:sz w:val="18"/>
              </w:rPr>
              <w:t>N+3</w:t>
            </w:r>
          </w:p>
        </w:tc>
        <w:tc>
          <w:tcPr>
            <w:tcW w:w="3600" w:type="dxa"/>
            <w:gridSpan w:val="6"/>
            <w:vAlign w:val="center"/>
          </w:tcPr>
          <w:p w14:paraId="10787B59" w14:textId="77777777" w:rsidR="009718F7" w:rsidRPr="00B53505" w:rsidRDefault="009718F7">
            <w:pPr>
              <w:jc w:val="center"/>
              <w:rPr>
                <w:sz w:val="18"/>
                <w:szCs w:val="18"/>
              </w:rPr>
            </w:pPr>
            <w:r w:rsidRPr="00B53505">
              <w:rPr>
                <w:sz w:val="18"/>
              </w:rPr>
              <w:t>Enter as many years as necessary to show the duration of the impact (see point 1.6)</w:t>
            </w:r>
          </w:p>
        </w:tc>
        <w:tc>
          <w:tcPr>
            <w:tcW w:w="1620" w:type="dxa"/>
            <w:gridSpan w:val="3"/>
            <w:tcBorders>
              <w:left w:val="nil"/>
              <w:bottom w:val="nil"/>
            </w:tcBorders>
            <w:vAlign w:val="center"/>
          </w:tcPr>
          <w:p w14:paraId="7920B881" w14:textId="77777777" w:rsidR="009718F7" w:rsidRPr="00B53505" w:rsidRDefault="009718F7">
            <w:pPr>
              <w:ind w:right="-29"/>
              <w:jc w:val="center"/>
              <w:rPr>
                <w:sz w:val="18"/>
                <w:szCs w:val="18"/>
              </w:rPr>
            </w:pPr>
            <w:r w:rsidRPr="00B53505">
              <w:rPr>
                <w:b/>
                <w:sz w:val="18"/>
              </w:rPr>
              <w:t>TOTAL</w:t>
            </w:r>
          </w:p>
        </w:tc>
      </w:tr>
      <w:tr w:rsidR="009718F7" w:rsidRPr="00B53505" w14:paraId="59D2CEDE" w14:textId="77777777" w:rsidTr="002A6466">
        <w:trPr>
          <w:gridAfter w:val="1"/>
          <w:wAfter w:w="149" w:type="dxa"/>
          <w:jc w:val="center"/>
        </w:trPr>
        <w:tc>
          <w:tcPr>
            <w:tcW w:w="1423" w:type="dxa"/>
            <w:vMerge/>
            <w:vAlign w:val="center"/>
          </w:tcPr>
          <w:p w14:paraId="4D4DD2FD" w14:textId="77777777" w:rsidR="009718F7" w:rsidRPr="00B53505" w:rsidRDefault="009718F7">
            <w:pPr>
              <w:ind w:right="-29"/>
              <w:jc w:val="center"/>
              <w:rPr>
                <w:sz w:val="18"/>
                <w:szCs w:val="18"/>
              </w:rPr>
            </w:pPr>
          </w:p>
        </w:tc>
        <w:tc>
          <w:tcPr>
            <w:tcW w:w="12185" w:type="dxa"/>
            <w:gridSpan w:val="20"/>
            <w:vAlign w:val="center"/>
          </w:tcPr>
          <w:p w14:paraId="3DA40EA6" w14:textId="77777777" w:rsidR="009718F7" w:rsidRPr="00B53505" w:rsidRDefault="009718F7">
            <w:pPr>
              <w:spacing w:before="60" w:after="60"/>
              <w:ind w:right="-29"/>
              <w:jc w:val="center"/>
              <w:rPr>
                <w:sz w:val="18"/>
                <w:szCs w:val="18"/>
              </w:rPr>
            </w:pPr>
            <w:r w:rsidRPr="00B53505">
              <w:rPr>
                <w:b/>
                <w:sz w:val="18"/>
              </w:rPr>
              <w:t>OUTPUTS</w:t>
            </w:r>
          </w:p>
        </w:tc>
      </w:tr>
      <w:tr w:rsidR="009718F7" w:rsidRPr="00B53505" w14:paraId="1866E6E1" w14:textId="77777777" w:rsidTr="002A6466">
        <w:trPr>
          <w:cantSplit/>
          <w:trHeight w:val="1134"/>
          <w:jc w:val="center"/>
        </w:trPr>
        <w:tc>
          <w:tcPr>
            <w:tcW w:w="1423" w:type="dxa"/>
            <w:vMerge/>
            <w:vAlign w:val="center"/>
          </w:tcPr>
          <w:p w14:paraId="07570F51" w14:textId="77777777" w:rsidR="009718F7" w:rsidRPr="00B53505" w:rsidRDefault="009718F7">
            <w:pPr>
              <w:rPr>
                <w:sz w:val="18"/>
                <w:szCs w:val="18"/>
              </w:rPr>
            </w:pPr>
          </w:p>
        </w:tc>
        <w:tc>
          <w:tcPr>
            <w:tcW w:w="720" w:type="dxa"/>
            <w:vAlign w:val="center"/>
          </w:tcPr>
          <w:p w14:paraId="31F342C9" w14:textId="77777777" w:rsidR="009718F7" w:rsidRPr="00B53505" w:rsidRDefault="009718F7">
            <w:pPr>
              <w:jc w:val="center"/>
              <w:rPr>
                <w:sz w:val="18"/>
                <w:szCs w:val="18"/>
              </w:rPr>
            </w:pPr>
            <w:r w:rsidRPr="00B53505">
              <w:rPr>
                <w:sz w:val="18"/>
              </w:rPr>
              <w:t>Type</w:t>
            </w:r>
            <w:r w:rsidRPr="00B53505">
              <w:rPr>
                <w:rStyle w:val="FootnoteReference"/>
                <w:sz w:val="18"/>
              </w:rPr>
              <w:footnoteReference w:id="45"/>
            </w:r>
          </w:p>
          <w:p w14:paraId="5C55E0E0" w14:textId="77777777" w:rsidR="009718F7" w:rsidRPr="00B53505" w:rsidRDefault="009718F7">
            <w:pPr>
              <w:spacing w:before="0" w:after="0"/>
              <w:jc w:val="center"/>
              <w:rPr>
                <w:sz w:val="18"/>
                <w:szCs w:val="18"/>
              </w:rPr>
            </w:pPr>
          </w:p>
        </w:tc>
        <w:tc>
          <w:tcPr>
            <w:tcW w:w="701" w:type="dxa"/>
            <w:vAlign w:val="center"/>
          </w:tcPr>
          <w:p w14:paraId="65A0D2A1" w14:textId="77777777" w:rsidR="009718F7" w:rsidRPr="00B53505" w:rsidRDefault="009718F7">
            <w:pPr>
              <w:jc w:val="center"/>
              <w:rPr>
                <w:sz w:val="18"/>
                <w:szCs w:val="18"/>
              </w:rPr>
            </w:pPr>
            <w:r w:rsidRPr="00B53505">
              <w:rPr>
                <w:sz w:val="18"/>
              </w:rPr>
              <w:t>Average cost</w:t>
            </w:r>
          </w:p>
        </w:tc>
        <w:tc>
          <w:tcPr>
            <w:tcW w:w="504" w:type="dxa"/>
            <w:tcBorders>
              <w:left w:val="nil"/>
              <w:right w:val="dashSmallGap" w:sz="4" w:space="0" w:color="auto"/>
            </w:tcBorders>
            <w:shd w:val="pct10" w:color="auto" w:fill="auto"/>
            <w:textDirection w:val="btLr"/>
            <w:vAlign w:val="center"/>
          </w:tcPr>
          <w:p w14:paraId="65BD61D9" w14:textId="77777777" w:rsidR="009718F7" w:rsidRPr="00B53505" w:rsidRDefault="009718F7">
            <w:pPr>
              <w:ind w:left="113" w:right="113"/>
              <w:jc w:val="center"/>
              <w:rPr>
                <w:sz w:val="18"/>
                <w:szCs w:val="18"/>
              </w:rPr>
            </w:pPr>
            <w:r w:rsidRPr="00B53505">
              <w:rPr>
                <w:sz w:val="18"/>
              </w:rPr>
              <w:t>No</w:t>
            </w:r>
          </w:p>
        </w:tc>
        <w:tc>
          <w:tcPr>
            <w:tcW w:w="720" w:type="dxa"/>
            <w:tcBorders>
              <w:left w:val="dashSmallGap" w:sz="4" w:space="0" w:color="auto"/>
            </w:tcBorders>
            <w:shd w:val="pct10" w:color="auto" w:fill="auto"/>
            <w:vAlign w:val="center"/>
          </w:tcPr>
          <w:p w14:paraId="2D5FA93C" w14:textId="77777777" w:rsidR="009718F7" w:rsidRPr="00B53505" w:rsidRDefault="009718F7">
            <w:pPr>
              <w:jc w:val="center"/>
              <w:rPr>
                <w:sz w:val="18"/>
                <w:szCs w:val="18"/>
              </w:rPr>
            </w:pPr>
            <w:r w:rsidRPr="00B53505">
              <w:rPr>
                <w:sz w:val="18"/>
              </w:rPr>
              <w:t>Cost</w:t>
            </w:r>
          </w:p>
        </w:tc>
        <w:tc>
          <w:tcPr>
            <w:tcW w:w="540" w:type="dxa"/>
            <w:tcBorders>
              <w:right w:val="dashSmallGap" w:sz="4" w:space="0" w:color="auto"/>
            </w:tcBorders>
            <w:shd w:val="pct10" w:color="auto" w:fill="auto"/>
            <w:textDirection w:val="btLr"/>
            <w:vAlign w:val="center"/>
          </w:tcPr>
          <w:p w14:paraId="49EC2FBF" w14:textId="77777777" w:rsidR="009718F7" w:rsidRPr="00B53505" w:rsidRDefault="009718F7">
            <w:pPr>
              <w:ind w:left="113" w:right="113"/>
              <w:jc w:val="center"/>
              <w:rPr>
                <w:sz w:val="18"/>
                <w:szCs w:val="18"/>
              </w:rPr>
            </w:pPr>
            <w:r w:rsidRPr="00B53505">
              <w:rPr>
                <w:sz w:val="18"/>
              </w:rPr>
              <w:t>No</w:t>
            </w:r>
          </w:p>
        </w:tc>
        <w:tc>
          <w:tcPr>
            <w:tcW w:w="720" w:type="dxa"/>
            <w:tcBorders>
              <w:left w:val="dashSmallGap" w:sz="4" w:space="0" w:color="auto"/>
            </w:tcBorders>
            <w:shd w:val="pct10" w:color="auto" w:fill="auto"/>
            <w:vAlign w:val="center"/>
          </w:tcPr>
          <w:p w14:paraId="04F0A122" w14:textId="77777777" w:rsidR="009718F7" w:rsidRPr="00B53505" w:rsidRDefault="009718F7">
            <w:pPr>
              <w:jc w:val="center"/>
              <w:rPr>
                <w:sz w:val="18"/>
                <w:szCs w:val="18"/>
              </w:rPr>
            </w:pPr>
            <w:r w:rsidRPr="00B53505">
              <w:rPr>
                <w:sz w:val="18"/>
              </w:rPr>
              <w:t>Cost</w:t>
            </w:r>
          </w:p>
        </w:tc>
        <w:tc>
          <w:tcPr>
            <w:tcW w:w="720" w:type="dxa"/>
            <w:tcBorders>
              <w:right w:val="dashSmallGap" w:sz="4" w:space="0" w:color="auto"/>
            </w:tcBorders>
            <w:shd w:val="pct10" w:color="auto" w:fill="auto"/>
            <w:textDirection w:val="btLr"/>
            <w:vAlign w:val="center"/>
          </w:tcPr>
          <w:p w14:paraId="1E625AAA" w14:textId="77777777" w:rsidR="009718F7" w:rsidRPr="00B53505" w:rsidRDefault="009718F7">
            <w:pPr>
              <w:ind w:left="113" w:right="113"/>
              <w:jc w:val="center"/>
              <w:rPr>
                <w:sz w:val="18"/>
                <w:szCs w:val="18"/>
              </w:rPr>
            </w:pPr>
            <w:r w:rsidRPr="00B53505">
              <w:rPr>
                <w:sz w:val="18"/>
              </w:rPr>
              <w:t>No</w:t>
            </w:r>
          </w:p>
        </w:tc>
        <w:tc>
          <w:tcPr>
            <w:tcW w:w="720" w:type="dxa"/>
            <w:tcBorders>
              <w:left w:val="dashSmallGap" w:sz="4" w:space="0" w:color="auto"/>
            </w:tcBorders>
            <w:shd w:val="pct10" w:color="auto" w:fill="auto"/>
            <w:vAlign w:val="center"/>
          </w:tcPr>
          <w:p w14:paraId="3E3CDFE9" w14:textId="77777777" w:rsidR="009718F7" w:rsidRPr="00B53505" w:rsidRDefault="009718F7">
            <w:pPr>
              <w:jc w:val="center"/>
              <w:rPr>
                <w:sz w:val="18"/>
                <w:szCs w:val="18"/>
              </w:rPr>
            </w:pPr>
            <w:r w:rsidRPr="00B53505">
              <w:rPr>
                <w:sz w:val="18"/>
              </w:rPr>
              <w:t>Cost</w:t>
            </w:r>
          </w:p>
        </w:tc>
        <w:tc>
          <w:tcPr>
            <w:tcW w:w="900" w:type="dxa"/>
            <w:tcBorders>
              <w:right w:val="dashSmallGap" w:sz="4" w:space="0" w:color="auto"/>
            </w:tcBorders>
            <w:shd w:val="pct10" w:color="auto" w:fill="auto"/>
            <w:textDirection w:val="btLr"/>
            <w:vAlign w:val="center"/>
          </w:tcPr>
          <w:p w14:paraId="4066B14E" w14:textId="77777777" w:rsidR="009718F7" w:rsidRPr="00B53505" w:rsidRDefault="009718F7">
            <w:pPr>
              <w:ind w:left="113" w:right="113"/>
              <w:jc w:val="center"/>
              <w:rPr>
                <w:sz w:val="18"/>
                <w:szCs w:val="18"/>
              </w:rPr>
            </w:pPr>
            <w:r w:rsidRPr="00B53505">
              <w:rPr>
                <w:sz w:val="18"/>
              </w:rPr>
              <w:t>No</w:t>
            </w:r>
          </w:p>
        </w:tc>
        <w:tc>
          <w:tcPr>
            <w:tcW w:w="720" w:type="dxa"/>
            <w:gridSpan w:val="2"/>
            <w:tcBorders>
              <w:left w:val="dashSmallGap" w:sz="4" w:space="0" w:color="auto"/>
            </w:tcBorders>
            <w:shd w:val="pct10" w:color="auto" w:fill="auto"/>
            <w:vAlign w:val="center"/>
          </w:tcPr>
          <w:p w14:paraId="3EACD800" w14:textId="77777777" w:rsidR="009718F7" w:rsidRPr="00B53505" w:rsidRDefault="009718F7">
            <w:pPr>
              <w:jc w:val="center"/>
              <w:rPr>
                <w:sz w:val="18"/>
                <w:szCs w:val="18"/>
              </w:rPr>
            </w:pPr>
            <w:r w:rsidRPr="00B53505">
              <w:rPr>
                <w:sz w:val="18"/>
              </w:rPr>
              <w:t>Cost</w:t>
            </w:r>
          </w:p>
        </w:tc>
        <w:tc>
          <w:tcPr>
            <w:tcW w:w="540" w:type="dxa"/>
            <w:tcBorders>
              <w:right w:val="dashSmallGap" w:sz="4" w:space="0" w:color="auto"/>
            </w:tcBorders>
            <w:shd w:val="pct10" w:color="auto" w:fill="auto"/>
            <w:textDirection w:val="btLr"/>
            <w:vAlign w:val="center"/>
          </w:tcPr>
          <w:p w14:paraId="07E7499A" w14:textId="77777777" w:rsidR="009718F7" w:rsidRPr="00B53505" w:rsidRDefault="009718F7">
            <w:pPr>
              <w:ind w:left="113" w:right="113"/>
              <w:jc w:val="center"/>
              <w:rPr>
                <w:sz w:val="18"/>
                <w:szCs w:val="18"/>
              </w:rPr>
            </w:pPr>
            <w:r w:rsidRPr="00B53505">
              <w:rPr>
                <w:sz w:val="18"/>
              </w:rPr>
              <w:t>No</w:t>
            </w:r>
          </w:p>
        </w:tc>
        <w:tc>
          <w:tcPr>
            <w:tcW w:w="797" w:type="dxa"/>
            <w:tcBorders>
              <w:left w:val="dashSmallGap" w:sz="4" w:space="0" w:color="auto"/>
            </w:tcBorders>
            <w:shd w:val="pct10" w:color="auto" w:fill="auto"/>
            <w:vAlign w:val="center"/>
          </w:tcPr>
          <w:p w14:paraId="4EFF4501" w14:textId="77777777" w:rsidR="009718F7" w:rsidRPr="00B53505" w:rsidRDefault="009718F7">
            <w:pPr>
              <w:jc w:val="center"/>
              <w:rPr>
                <w:sz w:val="18"/>
                <w:szCs w:val="18"/>
              </w:rPr>
            </w:pPr>
            <w:r w:rsidRPr="00B53505">
              <w:rPr>
                <w:sz w:val="18"/>
              </w:rPr>
              <w:t>Cost</w:t>
            </w:r>
          </w:p>
        </w:tc>
        <w:tc>
          <w:tcPr>
            <w:tcW w:w="432" w:type="dxa"/>
            <w:tcBorders>
              <w:right w:val="dashSmallGap" w:sz="4" w:space="0" w:color="auto"/>
            </w:tcBorders>
            <w:shd w:val="pct10" w:color="auto" w:fill="auto"/>
            <w:textDirection w:val="btLr"/>
            <w:vAlign w:val="center"/>
          </w:tcPr>
          <w:p w14:paraId="320709B6" w14:textId="77777777" w:rsidR="009718F7" w:rsidRPr="00B53505" w:rsidRDefault="009718F7">
            <w:pPr>
              <w:ind w:left="113" w:right="113"/>
              <w:jc w:val="center"/>
              <w:rPr>
                <w:sz w:val="18"/>
                <w:szCs w:val="18"/>
              </w:rPr>
            </w:pPr>
            <w:r w:rsidRPr="00B53505">
              <w:rPr>
                <w:sz w:val="18"/>
              </w:rPr>
              <w:t>No</w:t>
            </w:r>
          </w:p>
        </w:tc>
        <w:tc>
          <w:tcPr>
            <w:tcW w:w="720" w:type="dxa"/>
            <w:tcBorders>
              <w:left w:val="dashSmallGap" w:sz="4" w:space="0" w:color="auto"/>
            </w:tcBorders>
            <w:shd w:val="pct10" w:color="auto" w:fill="auto"/>
            <w:vAlign w:val="center"/>
          </w:tcPr>
          <w:p w14:paraId="530C567F" w14:textId="77777777" w:rsidR="009718F7" w:rsidRPr="00B53505" w:rsidRDefault="009718F7">
            <w:pPr>
              <w:jc w:val="center"/>
              <w:rPr>
                <w:sz w:val="18"/>
                <w:szCs w:val="18"/>
              </w:rPr>
            </w:pPr>
            <w:r w:rsidRPr="00B53505">
              <w:rPr>
                <w:sz w:val="18"/>
              </w:rPr>
              <w:t>Cost</w:t>
            </w:r>
          </w:p>
        </w:tc>
        <w:tc>
          <w:tcPr>
            <w:tcW w:w="540" w:type="dxa"/>
            <w:tcBorders>
              <w:right w:val="dashSmallGap" w:sz="4" w:space="0" w:color="auto"/>
            </w:tcBorders>
            <w:shd w:val="pct10" w:color="auto" w:fill="auto"/>
            <w:textDirection w:val="btLr"/>
            <w:vAlign w:val="center"/>
          </w:tcPr>
          <w:p w14:paraId="1B5F15A3" w14:textId="77777777" w:rsidR="009718F7" w:rsidRPr="00B53505" w:rsidRDefault="009718F7">
            <w:pPr>
              <w:ind w:left="113" w:right="113"/>
              <w:jc w:val="center"/>
              <w:rPr>
                <w:sz w:val="18"/>
                <w:szCs w:val="18"/>
              </w:rPr>
            </w:pPr>
            <w:r w:rsidRPr="00B53505">
              <w:rPr>
                <w:sz w:val="18"/>
              </w:rPr>
              <w:t>No</w:t>
            </w:r>
          </w:p>
        </w:tc>
        <w:tc>
          <w:tcPr>
            <w:tcW w:w="720" w:type="dxa"/>
            <w:gridSpan w:val="2"/>
            <w:tcBorders>
              <w:left w:val="dashSmallGap" w:sz="4" w:space="0" w:color="auto"/>
            </w:tcBorders>
            <w:shd w:val="pct10" w:color="auto" w:fill="auto"/>
            <w:vAlign w:val="center"/>
          </w:tcPr>
          <w:p w14:paraId="29CDDD57" w14:textId="77777777" w:rsidR="009718F7" w:rsidRPr="00B53505" w:rsidRDefault="009718F7">
            <w:pPr>
              <w:jc w:val="center"/>
              <w:rPr>
                <w:sz w:val="18"/>
                <w:szCs w:val="18"/>
              </w:rPr>
            </w:pPr>
            <w:r w:rsidRPr="00B53505">
              <w:rPr>
                <w:sz w:val="18"/>
              </w:rPr>
              <w:t>Cost</w:t>
            </w:r>
          </w:p>
        </w:tc>
        <w:tc>
          <w:tcPr>
            <w:tcW w:w="720" w:type="dxa"/>
            <w:tcBorders>
              <w:right w:val="dashSmallGap" w:sz="4" w:space="0" w:color="auto"/>
            </w:tcBorders>
            <w:shd w:val="pct10" w:color="auto" w:fill="auto"/>
            <w:vAlign w:val="center"/>
          </w:tcPr>
          <w:p w14:paraId="59B12540" w14:textId="77777777" w:rsidR="009718F7" w:rsidRPr="00B53505" w:rsidRDefault="009718F7">
            <w:pPr>
              <w:jc w:val="center"/>
              <w:rPr>
                <w:sz w:val="18"/>
                <w:szCs w:val="18"/>
              </w:rPr>
            </w:pPr>
            <w:r w:rsidRPr="00B53505">
              <w:rPr>
                <w:sz w:val="18"/>
              </w:rPr>
              <w:t>Total No</w:t>
            </w:r>
          </w:p>
        </w:tc>
        <w:tc>
          <w:tcPr>
            <w:tcW w:w="900" w:type="dxa"/>
            <w:gridSpan w:val="2"/>
            <w:tcBorders>
              <w:left w:val="dashSmallGap" w:sz="4" w:space="0" w:color="auto"/>
            </w:tcBorders>
            <w:shd w:val="pct10" w:color="auto" w:fill="auto"/>
            <w:vAlign w:val="center"/>
          </w:tcPr>
          <w:p w14:paraId="7BEEEF7F" w14:textId="77777777" w:rsidR="009718F7" w:rsidRPr="00B53505" w:rsidRDefault="009718F7">
            <w:pPr>
              <w:jc w:val="center"/>
              <w:rPr>
                <w:sz w:val="18"/>
                <w:szCs w:val="18"/>
              </w:rPr>
            </w:pPr>
            <w:r w:rsidRPr="00B53505">
              <w:rPr>
                <w:sz w:val="18"/>
              </w:rPr>
              <w:t>Total cost</w:t>
            </w:r>
          </w:p>
        </w:tc>
      </w:tr>
      <w:tr w:rsidR="009718F7" w:rsidRPr="00B53505" w14:paraId="5B997F8F" w14:textId="77777777" w:rsidTr="002A6466">
        <w:trPr>
          <w:jc w:val="center"/>
        </w:trPr>
        <w:tc>
          <w:tcPr>
            <w:tcW w:w="2844" w:type="dxa"/>
            <w:gridSpan w:val="3"/>
            <w:vAlign w:val="center"/>
          </w:tcPr>
          <w:p w14:paraId="3EB41670" w14:textId="77777777" w:rsidR="009718F7" w:rsidRPr="00B53505" w:rsidRDefault="009718F7" w:rsidP="002A6466">
            <w:pPr>
              <w:spacing w:before="60" w:after="60"/>
              <w:ind w:right="-29"/>
              <w:jc w:val="center"/>
              <w:rPr>
                <w:sz w:val="18"/>
                <w:szCs w:val="18"/>
              </w:rPr>
            </w:pPr>
            <w:r w:rsidRPr="00B53505">
              <w:rPr>
                <w:sz w:val="18"/>
              </w:rPr>
              <w:t xml:space="preserve">SPECIFIC OBJECTIVE </w:t>
            </w:r>
          </w:p>
        </w:tc>
        <w:tc>
          <w:tcPr>
            <w:tcW w:w="504" w:type="dxa"/>
            <w:tcBorders>
              <w:top w:val="nil"/>
              <w:left w:val="nil"/>
              <w:bottom w:val="nil"/>
              <w:right w:val="nil"/>
            </w:tcBorders>
          </w:tcPr>
          <w:p w14:paraId="1DCD9238" w14:textId="77777777" w:rsidR="009718F7" w:rsidRPr="00B53505" w:rsidRDefault="009718F7">
            <w:pPr>
              <w:spacing w:before="60" w:after="60"/>
              <w:ind w:right="-29"/>
              <w:jc w:val="center"/>
              <w:rPr>
                <w:sz w:val="18"/>
                <w:szCs w:val="18"/>
              </w:rPr>
            </w:pPr>
          </w:p>
        </w:tc>
        <w:tc>
          <w:tcPr>
            <w:tcW w:w="720" w:type="dxa"/>
            <w:tcBorders>
              <w:top w:val="nil"/>
              <w:left w:val="nil"/>
              <w:bottom w:val="nil"/>
              <w:right w:val="nil"/>
            </w:tcBorders>
          </w:tcPr>
          <w:p w14:paraId="726F256A" w14:textId="77777777" w:rsidR="009718F7" w:rsidRPr="00B53505" w:rsidRDefault="009718F7">
            <w:pPr>
              <w:spacing w:before="60" w:after="60"/>
              <w:ind w:right="-29"/>
              <w:jc w:val="center"/>
              <w:rPr>
                <w:sz w:val="18"/>
                <w:szCs w:val="18"/>
              </w:rPr>
            </w:pPr>
          </w:p>
        </w:tc>
        <w:tc>
          <w:tcPr>
            <w:tcW w:w="540" w:type="dxa"/>
            <w:tcBorders>
              <w:top w:val="nil"/>
              <w:left w:val="nil"/>
              <w:bottom w:val="nil"/>
              <w:right w:val="nil"/>
            </w:tcBorders>
          </w:tcPr>
          <w:p w14:paraId="2CFB40C1" w14:textId="77777777" w:rsidR="009718F7" w:rsidRPr="00B53505" w:rsidRDefault="009718F7">
            <w:pPr>
              <w:spacing w:before="60" w:after="60"/>
              <w:ind w:right="-29"/>
              <w:jc w:val="center"/>
              <w:rPr>
                <w:sz w:val="18"/>
                <w:szCs w:val="18"/>
              </w:rPr>
            </w:pPr>
          </w:p>
        </w:tc>
        <w:tc>
          <w:tcPr>
            <w:tcW w:w="720" w:type="dxa"/>
            <w:tcBorders>
              <w:top w:val="nil"/>
              <w:left w:val="nil"/>
              <w:bottom w:val="nil"/>
              <w:right w:val="nil"/>
            </w:tcBorders>
          </w:tcPr>
          <w:p w14:paraId="3DEFFFA9" w14:textId="77777777" w:rsidR="009718F7" w:rsidRPr="00B53505" w:rsidRDefault="009718F7">
            <w:pPr>
              <w:spacing w:before="60" w:after="60"/>
              <w:ind w:right="-29"/>
              <w:jc w:val="center"/>
              <w:rPr>
                <w:sz w:val="18"/>
                <w:szCs w:val="18"/>
              </w:rPr>
            </w:pPr>
          </w:p>
        </w:tc>
        <w:tc>
          <w:tcPr>
            <w:tcW w:w="720" w:type="dxa"/>
            <w:tcBorders>
              <w:top w:val="nil"/>
              <w:left w:val="nil"/>
              <w:bottom w:val="nil"/>
              <w:right w:val="nil"/>
            </w:tcBorders>
          </w:tcPr>
          <w:p w14:paraId="3B2FBE2D" w14:textId="77777777" w:rsidR="009718F7" w:rsidRPr="00B53505" w:rsidRDefault="009718F7">
            <w:pPr>
              <w:spacing w:before="60" w:after="60"/>
              <w:ind w:right="-29"/>
              <w:jc w:val="center"/>
              <w:rPr>
                <w:sz w:val="18"/>
                <w:szCs w:val="18"/>
              </w:rPr>
            </w:pPr>
          </w:p>
        </w:tc>
        <w:tc>
          <w:tcPr>
            <w:tcW w:w="720" w:type="dxa"/>
            <w:tcBorders>
              <w:top w:val="nil"/>
              <w:left w:val="nil"/>
              <w:bottom w:val="nil"/>
              <w:right w:val="nil"/>
            </w:tcBorders>
          </w:tcPr>
          <w:p w14:paraId="319F9EA3" w14:textId="77777777" w:rsidR="009718F7" w:rsidRPr="00B53505" w:rsidRDefault="009718F7">
            <w:pPr>
              <w:spacing w:before="60" w:after="60"/>
              <w:ind w:right="-29"/>
              <w:jc w:val="center"/>
              <w:rPr>
                <w:sz w:val="18"/>
                <w:szCs w:val="18"/>
              </w:rPr>
            </w:pPr>
          </w:p>
        </w:tc>
        <w:tc>
          <w:tcPr>
            <w:tcW w:w="900" w:type="dxa"/>
            <w:tcBorders>
              <w:top w:val="nil"/>
              <w:left w:val="nil"/>
              <w:bottom w:val="nil"/>
              <w:right w:val="nil"/>
            </w:tcBorders>
          </w:tcPr>
          <w:p w14:paraId="5395A855" w14:textId="77777777" w:rsidR="009718F7" w:rsidRPr="00B53505" w:rsidRDefault="009718F7">
            <w:pPr>
              <w:spacing w:before="60" w:after="60"/>
              <w:ind w:right="-29"/>
              <w:jc w:val="center"/>
              <w:rPr>
                <w:sz w:val="18"/>
                <w:szCs w:val="18"/>
              </w:rPr>
            </w:pPr>
          </w:p>
        </w:tc>
        <w:tc>
          <w:tcPr>
            <w:tcW w:w="720" w:type="dxa"/>
            <w:gridSpan w:val="2"/>
            <w:tcBorders>
              <w:top w:val="nil"/>
              <w:left w:val="nil"/>
              <w:bottom w:val="nil"/>
              <w:right w:val="nil"/>
            </w:tcBorders>
          </w:tcPr>
          <w:p w14:paraId="2F67ABE8" w14:textId="77777777" w:rsidR="009718F7" w:rsidRPr="00B53505" w:rsidRDefault="009718F7">
            <w:pPr>
              <w:spacing w:before="60" w:after="60"/>
              <w:ind w:right="-29"/>
              <w:jc w:val="center"/>
              <w:rPr>
                <w:sz w:val="18"/>
                <w:szCs w:val="18"/>
              </w:rPr>
            </w:pPr>
          </w:p>
        </w:tc>
        <w:tc>
          <w:tcPr>
            <w:tcW w:w="540" w:type="dxa"/>
            <w:tcBorders>
              <w:top w:val="nil"/>
              <w:left w:val="nil"/>
              <w:bottom w:val="nil"/>
              <w:right w:val="nil"/>
            </w:tcBorders>
          </w:tcPr>
          <w:p w14:paraId="373AB3C1" w14:textId="77777777" w:rsidR="009718F7" w:rsidRPr="00B53505" w:rsidRDefault="009718F7">
            <w:pPr>
              <w:spacing w:before="60" w:after="60"/>
              <w:ind w:right="-29"/>
              <w:jc w:val="center"/>
              <w:rPr>
                <w:sz w:val="18"/>
                <w:szCs w:val="18"/>
              </w:rPr>
            </w:pPr>
          </w:p>
        </w:tc>
        <w:tc>
          <w:tcPr>
            <w:tcW w:w="797" w:type="dxa"/>
            <w:tcBorders>
              <w:top w:val="nil"/>
              <w:left w:val="nil"/>
              <w:bottom w:val="nil"/>
              <w:right w:val="nil"/>
            </w:tcBorders>
          </w:tcPr>
          <w:p w14:paraId="620ED019" w14:textId="77777777" w:rsidR="009718F7" w:rsidRPr="00B53505" w:rsidRDefault="009718F7">
            <w:pPr>
              <w:spacing w:before="60" w:after="60"/>
              <w:ind w:right="-29"/>
              <w:jc w:val="center"/>
              <w:rPr>
                <w:sz w:val="18"/>
                <w:szCs w:val="18"/>
              </w:rPr>
            </w:pPr>
          </w:p>
        </w:tc>
        <w:tc>
          <w:tcPr>
            <w:tcW w:w="432" w:type="dxa"/>
            <w:tcBorders>
              <w:top w:val="nil"/>
              <w:left w:val="nil"/>
              <w:bottom w:val="nil"/>
              <w:right w:val="nil"/>
            </w:tcBorders>
          </w:tcPr>
          <w:p w14:paraId="6D5238E1" w14:textId="77777777" w:rsidR="009718F7" w:rsidRPr="00B53505" w:rsidRDefault="009718F7">
            <w:pPr>
              <w:spacing w:before="60" w:after="60"/>
              <w:ind w:right="-29"/>
              <w:jc w:val="center"/>
              <w:rPr>
                <w:sz w:val="18"/>
                <w:szCs w:val="18"/>
              </w:rPr>
            </w:pPr>
          </w:p>
        </w:tc>
        <w:tc>
          <w:tcPr>
            <w:tcW w:w="720" w:type="dxa"/>
            <w:tcBorders>
              <w:top w:val="nil"/>
              <w:left w:val="nil"/>
              <w:bottom w:val="nil"/>
              <w:right w:val="nil"/>
            </w:tcBorders>
          </w:tcPr>
          <w:p w14:paraId="065CFBDD" w14:textId="77777777" w:rsidR="009718F7" w:rsidRPr="00B53505" w:rsidRDefault="009718F7">
            <w:pPr>
              <w:spacing w:before="60" w:after="60"/>
              <w:ind w:right="-29"/>
              <w:jc w:val="center"/>
              <w:rPr>
                <w:sz w:val="18"/>
                <w:szCs w:val="18"/>
              </w:rPr>
            </w:pPr>
          </w:p>
        </w:tc>
        <w:tc>
          <w:tcPr>
            <w:tcW w:w="540" w:type="dxa"/>
            <w:tcBorders>
              <w:top w:val="nil"/>
              <w:left w:val="nil"/>
              <w:bottom w:val="nil"/>
              <w:right w:val="nil"/>
            </w:tcBorders>
          </w:tcPr>
          <w:p w14:paraId="383704F5" w14:textId="77777777" w:rsidR="009718F7" w:rsidRPr="00B53505" w:rsidRDefault="009718F7">
            <w:pPr>
              <w:spacing w:before="60" w:after="60"/>
              <w:ind w:right="-29"/>
              <w:jc w:val="center"/>
              <w:rPr>
                <w:sz w:val="18"/>
                <w:szCs w:val="18"/>
              </w:rPr>
            </w:pPr>
          </w:p>
        </w:tc>
        <w:tc>
          <w:tcPr>
            <w:tcW w:w="720" w:type="dxa"/>
            <w:gridSpan w:val="2"/>
            <w:tcBorders>
              <w:top w:val="nil"/>
              <w:left w:val="nil"/>
              <w:bottom w:val="nil"/>
              <w:right w:val="nil"/>
            </w:tcBorders>
          </w:tcPr>
          <w:p w14:paraId="31C60345" w14:textId="77777777" w:rsidR="009718F7" w:rsidRPr="00B53505" w:rsidRDefault="009718F7">
            <w:pPr>
              <w:spacing w:before="60" w:after="60"/>
              <w:ind w:right="-29"/>
              <w:jc w:val="center"/>
              <w:rPr>
                <w:sz w:val="18"/>
                <w:szCs w:val="18"/>
              </w:rPr>
            </w:pPr>
          </w:p>
        </w:tc>
        <w:tc>
          <w:tcPr>
            <w:tcW w:w="720" w:type="dxa"/>
            <w:tcBorders>
              <w:top w:val="nil"/>
              <w:left w:val="nil"/>
              <w:bottom w:val="nil"/>
              <w:right w:val="nil"/>
            </w:tcBorders>
          </w:tcPr>
          <w:p w14:paraId="147846DC" w14:textId="77777777" w:rsidR="009718F7" w:rsidRPr="00B53505" w:rsidRDefault="009718F7">
            <w:pPr>
              <w:spacing w:before="60" w:after="60"/>
              <w:ind w:right="-29"/>
              <w:jc w:val="center"/>
              <w:rPr>
                <w:sz w:val="18"/>
                <w:szCs w:val="18"/>
              </w:rPr>
            </w:pPr>
          </w:p>
        </w:tc>
        <w:tc>
          <w:tcPr>
            <w:tcW w:w="900" w:type="dxa"/>
            <w:gridSpan w:val="2"/>
            <w:tcBorders>
              <w:top w:val="nil"/>
              <w:left w:val="nil"/>
              <w:bottom w:val="nil"/>
              <w:right w:val="nil"/>
            </w:tcBorders>
          </w:tcPr>
          <w:p w14:paraId="654322C3" w14:textId="77777777" w:rsidR="009718F7" w:rsidRPr="00B53505" w:rsidRDefault="009718F7">
            <w:pPr>
              <w:spacing w:before="60" w:after="60"/>
              <w:ind w:right="-29"/>
              <w:jc w:val="center"/>
              <w:rPr>
                <w:sz w:val="18"/>
                <w:szCs w:val="18"/>
              </w:rPr>
            </w:pPr>
          </w:p>
        </w:tc>
      </w:tr>
      <w:tr w:rsidR="009718F7" w:rsidRPr="00B53505" w14:paraId="77656861" w14:textId="77777777" w:rsidTr="002A6466">
        <w:trPr>
          <w:trHeight w:hRule="exact" w:val="369"/>
          <w:jc w:val="center"/>
        </w:trPr>
        <w:tc>
          <w:tcPr>
            <w:tcW w:w="1423" w:type="dxa"/>
          </w:tcPr>
          <w:p w14:paraId="2ABF804B" w14:textId="77777777" w:rsidR="009718F7" w:rsidRPr="00B53505" w:rsidRDefault="009718F7">
            <w:pPr>
              <w:ind w:right="-29"/>
              <w:jc w:val="center"/>
              <w:rPr>
                <w:sz w:val="18"/>
                <w:szCs w:val="18"/>
              </w:rPr>
            </w:pPr>
            <w:r w:rsidRPr="00B53505">
              <w:rPr>
                <w:sz w:val="18"/>
              </w:rPr>
              <w:t>- Output</w:t>
            </w:r>
          </w:p>
        </w:tc>
        <w:tc>
          <w:tcPr>
            <w:tcW w:w="720" w:type="dxa"/>
          </w:tcPr>
          <w:p w14:paraId="0FA993F1" w14:textId="77777777" w:rsidR="009718F7" w:rsidRPr="00B53505" w:rsidRDefault="009718F7" w:rsidP="002A6466">
            <w:pPr>
              <w:ind w:right="-29"/>
              <w:jc w:val="center"/>
              <w:rPr>
                <w:sz w:val="18"/>
                <w:szCs w:val="18"/>
              </w:rPr>
            </w:pPr>
          </w:p>
        </w:tc>
        <w:tc>
          <w:tcPr>
            <w:tcW w:w="701" w:type="dxa"/>
          </w:tcPr>
          <w:p w14:paraId="779D3E18" w14:textId="77777777" w:rsidR="009718F7" w:rsidRPr="00B53505" w:rsidRDefault="009718F7" w:rsidP="002A6466">
            <w:pPr>
              <w:ind w:right="-29"/>
              <w:jc w:val="center"/>
              <w:rPr>
                <w:sz w:val="18"/>
                <w:szCs w:val="18"/>
              </w:rPr>
            </w:pPr>
          </w:p>
        </w:tc>
        <w:tc>
          <w:tcPr>
            <w:tcW w:w="504" w:type="dxa"/>
            <w:tcBorders>
              <w:right w:val="dashSmallGap" w:sz="4" w:space="0" w:color="auto"/>
            </w:tcBorders>
          </w:tcPr>
          <w:p w14:paraId="66640BBD" w14:textId="77777777" w:rsidR="009718F7" w:rsidRPr="00B53505" w:rsidRDefault="009718F7" w:rsidP="002A6466">
            <w:pPr>
              <w:ind w:right="-29"/>
              <w:jc w:val="center"/>
              <w:rPr>
                <w:sz w:val="18"/>
                <w:szCs w:val="18"/>
              </w:rPr>
            </w:pPr>
          </w:p>
        </w:tc>
        <w:tc>
          <w:tcPr>
            <w:tcW w:w="720" w:type="dxa"/>
            <w:tcBorders>
              <w:left w:val="dashSmallGap" w:sz="4" w:space="0" w:color="auto"/>
            </w:tcBorders>
          </w:tcPr>
          <w:p w14:paraId="27233697" w14:textId="37AAD004" w:rsidR="009718F7" w:rsidRPr="00B53505" w:rsidRDefault="009718F7" w:rsidP="002A6466">
            <w:pPr>
              <w:ind w:right="-29"/>
              <w:jc w:val="center"/>
              <w:rPr>
                <w:sz w:val="18"/>
                <w:szCs w:val="18"/>
              </w:rPr>
            </w:pPr>
            <w:r w:rsidRPr="00B53505">
              <w:rPr>
                <w:sz w:val="18"/>
                <w:szCs w:val="18"/>
              </w:rPr>
              <w:t>2</w:t>
            </w:r>
            <w:r w:rsidR="00881ED5">
              <w:rPr>
                <w:sz w:val="18"/>
                <w:szCs w:val="18"/>
              </w:rPr>
              <w:t>7</w:t>
            </w:r>
            <w:r w:rsidRPr="00B53505">
              <w:rPr>
                <w:sz w:val="18"/>
                <w:szCs w:val="18"/>
              </w:rPr>
              <w:t>5.000</w:t>
            </w:r>
          </w:p>
        </w:tc>
        <w:tc>
          <w:tcPr>
            <w:tcW w:w="540" w:type="dxa"/>
            <w:tcBorders>
              <w:right w:val="dashSmallGap" w:sz="4" w:space="0" w:color="auto"/>
            </w:tcBorders>
          </w:tcPr>
          <w:p w14:paraId="0CF20C09" w14:textId="77777777" w:rsidR="009718F7" w:rsidRPr="00B53505" w:rsidRDefault="009718F7" w:rsidP="002A6466">
            <w:pPr>
              <w:ind w:right="-29"/>
              <w:jc w:val="center"/>
              <w:rPr>
                <w:sz w:val="18"/>
                <w:szCs w:val="18"/>
              </w:rPr>
            </w:pPr>
          </w:p>
        </w:tc>
        <w:tc>
          <w:tcPr>
            <w:tcW w:w="720" w:type="dxa"/>
            <w:tcBorders>
              <w:left w:val="dashSmallGap" w:sz="4" w:space="0" w:color="auto"/>
            </w:tcBorders>
          </w:tcPr>
          <w:p w14:paraId="3CC46C31" w14:textId="77777777" w:rsidR="009718F7" w:rsidRPr="00B53505" w:rsidRDefault="009718F7" w:rsidP="002A6466">
            <w:pPr>
              <w:ind w:right="-29"/>
              <w:jc w:val="center"/>
              <w:rPr>
                <w:sz w:val="18"/>
                <w:szCs w:val="18"/>
              </w:rPr>
            </w:pPr>
            <w:r w:rsidRPr="00B53505">
              <w:rPr>
                <w:sz w:val="18"/>
                <w:szCs w:val="18"/>
              </w:rPr>
              <w:t>25.000</w:t>
            </w:r>
          </w:p>
        </w:tc>
        <w:tc>
          <w:tcPr>
            <w:tcW w:w="720" w:type="dxa"/>
            <w:tcBorders>
              <w:right w:val="dashSmallGap" w:sz="4" w:space="0" w:color="auto"/>
            </w:tcBorders>
          </w:tcPr>
          <w:p w14:paraId="5677731C" w14:textId="77777777" w:rsidR="009718F7" w:rsidRPr="00B53505" w:rsidRDefault="009718F7" w:rsidP="002A6466">
            <w:pPr>
              <w:ind w:right="-29"/>
              <w:jc w:val="center"/>
              <w:rPr>
                <w:sz w:val="18"/>
                <w:szCs w:val="18"/>
              </w:rPr>
            </w:pPr>
          </w:p>
        </w:tc>
        <w:tc>
          <w:tcPr>
            <w:tcW w:w="720" w:type="dxa"/>
            <w:tcBorders>
              <w:left w:val="dashSmallGap" w:sz="4" w:space="0" w:color="auto"/>
            </w:tcBorders>
          </w:tcPr>
          <w:p w14:paraId="3F87D4CF" w14:textId="77777777" w:rsidR="009718F7" w:rsidRPr="00B53505" w:rsidRDefault="009718F7" w:rsidP="002A6466">
            <w:pPr>
              <w:ind w:right="-29"/>
              <w:jc w:val="center"/>
              <w:rPr>
                <w:sz w:val="18"/>
                <w:szCs w:val="18"/>
              </w:rPr>
            </w:pPr>
            <w:r w:rsidRPr="00B53505">
              <w:rPr>
                <w:sz w:val="18"/>
                <w:szCs w:val="18"/>
              </w:rPr>
              <w:t>25.000</w:t>
            </w:r>
          </w:p>
        </w:tc>
        <w:tc>
          <w:tcPr>
            <w:tcW w:w="900" w:type="dxa"/>
            <w:tcBorders>
              <w:right w:val="dashSmallGap" w:sz="4" w:space="0" w:color="auto"/>
            </w:tcBorders>
          </w:tcPr>
          <w:p w14:paraId="58FBE8A8" w14:textId="77777777" w:rsidR="009718F7" w:rsidRPr="00B53505" w:rsidRDefault="009718F7" w:rsidP="002A6466">
            <w:pPr>
              <w:ind w:right="-29"/>
              <w:jc w:val="center"/>
              <w:rPr>
                <w:sz w:val="18"/>
                <w:szCs w:val="18"/>
              </w:rPr>
            </w:pPr>
          </w:p>
        </w:tc>
        <w:tc>
          <w:tcPr>
            <w:tcW w:w="720" w:type="dxa"/>
            <w:gridSpan w:val="2"/>
            <w:tcBorders>
              <w:left w:val="dashSmallGap" w:sz="4" w:space="0" w:color="auto"/>
            </w:tcBorders>
          </w:tcPr>
          <w:p w14:paraId="53195E9B" w14:textId="77777777" w:rsidR="009718F7" w:rsidRPr="00B53505" w:rsidRDefault="009718F7" w:rsidP="002A6466">
            <w:pPr>
              <w:ind w:right="-29"/>
              <w:jc w:val="center"/>
              <w:rPr>
                <w:sz w:val="18"/>
                <w:szCs w:val="18"/>
              </w:rPr>
            </w:pPr>
            <w:r w:rsidRPr="00B53505">
              <w:rPr>
                <w:sz w:val="18"/>
                <w:szCs w:val="18"/>
              </w:rPr>
              <w:t>25.000</w:t>
            </w:r>
          </w:p>
        </w:tc>
        <w:tc>
          <w:tcPr>
            <w:tcW w:w="540" w:type="dxa"/>
            <w:tcBorders>
              <w:right w:val="dashSmallGap" w:sz="4" w:space="0" w:color="auto"/>
            </w:tcBorders>
          </w:tcPr>
          <w:p w14:paraId="0F4F3787" w14:textId="77777777" w:rsidR="009718F7" w:rsidRPr="00B53505" w:rsidRDefault="009718F7" w:rsidP="002A6466">
            <w:pPr>
              <w:ind w:right="-29"/>
              <w:jc w:val="center"/>
              <w:rPr>
                <w:sz w:val="18"/>
                <w:szCs w:val="18"/>
              </w:rPr>
            </w:pPr>
          </w:p>
        </w:tc>
        <w:tc>
          <w:tcPr>
            <w:tcW w:w="797" w:type="dxa"/>
            <w:tcBorders>
              <w:left w:val="dashSmallGap" w:sz="4" w:space="0" w:color="auto"/>
            </w:tcBorders>
          </w:tcPr>
          <w:p w14:paraId="6D11FA00" w14:textId="77777777" w:rsidR="009718F7" w:rsidRPr="00B53505" w:rsidRDefault="009718F7" w:rsidP="002A6466">
            <w:pPr>
              <w:ind w:right="-29"/>
              <w:jc w:val="center"/>
              <w:rPr>
                <w:sz w:val="18"/>
                <w:szCs w:val="18"/>
              </w:rPr>
            </w:pPr>
          </w:p>
        </w:tc>
        <w:tc>
          <w:tcPr>
            <w:tcW w:w="432" w:type="dxa"/>
            <w:tcBorders>
              <w:right w:val="dashSmallGap" w:sz="4" w:space="0" w:color="auto"/>
            </w:tcBorders>
          </w:tcPr>
          <w:p w14:paraId="65B0C889" w14:textId="77777777" w:rsidR="009718F7" w:rsidRPr="00B53505" w:rsidRDefault="009718F7" w:rsidP="002A6466">
            <w:pPr>
              <w:ind w:right="-29"/>
              <w:jc w:val="center"/>
              <w:rPr>
                <w:sz w:val="18"/>
                <w:szCs w:val="18"/>
              </w:rPr>
            </w:pPr>
          </w:p>
        </w:tc>
        <w:tc>
          <w:tcPr>
            <w:tcW w:w="720" w:type="dxa"/>
            <w:tcBorders>
              <w:left w:val="dashSmallGap" w:sz="4" w:space="0" w:color="auto"/>
            </w:tcBorders>
          </w:tcPr>
          <w:p w14:paraId="4A0A1765" w14:textId="77777777" w:rsidR="009718F7" w:rsidRPr="00B53505" w:rsidRDefault="009718F7" w:rsidP="002A6466">
            <w:pPr>
              <w:ind w:right="-29"/>
              <w:jc w:val="center"/>
              <w:rPr>
                <w:sz w:val="18"/>
                <w:szCs w:val="18"/>
              </w:rPr>
            </w:pPr>
          </w:p>
        </w:tc>
        <w:tc>
          <w:tcPr>
            <w:tcW w:w="540" w:type="dxa"/>
            <w:tcBorders>
              <w:right w:val="dashSmallGap" w:sz="4" w:space="0" w:color="auto"/>
            </w:tcBorders>
          </w:tcPr>
          <w:p w14:paraId="00305F8D" w14:textId="77777777" w:rsidR="009718F7" w:rsidRPr="00B53505" w:rsidRDefault="009718F7" w:rsidP="002A6466">
            <w:pPr>
              <w:ind w:right="-29"/>
              <w:jc w:val="center"/>
              <w:rPr>
                <w:sz w:val="18"/>
                <w:szCs w:val="18"/>
              </w:rPr>
            </w:pPr>
          </w:p>
        </w:tc>
        <w:tc>
          <w:tcPr>
            <w:tcW w:w="720" w:type="dxa"/>
            <w:gridSpan w:val="2"/>
            <w:tcBorders>
              <w:left w:val="dashSmallGap" w:sz="4" w:space="0" w:color="auto"/>
            </w:tcBorders>
          </w:tcPr>
          <w:p w14:paraId="5ACE603D" w14:textId="77777777" w:rsidR="009718F7" w:rsidRPr="00B53505" w:rsidRDefault="009718F7" w:rsidP="002A6466">
            <w:pPr>
              <w:ind w:right="-29"/>
              <w:jc w:val="center"/>
              <w:rPr>
                <w:sz w:val="18"/>
                <w:szCs w:val="18"/>
              </w:rPr>
            </w:pPr>
          </w:p>
        </w:tc>
        <w:tc>
          <w:tcPr>
            <w:tcW w:w="720" w:type="dxa"/>
          </w:tcPr>
          <w:p w14:paraId="3A4EF0F5" w14:textId="77777777" w:rsidR="009718F7" w:rsidRPr="00B53505" w:rsidRDefault="009718F7" w:rsidP="002A6466">
            <w:pPr>
              <w:ind w:right="-29"/>
              <w:jc w:val="center"/>
              <w:rPr>
                <w:sz w:val="18"/>
                <w:szCs w:val="18"/>
              </w:rPr>
            </w:pPr>
          </w:p>
        </w:tc>
        <w:tc>
          <w:tcPr>
            <w:tcW w:w="900" w:type="dxa"/>
            <w:gridSpan w:val="2"/>
          </w:tcPr>
          <w:p w14:paraId="017EC558" w14:textId="5F7BBEA2" w:rsidR="009718F7" w:rsidRPr="00B53505" w:rsidRDefault="00881ED5" w:rsidP="00881ED5">
            <w:pPr>
              <w:ind w:right="-29"/>
              <w:jc w:val="center"/>
              <w:rPr>
                <w:sz w:val="18"/>
                <w:szCs w:val="18"/>
              </w:rPr>
            </w:pPr>
            <w:r>
              <w:rPr>
                <w:sz w:val="18"/>
                <w:szCs w:val="18"/>
              </w:rPr>
              <w:t>35</w:t>
            </w:r>
            <w:r w:rsidR="009718F7" w:rsidRPr="00B53505">
              <w:rPr>
                <w:sz w:val="18"/>
                <w:szCs w:val="18"/>
              </w:rPr>
              <w:t>0.000</w:t>
            </w:r>
          </w:p>
        </w:tc>
      </w:tr>
      <w:tr w:rsidR="009718F7" w:rsidRPr="00B53505" w14:paraId="2DFC1421" w14:textId="77777777" w:rsidTr="002A6466">
        <w:trPr>
          <w:trHeight w:hRule="exact" w:val="369"/>
          <w:jc w:val="center"/>
        </w:trPr>
        <w:tc>
          <w:tcPr>
            <w:tcW w:w="1423" w:type="dxa"/>
          </w:tcPr>
          <w:p w14:paraId="08623FEA" w14:textId="77777777" w:rsidR="009718F7" w:rsidRPr="00B53505" w:rsidRDefault="009718F7">
            <w:pPr>
              <w:ind w:right="-29"/>
              <w:jc w:val="center"/>
              <w:rPr>
                <w:sz w:val="18"/>
                <w:szCs w:val="18"/>
              </w:rPr>
            </w:pPr>
            <w:r w:rsidRPr="00B53505">
              <w:rPr>
                <w:sz w:val="18"/>
              </w:rPr>
              <w:t>- Output</w:t>
            </w:r>
          </w:p>
        </w:tc>
        <w:tc>
          <w:tcPr>
            <w:tcW w:w="720" w:type="dxa"/>
          </w:tcPr>
          <w:p w14:paraId="3C3A9799" w14:textId="77777777" w:rsidR="009718F7" w:rsidRPr="00B53505" w:rsidRDefault="009718F7">
            <w:pPr>
              <w:ind w:right="-29"/>
              <w:jc w:val="center"/>
              <w:rPr>
                <w:sz w:val="18"/>
                <w:szCs w:val="18"/>
              </w:rPr>
            </w:pPr>
          </w:p>
        </w:tc>
        <w:tc>
          <w:tcPr>
            <w:tcW w:w="701" w:type="dxa"/>
          </w:tcPr>
          <w:p w14:paraId="2ED6AD23" w14:textId="77777777" w:rsidR="009718F7" w:rsidRPr="00B53505" w:rsidRDefault="009718F7">
            <w:pPr>
              <w:ind w:right="-29"/>
              <w:jc w:val="center"/>
              <w:rPr>
                <w:sz w:val="18"/>
                <w:szCs w:val="18"/>
              </w:rPr>
            </w:pPr>
          </w:p>
        </w:tc>
        <w:tc>
          <w:tcPr>
            <w:tcW w:w="504" w:type="dxa"/>
            <w:tcBorders>
              <w:right w:val="dashSmallGap" w:sz="4" w:space="0" w:color="auto"/>
            </w:tcBorders>
          </w:tcPr>
          <w:p w14:paraId="7CBCE869" w14:textId="77777777" w:rsidR="009718F7" w:rsidRPr="00B53505" w:rsidRDefault="009718F7">
            <w:pPr>
              <w:ind w:right="-29"/>
              <w:jc w:val="center"/>
              <w:rPr>
                <w:sz w:val="18"/>
                <w:szCs w:val="18"/>
              </w:rPr>
            </w:pPr>
          </w:p>
        </w:tc>
        <w:tc>
          <w:tcPr>
            <w:tcW w:w="720" w:type="dxa"/>
            <w:tcBorders>
              <w:left w:val="dashSmallGap" w:sz="4" w:space="0" w:color="auto"/>
            </w:tcBorders>
          </w:tcPr>
          <w:p w14:paraId="762CF608" w14:textId="77777777" w:rsidR="009718F7" w:rsidRPr="00B53505" w:rsidRDefault="009718F7">
            <w:pPr>
              <w:ind w:right="-29"/>
              <w:jc w:val="center"/>
              <w:rPr>
                <w:sz w:val="18"/>
                <w:szCs w:val="18"/>
              </w:rPr>
            </w:pPr>
          </w:p>
        </w:tc>
        <w:tc>
          <w:tcPr>
            <w:tcW w:w="540" w:type="dxa"/>
            <w:tcBorders>
              <w:right w:val="dashSmallGap" w:sz="4" w:space="0" w:color="auto"/>
            </w:tcBorders>
          </w:tcPr>
          <w:p w14:paraId="35E794B5" w14:textId="77777777" w:rsidR="009718F7" w:rsidRPr="00B53505" w:rsidRDefault="009718F7">
            <w:pPr>
              <w:ind w:right="-29"/>
              <w:jc w:val="center"/>
              <w:rPr>
                <w:sz w:val="18"/>
                <w:szCs w:val="18"/>
              </w:rPr>
            </w:pPr>
          </w:p>
        </w:tc>
        <w:tc>
          <w:tcPr>
            <w:tcW w:w="720" w:type="dxa"/>
            <w:tcBorders>
              <w:left w:val="dashSmallGap" w:sz="4" w:space="0" w:color="auto"/>
            </w:tcBorders>
          </w:tcPr>
          <w:p w14:paraId="1040AAB7" w14:textId="77777777" w:rsidR="009718F7" w:rsidRPr="00B53505" w:rsidRDefault="009718F7">
            <w:pPr>
              <w:ind w:right="-29"/>
              <w:jc w:val="center"/>
              <w:rPr>
                <w:sz w:val="18"/>
                <w:szCs w:val="18"/>
              </w:rPr>
            </w:pPr>
          </w:p>
        </w:tc>
        <w:tc>
          <w:tcPr>
            <w:tcW w:w="720" w:type="dxa"/>
            <w:tcBorders>
              <w:right w:val="dashSmallGap" w:sz="4" w:space="0" w:color="auto"/>
            </w:tcBorders>
          </w:tcPr>
          <w:p w14:paraId="1BE1E27C" w14:textId="77777777" w:rsidR="009718F7" w:rsidRPr="00B53505" w:rsidRDefault="009718F7">
            <w:pPr>
              <w:ind w:right="-29"/>
              <w:jc w:val="center"/>
              <w:rPr>
                <w:sz w:val="18"/>
                <w:szCs w:val="18"/>
              </w:rPr>
            </w:pPr>
          </w:p>
        </w:tc>
        <w:tc>
          <w:tcPr>
            <w:tcW w:w="720" w:type="dxa"/>
            <w:tcBorders>
              <w:left w:val="dashSmallGap" w:sz="4" w:space="0" w:color="auto"/>
            </w:tcBorders>
          </w:tcPr>
          <w:p w14:paraId="43BA64C5" w14:textId="77777777" w:rsidR="009718F7" w:rsidRPr="00B53505" w:rsidRDefault="009718F7">
            <w:pPr>
              <w:ind w:right="-29"/>
              <w:jc w:val="center"/>
              <w:rPr>
                <w:sz w:val="18"/>
                <w:szCs w:val="18"/>
              </w:rPr>
            </w:pPr>
          </w:p>
        </w:tc>
        <w:tc>
          <w:tcPr>
            <w:tcW w:w="900" w:type="dxa"/>
            <w:tcBorders>
              <w:right w:val="dashSmallGap" w:sz="4" w:space="0" w:color="auto"/>
            </w:tcBorders>
          </w:tcPr>
          <w:p w14:paraId="60B8BC78" w14:textId="77777777" w:rsidR="009718F7" w:rsidRPr="00B53505" w:rsidRDefault="009718F7">
            <w:pPr>
              <w:ind w:right="-29"/>
              <w:jc w:val="center"/>
              <w:rPr>
                <w:sz w:val="18"/>
                <w:szCs w:val="18"/>
              </w:rPr>
            </w:pPr>
          </w:p>
        </w:tc>
        <w:tc>
          <w:tcPr>
            <w:tcW w:w="720" w:type="dxa"/>
            <w:gridSpan w:val="2"/>
            <w:tcBorders>
              <w:left w:val="dashSmallGap" w:sz="4" w:space="0" w:color="auto"/>
            </w:tcBorders>
          </w:tcPr>
          <w:p w14:paraId="2A233ECE" w14:textId="77777777" w:rsidR="009718F7" w:rsidRPr="00B53505" w:rsidRDefault="009718F7">
            <w:pPr>
              <w:ind w:right="-29"/>
              <w:jc w:val="center"/>
              <w:rPr>
                <w:sz w:val="18"/>
                <w:szCs w:val="18"/>
              </w:rPr>
            </w:pPr>
          </w:p>
        </w:tc>
        <w:tc>
          <w:tcPr>
            <w:tcW w:w="540" w:type="dxa"/>
            <w:tcBorders>
              <w:right w:val="dashSmallGap" w:sz="4" w:space="0" w:color="auto"/>
            </w:tcBorders>
          </w:tcPr>
          <w:p w14:paraId="252D3E4D" w14:textId="77777777" w:rsidR="009718F7" w:rsidRPr="00B53505" w:rsidRDefault="009718F7">
            <w:pPr>
              <w:ind w:right="-29"/>
              <w:jc w:val="center"/>
              <w:rPr>
                <w:sz w:val="18"/>
                <w:szCs w:val="18"/>
              </w:rPr>
            </w:pPr>
          </w:p>
        </w:tc>
        <w:tc>
          <w:tcPr>
            <w:tcW w:w="797" w:type="dxa"/>
            <w:tcBorders>
              <w:left w:val="dashSmallGap" w:sz="4" w:space="0" w:color="auto"/>
            </w:tcBorders>
          </w:tcPr>
          <w:p w14:paraId="53BBE52A" w14:textId="77777777" w:rsidR="009718F7" w:rsidRPr="00B53505" w:rsidRDefault="009718F7">
            <w:pPr>
              <w:ind w:right="-29"/>
              <w:jc w:val="center"/>
              <w:rPr>
                <w:sz w:val="18"/>
                <w:szCs w:val="18"/>
              </w:rPr>
            </w:pPr>
          </w:p>
        </w:tc>
        <w:tc>
          <w:tcPr>
            <w:tcW w:w="432" w:type="dxa"/>
            <w:tcBorders>
              <w:right w:val="dashSmallGap" w:sz="4" w:space="0" w:color="auto"/>
            </w:tcBorders>
          </w:tcPr>
          <w:p w14:paraId="6A536A40" w14:textId="77777777" w:rsidR="009718F7" w:rsidRPr="00B53505" w:rsidRDefault="009718F7">
            <w:pPr>
              <w:ind w:right="-29"/>
              <w:jc w:val="center"/>
              <w:rPr>
                <w:sz w:val="18"/>
                <w:szCs w:val="18"/>
              </w:rPr>
            </w:pPr>
          </w:p>
        </w:tc>
        <w:tc>
          <w:tcPr>
            <w:tcW w:w="720" w:type="dxa"/>
            <w:tcBorders>
              <w:left w:val="dashSmallGap" w:sz="4" w:space="0" w:color="auto"/>
            </w:tcBorders>
          </w:tcPr>
          <w:p w14:paraId="1D200BF8" w14:textId="77777777" w:rsidR="009718F7" w:rsidRPr="00B53505" w:rsidRDefault="009718F7">
            <w:pPr>
              <w:ind w:right="-29"/>
              <w:jc w:val="center"/>
              <w:rPr>
                <w:sz w:val="18"/>
                <w:szCs w:val="18"/>
              </w:rPr>
            </w:pPr>
          </w:p>
        </w:tc>
        <w:tc>
          <w:tcPr>
            <w:tcW w:w="540" w:type="dxa"/>
            <w:tcBorders>
              <w:right w:val="dashSmallGap" w:sz="4" w:space="0" w:color="auto"/>
            </w:tcBorders>
          </w:tcPr>
          <w:p w14:paraId="7177E017" w14:textId="77777777" w:rsidR="009718F7" w:rsidRPr="00B53505" w:rsidRDefault="009718F7">
            <w:pPr>
              <w:ind w:right="-29"/>
              <w:jc w:val="center"/>
              <w:rPr>
                <w:sz w:val="18"/>
                <w:szCs w:val="18"/>
              </w:rPr>
            </w:pPr>
          </w:p>
        </w:tc>
        <w:tc>
          <w:tcPr>
            <w:tcW w:w="720" w:type="dxa"/>
            <w:gridSpan w:val="2"/>
            <w:tcBorders>
              <w:left w:val="dashSmallGap" w:sz="4" w:space="0" w:color="auto"/>
            </w:tcBorders>
          </w:tcPr>
          <w:p w14:paraId="1EDCB8A3" w14:textId="77777777" w:rsidR="009718F7" w:rsidRPr="00B53505" w:rsidRDefault="009718F7">
            <w:pPr>
              <w:ind w:right="-29"/>
              <w:jc w:val="center"/>
              <w:rPr>
                <w:sz w:val="18"/>
                <w:szCs w:val="18"/>
              </w:rPr>
            </w:pPr>
          </w:p>
        </w:tc>
        <w:tc>
          <w:tcPr>
            <w:tcW w:w="720" w:type="dxa"/>
          </w:tcPr>
          <w:p w14:paraId="14A3F672" w14:textId="77777777" w:rsidR="009718F7" w:rsidRPr="00B53505" w:rsidRDefault="009718F7">
            <w:pPr>
              <w:ind w:right="-29"/>
              <w:jc w:val="center"/>
              <w:rPr>
                <w:sz w:val="18"/>
                <w:szCs w:val="18"/>
              </w:rPr>
            </w:pPr>
          </w:p>
        </w:tc>
        <w:tc>
          <w:tcPr>
            <w:tcW w:w="900" w:type="dxa"/>
            <w:gridSpan w:val="2"/>
          </w:tcPr>
          <w:p w14:paraId="713233DA" w14:textId="77777777" w:rsidR="009718F7" w:rsidRPr="00B53505" w:rsidRDefault="009718F7">
            <w:pPr>
              <w:ind w:right="-29"/>
              <w:jc w:val="center"/>
              <w:rPr>
                <w:sz w:val="18"/>
                <w:szCs w:val="18"/>
              </w:rPr>
            </w:pPr>
          </w:p>
        </w:tc>
      </w:tr>
      <w:tr w:rsidR="009718F7" w:rsidRPr="00B53505" w14:paraId="481701F5" w14:textId="77777777" w:rsidTr="002A6466">
        <w:trPr>
          <w:trHeight w:hRule="exact" w:val="369"/>
          <w:jc w:val="center"/>
        </w:trPr>
        <w:tc>
          <w:tcPr>
            <w:tcW w:w="1423" w:type="dxa"/>
          </w:tcPr>
          <w:p w14:paraId="3A9CF90D" w14:textId="77777777" w:rsidR="009718F7" w:rsidRPr="00B53505" w:rsidRDefault="009718F7">
            <w:pPr>
              <w:ind w:right="-29"/>
              <w:jc w:val="center"/>
              <w:rPr>
                <w:sz w:val="18"/>
                <w:szCs w:val="18"/>
              </w:rPr>
            </w:pPr>
            <w:r w:rsidRPr="00B53505">
              <w:rPr>
                <w:sz w:val="18"/>
              </w:rPr>
              <w:t>- Output</w:t>
            </w:r>
          </w:p>
        </w:tc>
        <w:tc>
          <w:tcPr>
            <w:tcW w:w="720" w:type="dxa"/>
          </w:tcPr>
          <w:p w14:paraId="330B3101" w14:textId="77777777" w:rsidR="009718F7" w:rsidRPr="00B53505" w:rsidRDefault="009718F7">
            <w:pPr>
              <w:ind w:right="-29"/>
              <w:jc w:val="center"/>
              <w:rPr>
                <w:sz w:val="18"/>
                <w:szCs w:val="18"/>
              </w:rPr>
            </w:pPr>
          </w:p>
        </w:tc>
        <w:tc>
          <w:tcPr>
            <w:tcW w:w="701" w:type="dxa"/>
          </w:tcPr>
          <w:p w14:paraId="4F63BF91" w14:textId="77777777" w:rsidR="009718F7" w:rsidRPr="00B53505" w:rsidRDefault="009718F7">
            <w:pPr>
              <w:ind w:right="-29"/>
              <w:jc w:val="center"/>
              <w:rPr>
                <w:sz w:val="18"/>
                <w:szCs w:val="18"/>
              </w:rPr>
            </w:pPr>
          </w:p>
        </w:tc>
        <w:tc>
          <w:tcPr>
            <w:tcW w:w="504" w:type="dxa"/>
          </w:tcPr>
          <w:p w14:paraId="40B8ED1A" w14:textId="77777777" w:rsidR="009718F7" w:rsidRPr="00B53505" w:rsidRDefault="009718F7">
            <w:pPr>
              <w:ind w:right="-29"/>
              <w:jc w:val="center"/>
              <w:rPr>
                <w:sz w:val="18"/>
                <w:szCs w:val="18"/>
              </w:rPr>
            </w:pPr>
          </w:p>
        </w:tc>
        <w:tc>
          <w:tcPr>
            <w:tcW w:w="720" w:type="dxa"/>
          </w:tcPr>
          <w:p w14:paraId="116CC69B" w14:textId="77777777" w:rsidR="009718F7" w:rsidRPr="00B53505" w:rsidRDefault="009718F7">
            <w:pPr>
              <w:ind w:right="-29"/>
              <w:jc w:val="center"/>
              <w:rPr>
                <w:sz w:val="18"/>
                <w:szCs w:val="18"/>
              </w:rPr>
            </w:pPr>
          </w:p>
        </w:tc>
        <w:tc>
          <w:tcPr>
            <w:tcW w:w="540" w:type="dxa"/>
          </w:tcPr>
          <w:p w14:paraId="150BD8B7" w14:textId="77777777" w:rsidR="009718F7" w:rsidRPr="00B53505" w:rsidRDefault="009718F7">
            <w:pPr>
              <w:ind w:right="-29"/>
              <w:jc w:val="center"/>
              <w:rPr>
                <w:sz w:val="18"/>
                <w:szCs w:val="18"/>
              </w:rPr>
            </w:pPr>
          </w:p>
        </w:tc>
        <w:tc>
          <w:tcPr>
            <w:tcW w:w="720" w:type="dxa"/>
          </w:tcPr>
          <w:p w14:paraId="0285A4FF" w14:textId="77777777" w:rsidR="009718F7" w:rsidRPr="00B53505" w:rsidRDefault="009718F7">
            <w:pPr>
              <w:ind w:right="-29"/>
              <w:jc w:val="center"/>
              <w:rPr>
                <w:sz w:val="18"/>
                <w:szCs w:val="18"/>
              </w:rPr>
            </w:pPr>
          </w:p>
        </w:tc>
        <w:tc>
          <w:tcPr>
            <w:tcW w:w="720" w:type="dxa"/>
          </w:tcPr>
          <w:p w14:paraId="5C178D2C" w14:textId="77777777" w:rsidR="009718F7" w:rsidRPr="00B53505" w:rsidRDefault="009718F7">
            <w:pPr>
              <w:ind w:right="-29"/>
              <w:jc w:val="center"/>
              <w:rPr>
                <w:sz w:val="18"/>
                <w:szCs w:val="18"/>
              </w:rPr>
            </w:pPr>
          </w:p>
        </w:tc>
        <w:tc>
          <w:tcPr>
            <w:tcW w:w="720" w:type="dxa"/>
          </w:tcPr>
          <w:p w14:paraId="0E8FB638" w14:textId="77777777" w:rsidR="009718F7" w:rsidRPr="00B53505" w:rsidRDefault="009718F7">
            <w:pPr>
              <w:ind w:right="-29"/>
              <w:jc w:val="center"/>
              <w:rPr>
                <w:sz w:val="18"/>
                <w:szCs w:val="18"/>
              </w:rPr>
            </w:pPr>
          </w:p>
        </w:tc>
        <w:tc>
          <w:tcPr>
            <w:tcW w:w="900" w:type="dxa"/>
          </w:tcPr>
          <w:p w14:paraId="3A4E35AC" w14:textId="77777777" w:rsidR="009718F7" w:rsidRPr="00B53505" w:rsidRDefault="009718F7">
            <w:pPr>
              <w:ind w:right="-29"/>
              <w:jc w:val="center"/>
              <w:rPr>
                <w:sz w:val="18"/>
                <w:szCs w:val="18"/>
              </w:rPr>
            </w:pPr>
          </w:p>
        </w:tc>
        <w:tc>
          <w:tcPr>
            <w:tcW w:w="720" w:type="dxa"/>
            <w:gridSpan w:val="2"/>
          </w:tcPr>
          <w:p w14:paraId="656DCB38" w14:textId="77777777" w:rsidR="009718F7" w:rsidRPr="00B53505" w:rsidRDefault="009718F7">
            <w:pPr>
              <w:ind w:right="-29"/>
              <w:jc w:val="center"/>
              <w:rPr>
                <w:sz w:val="18"/>
                <w:szCs w:val="18"/>
              </w:rPr>
            </w:pPr>
          </w:p>
        </w:tc>
        <w:tc>
          <w:tcPr>
            <w:tcW w:w="540" w:type="dxa"/>
          </w:tcPr>
          <w:p w14:paraId="401A04FA" w14:textId="77777777" w:rsidR="009718F7" w:rsidRPr="00B53505" w:rsidRDefault="009718F7">
            <w:pPr>
              <w:ind w:right="-29"/>
              <w:jc w:val="center"/>
              <w:rPr>
                <w:sz w:val="18"/>
                <w:szCs w:val="18"/>
              </w:rPr>
            </w:pPr>
          </w:p>
        </w:tc>
        <w:tc>
          <w:tcPr>
            <w:tcW w:w="797" w:type="dxa"/>
          </w:tcPr>
          <w:p w14:paraId="413DB84C" w14:textId="77777777" w:rsidR="009718F7" w:rsidRPr="00B53505" w:rsidRDefault="009718F7">
            <w:pPr>
              <w:ind w:right="-29"/>
              <w:jc w:val="center"/>
              <w:rPr>
                <w:sz w:val="18"/>
                <w:szCs w:val="18"/>
              </w:rPr>
            </w:pPr>
          </w:p>
        </w:tc>
        <w:tc>
          <w:tcPr>
            <w:tcW w:w="432" w:type="dxa"/>
          </w:tcPr>
          <w:p w14:paraId="77D40E67" w14:textId="77777777" w:rsidR="009718F7" w:rsidRPr="00B53505" w:rsidRDefault="009718F7">
            <w:pPr>
              <w:ind w:right="-29"/>
              <w:jc w:val="center"/>
              <w:rPr>
                <w:sz w:val="18"/>
                <w:szCs w:val="18"/>
              </w:rPr>
            </w:pPr>
          </w:p>
        </w:tc>
        <w:tc>
          <w:tcPr>
            <w:tcW w:w="720" w:type="dxa"/>
          </w:tcPr>
          <w:p w14:paraId="1D397A9C" w14:textId="77777777" w:rsidR="009718F7" w:rsidRPr="00B53505" w:rsidRDefault="009718F7">
            <w:pPr>
              <w:ind w:right="-29"/>
              <w:jc w:val="center"/>
              <w:rPr>
                <w:sz w:val="18"/>
                <w:szCs w:val="18"/>
              </w:rPr>
            </w:pPr>
          </w:p>
        </w:tc>
        <w:tc>
          <w:tcPr>
            <w:tcW w:w="540" w:type="dxa"/>
          </w:tcPr>
          <w:p w14:paraId="41216972" w14:textId="77777777" w:rsidR="009718F7" w:rsidRPr="00B53505" w:rsidRDefault="009718F7">
            <w:pPr>
              <w:ind w:right="-29"/>
              <w:jc w:val="center"/>
              <w:rPr>
                <w:sz w:val="18"/>
                <w:szCs w:val="18"/>
              </w:rPr>
            </w:pPr>
          </w:p>
        </w:tc>
        <w:tc>
          <w:tcPr>
            <w:tcW w:w="720" w:type="dxa"/>
            <w:gridSpan w:val="2"/>
          </w:tcPr>
          <w:p w14:paraId="39D70BC9" w14:textId="77777777" w:rsidR="009718F7" w:rsidRPr="00B53505" w:rsidRDefault="009718F7">
            <w:pPr>
              <w:ind w:right="-29"/>
              <w:jc w:val="center"/>
              <w:rPr>
                <w:sz w:val="18"/>
                <w:szCs w:val="18"/>
              </w:rPr>
            </w:pPr>
          </w:p>
        </w:tc>
        <w:tc>
          <w:tcPr>
            <w:tcW w:w="720" w:type="dxa"/>
          </w:tcPr>
          <w:p w14:paraId="09EC01E7" w14:textId="77777777" w:rsidR="009718F7" w:rsidRPr="00B53505" w:rsidRDefault="009718F7">
            <w:pPr>
              <w:ind w:right="-29"/>
              <w:jc w:val="center"/>
              <w:rPr>
                <w:sz w:val="18"/>
                <w:szCs w:val="18"/>
              </w:rPr>
            </w:pPr>
          </w:p>
        </w:tc>
        <w:tc>
          <w:tcPr>
            <w:tcW w:w="900" w:type="dxa"/>
            <w:gridSpan w:val="2"/>
          </w:tcPr>
          <w:p w14:paraId="3E11B344" w14:textId="77777777" w:rsidR="009718F7" w:rsidRPr="00B53505" w:rsidRDefault="009718F7">
            <w:pPr>
              <w:ind w:right="-29"/>
              <w:jc w:val="center"/>
              <w:rPr>
                <w:sz w:val="18"/>
                <w:szCs w:val="18"/>
              </w:rPr>
            </w:pPr>
          </w:p>
        </w:tc>
      </w:tr>
      <w:tr w:rsidR="009718F7" w:rsidRPr="00B53505" w14:paraId="13D0527E" w14:textId="77777777" w:rsidTr="002A6466">
        <w:trPr>
          <w:jc w:val="center"/>
        </w:trPr>
        <w:tc>
          <w:tcPr>
            <w:tcW w:w="2844" w:type="dxa"/>
            <w:gridSpan w:val="3"/>
            <w:tcBorders>
              <w:bottom w:val="single" w:sz="12" w:space="0" w:color="auto"/>
            </w:tcBorders>
            <w:vAlign w:val="center"/>
          </w:tcPr>
          <w:p w14:paraId="35B2EE12" w14:textId="77777777" w:rsidR="009718F7" w:rsidRPr="00B53505" w:rsidRDefault="009718F7">
            <w:pPr>
              <w:ind w:right="-29"/>
              <w:jc w:val="center"/>
              <w:rPr>
                <w:sz w:val="18"/>
                <w:szCs w:val="18"/>
              </w:rPr>
            </w:pPr>
            <w:r w:rsidRPr="00B53505">
              <w:rPr>
                <w:sz w:val="18"/>
              </w:rPr>
              <w:t>Subtotal for specific objective No 1</w:t>
            </w:r>
          </w:p>
        </w:tc>
        <w:tc>
          <w:tcPr>
            <w:tcW w:w="504" w:type="dxa"/>
            <w:tcBorders>
              <w:bottom w:val="single" w:sz="12" w:space="0" w:color="auto"/>
            </w:tcBorders>
          </w:tcPr>
          <w:p w14:paraId="2C63E8C1" w14:textId="77777777" w:rsidR="009718F7" w:rsidRPr="00B53505" w:rsidRDefault="009718F7">
            <w:pPr>
              <w:ind w:right="-29"/>
              <w:jc w:val="center"/>
              <w:rPr>
                <w:sz w:val="18"/>
                <w:szCs w:val="18"/>
              </w:rPr>
            </w:pPr>
          </w:p>
        </w:tc>
        <w:tc>
          <w:tcPr>
            <w:tcW w:w="720" w:type="dxa"/>
            <w:tcBorders>
              <w:bottom w:val="single" w:sz="12" w:space="0" w:color="auto"/>
            </w:tcBorders>
          </w:tcPr>
          <w:p w14:paraId="0FE50125" w14:textId="77777777" w:rsidR="009718F7" w:rsidRPr="00B53505" w:rsidRDefault="009718F7">
            <w:pPr>
              <w:ind w:right="-29"/>
              <w:jc w:val="center"/>
              <w:rPr>
                <w:sz w:val="18"/>
                <w:szCs w:val="18"/>
              </w:rPr>
            </w:pPr>
          </w:p>
        </w:tc>
        <w:tc>
          <w:tcPr>
            <w:tcW w:w="540" w:type="dxa"/>
            <w:tcBorders>
              <w:bottom w:val="single" w:sz="12" w:space="0" w:color="auto"/>
            </w:tcBorders>
          </w:tcPr>
          <w:p w14:paraId="5F69916D" w14:textId="77777777" w:rsidR="009718F7" w:rsidRPr="00B53505" w:rsidRDefault="009718F7">
            <w:pPr>
              <w:ind w:right="-29"/>
              <w:jc w:val="center"/>
              <w:rPr>
                <w:sz w:val="18"/>
                <w:szCs w:val="18"/>
              </w:rPr>
            </w:pPr>
          </w:p>
        </w:tc>
        <w:tc>
          <w:tcPr>
            <w:tcW w:w="720" w:type="dxa"/>
            <w:tcBorders>
              <w:bottom w:val="single" w:sz="12" w:space="0" w:color="auto"/>
            </w:tcBorders>
          </w:tcPr>
          <w:p w14:paraId="6FFCEA25" w14:textId="77777777" w:rsidR="009718F7" w:rsidRPr="00B53505" w:rsidRDefault="009718F7">
            <w:pPr>
              <w:ind w:right="-29"/>
              <w:jc w:val="center"/>
              <w:rPr>
                <w:sz w:val="18"/>
                <w:szCs w:val="18"/>
              </w:rPr>
            </w:pPr>
          </w:p>
        </w:tc>
        <w:tc>
          <w:tcPr>
            <w:tcW w:w="720" w:type="dxa"/>
            <w:tcBorders>
              <w:bottom w:val="single" w:sz="12" w:space="0" w:color="auto"/>
            </w:tcBorders>
          </w:tcPr>
          <w:p w14:paraId="54AF8EB1" w14:textId="77777777" w:rsidR="009718F7" w:rsidRPr="00B53505" w:rsidRDefault="009718F7">
            <w:pPr>
              <w:ind w:right="-29"/>
              <w:jc w:val="center"/>
              <w:rPr>
                <w:sz w:val="18"/>
                <w:szCs w:val="18"/>
              </w:rPr>
            </w:pPr>
          </w:p>
        </w:tc>
        <w:tc>
          <w:tcPr>
            <w:tcW w:w="720" w:type="dxa"/>
            <w:tcBorders>
              <w:bottom w:val="single" w:sz="12" w:space="0" w:color="auto"/>
            </w:tcBorders>
          </w:tcPr>
          <w:p w14:paraId="6E0202E0" w14:textId="77777777" w:rsidR="009718F7" w:rsidRPr="00B53505" w:rsidRDefault="009718F7">
            <w:pPr>
              <w:ind w:right="-29"/>
              <w:jc w:val="center"/>
              <w:rPr>
                <w:sz w:val="18"/>
                <w:szCs w:val="18"/>
              </w:rPr>
            </w:pPr>
          </w:p>
        </w:tc>
        <w:tc>
          <w:tcPr>
            <w:tcW w:w="900" w:type="dxa"/>
            <w:tcBorders>
              <w:bottom w:val="single" w:sz="12" w:space="0" w:color="auto"/>
            </w:tcBorders>
          </w:tcPr>
          <w:p w14:paraId="5E353EC3" w14:textId="77777777" w:rsidR="009718F7" w:rsidRPr="00B53505" w:rsidRDefault="009718F7">
            <w:pPr>
              <w:ind w:right="-29"/>
              <w:jc w:val="center"/>
              <w:rPr>
                <w:sz w:val="18"/>
                <w:szCs w:val="18"/>
              </w:rPr>
            </w:pPr>
          </w:p>
        </w:tc>
        <w:tc>
          <w:tcPr>
            <w:tcW w:w="720" w:type="dxa"/>
            <w:gridSpan w:val="2"/>
            <w:tcBorders>
              <w:bottom w:val="single" w:sz="12" w:space="0" w:color="auto"/>
            </w:tcBorders>
          </w:tcPr>
          <w:p w14:paraId="3BB5B48E" w14:textId="77777777" w:rsidR="009718F7" w:rsidRPr="00B53505" w:rsidRDefault="009718F7">
            <w:pPr>
              <w:ind w:right="-29"/>
              <w:jc w:val="center"/>
              <w:rPr>
                <w:sz w:val="18"/>
                <w:szCs w:val="18"/>
              </w:rPr>
            </w:pPr>
          </w:p>
        </w:tc>
        <w:tc>
          <w:tcPr>
            <w:tcW w:w="540" w:type="dxa"/>
            <w:tcBorders>
              <w:bottom w:val="single" w:sz="12" w:space="0" w:color="auto"/>
            </w:tcBorders>
          </w:tcPr>
          <w:p w14:paraId="44DC6CC6" w14:textId="77777777" w:rsidR="009718F7" w:rsidRPr="00B53505" w:rsidRDefault="009718F7">
            <w:pPr>
              <w:ind w:right="-29"/>
              <w:jc w:val="center"/>
              <w:rPr>
                <w:sz w:val="18"/>
                <w:szCs w:val="18"/>
              </w:rPr>
            </w:pPr>
          </w:p>
        </w:tc>
        <w:tc>
          <w:tcPr>
            <w:tcW w:w="797" w:type="dxa"/>
            <w:tcBorders>
              <w:bottom w:val="single" w:sz="12" w:space="0" w:color="auto"/>
            </w:tcBorders>
          </w:tcPr>
          <w:p w14:paraId="5745C2D1" w14:textId="77777777" w:rsidR="009718F7" w:rsidRPr="00B53505" w:rsidRDefault="009718F7">
            <w:pPr>
              <w:ind w:right="-29"/>
              <w:jc w:val="center"/>
              <w:rPr>
                <w:sz w:val="18"/>
                <w:szCs w:val="18"/>
              </w:rPr>
            </w:pPr>
          </w:p>
        </w:tc>
        <w:tc>
          <w:tcPr>
            <w:tcW w:w="432" w:type="dxa"/>
            <w:tcBorders>
              <w:bottom w:val="single" w:sz="12" w:space="0" w:color="auto"/>
            </w:tcBorders>
          </w:tcPr>
          <w:p w14:paraId="2A4FB26E" w14:textId="77777777" w:rsidR="009718F7" w:rsidRPr="00B53505" w:rsidRDefault="009718F7">
            <w:pPr>
              <w:ind w:right="-29"/>
              <w:jc w:val="center"/>
              <w:rPr>
                <w:sz w:val="18"/>
                <w:szCs w:val="18"/>
              </w:rPr>
            </w:pPr>
          </w:p>
        </w:tc>
        <w:tc>
          <w:tcPr>
            <w:tcW w:w="720" w:type="dxa"/>
            <w:tcBorders>
              <w:bottom w:val="single" w:sz="12" w:space="0" w:color="auto"/>
            </w:tcBorders>
          </w:tcPr>
          <w:p w14:paraId="4E7CEC05" w14:textId="77777777" w:rsidR="009718F7" w:rsidRPr="00B53505" w:rsidRDefault="009718F7">
            <w:pPr>
              <w:ind w:right="-29"/>
              <w:jc w:val="center"/>
              <w:rPr>
                <w:sz w:val="18"/>
                <w:szCs w:val="18"/>
              </w:rPr>
            </w:pPr>
          </w:p>
        </w:tc>
        <w:tc>
          <w:tcPr>
            <w:tcW w:w="540" w:type="dxa"/>
            <w:tcBorders>
              <w:bottom w:val="single" w:sz="12" w:space="0" w:color="auto"/>
            </w:tcBorders>
          </w:tcPr>
          <w:p w14:paraId="29774F4A" w14:textId="77777777" w:rsidR="009718F7" w:rsidRPr="00B53505" w:rsidRDefault="009718F7">
            <w:pPr>
              <w:ind w:right="-29"/>
              <w:jc w:val="center"/>
              <w:rPr>
                <w:sz w:val="18"/>
                <w:szCs w:val="18"/>
              </w:rPr>
            </w:pPr>
          </w:p>
        </w:tc>
        <w:tc>
          <w:tcPr>
            <w:tcW w:w="720" w:type="dxa"/>
            <w:gridSpan w:val="2"/>
            <w:tcBorders>
              <w:bottom w:val="single" w:sz="12" w:space="0" w:color="auto"/>
            </w:tcBorders>
          </w:tcPr>
          <w:p w14:paraId="61298AB2" w14:textId="77777777" w:rsidR="009718F7" w:rsidRPr="00B53505" w:rsidRDefault="009718F7">
            <w:pPr>
              <w:ind w:right="-29"/>
              <w:jc w:val="center"/>
              <w:rPr>
                <w:sz w:val="18"/>
                <w:szCs w:val="18"/>
              </w:rPr>
            </w:pPr>
          </w:p>
        </w:tc>
        <w:tc>
          <w:tcPr>
            <w:tcW w:w="720" w:type="dxa"/>
            <w:tcBorders>
              <w:bottom w:val="single" w:sz="12" w:space="0" w:color="auto"/>
            </w:tcBorders>
          </w:tcPr>
          <w:p w14:paraId="11BAAD14" w14:textId="77777777" w:rsidR="009718F7" w:rsidRPr="00B53505" w:rsidRDefault="009718F7">
            <w:pPr>
              <w:ind w:right="-29"/>
              <w:jc w:val="center"/>
              <w:rPr>
                <w:sz w:val="18"/>
                <w:szCs w:val="18"/>
              </w:rPr>
            </w:pPr>
          </w:p>
        </w:tc>
        <w:tc>
          <w:tcPr>
            <w:tcW w:w="900" w:type="dxa"/>
            <w:gridSpan w:val="2"/>
            <w:tcBorders>
              <w:bottom w:val="single" w:sz="12" w:space="0" w:color="auto"/>
            </w:tcBorders>
          </w:tcPr>
          <w:p w14:paraId="418E86A5" w14:textId="77777777" w:rsidR="009718F7" w:rsidRPr="00B53505" w:rsidRDefault="009718F7">
            <w:pPr>
              <w:ind w:right="-29"/>
              <w:jc w:val="center"/>
              <w:rPr>
                <w:sz w:val="18"/>
                <w:szCs w:val="18"/>
              </w:rPr>
            </w:pPr>
          </w:p>
        </w:tc>
      </w:tr>
      <w:tr w:rsidR="009718F7" w:rsidRPr="00B53505" w14:paraId="3E44ED5B" w14:textId="77777777" w:rsidTr="002A6466">
        <w:trPr>
          <w:jc w:val="center"/>
        </w:trPr>
        <w:tc>
          <w:tcPr>
            <w:tcW w:w="2844" w:type="dxa"/>
            <w:gridSpan w:val="3"/>
            <w:vAlign w:val="center"/>
          </w:tcPr>
          <w:p w14:paraId="39F96A7D" w14:textId="77777777" w:rsidR="009718F7" w:rsidRPr="00B53505" w:rsidRDefault="009718F7">
            <w:pPr>
              <w:spacing w:before="60" w:after="60"/>
              <w:ind w:right="-29"/>
              <w:jc w:val="center"/>
              <w:rPr>
                <w:sz w:val="18"/>
                <w:szCs w:val="18"/>
              </w:rPr>
            </w:pPr>
          </w:p>
        </w:tc>
        <w:tc>
          <w:tcPr>
            <w:tcW w:w="504" w:type="dxa"/>
            <w:tcBorders>
              <w:top w:val="nil"/>
              <w:left w:val="nil"/>
              <w:bottom w:val="nil"/>
              <w:right w:val="nil"/>
            </w:tcBorders>
          </w:tcPr>
          <w:p w14:paraId="30771886" w14:textId="77777777" w:rsidR="009718F7" w:rsidRPr="00B53505" w:rsidRDefault="009718F7">
            <w:pPr>
              <w:spacing w:before="60" w:after="60"/>
              <w:ind w:right="-29"/>
              <w:jc w:val="center"/>
              <w:rPr>
                <w:sz w:val="18"/>
                <w:szCs w:val="18"/>
              </w:rPr>
            </w:pPr>
          </w:p>
        </w:tc>
        <w:tc>
          <w:tcPr>
            <w:tcW w:w="720" w:type="dxa"/>
            <w:tcBorders>
              <w:top w:val="nil"/>
              <w:left w:val="nil"/>
              <w:bottom w:val="nil"/>
              <w:right w:val="nil"/>
            </w:tcBorders>
          </w:tcPr>
          <w:p w14:paraId="63F4A1B9" w14:textId="77777777" w:rsidR="009718F7" w:rsidRPr="00B53505" w:rsidRDefault="009718F7">
            <w:pPr>
              <w:spacing w:before="60" w:after="60"/>
              <w:ind w:right="-29"/>
              <w:jc w:val="center"/>
              <w:rPr>
                <w:sz w:val="18"/>
                <w:szCs w:val="18"/>
              </w:rPr>
            </w:pPr>
          </w:p>
        </w:tc>
        <w:tc>
          <w:tcPr>
            <w:tcW w:w="540" w:type="dxa"/>
            <w:tcBorders>
              <w:top w:val="nil"/>
              <w:left w:val="nil"/>
              <w:bottom w:val="nil"/>
              <w:right w:val="nil"/>
            </w:tcBorders>
          </w:tcPr>
          <w:p w14:paraId="3AED1644" w14:textId="77777777" w:rsidR="009718F7" w:rsidRPr="00B53505" w:rsidRDefault="009718F7">
            <w:pPr>
              <w:spacing w:before="60" w:after="60"/>
              <w:ind w:right="-29"/>
              <w:jc w:val="center"/>
              <w:rPr>
                <w:sz w:val="18"/>
                <w:szCs w:val="18"/>
              </w:rPr>
            </w:pPr>
          </w:p>
        </w:tc>
        <w:tc>
          <w:tcPr>
            <w:tcW w:w="720" w:type="dxa"/>
            <w:tcBorders>
              <w:top w:val="nil"/>
              <w:left w:val="nil"/>
              <w:bottom w:val="nil"/>
              <w:right w:val="nil"/>
            </w:tcBorders>
          </w:tcPr>
          <w:p w14:paraId="347C034C" w14:textId="77777777" w:rsidR="009718F7" w:rsidRPr="00B53505" w:rsidRDefault="009718F7">
            <w:pPr>
              <w:spacing w:before="60" w:after="60"/>
              <w:ind w:right="-29"/>
              <w:jc w:val="center"/>
              <w:rPr>
                <w:sz w:val="18"/>
                <w:szCs w:val="18"/>
              </w:rPr>
            </w:pPr>
          </w:p>
        </w:tc>
        <w:tc>
          <w:tcPr>
            <w:tcW w:w="720" w:type="dxa"/>
            <w:tcBorders>
              <w:top w:val="nil"/>
              <w:left w:val="nil"/>
              <w:bottom w:val="nil"/>
              <w:right w:val="nil"/>
            </w:tcBorders>
          </w:tcPr>
          <w:p w14:paraId="14975739" w14:textId="77777777" w:rsidR="009718F7" w:rsidRPr="00B53505" w:rsidRDefault="009718F7">
            <w:pPr>
              <w:spacing w:before="60" w:after="60"/>
              <w:ind w:right="-29"/>
              <w:jc w:val="center"/>
              <w:rPr>
                <w:sz w:val="18"/>
                <w:szCs w:val="18"/>
              </w:rPr>
            </w:pPr>
          </w:p>
        </w:tc>
        <w:tc>
          <w:tcPr>
            <w:tcW w:w="720" w:type="dxa"/>
            <w:tcBorders>
              <w:top w:val="nil"/>
              <w:left w:val="nil"/>
              <w:bottom w:val="nil"/>
              <w:right w:val="nil"/>
            </w:tcBorders>
          </w:tcPr>
          <w:p w14:paraId="0CF9ECAB" w14:textId="77777777" w:rsidR="009718F7" w:rsidRPr="00B53505" w:rsidRDefault="009718F7">
            <w:pPr>
              <w:spacing w:before="60" w:after="60"/>
              <w:ind w:right="-29"/>
              <w:jc w:val="center"/>
              <w:rPr>
                <w:sz w:val="18"/>
                <w:szCs w:val="18"/>
              </w:rPr>
            </w:pPr>
          </w:p>
        </w:tc>
        <w:tc>
          <w:tcPr>
            <w:tcW w:w="900" w:type="dxa"/>
            <w:tcBorders>
              <w:top w:val="nil"/>
              <w:left w:val="nil"/>
              <w:bottom w:val="nil"/>
              <w:right w:val="nil"/>
            </w:tcBorders>
          </w:tcPr>
          <w:p w14:paraId="6AF9101E" w14:textId="77777777" w:rsidR="009718F7" w:rsidRPr="00B53505" w:rsidRDefault="009718F7">
            <w:pPr>
              <w:spacing w:before="60" w:after="60"/>
              <w:ind w:right="-29"/>
              <w:jc w:val="center"/>
              <w:rPr>
                <w:sz w:val="18"/>
                <w:szCs w:val="18"/>
              </w:rPr>
            </w:pPr>
          </w:p>
        </w:tc>
        <w:tc>
          <w:tcPr>
            <w:tcW w:w="720" w:type="dxa"/>
            <w:gridSpan w:val="2"/>
            <w:tcBorders>
              <w:top w:val="nil"/>
              <w:left w:val="nil"/>
              <w:bottom w:val="nil"/>
              <w:right w:val="nil"/>
            </w:tcBorders>
          </w:tcPr>
          <w:p w14:paraId="6FEC5159" w14:textId="77777777" w:rsidR="009718F7" w:rsidRPr="00B53505" w:rsidRDefault="009718F7">
            <w:pPr>
              <w:spacing w:before="60" w:after="60"/>
              <w:ind w:right="-29"/>
              <w:jc w:val="center"/>
              <w:rPr>
                <w:sz w:val="18"/>
                <w:szCs w:val="18"/>
              </w:rPr>
            </w:pPr>
          </w:p>
        </w:tc>
        <w:tc>
          <w:tcPr>
            <w:tcW w:w="540" w:type="dxa"/>
            <w:tcBorders>
              <w:top w:val="nil"/>
              <w:left w:val="nil"/>
              <w:bottom w:val="nil"/>
              <w:right w:val="nil"/>
            </w:tcBorders>
          </w:tcPr>
          <w:p w14:paraId="57F9A650" w14:textId="77777777" w:rsidR="009718F7" w:rsidRPr="00B53505" w:rsidRDefault="009718F7">
            <w:pPr>
              <w:spacing w:before="60" w:after="60"/>
              <w:ind w:right="-29"/>
              <w:jc w:val="center"/>
              <w:rPr>
                <w:sz w:val="18"/>
                <w:szCs w:val="18"/>
              </w:rPr>
            </w:pPr>
          </w:p>
        </w:tc>
        <w:tc>
          <w:tcPr>
            <w:tcW w:w="797" w:type="dxa"/>
            <w:tcBorders>
              <w:top w:val="nil"/>
              <w:left w:val="nil"/>
              <w:bottom w:val="nil"/>
              <w:right w:val="nil"/>
            </w:tcBorders>
          </w:tcPr>
          <w:p w14:paraId="1F6E22F5" w14:textId="77777777" w:rsidR="009718F7" w:rsidRPr="00B53505" w:rsidRDefault="009718F7">
            <w:pPr>
              <w:spacing w:before="60" w:after="60"/>
              <w:ind w:right="-29"/>
              <w:jc w:val="center"/>
              <w:rPr>
                <w:sz w:val="18"/>
                <w:szCs w:val="18"/>
              </w:rPr>
            </w:pPr>
          </w:p>
        </w:tc>
        <w:tc>
          <w:tcPr>
            <w:tcW w:w="432" w:type="dxa"/>
            <w:tcBorders>
              <w:top w:val="nil"/>
              <w:left w:val="nil"/>
              <w:bottom w:val="nil"/>
              <w:right w:val="nil"/>
            </w:tcBorders>
          </w:tcPr>
          <w:p w14:paraId="5F3FC6F3" w14:textId="77777777" w:rsidR="009718F7" w:rsidRPr="00B53505" w:rsidRDefault="009718F7">
            <w:pPr>
              <w:spacing w:before="60" w:after="60"/>
              <w:ind w:right="-29"/>
              <w:jc w:val="center"/>
              <w:rPr>
                <w:sz w:val="18"/>
                <w:szCs w:val="18"/>
              </w:rPr>
            </w:pPr>
          </w:p>
        </w:tc>
        <w:tc>
          <w:tcPr>
            <w:tcW w:w="720" w:type="dxa"/>
            <w:tcBorders>
              <w:top w:val="nil"/>
              <w:left w:val="nil"/>
              <w:bottom w:val="nil"/>
              <w:right w:val="nil"/>
            </w:tcBorders>
          </w:tcPr>
          <w:p w14:paraId="2CC05017" w14:textId="77777777" w:rsidR="009718F7" w:rsidRPr="00B53505" w:rsidRDefault="009718F7">
            <w:pPr>
              <w:spacing w:before="60" w:after="60"/>
              <w:ind w:right="-29"/>
              <w:jc w:val="center"/>
              <w:rPr>
                <w:sz w:val="18"/>
                <w:szCs w:val="18"/>
              </w:rPr>
            </w:pPr>
          </w:p>
        </w:tc>
        <w:tc>
          <w:tcPr>
            <w:tcW w:w="540" w:type="dxa"/>
            <w:tcBorders>
              <w:top w:val="nil"/>
              <w:left w:val="nil"/>
              <w:bottom w:val="nil"/>
              <w:right w:val="nil"/>
            </w:tcBorders>
          </w:tcPr>
          <w:p w14:paraId="68CD46D6" w14:textId="77777777" w:rsidR="009718F7" w:rsidRPr="00B53505" w:rsidRDefault="009718F7">
            <w:pPr>
              <w:spacing w:before="60" w:after="60"/>
              <w:ind w:right="-29"/>
              <w:jc w:val="center"/>
              <w:rPr>
                <w:sz w:val="18"/>
                <w:szCs w:val="18"/>
              </w:rPr>
            </w:pPr>
          </w:p>
        </w:tc>
        <w:tc>
          <w:tcPr>
            <w:tcW w:w="720" w:type="dxa"/>
            <w:gridSpan w:val="2"/>
            <w:tcBorders>
              <w:top w:val="nil"/>
              <w:left w:val="nil"/>
              <w:bottom w:val="nil"/>
              <w:right w:val="nil"/>
            </w:tcBorders>
          </w:tcPr>
          <w:p w14:paraId="262380B2" w14:textId="77777777" w:rsidR="009718F7" w:rsidRPr="00B53505" w:rsidRDefault="009718F7">
            <w:pPr>
              <w:spacing w:before="60" w:after="60"/>
              <w:ind w:right="-29"/>
              <w:jc w:val="center"/>
              <w:rPr>
                <w:sz w:val="18"/>
                <w:szCs w:val="18"/>
              </w:rPr>
            </w:pPr>
          </w:p>
        </w:tc>
        <w:tc>
          <w:tcPr>
            <w:tcW w:w="720" w:type="dxa"/>
            <w:tcBorders>
              <w:top w:val="nil"/>
              <w:left w:val="nil"/>
              <w:bottom w:val="nil"/>
              <w:right w:val="nil"/>
            </w:tcBorders>
          </w:tcPr>
          <w:p w14:paraId="3B0CF74B" w14:textId="77777777" w:rsidR="009718F7" w:rsidRPr="00B53505" w:rsidRDefault="009718F7">
            <w:pPr>
              <w:spacing w:before="60" w:after="60"/>
              <w:ind w:right="-29"/>
              <w:jc w:val="center"/>
              <w:rPr>
                <w:sz w:val="18"/>
                <w:szCs w:val="18"/>
              </w:rPr>
            </w:pPr>
          </w:p>
        </w:tc>
        <w:tc>
          <w:tcPr>
            <w:tcW w:w="900" w:type="dxa"/>
            <w:gridSpan w:val="2"/>
            <w:tcBorders>
              <w:top w:val="nil"/>
              <w:left w:val="nil"/>
              <w:bottom w:val="nil"/>
              <w:right w:val="nil"/>
            </w:tcBorders>
          </w:tcPr>
          <w:p w14:paraId="7B77CEC9" w14:textId="77777777" w:rsidR="009718F7" w:rsidRPr="00B53505" w:rsidRDefault="009718F7">
            <w:pPr>
              <w:spacing w:before="60" w:after="60"/>
              <w:ind w:right="-29"/>
              <w:jc w:val="center"/>
              <w:rPr>
                <w:sz w:val="18"/>
                <w:szCs w:val="18"/>
              </w:rPr>
            </w:pPr>
          </w:p>
        </w:tc>
      </w:tr>
      <w:tr w:rsidR="009718F7" w:rsidRPr="00B53505" w14:paraId="69A2BBEC" w14:textId="77777777" w:rsidTr="002A6466">
        <w:trPr>
          <w:trHeight w:hRule="exact" w:val="369"/>
          <w:jc w:val="center"/>
        </w:trPr>
        <w:tc>
          <w:tcPr>
            <w:tcW w:w="1423" w:type="dxa"/>
          </w:tcPr>
          <w:p w14:paraId="75528B1B" w14:textId="77777777" w:rsidR="009718F7" w:rsidRPr="00B53505" w:rsidRDefault="009718F7">
            <w:pPr>
              <w:ind w:right="-29"/>
              <w:jc w:val="center"/>
              <w:rPr>
                <w:sz w:val="18"/>
                <w:szCs w:val="18"/>
              </w:rPr>
            </w:pPr>
          </w:p>
        </w:tc>
        <w:tc>
          <w:tcPr>
            <w:tcW w:w="720" w:type="dxa"/>
          </w:tcPr>
          <w:p w14:paraId="7AAF7CD9" w14:textId="77777777" w:rsidR="009718F7" w:rsidRPr="00B53505" w:rsidRDefault="009718F7">
            <w:pPr>
              <w:ind w:right="-29"/>
              <w:jc w:val="center"/>
              <w:rPr>
                <w:sz w:val="18"/>
                <w:szCs w:val="18"/>
              </w:rPr>
            </w:pPr>
          </w:p>
        </w:tc>
        <w:tc>
          <w:tcPr>
            <w:tcW w:w="701" w:type="dxa"/>
          </w:tcPr>
          <w:p w14:paraId="39557C5B" w14:textId="77777777" w:rsidR="009718F7" w:rsidRPr="00B53505" w:rsidRDefault="009718F7">
            <w:pPr>
              <w:ind w:right="-29"/>
              <w:jc w:val="center"/>
              <w:rPr>
                <w:sz w:val="18"/>
                <w:szCs w:val="18"/>
              </w:rPr>
            </w:pPr>
          </w:p>
        </w:tc>
        <w:tc>
          <w:tcPr>
            <w:tcW w:w="504" w:type="dxa"/>
          </w:tcPr>
          <w:p w14:paraId="1F907BB6" w14:textId="77777777" w:rsidR="009718F7" w:rsidRPr="00B53505" w:rsidRDefault="009718F7">
            <w:pPr>
              <w:ind w:right="-29"/>
              <w:jc w:val="center"/>
              <w:rPr>
                <w:sz w:val="18"/>
                <w:szCs w:val="18"/>
              </w:rPr>
            </w:pPr>
          </w:p>
        </w:tc>
        <w:tc>
          <w:tcPr>
            <w:tcW w:w="720" w:type="dxa"/>
          </w:tcPr>
          <w:p w14:paraId="04E6C7FE" w14:textId="77777777" w:rsidR="009718F7" w:rsidRPr="00B53505" w:rsidRDefault="009718F7">
            <w:pPr>
              <w:ind w:right="-29"/>
              <w:jc w:val="center"/>
              <w:rPr>
                <w:sz w:val="18"/>
                <w:szCs w:val="18"/>
              </w:rPr>
            </w:pPr>
          </w:p>
        </w:tc>
        <w:tc>
          <w:tcPr>
            <w:tcW w:w="540" w:type="dxa"/>
          </w:tcPr>
          <w:p w14:paraId="24930AB4" w14:textId="77777777" w:rsidR="009718F7" w:rsidRPr="00B53505" w:rsidRDefault="009718F7">
            <w:pPr>
              <w:ind w:right="-29"/>
              <w:jc w:val="center"/>
              <w:rPr>
                <w:sz w:val="18"/>
                <w:szCs w:val="18"/>
              </w:rPr>
            </w:pPr>
          </w:p>
        </w:tc>
        <w:tc>
          <w:tcPr>
            <w:tcW w:w="720" w:type="dxa"/>
          </w:tcPr>
          <w:p w14:paraId="380E7468" w14:textId="77777777" w:rsidR="009718F7" w:rsidRPr="00B53505" w:rsidRDefault="009718F7">
            <w:pPr>
              <w:ind w:right="-29"/>
              <w:jc w:val="center"/>
              <w:rPr>
                <w:sz w:val="18"/>
                <w:szCs w:val="18"/>
              </w:rPr>
            </w:pPr>
          </w:p>
        </w:tc>
        <w:tc>
          <w:tcPr>
            <w:tcW w:w="720" w:type="dxa"/>
          </w:tcPr>
          <w:p w14:paraId="1D948B88" w14:textId="77777777" w:rsidR="009718F7" w:rsidRPr="00B53505" w:rsidRDefault="009718F7">
            <w:pPr>
              <w:ind w:right="-29"/>
              <w:jc w:val="center"/>
              <w:rPr>
                <w:sz w:val="18"/>
                <w:szCs w:val="18"/>
              </w:rPr>
            </w:pPr>
          </w:p>
        </w:tc>
        <w:tc>
          <w:tcPr>
            <w:tcW w:w="720" w:type="dxa"/>
          </w:tcPr>
          <w:p w14:paraId="66B99A66" w14:textId="77777777" w:rsidR="009718F7" w:rsidRPr="00B53505" w:rsidRDefault="009718F7">
            <w:pPr>
              <w:ind w:right="-29"/>
              <w:jc w:val="center"/>
              <w:rPr>
                <w:sz w:val="18"/>
                <w:szCs w:val="18"/>
              </w:rPr>
            </w:pPr>
          </w:p>
        </w:tc>
        <w:tc>
          <w:tcPr>
            <w:tcW w:w="900" w:type="dxa"/>
          </w:tcPr>
          <w:p w14:paraId="79652B85" w14:textId="77777777" w:rsidR="009718F7" w:rsidRPr="00B53505" w:rsidRDefault="009718F7">
            <w:pPr>
              <w:ind w:right="-29"/>
              <w:jc w:val="center"/>
              <w:rPr>
                <w:sz w:val="18"/>
                <w:szCs w:val="18"/>
              </w:rPr>
            </w:pPr>
          </w:p>
        </w:tc>
        <w:tc>
          <w:tcPr>
            <w:tcW w:w="720" w:type="dxa"/>
            <w:gridSpan w:val="2"/>
          </w:tcPr>
          <w:p w14:paraId="39437FCF" w14:textId="77777777" w:rsidR="009718F7" w:rsidRPr="00B53505" w:rsidRDefault="009718F7">
            <w:pPr>
              <w:ind w:right="-29"/>
              <w:jc w:val="center"/>
              <w:rPr>
                <w:sz w:val="18"/>
                <w:szCs w:val="18"/>
              </w:rPr>
            </w:pPr>
          </w:p>
        </w:tc>
        <w:tc>
          <w:tcPr>
            <w:tcW w:w="540" w:type="dxa"/>
          </w:tcPr>
          <w:p w14:paraId="6D8AF0A7" w14:textId="77777777" w:rsidR="009718F7" w:rsidRPr="00B53505" w:rsidRDefault="009718F7">
            <w:pPr>
              <w:ind w:right="-29"/>
              <w:jc w:val="center"/>
              <w:rPr>
                <w:sz w:val="18"/>
                <w:szCs w:val="18"/>
              </w:rPr>
            </w:pPr>
          </w:p>
        </w:tc>
        <w:tc>
          <w:tcPr>
            <w:tcW w:w="797" w:type="dxa"/>
          </w:tcPr>
          <w:p w14:paraId="063F2950" w14:textId="77777777" w:rsidR="009718F7" w:rsidRPr="00B53505" w:rsidRDefault="009718F7">
            <w:pPr>
              <w:ind w:right="-29"/>
              <w:jc w:val="center"/>
              <w:rPr>
                <w:sz w:val="18"/>
                <w:szCs w:val="18"/>
              </w:rPr>
            </w:pPr>
          </w:p>
        </w:tc>
        <w:tc>
          <w:tcPr>
            <w:tcW w:w="432" w:type="dxa"/>
          </w:tcPr>
          <w:p w14:paraId="4020923E" w14:textId="77777777" w:rsidR="009718F7" w:rsidRPr="00B53505" w:rsidRDefault="009718F7">
            <w:pPr>
              <w:ind w:right="-29"/>
              <w:jc w:val="center"/>
              <w:rPr>
                <w:sz w:val="18"/>
                <w:szCs w:val="18"/>
              </w:rPr>
            </w:pPr>
          </w:p>
        </w:tc>
        <w:tc>
          <w:tcPr>
            <w:tcW w:w="720" w:type="dxa"/>
          </w:tcPr>
          <w:p w14:paraId="3C97267F" w14:textId="77777777" w:rsidR="009718F7" w:rsidRPr="00B53505" w:rsidRDefault="009718F7">
            <w:pPr>
              <w:ind w:right="-29"/>
              <w:jc w:val="center"/>
              <w:rPr>
                <w:sz w:val="18"/>
                <w:szCs w:val="18"/>
              </w:rPr>
            </w:pPr>
          </w:p>
        </w:tc>
        <w:tc>
          <w:tcPr>
            <w:tcW w:w="540" w:type="dxa"/>
          </w:tcPr>
          <w:p w14:paraId="0DACA50A" w14:textId="77777777" w:rsidR="009718F7" w:rsidRPr="00B53505" w:rsidRDefault="009718F7">
            <w:pPr>
              <w:ind w:right="-29"/>
              <w:jc w:val="center"/>
              <w:rPr>
                <w:sz w:val="18"/>
                <w:szCs w:val="18"/>
              </w:rPr>
            </w:pPr>
          </w:p>
        </w:tc>
        <w:tc>
          <w:tcPr>
            <w:tcW w:w="720" w:type="dxa"/>
            <w:gridSpan w:val="2"/>
          </w:tcPr>
          <w:p w14:paraId="33442E60" w14:textId="77777777" w:rsidR="009718F7" w:rsidRPr="00B53505" w:rsidRDefault="009718F7">
            <w:pPr>
              <w:ind w:right="-29"/>
              <w:jc w:val="center"/>
              <w:rPr>
                <w:sz w:val="18"/>
                <w:szCs w:val="18"/>
              </w:rPr>
            </w:pPr>
          </w:p>
        </w:tc>
        <w:tc>
          <w:tcPr>
            <w:tcW w:w="720" w:type="dxa"/>
          </w:tcPr>
          <w:p w14:paraId="59B3E620" w14:textId="77777777" w:rsidR="009718F7" w:rsidRPr="00B53505" w:rsidRDefault="009718F7">
            <w:pPr>
              <w:ind w:right="-29"/>
              <w:jc w:val="center"/>
              <w:rPr>
                <w:sz w:val="18"/>
                <w:szCs w:val="18"/>
              </w:rPr>
            </w:pPr>
          </w:p>
        </w:tc>
        <w:tc>
          <w:tcPr>
            <w:tcW w:w="900" w:type="dxa"/>
            <w:gridSpan w:val="2"/>
          </w:tcPr>
          <w:p w14:paraId="65903DE1" w14:textId="77777777" w:rsidR="009718F7" w:rsidRPr="00B53505" w:rsidRDefault="009718F7">
            <w:pPr>
              <w:ind w:right="-29"/>
              <w:jc w:val="center"/>
              <w:rPr>
                <w:sz w:val="18"/>
                <w:szCs w:val="18"/>
              </w:rPr>
            </w:pPr>
          </w:p>
        </w:tc>
      </w:tr>
      <w:tr w:rsidR="009718F7" w:rsidRPr="00B53505" w14:paraId="42C4259D" w14:textId="77777777" w:rsidTr="002A6466">
        <w:trPr>
          <w:jc w:val="center"/>
        </w:trPr>
        <w:tc>
          <w:tcPr>
            <w:tcW w:w="2844" w:type="dxa"/>
            <w:gridSpan w:val="3"/>
            <w:tcBorders>
              <w:bottom w:val="single" w:sz="12" w:space="0" w:color="auto"/>
            </w:tcBorders>
            <w:vAlign w:val="center"/>
          </w:tcPr>
          <w:p w14:paraId="23104F1D" w14:textId="77777777" w:rsidR="009718F7" w:rsidRPr="00B53505" w:rsidRDefault="009718F7">
            <w:pPr>
              <w:jc w:val="center"/>
              <w:rPr>
                <w:sz w:val="18"/>
                <w:szCs w:val="18"/>
              </w:rPr>
            </w:pPr>
          </w:p>
        </w:tc>
        <w:tc>
          <w:tcPr>
            <w:tcW w:w="504" w:type="dxa"/>
            <w:tcBorders>
              <w:bottom w:val="single" w:sz="12" w:space="0" w:color="auto"/>
            </w:tcBorders>
          </w:tcPr>
          <w:p w14:paraId="43B7C11C" w14:textId="77777777" w:rsidR="009718F7" w:rsidRPr="00B53505" w:rsidRDefault="009718F7">
            <w:pPr>
              <w:ind w:right="-29"/>
              <w:jc w:val="center"/>
              <w:rPr>
                <w:sz w:val="18"/>
                <w:szCs w:val="18"/>
              </w:rPr>
            </w:pPr>
          </w:p>
        </w:tc>
        <w:tc>
          <w:tcPr>
            <w:tcW w:w="720" w:type="dxa"/>
            <w:tcBorders>
              <w:bottom w:val="single" w:sz="12" w:space="0" w:color="auto"/>
            </w:tcBorders>
          </w:tcPr>
          <w:p w14:paraId="7B782423" w14:textId="77777777" w:rsidR="009718F7" w:rsidRPr="00B53505" w:rsidRDefault="009718F7">
            <w:pPr>
              <w:ind w:right="-29"/>
              <w:jc w:val="center"/>
              <w:rPr>
                <w:sz w:val="18"/>
                <w:szCs w:val="18"/>
              </w:rPr>
            </w:pPr>
          </w:p>
        </w:tc>
        <w:tc>
          <w:tcPr>
            <w:tcW w:w="540" w:type="dxa"/>
            <w:tcBorders>
              <w:bottom w:val="single" w:sz="12" w:space="0" w:color="auto"/>
            </w:tcBorders>
          </w:tcPr>
          <w:p w14:paraId="4B0F522B" w14:textId="77777777" w:rsidR="009718F7" w:rsidRPr="00B53505" w:rsidRDefault="009718F7">
            <w:pPr>
              <w:ind w:right="-29"/>
              <w:jc w:val="center"/>
              <w:rPr>
                <w:sz w:val="18"/>
                <w:szCs w:val="18"/>
              </w:rPr>
            </w:pPr>
          </w:p>
        </w:tc>
        <w:tc>
          <w:tcPr>
            <w:tcW w:w="720" w:type="dxa"/>
            <w:tcBorders>
              <w:bottom w:val="single" w:sz="12" w:space="0" w:color="auto"/>
            </w:tcBorders>
          </w:tcPr>
          <w:p w14:paraId="25D0146A" w14:textId="77777777" w:rsidR="009718F7" w:rsidRPr="00B53505" w:rsidRDefault="009718F7">
            <w:pPr>
              <w:ind w:right="-29"/>
              <w:jc w:val="center"/>
              <w:rPr>
                <w:sz w:val="18"/>
                <w:szCs w:val="18"/>
              </w:rPr>
            </w:pPr>
          </w:p>
        </w:tc>
        <w:tc>
          <w:tcPr>
            <w:tcW w:w="720" w:type="dxa"/>
            <w:tcBorders>
              <w:bottom w:val="single" w:sz="12" w:space="0" w:color="auto"/>
            </w:tcBorders>
          </w:tcPr>
          <w:p w14:paraId="3AABE35A" w14:textId="77777777" w:rsidR="009718F7" w:rsidRPr="00B53505" w:rsidRDefault="009718F7">
            <w:pPr>
              <w:ind w:right="-29"/>
              <w:jc w:val="center"/>
              <w:rPr>
                <w:sz w:val="18"/>
                <w:szCs w:val="18"/>
              </w:rPr>
            </w:pPr>
          </w:p>
        </w:tc>
        <w:tc>
          <w:tcPr>
            <w:tcW w:w="720" w:type="dxa"/>
            <w:tcBorders>
              <w:bottom w:val="single" w:sz="12" w:space="0" w:color="auto"/>
            </w:tcBorders>
          </w:tcPr>
          <w:p w14:paraId="6F3DBA0D" w14:textId="77777777" w:rsidR="009718F7" w:rsidRPr="00B53505" w:rsidRDefault="009718F7">
            <w:pPr>
              <w:ind w:right="-29"/>
              <w:jc w:val="center"/>
              <w:rPr>
                <w:sz w:val="18"/>
                <w:szCs w:val="18"/>
              </w:rPr>
            </w:pPr>
          </w:p>
        </w:tc>
        <w:tc>
          <w:tcPr>
            <w:tcW w:w="906" w:type="dxa"/>
            <w:gridSpan w:val="2"/>
            <w:tcBorders>
              <w:bottom w:val="single" w:sz="12" w:space="0" w:color="auto"/>
            </w:tcBorders>
          </w:tcPr>
          <w:p w14:paraId="2E177411" w14:textId="77777777" w:rsidR="009718F7" w:rsidRPr="00B53505" w:rsidRDefault="009718F7">
            <w:pPr>
              <w:ind w:right="-29"/>
              <w:jc w:val="center"/>
              <w:rPr>
                <w:sz w:val="18"/>
                <w:szCs w:val="18"/>
              </w:rPr>
            </w:pPr>
          </w:p>
        </w:tc>
        <w:tc>
          <w:tcPr>
            <w:tcW w:w="714" w:type="dxa"/>
            <w:tcBorders>
              <w:bottom w:val="single" w:sz="12" w:space="0" w:color="auto"/>
            </w:tcBorders>
          </w:tcPr>
          <w:p w14:paraId="54CC8704" w14:textId="77777777" w:rsidR="009718F7" w:rsidRPr="00B53505" w:rsidRDefault="009718F7">
            <w:pPr>
              <w:ind w:right="-29"/>
              <w:jc w:val="center"/>
              <w:rPr>
                <w:sz w:val="18"/>
                <w:szCs w:val="18"/>
              </w:rPr>
            </w:pPr>
          </w:p>
        </w:tc>
        <w:tc>
          <w:tcPr>
            <w:tcW w:w="540" w:type="dxa"/>
            <w:tcBorders>
              <w:bottom w:val="single" w:sz="12" w:space="0" w:color="auto"/>
            </w:tcBorders>
          </w:tcPr>
          <w:p w14:paraId="4564924C" w14:textId="77777777" w:rsidR="009718F7" w:rsidRPr="00B53505" w:rsidRDefault="009718F7">
            <w:pPr>
              <w:ind w:right="-29"/>
              <w:jc w:val="center"/>
              <w:rPr>
                <w:sz w:val="18"/>
                <w:szCs w:val="18"/>
              </w:rPr>
            </w:pPr>
          </w:p>
        </w:tc>
        <w:tc>
          <w:tcPr>
            <w:tcW w:w="797" w:type="dxa"/>
            <w:tcBorders>
              <w:bottom w:val="single" w:sz="12" w:space="0" w:color="auto"/>
            </w:tcBorders>
          </w:tcPr>
          <w:p w14:paraId="3E4D5263" w14:textId="77777777" w:rsidR="009718F7" w:rsidRPr="00B53505" w:rsidRDefault="009718F7">
            <w:pPr>
              <w:ind w:right="-29"/>
              <w:jc w:val="center"/>
              <w:rPr>
                <w:sz w:val="18"/>
                <w:szCs w:val="18"/>
              </w:rPr>
            </w:pPr>
          </w:p>
        </w:tc>
        <w:tc>
          <w:tcPr>
            <w:tcW w:w="432" w:type="dxa"/>
            <w:tcBorders>
              <w:bottom w:val="single" w:sz="12" w:space="0" w:color="auto"/>
            </w:tcBorders>
          </w:tcPr>
          <w:p w14:paraId="375E8592" w14:textId="77777777" w:rsidR="009718F7" w:rsidRPr="00B53505" w:rsidRDefault="009718F7">
            <w:pPr>
              <w:ind w:right="-29"/>
              <w:jc w:val="center"/>
              <w:rPr>
                <w:sz w:val="18"/>
                <w:szCs w:val="18"/>
              </w:rPr>
            </w:pPr>
          </w:p>
        </w:tc>
        <w:tc>
          <w:tcPr>
            <w:tcW w:w="720" w:type="dxa"/>
            <w:tcBorders>
              <w:bottom w:val="single" w:sz="12" w:space="0" w:color="auto"/>
            </w:tcBorders>
          </w:tcPr>
          <w:p w14:paraId="4036F134" w14:textId="77777777" w:rsidR="009718F7" w:rsidRPr="00B53505" w:rsidRDefault="009718F7">
            <w:pPr>
              <w:ind w:right="-29"/>
              <w:jc w:val="center"/>
              <w:rPr>
                <w:sz w:val="18"/>
                <w:szCs w:val="18"/>
              </w:rPr>
            </w:pPr>
          </w:p>
        </w:tc>
        <w:tc>
          <w:tcPr>
            <w:tcW w:w="540" w:type="dxa"/>
            <w:tcBorders>
              <w:bottom w:val="single" w:sz="12" w:space="0" w:color="auto"/>
            </w:tcBorders>
          </w:tcPr>
          <w:p w14:paraId="16D03674" w14:textId="77777777" w:rsidR="009718F7" w:rsidRPr="00B53505" w:rsidRDefault="009718F7">
            <w:pPr>
              <w:ind w:right="-29"/>
              <w:jc w:val="center"/>
              <w:rPr>
                <w:sz w:val="18"/>
                <w:szCs w:val="18"/>
              </w:rPr>
            </w:pPr>
          </w:p>
        </w:tc>
        <w:tc>
          <w:tcPr>
            <w:tcW w:w="720" w:type="dxa"/>
            <w:gridSpan w:val="2"/>
            <w:tcBorders>
              <w:bottom w:val="single" w:sz="12" w:space="0" w:color="auto"/>
            </w:tcBorders>
          </w:tcPr>
          <w:p w14:paraId="4CC5BC75" w14:textId="77777777" w:rsidR="009718F7" w:rsidRPr="00B53505" w:rsidRDefault="009718F7">
            <w:pPr>
              <w:ind w:right="-29"/>
              <w:jc w:val="center"/>
              <w:rPr>
                <w:sz w:val="18"/>
                <w:szCs w:val="18"/>
              </w:rPr>
            </w:pPr>
          </w:p>
        </w:tc>
        <w:tc>
          <w:tcPr>
            <w:tcW w:w="720" w:type="dxa"/>
            <w:tcBorders>
              <w:bottom w:val="single" w:sz="12" w:space="0" w:color="auto"/>
            </w:tcBorders>
          </w:tcPr>
          <w:p w14:paraId="58DBB6CF" w14:textId="77777777" w:rsidR="009718F7" w:rsidRPr="00B53505" w:rsidRDefault="009718F7">
            <w:pPr>
              <w:ind w:right="-29"/>
              <w:jc w:val="center"/>
              <w:rPr>
                <w:sz w:val="18"/>
                <w:szCs w:val="18"/>
              </w:rPr>
            </w:pPr>
          </w:p>
        </w:tc>
        <w:tc>
          <w:tcPr>
            <w:tcW w:w="900" w:type="dxa"/>
            <w:gridSpan w:val="2"/>
            <w:tcBorders>
              <w:bottom w:val="single" w:sz="12" w:space="0" w:color="auto"/>
            </w:tcBorders>
          </w:tcPr>
          <w:p w14:paraId="00010908" w14:textId="77777777" w:rsidR="009718F7" w:rsidRPr="00B53505" w:rsidRDefault="009718F7">
            <w:pPr>
              <w:ind w:right="-29"/>
              <w:jc w:val="center"/>
              <w:rPr>
                <w:sz w:val="18"/>
                <w:szCs w:val="18"/>
              </w:rPr>
            </w:pPr>
          </w:p>
        </w:tc>
      </w:tr>
      <w:tr w:rsidR="009718F7" w:rsidRPr="00B53505" w14:paraId="75352253" w14:textId="77777777" w:rsidTr="002A6466">
        <w:trPr>
          <w:jc w:val="center"/>
        </w:trPr>
        <w:tc>
          <w:tcPr>
            <w:tcW w:w="2844" w:type="dxa"/>
            <w:gridSpan w:val="3"/>
            <w:tcBorders>
              <w:top w:val="single" w:sz="12" w:space="0" w:color="auto"/>
              <w:left w:val="single" w:sz="12" w:space="0" w:color="auto"/>
              <w:bottom w:val="single" w:sz="12" w:space="0" w:color="auto"/>
            </w:tcBorders>
            <w:vAlign w:val="center"/>
          </w:tcPr>
          <w:p w14:paraId="79E3CA3B" w14:textId="77777777" w:rsidR="009718F7" w:rsidRPr="00B53505" w:rsidRDefault="009718F7">
            <w:pPr>
              <w:ind w:right="-29"/>
              <w:jc w:val="center"/>
              <w:rPr>
                <w:sz w:val="18"/>
                <w:szCs w:val="18"/>
              </w:rPr>
            </w:pPr>
            <w:r w:rsidRPr="00B53505">
              <w:rPr>
                <w:b/>
                <w:sz w:val="18"/>
              </w:rPr>
              <w:t>TOTAL COST</w:t>
            </w:r>
          </w:p>
        </w:tc>
        <w:tc>
          <w:tcPr>
            <w:tcW w:w="504" w:type="dxa"/>
            <w:tcBorders>
              <w:top w:val="single" w:sz="12" w:space="0" w:color="auto"/>
              <w:bottom w:val="single" w:sz="12" w:space="0" w:color="auto"/>
            </w:tcBorders>
          </w:tcPr>
          <w:p w14:paraId="32D22B1A" w14:textId="77777777" w:rsidR="009718F7" w:rsidRPr="00B53505" w:rsidRDefault="009718F7" w:rsidP="002A6466">
            <w:pPr>
              <w:ind w:right="-29"/>
              <w:jc w:val="center"/>
              <w:rPr>
                <w:sz w:val="18"/>
                <w:szCs w:val="18"/>
              </w:rPr>
            </w:pPr>
          </w:p>
        </w:tc>
        <w:tc>
          <w:tcPr>
            <w:tcW w:w="720" w:type="dxa"/>
            <w:tcBorders>
              <w:top w:val="single" w:sz="12" w:space="0" w:color="auto"/>
              <w:bottom w:val="single" w:sz="12" w:space="0" w:color="auto"/>
            </w:tcBorders>
          </w:tcPr>
          <w:p w14:paraId="43CC4D0D" w14:textId="35CD7951" w:rsidR="009718F7" w:rsidRPr="00B53505" w:rsidRDefault="00951A8F" w:rsidP="002A6466">
            <w:pPr>
              <w:ind w:right="-29"/>
              <w:jc w:val="center"/>
              <w:rPr>
                <w:sz w:val="18"/>
                <w:szCs w:val="18"/>
              </w:rPr>
            </w:pPr>
            <w:r w:rsidRPr="00B53505">
              <w:rPr>
                <w:sz w:val="18"/>
                <w:szCs w:val="18"/>
              </w:rPr>
              <w:t>2</w:t>
            </w:r>
            <w:r w:rsidR="00881ED5">
              <w:rPr>
                <w:sz w:val="18"/>
                <w:szCs w:val="18"/>
              </w:rPr>
              <w:t>7</w:t>
            </w:r>
            <w:r w:rsidRPr="00B53505">
              <w:rPr>
                <w:sz w:val="18"/>
                <w:szCs w:val="18"/>
              </w:rPr>
              <w:t>5.000</w:t>
            </w:r>
          </w:p>
        </w:tc>
        <w:tc>
          <w:tcPr>
            <w:tcW w:w="540" w:type="dxa"/>
            <w:tcBorders>
              <w:top w:val="single" w:sz="12" w:space="0" w:color="auto"/>
              <w:bottom w:val="single" w:sz="12" w:space="0" w:color="auto"/>
            </w:tcBorders>
          </w:tcPr>
          <w:p w14:paraId="0FB4C5F1" w14:textId="77777777" w:rsidR="009718F7" w:rsidRPr="00B53505" w:rsidRDefault="009718F7" w:rsidP="002A6466">
            <w:pPr>
              <w:ind w:right="-29"/>
              <w:jc w:val="center"/>
              <w:rPr>
                <w:sz w:val="18"/>
                <w:szCs w:val="18"/>
              </w:rPr>
            </w:pPr>
          </w:p>
        </w:tc>
        <w:tc>
          <w:tcPr>
            <w:tcW w:w="720" w:type="dxa"/>
            <w:tcBorders>
              <w:top w:val="single" w:sz="12" w:space="0" w:color="auto"/>
              <w:bottom w:val="single" w:sz="12" w:space="0" w:color="auto"/>
            </w:tcBorders>
          </w:tcPr>
          <w:p w14:paraId="251A5657" w14:textId="77777777" w:rsidR="009718F7" w:rsidRPr="00B53505" w:rsidRDefault="009718F7" w:rsidP="002A6466">
            <w:pPr>
              <w:ind w:right="-29"/>
              <w:jc w:val="center"/>
              <w:rPr>
                <w:sz w:val="18"/>
                <w:szCs w:val="18"/>
              </w:rPr>
            </w:pPr>
            <w:r w:rsidRPr="00B53505">
              <w:rPr>
                <w:sz w:val="18"/>
                <w:szCs w:val="18"/>
              </w:rPr>
              <w:t>25.000</w:t>
            </w:r>
          </w:p>
        </w:tc>
        <w:tc>
          <w:tcPr>
            <w:tcW w:w="720" w:type="dxa"/>
            <w:tcBorders>
              <w:top w:val="single" w:sz="12" w:space="0" w:color="auto"/>
              <w:bottom w:val="single" w:sz="12" w:space="0" w:color="auto"/>
            </w:tcBorders>
          </w:tcPr>
          <w:p w14:paraId="7E6F0C63" w14:textId="77777777" w:rsidR="009718F7" w:rsidRPr="00B53505" w:rsidRDefault="009718F7" w:rsidP="002A6466">
            <w:pPr>
              <w:ind w:right="-29"/>
              <w:jc w:val="center"/>
              <w:rPr>
                <w:sz w:val="18"/>
                <w:szCs w:val="18"/>
              </w:rPr>
            </w:pPr>
          </w:p>
        </w:tc>
        <w:tc>
          <w:tcPr>
            <w:tcW w:w="720" w:type="dxa"/>
            <w:tcBorders>
              <w:top w:val="single" w:sz="12" w:space="0" w:color="auto"/>
              <w:bottom w:val="single" w:sz="12" w:space="0" w:color="auto"/>
            </w:tcBorders>
          </w:tcPr>
          <w:p w14:paraId="053B286E" w14:textId="77777777" w:rsidR="009718F7" w:rsidRPr="00B53505" w:rsidRDefault="009718F7" w:rsidP="002A6466">
            <w:pPr>
              <w:ind w:right="-29"/>
              <w:jc w:val="center"/>
              <w:rPr>
                <w:sz w:val="18"/>
                <w:szCs w:val="18"/>
              </w:rPr>
            </w:pPr>
            <w:r w:rsidRPr="00B53505">
              <w:rPr>
                <w:sz w:val="18"/>
                <w:szCs w:val="18"/>
              </w:rPr>
              <w:t>25.000</w:t>
            </w:r>
          </w:p>
        </w:tc>
        <w:tc>
          <w:tcPr>
            <w:tcW w:w="900" w:type="dxa"/>
            <w:tcBorders>
              <w:top w:val="single" w:sz="12" w:space="0" w:color="auto"/>
              <w:bottom w:val="single" w:sz="12" w:space="0" w:color="auto"/>
            </w:tcBorders>
          </w:tcPr>
          <w:p w14:paraId="498ABE2E" w14:textId="77777777" w:rsidR="009718F7" w:rsidRPr="00B53505" w:rsidRDefault="009718F7" w:rsidP="002A6466">
            <w:pPr>
              <w:ind w:right="-29"/>
              <w:jc w:val="center"/>
              <w:rPr>
                <w:sz w:val="18"/>
                <w:szCs w:val="18"/>
              </w:rPr>
            </w:pPr>
          </w:p>
        </w:tc>
        <w:tc>
          <w:tcPr>
            <w:tcW w:w="720" w:type="dxa"/>
            <w:gridSpan w:val="2"/>
            <w:tcBorders>
              <w:top w:val="single" w:sz="12" w:space="0" w:color="auto"/>
              <w:bottom w:val="single" w:sz="12" w:space="0" w:color="auto"/>
            </w:tcBorders>
          </w:tcPr>
          <w:p w14:paraId="6AAEC9B8" w14:textId="77777777" w:rsidR="009718F7" w:rsidRPr="00B53505" w:rsidRDefault="009718F7" w:rsidP="002A6466">
            <w:pPr>
              <w:ind w:right="-29"/>
              <w:jc w:val="center"/>
              <w:rPr>
                <w:sz w:val="18"/>
                <w:szCs w:val="18"/>
              </w:rPr>
            </w:pPr>
            <w:r w:rsidRPr="00B53505">
              <w:rPr>
                <w:sz w:val="18"/>
                <w:szCs w:val="18"/>
              </w:rPr>
              <w:t>25.000</w:t>
            </w:r>
          </w:p>
        </w:tc>
        <w:tc>
          <w:tcPr>
            <w:tcW w:w="540" w:type="dxa"/>
            <w:tcBorders>
              <w:top w:val="single" w:sz="12" w:space="0" w:color="auto"/>
              <w:bottom w:val="single" w:sz="12" w:space="0" w:color="auto"/>
            </w:tcBorders>
          </w:tcPr>
          <w:p w14:paraId="4E7D7DF8" w14:textId="77777777" w:rsidR="009718F7" w:rsidRPr="00B53505" w:rsidRDefault="009718F7" w:rsidP="002A6466">
            <w:pPr>
              <w:ind w:right="-29"/>
              <w:jc w:val="center"/>
              <w:rPr>
                <w:sz w:val="18"/>
                <w:szCs w:val="18"/>
              </w:rPr>
            </w:pPr>
          </w:p>
        </w:tc>
        <w:tc>
          <w:tcPr>
            <w:tcW w:w="797" w:type="dxa"/>
            <w:tcBorders>
              <w:top w:val="single" w:sz="12" w:space="0" w:color="auto"/>
              <w:bottom w:val="single" w:sz="12" w:space="0" w:color="auto"/>
            </w:tcBorders>
          </w:tcPr>
          <w:p w14:paraId="3F568309" w14:textId="65D8637A" w:rsidR="009718F7" w:rsidRPr="00B53505" w:rsidRDefault="009718F7" w:rsidP="002A6466">
            <w:pPr>
              <w:ind w:right="-29"/>
              <w:jc w:val="center"/>
              <w:rPr>
                <w:sz w:val="18"/>
                <w:szCs w:val="18"/>
              </w:rPr>
            </w:pPr>
          </w:p>
        </w:tc>
        <w:tc>
          <w:tcPr>
            <w:tcW w:w="432" w:type="dxa"/>
            <w:tcBorders>
              <w:top w:val="single" w:sz="12" w:space="0" w:color="auto"/>
              <w:bottom w:val="single" w:sz="12" w:space="0" w:color="auto"/>
            </w:tcBorders>
          </w:tcPr>
          <w:p w14:paraId="74EDD858" w14:textId="77777777" w:rsidR="009718F7" w:rsidRPr="00B53505" w:rsidRDefault="009718F7" w:rsidP="002A6466">
            <w:pPr>
              <w:ind w:right="-29"/>
              <w:jc w:val="center"/>
              <w:rPr>
                <w:sz w:val="18"/>
                <w:szCs w:val="18"/>
              </w:rPr>
            </w:pPr>
          </w:p>
        </w:tc>
        <w:tc>
          <w:tcPr>
            <w:tcW w:w="720" w:type="dxa"/>
            <w:tcBorders>
              <w:top w:val="single" w:sz="12" w:space="0" w:color="auto"/>
              <w:bottom w:val="single" w:sz="12" w:space="0" w:color="auto"/>
            </w:tcBorders>
          </w:tcPr>
          <w:p w14:paraId="63918D45" w14:textId="77777777" w:rsidR="009718F7" w:rsidRPr="00B53505" w:rsidRDefault="009718F7" w:rsidP="002A6466">
            <w:pPr>
              <w:ind w:right="-29"/>
              <w:jc w:val="center"/>
              <w:rPr>
                <w:sz w:val="18"/>
                <w:szCs w:val="18"/>
              </w:rPr>
            </w:pPr>
          </w:p>
        </w:tc>
        <w:tc>
          <w:tcPr>
            <w:tcW w:w="540" w:type="dxa"/>
            <w:tcBorders>
              <w:top w:val="single" w:sz="12" w:space="0" w:color="auto"/>
              <w:bottom w:val="single" w:sz="12" w:space="0" w:color="auto"/>
            </w:tcBorders>
          </w:tcPr>
          <w:p w14:paraId="61E58015" w14:textId="77777777" w:rsidR="009718F7" w:rsidRPr="00B53505" w:rsidRDefault="009718F7" w:rsidP="002A6466">
            <w:pPr>
              <w:ind w:right="-29"/>
              <w:jc w:val="center"/>
              <w:rPr>
                <w:sz w:val="18"/>
                <w:szCs w:val="18"/>
              </w:rPr>
            </w:pPr>
          </w:p>
        </w:tc>
        <w:tc>
          <w:tcPr>
            <w:tcW w:w="720" w:type="dxa"/>
            <w:gridSpan w:val="2"/>
            <w:tcBorders>
              <w:top w:val="single" w:sz="12" w:space="0" w:color="auto"/>
              <w:bottom w:val="single" w:sz="12" w:space="0" w:color="auto"/>
            </w:tcBorders>
          </w:tcPr>
          <w:p w14:paraId="3C6F94AC" w14:textId="77777777" w:rsidR="009718F7" w:rsidRPr="00B53505" w:rsidRDefault="009718F7" w:rsidP="002A6466">
            <w:pPr>
              <w:ind w:right="-29"/>
              <w:jc w:val="center"/>
              <w:rPr>
                <w:sz w:val="18"/>
                <w:szCs w:val="18"/>
              </w:rPr>
            </w:pPr>
          </w:p>
        </w:tc>
        <w:tc>
          <w:tcPr>
            <w:tcW w:w="720" w:type="dxa"/>
            <w:tcBorders>
              <w:top w:val="single" w:sz="12" w:space="0" w:color="auto"/>
              <w:bottom w:val="single" w:sz="12" w:space="0" w:color="auto"/>
            </w:tcBorders>
          </w:tcPr>
          <w:p w14:paraId="1FA76BAB" w14:textId="77777777" w:rsidR="009718F7" w:rsidRPr="00B53505" w:rsidRDefault="009718F7" w:rsidP="002A6466">
            <w:pPr>
              <w:ind w:right="-29"/>
              <w:jc w:val="center"/>
              <w:rPr>
                <w:sz w:val="18"/>
                <w:szCs w:val="18"/>
              </w:rPr>
            </w:pPr>
          </w:p>
        </w:tc>
        <w:tc>
          <w:tcPr>
            <w:tcW w:w="900" w:type="dxa"/>
            <w:gridSpan w:val="2"/>
            <w:tcBorders>
              <w:top w:val="single" w:sz="12" w:space="0" w:color="auto"/>
              <w:bottom w:val="single" w:sz="12" w:space="0" w:color="auto"/>
              <w:right w:val="single" w:sz="12" w:space="0" w:color="auto"/>
            </w:tcBorders>
          </w:tcPr>
          <w:p w14:paraId="74DA4926" w14:textId="294D3873" w:rsidR="009718F7" w:rsidRPr="00B53505" w:rsidRDefault="00881ED5" w:rsidP="00881ED5">
            <w:pPr>
              <w:ind w:right="-29"/>
              <w:jc w:val="center"/>
              <w:rPr>
                <w:sz w:val="18"/>
                <w:szCs w:val="18"/>
              </w:rPr>
            </w:pPr>
            <w:r>
              <w:rPr>
                <w:sz w:val="18"/>
                <w:szCs w:val="18"/>
              </w:rPr>
              <w:t>35</w:t>
            </w:r>
            <w:r w:rsidR="006128CD" w:rsidRPr="00B53505">
              <w:rPr>
                <w:sz w:val="18"/>
                <w:szCs w:val="18"/>
              </w:rPr>
              <w:t>0.000</w:t>
            </w:r>
          </w:p>
        </w:tc>
      </w:tr>
    </w:tbl>
    <w:p w14:paraId="1272BD2C" w14:textId="77777777" w:rsidR="009718F7" w:rsidRPr="00B53505" w:rsidRDefault="009718F7">
      <w:pPr>
        <w:sectPr w:rsidR="009718F7" w:rsidRPr="00B53505" w:rsidSect="00772B42">
          <w:pgSz w:w="16840" w:h="11907" w:orient="landscape" w:code="9"/>
          <w:pgMar w:top="1134" w:right="1418" w:bottom="567" w:left="1418" w:header="709" w:footer="709" w:gutter="0"/>
          <w:cols w:space="708"/>
          <w:docGrid w:linePitch="360"/>
        </w:sectPr>
      </w:pPr>
    </w:p>
    <w:p w14:paraId="56CFED91" w14:textId="77777777" w:rsidR="009718F7" w:rsidRPr="00B53505" w:rsidRDefault="009718F7">
      <w:pPr>
        <w:pStyle w:val="Heading3"/>
        <w:rPr>
          <w:bCs w:val="0"/>
          <w:szCs w:val="24"/>
        </w:rPr>
      </w:pPr>
      <w:r w:rsidRPr="00B53505">
        <w:t>Estimated impact on appropriations of an administrative nature</w:t>
      </w:r>
    </w:p>
    <w:p w14:paraId="01D9B071" w14:textId="77777777" w:rsidR="009718F7" w:rsidRPr="00B53505" w:rsidRDefault="009718F7">
      <w:pPr>
        <w:pStyle w:val="Heading4"/>
      </w:pPr>
      <w:r w:rsidRPr="00B53505">
        <w:t xml:space="preserve">Summary </w:t>
      </w:r>
    </w:p>
    <w:p w14:paraId="17528D96" w14:textId="77777777" w:rsidR="009718F7" w:rsidRPr="00B53505" w:rsidRDefault="009718F7">
      <w:pPr>
        <w:pStyle w:val="ListDash1"/>
      </w:pPr>
      <w:r w:rsidRPr="00B53505">
        <w:sym w:font="Wingdings" w:char="F0A8"/>
      </w:r>
      <w:r w:rsidRPr="00B53505">
        <w:tab/>
        <w:t xml:space="preserve">The proposal/initiative does not require the use of appropriations of an administrative nature </w:t>
      </w:r>
    </w:p>
    <w:p w14:paraId="550E5F40" w14:textId="77777777" w:rsidR="009718F7" w:rsidRPr="00B53505" w:rsidRDefault="009718F7">
      <w:pPr>
        <w:pStyle w:val="ListDash1"/>
      </w:pPr>
      <w:r w:rsidRPr="00B53505">
        <w:t>X</w:t>
      </w:r>
      <w:r w:rsidRPr="00B53505">
        <w:tab/>
        <w:t>The proposal/initiative requires the use of appropriations of an administrative nature, as explained below:</w:t>
      </w:r>
    </w:p>
    <w:p w14:paraId="23690E17" w14:textId="127B6753" w:rsidR="009718F7" w:rsidRPr="00B53505" w:rsidRDefault="009718F7" w:rsidP="002A6466">
      <w:pPr>
        <w:pStyle w:val="ListDash1"/>
        <w:rPr>
          <w:sz w:val="20"/>
        </w:rPr>
      </w:pPr>
      <w:r w:rsidRPr="00B53505">
        <w:t xml:space="preserve">Administrative expenditure. </w:t>
      </w:r>
      <w:r w:rsidRPr="00B53505">
        <w:rPr>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9718F7" w:rsidRPr="00B53505" w14:paraId="5A3094A0" w14:textId="77777777">
        <w:trPr>
          <w:trHeight w:val="585"/>
        </w:trPr>
        <w:tc>
          <w:tcPr>
            <w:tcW w:w="1980" w:type="dxa"/>
          </w:tcPr>
          <w:p w14:paraId="104E5B28" w14:textId="77777777" w:rsidR="009718F7" w:rsidRPr="00B53505" w:rsidRDefault="009718F7">
            <w:pPr>
              <w:spacing w:before="60" w:after="60" w:line="200" w:lineRule="exact"/>
              <w:rPr>
                <w:sz w:val="16"/>
                <w:szCs w:val="16"/>
              </w:rPr>
            </w:pPr>
          </w:p>
        </w:tc>
        <w:tc>
          <w:tcPr>
            <w:tcW w:w="1080" w:type="dxa"/>
            <w:vAlign w:val="center"/>
          </w:tcPr>
          <w:p w14:paraId="290BB5FF" w14:textId="77777777" w:rsidR="009718F7" w:rsidRPr="00B53505" w:rsidRDefault="009718F7" w:rsidP="002A6466">
            <w:pPr>
              <w:spacing w:before="60" w:after="60" w:line="200" w:lineRule="exact"/>
              <w:jc w:val="center"/>
              <w:rPr>
                <w:sz w:val="20"/>
                <w:szCs w:val="20"/>
              </w:rPr>
            </w:pPr>
            <w:r w:rsidRPr="00B53505">
              <w:rPr>
                <w:sz w:val="20"/>
                <w:szCs w:val="20"/>
              </w:rPr>
              <w:t>Year</w:t>
            </w:r>
            <w:r w:rsidRPr="00B53505">
              <w:rPr>
                <w:sz w:val="20"/>
                <w:szCs w:val="20"/>
              </w:rPr>
              <w:br/>
            </w:r>
            <w:r w:rsidRPr="00B53505">
              <w:rPr>
                <w:b/>
                <w:sz w:val="20"/>
                <w:szCs w:val="20"/>
              </w:rPr>
              <w:t xml:space="preserve">2017 </w:t>
            </w:r>
            <w:r w:rsidRPr="00B53505">
              <w:rPr>
                <w:rStyle w:val="FootnoteReference"/>
                <w:b/>
                <w:sz w:val="20"/>
                <w:szCs w:val="20"/>
              </w:rPr>
              <w:footnoteReference w:id="46"/>
            </w:r>
          </w:p>
        </w:tc>
        <w:tc>
          <w:tcPr>
            <w:tcW w:w="1080" w:type="dxa"/>
            <w:vAlign w:val="center"/>
          </w:tcPr>
          <w:p w14:paraId="4151AE69" w14:textId="77777777" w:rsidR="009718F7" w:rsidRPr="00B53505" w:rsidRDefault="009718F7" w:rsidP="002A6466">
            <w:pPr>
              <w:spacing w:before="60" w:after="60" w:line="200" w:lineRule="exact"/>
              <w:jc w:val="center"/>
              <w:rPr>
                <w:sz w:val="20"/>
                <w:szCs w:val="20"/>
              </w:rPr>
            </w:pPr>
            <w:r w:rsidRPr="00B53505">
              <w:rPr>
                <w:sz w:val="20"/>
                <w:szCs w:val="20"/>
              </w:rPr>
              <w:t>Year</w:t>
            </w:r>
            <w:r w:rsidRPr="00B53505">
              <w:rPr>
                <w:sz w:val="20"/>
                <w:szCs w:val="20"/>
              </w:rPr>
              <w:br/>
            </w:r>
            <w:r w:rsidRPr="00B53505">
              <w:rPr>
                <w:b/>
                <w:sz w:val="20"/>
                <w:szCs w:val="20"/>
              </w:rPr>
              <w:t>2018</w:t>
            </w:r>
          </w:p>
        </w:tc>
        <w:tc>
          <w:tcPr>
            <w:tcW w:w="1080" w:type="dxa"/>
            <w:vAlign w:val="center"/>
          </w:tcPr>
          <w:p w14:paraId="759CC384" w14:textId="77777777" w:rsidR="009718F7" w:rsidRPr="00B53505" w:rsidRDefault="009718F7" w:rsidP="002A6466">
            <w:pPr>
              <w:spacing w:before="60" w:after="60" w:line="200" w:lineRule="exact"/>
              <w:jc w:val="center"/>
              <w:rPr>
                <w:sz w:val="20"/>
                <w:szCs w:val="20"/>
              </w:rPr>
            </w:pPr>
            <w:r w:rsidRPr="00B53505">
              <w:rPr>
                <w:sz w:val="20"/>
                <w:szCs w:val="20"/>
              </w:rPr>
              <w:t>Year</w:t>
            </w:r>
            <w:r w:rsidRPr="00B53505">
              <w:rPr>
                <w:sz w:val="20"/>
                <w:szCs w:val="20"/>
              </w:rPr>
              <w:br/>
            </w:r>
            <w:r w:rsidRPr="00B53505">
              <w:rPr>
                <w:b/>
                <w:sz w:val="20"/>
                <w:szCs w:val="20"/>
              </w:rPr>
              <w:t>2019</w:t>
            </w:r>
          </w:p>
        </w:tc>
        <w:tc>
          <w:tcPr>
            <w:tcW w:w="1080" w:type="dxa"/>
            <w:vAlign w:val="center"/>
          </w:tcPr>
          <w:p w14:paraId="1A0582D6" w14:textId="77777777" w:rsidR="009718F7" w:rsidRPr="00B53505" w:rsidRDefault="009718F7" w:rsidP="002A6466">
            <w:pPr>
              <w:spacing w:before="60" w:after="60" w:line="200" w:lineRule="exact"/>
              <w:jc w:val="center"/>
              <w:rPr>
                <w:sz w:val="20"/>
                <w:szCs w:val="20"/>
              </w:rPr>
            </w:pPr>
            <w:r w:rsidRPr="00B53505">
              <w:rPr>
                <w:sz w:val="20"/>
                <w:szCs w:val="20"/>
              </w:rPr>
              <w:t>Year</w:t>
            </w:r>
            <w:r w:rsidRPr="00B53505">
              <w:rPr>
                <w:sz w:val="20"/>
                <w:szCs w:val="20"/>
              </w:rPr>
              <w:br/>
            </w:r>
            <w:r w:rsidRPr="00B53505">
              <w:rPr>
                <w:b/>
                <w:sz w:val="20"/>
                <w:szCs w:val="20"/>
              </w:rPr>
              <w:t>2020</w:t>
            </w:r>
          </w:p>
        </w:tc>
        <w:tc>
          <w:tcPr>
            <w:tcW w:w="3240" w:type="dxa"/>
            <w:vAlign w:val="center"/>
          </w:tcPr>
          <w:p w14:paraId="60790429" w14:textId="77777777" w:rsidR="009718F7" w:rsidRPr="00B53505" w:rsidRDefault="009718F7">
            <w:pPr>
              <w:spacing w:line="200" w:lineRule="exact"/>
              <w:jc w:val="center"/>
              <w:rPr>
                <w:b/>
                <w:sz w:val="16"/>
                <w:szCs w:val="16"/>
              </w:rPr>
            </w:pPr>
            <w:r w:rsidRPr="00B53505">
              <w:rPr>
                <w:sz w:val="16"/>
              </w:rPr>
              <w:t>Enter as many years as necessary to show the duration of the impact (see point 1.6)</w:t>
            </w:r>
          </w:p>
        </w:tc>
        <w:tc>
          <w:tcPr>
            <w:tcW w:w="1080" w:type="dxa"/>
            <w:vAlign w:val="center"/>
          </w:tcPr>
          <w:p w14:paraId="1DA1907C" w14:textId="77777777" w:rsidR="009718F7" w:rsidRPr="00B53505" w:rsidRDefault="009718F7">
            <w:pPr>
              <w:spacing w:before="60" w:after="60" w:line="200" w:lineRule="exact"/>
              <w:jc w:val="center"/>
              <w:rPr>
                <w:b/>
                <w:sz w:val="16"/>
                <w:szCs w:val="16"/>
              </w:rPr>
            </w:pPr>
            <w:r w:rsidRPr="00B53505">
              <w:rPr>
                <w:b/>
                <w:sz w:val="16"/>
              </w:rPr>
              <w:t>TOTAL</w:t>
            </w:r>
          </w:p>
        </w:tc>
      </w:tr>
    </w:tbl>
    <w:p w14:paraId="14C2A514" w14:textId="77777777" w:rsidR="009718F7" w:rsidRPr="00B53505" w:rsidRDefault="009718F7">
      <w:pPr>
        <w:spacing w:line="200" w:lineRule="exact"/>
        <w:rPr>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718F7" w:rsidRPr="00B53505" w14:paraId="2E7AABF6" w14:textId="77777777">
        <w:trPr>
          <w:trHeight w:val="585"/>
        </w:trPr>
        <w:tc>
          <w:tcPr>
            <w:tcW w:w="1980" w:type="dxa"/>
            <w:shd w:val="clear" w:color="auto" w:fill="CCCCCC"/>
            <w:vAlign w:val="center"/>
          </w:tcPr>
          <w:p w14:paraId="0A43B9C6" w14:textId="77777777" w:rsidR="009718F7" w:rsidRPr="00B53505" w:rsidRDefault="009718F7">
            <w:pPr>
              <w:spacing w:before="60" w:after="60" w:line="200" w:lineRule="exact"/>
              <w:jc w:val="center"/>
              <w:rPr>
                <w:b/>
                <w:sz w:val="16"/>
                <w:szCs w:val="16"/>
              </w:rPr>
            </w:pPr>
            <w:r w:rsidRPr="00B53505">
              <w:rPr>
                <w:b/>
                <w:sz w:val="16"/>
              </w:rPr>
              <w:t>HEADING 5</w:t>
            </w:r>
            <w:r w:rsidRPr="00B53505">
              <w:rPr>
                <w:sz w:val="22"/>
              </w:rPr>
              <w:br/>
            </w:r>
            <w:r w:rsidRPr="00B53505">
              <w:rPr>
                <w:b/>
                <w:sz w:val="16"/>
              </w:rPr>
              <w:t>of the multiannual financial framework</w:t>
            </w:r>
          </w:p>
        </w:tc>
        <w:tc>
          <w:tcPr>
            <w:tcW w:w="1080" w:type="dxa"/>
            <w:vAlign w:val="center"/>
          </w:tcPr>
          <w:p w14:paraId="633A9BAC" w14:textId="77777777" w:rsidR="009718F7" w:rsidRPr="00B53505" w:rsidRDefault="009718F7">
            <w:pPr>
              <w:spacing w:before="60" w:after="60" w:line="200" w:lineRule="exact"/>
              <w:jc w:val="right"/>
              <w:rPr>
                <w:sz w:val="16"/>
                <w:szCs w:val="16"/>
              </w:rPr>
            </w:pPr>
          </w:p>
        </w:tc>
        <w:tc>
          <w:tcPr>
            <w:tcW w:w="1080" w:type="dxa"/>
            <w:vAlign w:val="center"/>
          </w:tcPr>
          <w:p w14:paraId="5A72FEE8" w14:textId="77777777" w:rsidR="009718F7" w:rsidRPr="00B53505" w:rsidRDefault="009718F7">
            <w:pPr>
              <w:spacing w:before="60" w:after="60" w:line="200" w:lineRule="exact"/>
              <w:jc w:val="right"/>
              <w:rPr>
                <w:sz w:val="16"/>
                <w:szCs w:val="16"/>
              </w:rPr>
            </w:pPr>
          </w:p>
        </w:tc>
        <w:tc>
          <w:tcPr>
            <w:tcW w:w="1080" w:type="dxa"/>
            <w:vAlign w:val="center"/>
          </w:tcPr>
          <w:p w14:paraId="08A9F9EE" w14:textId="77777777" w:rsidR="009718F7" w:rsidRPr="00B53505" w:rsidRDefault="009718F7">
            <w:pPr>
              <w:spacing w:before="60" w:after="60" w:line="200" w:lineRule="exact"/>
              <w:jc w:val="right"/>
              <w:rPr>
                <w:sz w:val="16"/>
                <w:szCs w:val="16"/>
              </w:rPr>
            </w:pPr>
          </w:p>
        </w:tc>
        <w:tc>
          <w:tcPr>
            <w:tcW w:w="1080" w:type="dxa"/>
            <w:vAlign w:val="center"/>
          </w:tcPr>
          <w:p w14:paraId="7BE5C54C" w14:textId="77777777" w:rsidR="009718F7" w:rsidRPr="00B53505" w:rsidRDefault="009718F7">
            <w:pPr>
              <w:spacing w:before="60" w:after="60" w:line="200" w:lineRule="exact"/>
              <w:jc w:val="right"/>
              <w:rPr>
                <w:sz w:val="16"/>
                <w:szCs w:val="16"/>
              </w:rPr>
            </w:pPr>
          </w:p>
        </w:tc>
        <w:tc>
          <w:tcPr>
            <w:tcW w:w="1080" w:type="dxa"/>
            <w:vAlign w:val="center"/>
          </w:tcPr>
          <w:p w14:paraId="38CEEA66" w14:textId="77777777" w:rsidR="009718F7" w:rsidRPr="00B53505" w:rsidRDefault="009718F7">
            <w:pPr>
              <w:spacing w:before="60" w:after="60" w:line="200" w:lineRule="exact"/>
              <w:jc w:val="right"/>
              <w:rPr>
                <w:sz w:val="16"/>
                <w:szCs w:val="16"/>
              </w:rPr>
            </w:pPr>
          </w:p>
        </w:tc>
        <w:tc>
          <w:tcPr>
            <w:tcW w:w="1080" w:type="dxa"/>
            <w:vAlign w:val="center"/>
          </w:tcPr>
          <w:p w14:paraId="75031335" w14:textId="77777777" w:rsidR="009718F7" w:rsidRPr="00B53505" w:rsidRDefault="009718F7">
            <w:pPr>
              <w:spacing w:before="60" w:after="60" w:line="200" w:lineRule="exact"/>
              <w:jc w:val="right"/>
              <w:rPr>
                <w:sz w:val="16"/>
                <w:szCs w:val="16"/>
              </w:rPr>
            </w:pPr>
          </w:p>
        </w:tc>
        <w:tc>
          <w:tcPr>
            <w:tcW w:w="1080" w:type="dxa"/>
            <w:vAlign w:val="center"/>
          </w:tcPr>
          <w:p w14:paraId="1204D563" w14:textId="77777777" w:rsidR="009718F7" w:rsidRPr="00B53505" w:rsidRDefault="009718F7">
            <w:pPr>
              <w:spacing w:before="60" w:after="60" w:line="200" w:lineRule="exact"/>
              <w:jc w:val="right"/>
              <w:rPr>
                <w:b/>
                <w:sz w:val="16"/>
                <w:szCs w:val="16"/>
              </w:rPr>
            </w:pPr>
          </w:p>
        </w:tc>
        <w:tc>
          <w:tcPr>
            <w:tcW w:w="1080" w:type="dxa"/>
            <w:vAlign w:val="center"/>
          </w:tcPr>
          <w:p w14:paraId="5E7AF7A0" w14:textId="77777777" w:rsidR="009718F7" w:rsidRPr="00B53505" w:rsidRDefault="009718F7">
            <w:pPr>
              <w:spacing w:before="60" w:after="60" w:line="200" w:lineRule="exact"/>
              <w:jc w:val="right"/>
              <w:rPr>
                <w:b/>
                <w:sz w:val="16"/>
                <w:szCs w:val="16"/>
              </w:rPr>
            </w:pPr>
          </w:p>
        </w:tc>
      </w:tr>
      <w:tr w:rsidR="009718F7" w:rsidRPr="00B53505" w14:paraId="3E01ED5C" w14:textId="77777777">
        <w:trPr>
          <w:trHeight w:val="585"/>
        </w:trPr>
        <w:tc>
          <w:tcPr>
            <w:tcW w:w="1980" w:type="dxa"/>
            <w:vAlign w:val="center"/>
          </w:tcPr>
          <w:p w14:paraId="3323D95B" w14:textId="77777777" w:rsidR="009718F7" w:rsidRPr="00B53505" w:rsidRDefault="009718F7">
            <w:pPr>
              <w:spacing w:before="60" w:after="60" w:line="200" w:lineRule="exact"/>
              <w:ind w:left="72"/>
              <w:jc w:val="left"/>
              <w:rPr>
                <w:sz w:val="16"/>
                <w:szCs w:val="16"/>
              </w:rPr>
            </w:pPr>
            <w:r w:rsidRPr="00B53505">
              <w:rPr>
                <w:sz w:val="16"/>
              </w:rPr>
              <w:t xml:space="preserve">Human resources </w:t>
            </w:r>
          </w:p>
        </w:tc>
        <w:tc>
          <w:tcPr>
            <w:tcW w:w="1080" w:type="dxa"/>
            <w:vAlign w:val="center"/>
          </w:tcPr>
          <w:p w14:paraId="01563B80" w14:textId="6C068BD2" w:rsidR="009718F7" w:rsidRPr="00B53505" w:rsidRDefault="009718F7" w:rsidP="00A6010A">
            <w:pPr>
              <w:spacing w:before="60" w:after="60" w:line="200" w:lineRule="exact"/>
              <w:jc w:val="right"/>
              <w:rPr>
                <w:sz w:val="20"/>
                <w:szCs w:val="20"/>
              </w:rPr>
            </w:pPr>
            <w:r w:rsidRPr="00B53505">
              <w:rPr>
                <w:sz w:val="20"/>
                <w:szCs w:val="20"/>
              </w:rPr>
              <w:t>3.</w:t>
            </w:r>
            <w:r w:rsidR="00A6010A" w:rsidRPr="00B53505">
              <w:rPr>
                <w:sz w:val="20"/>
                <w:szCs w:val="20"/>
              </w:rPr>
              <w:t>2</w:t>
            </w:r>
            <w:r w:rsidRPr="00B53505">
              <w:rPr>
                <w:sz w:val="20"/>
                <w:szCs w:val="20"/>
              </w:rPr>
              <w:t>6</w:t>
            </w:r>
            <w:r w:rsidR="00A6010A" w:rsidRPr="00B53505">
              <w:rPr>
                <w:sz w:val="20"/>
                <w:szCs w:val="20"/>
              </w:rPr>
              <w:t>4</w:t>
            </w:r>
          </w:p>
        </w:tc>
        <w:tc>
          <w:tcPr>
            <w:tcW w:w="1080" w:type="dxa"/>
            <w:vAlign w:val="center"/>
          </w:tcPr>
          <w:p w14:paraId="64353CE5" w14:textId="522EF6BE" w:rsidR="009718F7" w:rsidRPr="00B53505" w:rsidRDefault="009718F7" w:rsidP="002A6466">
            <w:pPr>
              <w:spacing w:before="60" w:after="60" w:line="200" w:lineRule="exact"/>
              <w:jc w:val="right"/>
              <w:rPr>
                <w:sz w:val="20"/>
                <w:szCs w:val="20"/>
              </w:rPr>
            </w:pPr>
            <w:r w:rsidRPr="00B53505">
              <w:rPr>
                <w:sz w:val="20"/>
                <w:szCs w:val="20"/>
              </w:rPr>
              <w:t>3.</w:t>
            </w:r>
            <w:r w:rsidR="00A6010A" w:rsidRPr="00B53505">
              <w:rPr>
                <w:sz w:val="20"/>
                <w:szCs w:val="20"/>
              </w:rPr>
              <w:t>2</w:t>
            </w:r>
            <w:r w:rsidRPr="00B53505">
              <w:rPr>
                <w:sz w:val="20"/>
                <w:szCs w:val="20"/>
              </w:rPr>
              <w:t>6</w:t>
            </w:r>
            <w:r w:rsidR="00A6010A" w:rsidRPr="00B53505">
              <w:rPr>
                <w:sz w:val="20"/>
                <w:szCs w:val="20"/>
              </w:rPr>
              <w:t>4</w:t>
            </w:r>
          </w:p>
        </w:tc>
        <w:tc>
          <w:tcPr>
            <w:tcW w:w="1080" w:type="dxa"/>
            <w:vAlign w:val="center"/>
          </w:tcPr>
          <w:p w14:paraId="696DFB27" w14:textId="6EBCAFD0" w:rsidR="009718F7" w:rsidRPr="00B53505" w:rsidRDefault="009718F7" w:rsidP="002A6466">
            <w:pPr>
              <w:spacing w:before="60" w:after="60" w:line="200" w:lineRule="exact"/>
              <w:jc w:val="right"/>
              <w:rPr>
                <w:sz w:val="20"/>
                <w:szCs w:val="20"/>
              </w:rPr>
            </w:pPr>
            <w:r w:rsidRPr="00B53505">
              <w:rPr>
                <w:sz w:val="20"/>
                <w:szCs w:val="20"/>
              </w:rPr>
              <w:t>3.</w:t>
            </w:r>
            <w:r w:rsidR="00A6010A" w:rsidRPr="00B53505">
              <w:rPr>
                <w:sz w:val="20"/>
                <w:szCs w:val="20"/>
              </w:rPr>
              <w:t>2</w:t>
            </w:r>
            <w:r w:rsidRPr="00B53505">
              <w:rPr>
                <w:sz w:val="20"/>
                <w:szCs w:val="20"/>
              </w:rPr>
              <w:t>6</w:t>
            </w:r>
            <w:r w:rsidR="00A6010A" w:rsidRPr="00B53505">
              <w:rPr>
                <w:sz w:val="20"/>
                <w:szCs w:val="20"/>
              </w:rPr>
              <w:t>4</w:t>
            </w:r>
          </w:p>
        </w:tc>
        <w:tc>
          <w:tcPr>
            <w:tcW w:w="1080" w:type="dxa"/>
            <w:vAlign w:val="center"/>
          </w:tcPr>
          <w:p w14:paraId="3B48E3EE" w14:textId="57B1A1C4" w:rsidR="009718F7" w:rsidRPr="00B53505" w:rsidRDefault="009718F7" w:rsidP="002A6466">
            <w:pPr>
              <w:spacing w:before="60" w:after="60" w:line="200" w:lineRule="exact"/>
              <w:jc w:val="right"/>
              <w:rPr>
                <w:sz w:val="20"/>
                <w:szCs w:val="20"/>
              </w:rPr>
            </w:pPr>
            <w:r w:rsidRPr="00B53505">
              <w:rPr>
                <w:sz w:val="20"/>
                <w:szCs w:val="20"/>
              </w:rPr>
              <w:t>3.</w:t>
            </w:r>
            <w:r w:rsidR="00A6010A" w:rsidRPr="00B53505">
              <w:rPr>
                <w:sz w:val="20"/>
                <w:szCs w:val="20"/>
              </w:rPr>
              <w:t>2</w:t>
            </w:r>
            <w:r w:rsidRPr="00B53505">
              <w:rPr>
                <w:sz w:val="20"/>
                <w:szCs w:val="20"/>
              </w:rPr>
              <w:t>6</w:t>
            </w:r>
            <w:r w:rsidR="00A6010A" w:rsidRPr="00B53505">
              <w:rPr>
                <w:sz w:val="20"/>
                <w:szCs w:val="20"/>
              </w:rPr>
              <w:t>4</w:t>
            </w:r>
          </w:p>
        </w:tc>
        <w:tc>
          <w:tcPr>
            <w:tcW w:w="1080" w:type="dxa"/>
            <w:vAlign w:val="center"/>
          </w:tcPr>
          <w:p w14:paraId="765CF65A" w14:textId="77777777" w:rsidR="009718F7" w:rsidRPr="00B53505" w:rsidRDefault="009718F7">
            <w:pPr>
              <w:spacing w:before="60" w:after="60" w:line="200" w:lineRule="exact"/>
              <w:jc w:val="right"/>
              <w:rPr>
                <w:sz w:val="20"/>
                <w:szCs w:val="20"/>
              </w:rPr>
            </w:pPr>
          </w:p>
        </w:tc>
        <w:tc>
          <w:tcPr>
            <w:tcW w:w="1080" w:type="dxa"/>
            <w:vAlign w:val="center"/>
          </w:tcPr>
          <w:p w14:paraId="6763D32E" w14:textId="77777777" w:rsidR="009718F7" w:rsidRPr="00B53505" w:rsidRDefault="009718F7">
            <w:pPr>
              <w:spacing w:before="60" w:after="60" w:line="200" w:lineRule="exact"/>
              <w:jc w:val="right"/>
              <w:rPr>
                <w:sz w:val="20"/>
                <w:szCs w:val="20"/>
              </w:rPr>
            </w:pPr>
          </w:p>
        </w:tc>
        <w:tc>
          <w:tcPr>
            <w:tcW w:w="1080" w:type="dxa"/>
            <w:vAlign w:val="center"/>
          </w:tcPr>
          <w:p w14:paraId="7BA9688B" w14:textId="77777777" w:rsidR="009718F7" w:rsidRPr="00B53505" w:rsidRDefault="009718F7">
            <w:pPr>
              <w:spacing w:before="60" w:after="60" w:line="200" w:lineRule="exact"/>
              <w:jc w:val="right"/>
              <w:rPr>
                <w:b/>
                <w:sz w:val="20"/>
                <w:szCs w:val="20"/>
              </w:rPr>
            </w:pPr>
          </w:p>
        </w:tc>
        <w:tc>
          <w:tcPr>
            <w:tcW w:w="1080" w:type="dxa"/>
            <w:vAlign w:val="center"/>
          </w:tcPr>
          <w:p w14:paraId="2D1C9EB9" w14:textId="5E03F514" w:rsidR="009718F7" w:rsidRPr="00B53505" w:rsidRDefault="009718F7" w:rsidP="00A6010A">
            <w:pPr>
              <w:spacing w:before="60" w:after="60" w:line="200" w:lineRule="exact"/>
              <w:jc w:val="right"/>
              <w:rPr>
                <w:b/>
                <w:sz w:val="20"/>
                <w:szCs w:val="20"/>
              </w:rPr>
            </w:pPr>
            <w:r w:rsidRPr="00B53505">
              <w:rPr>
                <w:b/>
                <w:sz w:val="20"/>
                <w:szCs w:val="20"/>
              </w:rPr>
              <w:t>1</w:t>
            </w:r>
            <w:r w:rsidR="00A6010A" w:rsidRPr="00B53505">
              <w:rPr>
                <w:b/>
                <w:sz w:val="20"/>
                <w:szCs w:val="20"/>
              </w:rPr>
              <w:t>3</w:t>
            </w:r>
            <w:r w:rsidRPr="00B53505">
              <w:rPr>
                <w:b/>
                <w:sz w:val="20"/>
                <w:szCs w:val="20"/>
              </w:rPr>
              <w:t>.0</w:t>
            </w:r>
            <w:r w:rsidR="00A6010A" w:rsidRPr="00B53505">
              <w:rPr>
                <w:b/>
                <w:sz w:val="20"/>
                <w:szCs w:val="20"/>
              </w:rPr>
              <w:t>56</w:t>
            </w:r>
          </w:p>
        </w:tc>
      </w:tr>
      <w:tr w:rsidR="009718F7" w:rsidRPr="00B53505" w14:paraId="05BE44BA" w14:textId="77777777">
        <w:trPr>
          <w:trHeight w:val="585"/>
        </w:trPr>
        <w:tc>
          <w:tcPr>
            <w:tcW w:w="1980" w:type="dxa"/>
            <w:vAlign w:val="center"/>
          </w:tcPr>
          <w:p w14:paraId="6AFBA734" w14:textId="77777777" w:rsidR="009718F7" w:rsidRPr="00B53505" w:rsidRDefault="009718F7">
            <w:pPr>
              <w:spacing w:before="60" w:after="60" w:line="200" w:lineRule="exact"/>
              <w:ind w:left="72"/>
              <w:jc w:val="left"/>
              <w:rPr>
                <w:sz w:val="16"/>
                <w:szCs w:val="16"/>
              </w:rPr>
            </w:pPr>
            <w:r w:rsidRPr="00B53505">
              <w:rPr>
                <w:sz w:val="16"/>
              </w:rPr>
              <w:t xml:space="preserve">Other administrative expenditure </w:t>
            </w:r>
          </w:p>
        </w:tc>
        <w:tc>
          <w:tcPr>
            <w:tcW w:w="1080" w:type="dxa"/>
            <w:vAlign w:val="center"/>
          </w:tcPr>
          <w:p w14:paraId="534A6C5A" w14:textId="77777777" w:rsidR="009718F7" w:rsidRPr="00B53505" w:rsidRDefault="009718F7">
            <w:pPr>
              <w:spacing w:before="60" w:after="60" w:line="200" w:lineRule="exact"/>
              <w:jc w:val="right"/>
              <w:rPr>
                <w:sz w:val="20"/>
                <w:szCs w:val="20"/>
              </w:rPr>
            </w:pPr>
            <w:r w:rsidRPr="00B53505">
              <w:rPr>
                <w:sz w:val="20"/>
                <w:szCs w:val="20"/>
              </w:rPr>
              <w:t>0.5</w:t>
            </w:r>
          </w:p>
        </w:tc>
        <w:tc>
          <w:tcPr>
            <w:tcW w:w="1080" w:type="dxa"/>
            <w:vAlign w:val="center"/>
          </w:tcPr>
          <w:p w14:paraId="692B9947" w14:textId="77777777" w:rsidR="009718F7" w:rsidRPr="00B53505" w:rsidRDefault="009718F7">
            <w:pPr>
              <w:spacing w:before="60" w:after="60" w:line="200" w:lineRule="exact"/>
              <w:jc w:val="right"/>
              <w:rPr>
                <w:sz w:val="20"/>
                <w:szCs w:val="20"/>
              </w:rPr>
            </w:pPr>
            <w:r w:rsidRPr="00B53505">
              <w:rPr>
                <w:sz w:val="20"/>
                <w:szCs w:val="20"/>
              </w:rPr>
              <w:t>0.5</w:t>
            </w:r>
          </w:p>
        </w:tc>
        <w:tc>
          <w:tcPr>
            <w:tcW w:w="1080" w:type="dxa"/>
            <w:vAlign w:val="center"/>
          </w:tcPr>
          <w:p w14:paraId="48A417CD" w14:textId="77777777" w:rsidR="009718F7" w:rsidRPr="00B53505" w:rsidRDefault="009718F7">
            <w:pPr>
              <w:spacing w:before="60" w:after="60" w:line="200" w:lineRule="exact"/>
              <w:jc w:val="right"/>
              <w:rPr>
                <w:sz w:val="20"/>
                <w:szCs w:val="20"/>
              </w:rPr>
            </w:pPr>
            <w:r w:rsidRPr="00B53505">
              <w:rPr>
                <w:sz w:val="20"/>
                <w:szCs w:val="20"/>
              </w:rPr>
              <w:t>0.5</w:t>
            </w:r>
          </w:p>
        </w:tc>
        <w:tc>
          <w:tcPr>
            <w:tcW w:w="1080" w:type="dxa"/>
            <w:vAlign w:val="center"/>
          </w:tcPr>
          <w:p w14:paraId="5A31F999" w14:textId="77777777" w:rsidR="009718F7" w:rsidRPr="00B53505" w:rsidRDefault="009718F7">
            <w:pPr>
              <w:spacing w:before="60" w:after="60" w:line="200" w:lineRule="exact"/>
              <w:jc w:val="right"/>
              <w:rPr>
                <w:sz w:val="20"/>
                <w:szCs w:val="20"/>
              </w:rPr>
            </w:pPr>
            <w:r w:rsidRPr="00B53505">
              <w:rPr>
                <w:sz w:val="20"/>
                <w:szCs w:val="20"/>
              </w:rPr>
              <w:t>0.5</w:t>
            </w:r>
          </w:p>
        </w:tc>
        <w:tc>
          <w:tcPr>
            <w:tcW w:w="1080" w:type="dxa"/>
            <w:vAlign w:val="center"/>
          </w:tcPr>
          <w:p w14:paraId="4A415286" w14:textId="77777777" w:rsidR="009718F7" w:rsidRPr="00B53505" w:rsidRDefault="009718F7">
            <w:pPr>
              <w:spacing w:before="60" w:after="60" w:line="200" w:lineRule="exact"/>
              <w:jc w:val="right"/>
              <w:rPr>
                <w:sz w:val="20"/>
                <w:szCs w:val="20"/>
              </w:rPr>
            </w:pPr>
          </w:p>
        </w:tc>
        <w:tc>
          <w:tcPr>
            <w:tcW w:w="1080" w:type="dxa"/>
            <w:vAlign w:val="center"/>
          </w:tcPr>
          <w:p w14:paraId="4707C6C1" w14:textId="77777777" w:rsidR="009718F7" w:rsidRPr="00B53505" w:rsidRDefault="009718F7">
            <w:pPr>
              <w:spacing w:before="60" w:after="60" w:line="200" w:lineRule="exact"/>
              <w:jc w:val="right"/>
              <w:rPr>
                <w:sz w:val="20"/>
                <w:szCs w:val="20"/>
              </w:rPr>
            </w:pPr>
          </w:p>
        </w:tc>
        <w:tc>
          <w:tcPr>
            <w:tcW w:w="1080" w:type="dxa"/>
            <w:vAlign w:val="center"/>
          </w:tcPr>
          <w:p w14:paraId="1060BF6B" w14:textId="77777777" w:rsidR="009718F7" w:rsidRPr="00B53505" w:rsidRDefault="009718F7">
            <w:pPr>
              <w:spacing w:before="60" w:after="60" w:line="200" w:lineRule="exact"/>
              <w:jc w:val="right"/>
              <w:rPr>
                <w:b/>
                <w:sz w:val="20"/>
                <w:szCs w:val="20"/>
              </w:rPr>
            </w:pPr>
          </w:p>
        </w:tc>
        <w:tc>
          <w:tcPr>
            <w:tcW w:w="1080" w:type="dxa"/>
            <w:vAlign w:val="center"/>
          </w:tcPr>
          <w:p w14:paraId="6A9C3586" w14:textId="77777777" w:rsidR="009718F7" w:rsidRPr="00B53505" w:rsidRDefault="009718F7">
            <w:pPr>
              <w:spacing w:before="60" w:after="60" w:line="200" w:lineRule="exact"/>
              <w:jc w:val="right"/>
              <w:rPr>
                <w:b/>
                <w:sz w:val="20"/>
                <w:szCs w:val="20"/>
              </w:rPr>
            </w:pPr>
            <w:r w:rsidRPr="00B53505">
              <w:rPr>
                <w:b/>
                <w:sz w:val="20"/>
                <w:szCs w:val="20"/>
              </w:rPr>
              <w:t>2.000</w:t>
            </w:r>
          </w:p>
        </w:tc>
      </w:tr>
      <w:tr w:rsidR="009718F7" w:rsidRPr="00B53505" w14:paraId="4CC1D604" w14:textId="77777777">
        <w:trPr>
          <w:trHeight w:val="585"/>
        </w:trPr>
        <w:tc>
          <w:tcPr>
            <w:tcW w:w="1980" w:type="dxa"/>
            <w:shd w:val="clear" w:color="auto" w:fill="CCCCCC"/>
            <w:vAlign w:val="center"/>
          </w:tcPr>
          <w:p w14:paraId="6F5F4E63" w14:textId="77777777" w:rsidR="009718F7" w:rsidRPr="00B53505" w:rsidRDefault="009718F7">
            <w:pPr>
              <w:spacing w:before="60" w:after="60" w:line="200" w:lineRule="exact"/>
              <w:jc w:val="center"/>
              <w:rPr>
                <w:b/>
                <w:sz w:val="16"/>
                <w:szCs w:val="16"/>
              </w:rPr>
            </w:pPr>
            <w:r w:rsidRPr="00B53505">
              <w:rPr>
                <w:b/>
                <w:sz w:val="16"/>
              </w:rPr>
              <w:t>Subtotal HEADING 5</w:t>
            </w:r>
            <w:r w:rsidRPr="00B53505">
              <w:rPr>
                <w:sz w:val="22"/>
              </w:rPr>
              <w:br/>
            </w:r>
            <w:r w:rsidRPr="00B53505">
              <w:rPr>
                <w:b/>
                <w:sz w:val="16"/>
              </w:rPr>
              <w:t xml:space="preserve">of the multiannual financial framework </w:t>
            </w:r>
          </w:p>
        </w:tc>
        <w:tc>
          <w:tcPr>
            <w:tcW w:w="1080" w:type="dxa"/>
            <w:vAlign w:val="center"/>
          </w:tcPr>
          <w:p w14:paraId="364F1C5C" w14:textId="58DDD6F5" w:rsidR="009718F7" w:rsidRPr="00B53505" w:rsidRDefault="009718F7" w:rsidP="002A6466">
            <w:pPr>
              <w:spacing w:before="60" w:after="60" w:line="200" w:lineRule="exact"/>
              <w:jc w:val="right"/>
              <w:rPr>
                <w:sz w:val="20"/>
                <w:szCs w:val="20"/>
              </w:rPr>
            </w:pPr>
            <w:r w:rsidRPr="00B53505">
              <w:rPr>
                <w:sz w:val="20"/>
                <w:szCs w:val="20"/>
              </w:rPr>
              <w:t>3.</w:t>
            </w:r>
            <w:r w:rsidR="00A6010A" w:rsidRPr="00B53505">
              <w:rPr>
                <w:sz w:val="20"/>
                <w:szCs w:val="20"/>
              </w:rPr>
              <w:t>7</w:t>
            </w:r>
            <w:r w:rsidRPr="00B53505">
              <w:rPr>
                <w:sz w:val="20"/>
                <w:szCs w:val="20"/>
              </w:rPr>
              <w:t>6</w:t>
            </w:r>
            <w:r w:rsidR="00A6010A" w:rsidRPr="00B53505">
              <w:rPr>
                <w:sz w:val="20"/>
                <w:szCs w:val="20"/>
              </w:rPr>
              <w:t>4</w:t>
            </w:r>
          </w:p>
        </w:tc>
        <w:tc>
          <w:tcPr>
            <w:tcW w:w="1080" w:type="dxa"/>
            <w:vAlign w:val="center"/>
          </w:tcPr>
          <w:p w14:paraId="13FFBA95" w14:textId="518C54E9" w:rsidR="009718F7" w:rsidRPr="00B53505" w:rsidRDefault="009718F7">
            <w:pPr>
              <w:spacing w:before="60" w:after="60" w:line="200" w:lineRule="exact"/>
              <w:jc w:val="right"/>
              <w:rPr>
                <w:sz w:val="20"/>
                <w:szCs w:val="20"/>
              </w:rPr>
            </w:pPr>
            <w:r w:rsidRPr="00B53505">
              <w:rPr>
                <w:sz w:val="20"/>
                <w:szCs w:val="20"/>
              </w:rPr>
              <w:t>3.</w:t>
            </w:r>
            <w:r w:rsidR="00A6010A" w:rsidRPr="00B53505">
              <w:rPr>
                <w:sz w:val="20"/>
                <w:szCs w:val="20"/>
              </w:rPr>
              <w:t>7</w:t>
            </w:r>
            <w:r w:rsidRPr="00B53505">
              <w:rPr>
                <w:sz w:val="20"/>
                <w:szCs w:val="20"/>
              </w:rPr>
              <w:t>6</w:t>
            </w:r>
            <w:r w:rsidR="00A6010A" w:rsidRPr="00B53505">
              <w:rPr>
                <w:sz w:val="20"/>
                <w:szCs w:val="20"/>
              </w:rPr>
              <w:t>4</w:t>
            </w:r>
          </w:p>
        </w:tc>
        <w:tc>
          <w:tcPr>
            <w:tcW w:w="1080" w:type="dxa"/>
            <w:vAlign w:val="center"/>
          </w:tcPr>
          <w:p w14:paraId="54A5B2B4" w14:textId="0FA25BAB" w:rsidR="009718F7" w:rsidRPr="00B53505" w:rsidRDefault="009718F7">
            <w:pPr>
              <w:spacing w:before="60" w:after="60" w:line="200" w:lineRule="exact"/>
              <w:jc w:val="right"/>
              <w:rPr>
                <w:sz w:val="20"/>
                <w:szCs w:val="20"/>
              </w:rPr>
            </w:pPr>
            <w:r w:rsidRPr="00B53505">
              <w:rPr>
                <w:sz w:val="20"/>
                <w:szCs w:val="20"/>
              </w:rPr>
              <w:t>3.</w:t>
            </w:r>
            <w:r w:rsidR="00A6010A" w:rsidRPr="00B53505">
              <w:rPr>
                <w:sz w:val="20"/>
                <w:szCs w:val="20"/>
              </w:rPr>
              <w:t>7</w:t>
            </w:r>
            <w:r w:rsidRPr="00B53505">
              <w:rPr>
                <w:sz w:val="20"/>
                <w:szCs w:val="20"/>
              </w:rPr>
              <w:t>6</w:t>
            </w:r>
            <w:r w:rsidR="00A6010A" w:rsidRPr="00B53505">
              <w:rPr>
                <w:sz w:val="20"/>
                <w:szCs w:val="20"/>
              </w:rPr>
              <w:t>4</w:t>
            </w:r>
          </w:p>
        </w:tc>
        <w:tc>
          <w:tcPr>
            <w:tcW w:w="1080" w:type="dxa"/>
            <w:vAlign w:val="center"/>
          </w:tcPr>
          <w:p w14:paraId="73C595A7" w14:textId="62A36D9C" w:rsidR="009718F7" w:rsidRPr="00B53505" w:rsidRDefault="009718F7">
            <w:pPr>
              <w:spacing w:before="60" w:after="60" w:line="200" w:lineRule="exact"/>
              <w:jc w:val="right"/>
              <w:rPr>
                <w:sz w:val="20"/>
                <w:szCs w:val="20"/>
              </w:rPr>
            </w:pPr>
            <w:r w:rsidRPr="00B53505">
              <w:rPr>
                <w:sz w:val="20"/>
                <w:szCs w:val="20"/>
              </w:rPr>
              <w:t>3.</w:t>
            </w:r>
            <w:r w:rsidR="00A6010A" w:rsidRPr="00B53505">
              <w:rPr>
                <w:sz w:val="20"/>
                <w:szCs w:val="20"/>
              </w:rPr>
              <w:t>7</w:t>
            </w:r>
            <w:r w:rsidRPr="00B53505">
              <w:rPr>
                <w:sz w:val="20"/>
                <w:szCs w:val="20"/>
              </w:rPr>
              <w:t>6</w:t>
            </w:r>
            <w:r w:rsidR="00A6010A" w:rsidRPr="00B53505">
              <w:rPr>
                <w:sz w:val="20"/>
                <w:szCs w:val="20"/>
              </w:rPr>
              <w:t>4</w:t>
            </w:r>
          </w:p>
        </w:tc>
        <w:tc>
          <w:tcPr>
            <w:tcW w:w="1080" w:type="dxa"/>
            <w:vAlign w:val="center"/>
          </w:tcPr>
          <w:p w14:paraId="7E0B27F1" w14:textId="77777777" w:rsidR="009718F7" w:rsidRPr="00B53505" w:rsidRDefault="009718F7">
            <w:pPr>
              <w:spacing w:before="60" w:after="60" w:line="200" w:lineRule="exact"/>
              <w:jc w:val="right"/>
              <w:rPr>
                <w:sz w:val="20"/>
                <w:szCs w:val="20"/>
              </w:rPr>
            </w:pPr>
          </w:p>
        </w:tc>
        <w:tc>
          <w:tcPr>
            <w:tcW w:w="1080" w:type="dxa"/>
            <w:vAlign w:val="center"/>
          </w:tcPr>
          <w:p w14:paraId="0D08478F" w14:textId="77777777" w:rsidR="009718F7" w:rsidRPr="00B53505" w:rsidRDefault="009718F7">
            <w:pPr>
              <w:spacing w:before="60" w:after="60" w:line="200" w:lineRule="exact"/>
              <w:jc w:val="right"/>
              <w:rPr>
                <w:sz w:val="20"/>
                <w:szCs w:val="20"/>
              </w:rPr>
            </w:pPr>
          </w:p>
        </w:tc>
        <w:tc>
          <w:tcPr>
            <w:tcW w:w="1080" w:type="dxa"/>
            <w:vAlign w:val="center"/>
          </w:tcPr>
          <w:p w14:paraId="11ADE7EF" w14:textId="77777777" w:rsidR="009718F7" w:rsidRPr="00B53505" w:rsidRDefault="009718F7">
            <w:pPr>
              <w:spacing w:before="60" w:after="60" w:line="200" w:lineRule="exact"/>
              <w:jc w:val="right"/>
              <w:rPr>
                <w:b/>
                <w:sz w:val="20"/>
                <w:szCs w:val="20"/>
              </w:rPr>
            </w:pPr>
          </w:p>
        </w:tc>
        <w:tc>
          <w:tcPr>
            <w:tcW w:w="1080" w:type="dxa"/>
            <w:vAlign w:val="center"/>
          </w:tcPr>
          <w:p w14:paraId="57A76B07" w14:textId="477DB9EE" w:rsidR="009718F7" w:rsidRPr="00B53505" w:rsidRDefault="009718F7" w:rsidP="00A6010A">
            <w:pPr>
              <w:spacing w:before="60" w:after="60" w:line="200" w:lineRule="exact"/>
              <w:jc w:val="right"/>
              <w:rPr>
                <w:b/>
                <w:sz w:val="20"/>
                <w:szCs w:val="20"/>
              </w:rPr>
            </w:pPr>
            <w:r w:rsidRPr="00B53505">
              <w:rPr>
                <w:b/>
                <w:sz w:val="20"/>
                <w:szCs w:val="20"/>
              </w:rPr>
              <w:t>1</w:t>
            </w:r>
            <w:r w:rsidR="00A6010A" w:rsidRPr="00B53505">
              <w:rPr>
                <w:b/>
                <w:sz w:val="20"/>
                <w:szCs w:val="20"/>
              </w:rPr>
              <w:t>5</w:t>
            </w:r>
            <w:r w:rsidRPr="00B53505">
              <w:rPr>
                <w:b/>
                <w:sz w:val="20"/>
                <w:szCs w:val="20"/>
              </w:rPr>
              <w:t>.0</w:t>
            </w:r>
            <w:r w:rsidR="00A6010A" w:rsidRPr="00B53505">
              <w:rPr>
                <w:b/>
                <w:sz w:val="20"/>
                <w:szCs w:val="20"/>
              </w:rPr>
              <w:t>56</w:t>
            </w:r>
          </w:p>
        </w:tc>
      </w:tr>
    </w:tbl>
    <w:p w14:paraId="433C3590" w14:textId="77777777" w:rsidR="009718F7" w:rsidRPr="00B53505" w:rsidRDefault="009718F7">
      <w:pPr>
        <w:spacing w:line="200" w:lineRule="exact"/>
        <w:rPr>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718F7" w:rsidRPr="00B53505" w14:paraId="75434B25" w14:textId="77777777">
        <w:trPr>
          <w:trHeight w:val="585"/>
        </w:trPr>
        <w:tc>
          <w:tcPr>
            <w:tcW w:w="1980" w:type="dxa"/>
            <w:shd w:val="clear" w:color="auto" w:fill="CCCCCC"/>
            <w:vAlign w:val="center"/>
          </w:tcPr>
          <w:p w14:paraId="77DFB48B" w14:textId="77777777" w:rsidR="009718F7" w:rsidRPr="00B53505" w:rsidRDefault="009718F7">
            <w:pPr>
              <w:spacing w:before="60" w:after="60" w:line="200" w:lineRule="exact"/>
              <w:jc w:val="center"/>
              <w:rPr>
                <w:sz w:val="16"/>
                <w:szCs w:val="16"/>
              </w:rPr>
            </w:pPr>
            <w:r w:rsidRPr="00B53505">
              <w:rPr>
                <w:b/>
                <w:sz w:val="16"/>
              </w:rPr>
              <w:t>Outside HEADING 5</w:t>
            </w:r>
            <w:r w:rsidRPr="00B53505">
              <w:rPr>
                <w:rStyle w:val="FootnoteReference"/>
                <w:b/>
                <w:sz w:val="16"/>
              </w:rPr>
              <w:footnoteReference w:id="47"/>
            </w:r>
            <w:r w:rsidRPr="00B53505">
              <w:rPr>
                <w:sz w:val="22"/>
              </w:rPr>
              <w:br/>
            </w:r>
            <w:r w:rsidRPr="00B53505">
              <w:rPr>
                <w:b/>
                <w:sz w:val="16"/>
              </w:rPr>
              <w:t xml:space="preserve">of the multiannual financial framework </w:t>
            </w:r>
          </w:p>
          <w:p w14:paraId="5C1E3387" w14:textId="77777777" w:rsidR="009718F7" w:rsidRPr="00B53505" w:rsidRDefault="009718F7">
            <w:pPr>
              <w:spacing w:before="0" w:after="0" w:line="200" w:lineRule="exact"/>
              <w:jc w:val="center"/>
              <w:rPr>
                <w:b/>
                <w:sz w:val="16"/>
                <w:szCs w:val="16"/>
              </w:rPr>
            </w:pPr>
          </w:p>
        </w:tc>
        <w:tc>
          <w:tcPr>
            <w:tcW w:w="1080" w:type="dxa"/>
            <w:vAlign w:val="center"/>
          </w:tcPr>
          <w:p w14:paraId="0DABA5C7" w14:textId="77777777" w:rsidR="009718F7" w:rsidRPr="00B53505" w:rsidRDefault="009718F7">
            <w:pPr>
              <w:spacing w:before="60" w:after="60" w:line="200" w:lineRule="exact"/>
              <w:jc w:val="right"/>
              <w:rPr>
                <w:sz w:val="16"/>
                <w:szCs w:val="16"/>
              </w:rPr>
            </w:pPr>
          </w:p>
        </w:tc>
        <w:tc>
          <w:tcPr>
            <w:tcW w:w="1080" w:type="dxa"/>
            <w:vAlign w:val="center"/>
          </w:tcPr>
          <w:p w14:paraId="0D036DB5" w14:textId="77777777" w:rsidR="009718F7" w:rsidRPr="00B53505" w:rsidRDefault="009718F7">
            <w:pPr>
              <w:spacing w:before="60" w:after="60" w:line="200" w:lineRule="exact"/>
              <w:jc w:val="right"/>
              <w:rPr>
                <w:sz w:val="16"/>
                <w:szCs w:val="16"/>
              </w:rPr>
            </w:pPr>
          </w:p>
        </w:tc>
        <w:tc>
          <w:tcPr>
            <w:tcW w:w="1080" w:type="dxa"/>
            <w:vAlign w:val="center"/>
          </w:tcPr>
          <w:p w14:paraId="579464E3" w14:textId="77777777" w:rsidR="009718F7" w:rsidRPr="00B53505" w:rsidRDefault="009718F7">
            <w:pPr>
              <w:spacing w:before="60" w:after="60" w:line="200" w:lineRule="exact"/>
              <w:jc w:val="right"/>
              <w:rPr>
                <w:sz w:val="16"/>
                <w:szCs w:val="16"/>
              </w:rPr>
            </w:pPr>
          </w:p>
        </w:tc>
        <w:tc>
          <w:tcPr>
            <w:tcW w:w="1080" w:type="dxa"/>
            <w:vAlign w:val="center"/>
          </w:tcPr>
          <w:p w14:paraId="72EF31C7" w14:textId="77777777" w:rsidR="009718F7" w:rsidRPr="00B53505" w:rsidRDefault="009718F7">
            <w:pPr>
              <w:spacing w:before="60" w:after="60" w:line="200" w:lineRule="exact"/>
              <w:jc w:val="right"/>
              <w:rPr>
                <w:sz w:val="16"/>
                <w:szCs w:val="16"/>
              </w:rPr>
            </w:pPr>
          </w:p>
        </w:tc>
        <w:tc>
          <w:tcPr>
            <w:tcW w:w="1080" w:type="dxa"/>
            <w:vAlign w:val="center"/>
          </w:tcPr>
          <w:p w14:paraId="5D558CE9" w14:textId="77777777" w:rsidR="009718F7" w:rsidRPr="00B53505" w:rsidRDefault="009718F7">
            <w:pPr>
              <w:spacing w:before="60" w:after="60" w:line="200" w:lineRule="exact"/>
              <w:jc w:val="right"/>
              <w:rPr>
                <w:sz w:val="16"/>
                <w:szCs w:val="16"/>
              </w:rPr>
            </w:pPr>
          </w:p>
        </w:tc>
        <w:tc>
          <w:tcPr>
            <w:tcW w:w="1080" w:type="dxa"/>
            <w:vAlign w:val="center"/>
          </w:tcPr>
          <w:p w14:paraId="360BBCF5" w14:textId="77777777" w:rsidR="009718F7" w:rsidRPr="00B53505" w:rsidRDefault="009718F7">
            <w:pPr>
              <w:spacing w:before="60" w:after="60" w:line="200" w:lineRule="exact"/>
              <w:jc w:val="right"/>
              <w:rPr>
                <w:sz w:val="16"/>
                <w:szCs w:val="16"/>
              </w:rPr>
            </w:pPr>
          </w:p>
        </w:tc>
        <w:tc>
          <w:tcPr>
            <w:tcW w:w="1080" w:type="dxa"/>
            <w:vAlign w:val="center"/>
          </w:tcPr>
          <w:p w14:paraId="7B5CD592" w14:textId="77777777" w:rsidR="009718F7" w:rsidRPr="00B53505" w:rsidRDefault="009718F7">
            <w:pPr>
              <w:spacing w:before="60" w:after="60" w:line="200" w:lineRule="exact"/>
              <w:jc w:val="right"/>
              <w:rPr>
                <w:b/>
                <w:sz w:val="16"/>
                <w:szCs w:val="16"/>
              </w:rPr>
            </w:pPr>
          </w:p>
        </w:tc>
        <w:tc>
          <w:tcPr>
            <w:tcW w:w="1080" w:type="dxa"/>
            <w:vAlign w:val="center"/>
          </w:tcPr>
          <w:p w14:paraId="337A48B0" w14:textId="77777777" w:rsidR="009718F7" w:rsidRPr="00B53505" w:rsidRDefault="009718F7">
            <w:pPr>
              <w:spacing w:before="60" w:after="60" w:line="200" w:lineRule="exact"/>
              <w:jc w:val="right"/>
              <w:rPr>
                <w:b/>
                <w:sz w:val="16"/>
                <w:szCs w:val="16"/>
              </w:rPr>
            </w:pPr>
          </w:p>
        </w:tc>
      </w:tr>
      <w:tr w:rsidR="009718F7" w:rsidRPr="00B53505" w14:paraId="7EFD5A8B" w14:textId="77777777">
        <w:trPr>
          <w:trHeight w:val="585"/>
        </w:trPr>
        <w:tc>
          <w:tcPr>
            <w:tcW w:w="1980" w:type="dxa"/>
            <w:vAlign w:val="center"/>
          </w:tcPr>
          <w:p w14:paraId="31A6C806" w14:textId="77777777" w:rsidR="009718F7" w:rsidRPr="00B53505" w:rsidRDefault="009718F7">
            <w:pPr>
              <w:spacing w:before="60" w:after="60" w:line="200" w:lineRule="exact"/>
              <w:ind w:left="72"/>
              <w:jc w:val="left"/>
              <w:rPr>
                <w:sz w:val="16"/>
                <w:szCs w:val="16"/>
              </w:rPr>
            </w:pPr>
            <w:r w:rsidRPr="00B53505">
              <w:rPr>
                <w:sz w:val="16"/>
              </w:rPr>
              <w:t xml:space="preserve">Human resources </w:t>
            </w:r>
          </w:p>
        </w:tc>
        <w:tc>
          <w:tcPr>
            <w:tcW w:w="1080" w:type="dxa"/>
            <w:vAlign w:val="center"/>
          </w:tcPr>
          <w:p w14:paraId="66545223" w14:textId="77777777" w:rsidR="009718F7" w:rsidRPr="00B53505" w:rsidRDefault="009718F7">
            <w:pPr>
              <w:spacing w:before="60" w:after="60" w:line="200" w:lineRule="exact"/>
              <w:jc w:val="right"/>
              <w:rPr>
                <w:sz w:val="16"/>
                <w:szCs w:val="16"/>
              </w:rPr>
            </w:pPr>
          </w:p>
        </w:tc>
        <w:tc>
          <w:tcPr>
            <w:tcW w:w="1080" w:type="dxa"/>
            <w:vAlign w:val="center"/>
          </w:tcPr>
          <w:p w14:paraId="4BDFFF40" w14:textId="77777777" w:rsidR="009718F7" w:rsidRPr="00B53505" w:rsidRDefault="009718F7">
            <w:pPr>
              <w:spacing w:before="60" w:after="60" w:line="200" w:lineRule="exact"/>
              <w:jc w:val="right"/>
              <w:rPr>
                <w:sz w:val="16"/>
                <w:szCs w:val="16"/>
              </w:rPr>
            </w:pPr>
          </w:p>
        </w:tc>
        <w:tc>
          <w:tcPr>
            <w:tcW w:w="1080" w:type="dxa"/>
            <w:vAlign w:val="center"/>
          </w:tcPr>
          <w:p w14:paraId="6B5021B9" w14:textId="77777777" w:rsidR="009718F7" w:rsidRPr="00B53505" w:rsidRDefault="009718F7">
            <w:pPr>
              <w:spacing w:before="60" w:after="60" w:line="200" w:lineRule="exact"/>
              <w:jc w:val="right"/>
              <w:rPr>
                <w:sz w:val="16"/>
                <w:szCs w:val="16"/>
              </w:rPr>
            </w:pPr>
          </w:p>
        </w:tc>
        <w:tc>
          <w:tcPr>
            <w:tcW w:w="1080" w:type="dxa"/>
            <w:vAlign w:val="center"/>
          </w:tcPr>
          <w:p w14:paraId="7C2AB07D" w14:textId="77777777" w:rsidR="009718F7" w:rsidRPr="00B53505" w:rsidRDefault="009718F7">
            <w:pPr>
              <w:spacing w:before="60" w:after="60" w:line="200" w:lineRule="exact"/>
              <w:jc w:val="right"/>
              <w:rPr>
                <w:sz w:val="16"/>
                <w:szCs w:val="16"/>
              </w:rPr>
            </w:pPr>
          </w:p>
        </w:tc>
        <w:tc>
          <w:tcPr>
            <w:tcW w:w="1080" w:type="dxa"/>
            <w:vAlign w:val="center"/>
          </w:tcPr>
          <w:p w14:paraId="0CC19609" w14:textId="77777777" w:rsidR="009718F7" w:rsidRPr="00B53505" w:rsidRDefault="009718F7">
            <w:pPr>
              <w:spacing w:before="60" w:after="60" w:line="200" w:lineRule="exact"/>
              <w:jc w:val="right"/>
              <w:rPr>
                <w:sz w:val="16"/>
                <w:szCs w:val="16"/>
              </w:rPr>
            </w:pPr>
          </w:p>
        </w:tc>
        <w:tc>
          <w:tcPr>
            <w:tcW w:w="1080" w:type="dxa"/>
            <w:vAlign w:val="center"/>
          </w:tcPr>
          <w:p w14:paraId="79A59D06" w14:textId="77777777" w:rsidR="009718F7" w:rsidRPr="00B53505" w:rsidRDefault="009718F7">
            <w:pPr>
              <w:spacing w:before="60" w:after="60" w:line="200" w:lineRule="exact"/>
              <w:jc w:val="right"/>
              <w:rPr>
                <w:sz w:val="16"/>
                <w:szCs w:val="16"/>
              </w:rPr>
            </w:pPr>
          </w:p>
        </w:tc>
        <w:tc>
          <w:tcPr>
            <w:tcW w:w="1080" w:type="dxa"/>
            <w:vAlign w:val="center"/>
          </w:tcPr>
          <w:p w14:paraId="6185F380" w14:textId="77777777" w:rsidR="009718F7" w:rsidRPr="00B53505" w:rsidRDefault="009718F7">
            <w:pPr>
              <w:spacing w:before="60" w:after="60" w:line="200" w:lineRule="exact"/>
              <w:jc w:val="right"/>
              <w:rPr>
                <w:b/>
                <w:sz w:val="16"/>
                <w:szCs w:val="16"/>
              </w:rPr>
            </w:pPr>
          </w:p>
        </w:tc>
        <w:tc>
          <w:tcPr>
            <w:tcW w:w="1080" w:type="dxa"/>
            <w:vAlign w:val="center"/>
          </w:tcPr>
          <w:p w14:paraId="6ADB6D4F" w14:textId="77777777" w:rsidR="009718F7" w:rsidRPr="00B53505" w:rsidRDefault="009718F7">
            <w:pPr>
              <w:spacing w:before="60" w:after="60" w:line="200" w:lineRule="exact"/>
              <w:jc w:val="right"/>
              <w:rPr>
                <w:b/>
                <w:sz w:val="16"/>
                <w:szCs w:val="16"/>
              </w:rPr>
            </w:pPr>
          </w:p>
        </w:tc>
      </w:tr>
      <w:tr w:rsidR="009718F7" w:rsidRPr="00B53505" w14:paraId="51E0DD95" w14:textId="77777777">
        <w:trPr>
          <w:trHeight w:val="585"/>
        </w:trPr>
        <w:tc>
          <w:tcPr>
            <w:tcW w:w="1980" w:type="dxa"/>
            <w:vAlign w:val="center"/>
          </w:tcPr>
          <w:p w14:paraId="58878799" w14:textId="77777777" w:rsidR="009718F7" w:rsidRPr="00B53505" w:rsidRDefault="009718F7">
            <w:pPr>
              <w:spacing w:before="60" w:after="60" w:line="200" w:lineRule="exact"/>
              <w:ind w:left="72"/>
              <w:jc w:val="left"/>
              <w:rPr>
                <w:sz w:val="16"/>
                <w:szCs w:val="16"/>
              </w:rPr>
            </w:pPr>
            <w:r w:rsidRPr="00B53505">
              <w:rPr>
                <w:sz w:val="16"/>
              </w:rPr>
              <w:t xml:space="preserve">Other expenditure </w:t>
            </w:r>
            <w:r w:rsidRPr="00B53505">
              <w:rPr>
                <w:sz w:val="22"/>
              </w:rPr>
              <w:br/>
            </w:r>
            <w:r w:rsidRPr="00B53505">
              <w:rPr>
                <w:sz w:val="16"/>
              </w:rPr>
              <w:t>of an administrative nature</w:t>
            </w:r>
          </w:p>
        </w:tc>
        <w:tc>
          <w:tcPr>
            <w:tcW w:w="1080" w:type="dxa"/>
            <w:vAlign w:val="center"/>
          </w:tcPr>
          <w:p w14:paraId="6269D138" w14:textId="77777777" w:rsidR="009718F7" w:rsidRPr="00B53505" w:rsidRDefault="009718F7">
            <w:pPr>
              <w:spacing w:before="60" w:after="60" w:line="200" w:lineRule="exact"/>
              <w:jc w:val="right"/>
              <w:rPr>
                <w:sz w:val="16"/>
                <w:szCs w:val="16"/>
              </w:rPr>
            </w:pPr>
          </w:p>
        </w:tc>
        <w:tc>
          <w:tcPr>
            <w:tcW w:w="1080" w:type="dxa"/>
            <w:vAlign w:val="center"/>
          </w:tcPr>
          <w:p w14:paraId="108C4CFB" w14:textId="77777777" w:rsidR="009718F7" w:rsidRPr="00B53505" w:rsidRDefault="009718F7">
            <w:pPr>
              <w:spacing w:before="60" w:after="60" w:line="200" w:lineRule="exact"/>
              <w:jc w:val="right"/>
              <w:rPr>
                <w:sz w:val="16"/>
                <w:szCs w:val="16"/>
              </w:rPr>
            </w:pPr>
          </w:p>
        </w:tc>
        <w:tc>
          <w:tcPr>
            <w:tcW w:w="1080" w:type="dxa"/>
            <w:vAlign w:val="center"/>
          </w:tcPr>
          <w:p w14:paraId="7171E16B" w14:textId="77777777" w:rsidR="009718F7" w:rsidRPr="00B53505" w:rsidRDefault="009718F7">
            <w:pPr>
              <w:spacing w:before="60" w:after="60" w:line="200" w:lineRule="exact"/>
              <w:jc w:val="right"/>
              <w:rPr>
                <w:sz w:val="16"/>
                <w:szCs w:val="16"/>
              </w:rPr>
            </w:pPr>
          </w:p>
        </w:tc>
        <w:tc>
          <w:tcPr>
            <w:tcW w:w="1080" w:type="dxa"/>
            <w:vAlign w:val="center"/>
          </w:tcPr>
          <w:p w14:paraId="38E1B477" w14:textId="77777777" w:rsidR="009718F7" w:rsidRPr="00B53505" w:rsidRDefault="009718F7">
            <w:pPr>
              <w:spacing w:before="60" w:after="60" w:line="200" w:lineRule="exact"/>
              <w:jc w:val="right"/>
              <w:rPr>
                <w:sz w:val="16"/>
                <w:szCs w:val="16"/>
              </w:rPr>
            </w:pPr>
          </w:p>
        </w:tc>
        <w:tc>
          <w:tcPr>
            <w:tcW w:w="1080" w:type="dxa"/>
            <w:vAlign w:val="center"/>
          </w:tcPr>
          <w:p w14:paraId="45D516F7" w14:textId="77777777" w:rsidR="009718F7" w:rsidRPr="00B53505" w:rsidRDefault="009718F7">
            <w:pPr>
              <w:spacing w:before="60" w:after="60" w:line="200" w:lineRule="exact"/>
              <w:jc w:val="right"/>
              <w:rPr>
                <w:sz w:val="16"/>
                <w:szCs w:val="16"/>
              </w:rPr>
            </w:pPr>
          </w:p>
        </w:tc>
        <w:tc>
          <w:tcPr>
            <w:tcW w:w="1080" w:type="dxa"/>
            <w:vAlign w:val="center"/>
          </w:tcPr>
          <w:p w14:paraId="1ADEE47D" w14:textId="77777777" w:rsidR="009718F7" w:rsidRPr="00B53505" w:rsidRDefault="009718F7">
            <w:pPr>
              <w:spacing w:before="60" w:after="60" w:line="200" w:lineRule="exact"/>
              <w:jc w:val="right"/>
              <w:rPr>
                <w:sz w:val="16"/>
                <w:szCs w:val="16"/>
              </w:rPr>
            </w:pPr>
          </w:p>
        </w:tc>
        <w:tc>
          <w:tcPr>
            <w:tcW w:w="1080" w:type="dxa"/>
            <w:vAlign w:val="center"/>
          </w:tcPr>
          <w:p w14:paraId="73F05251" w14:textId="77777777" w:rsidR="009718F7" w:rsidRPr="00B53505" w:rsidRDefault="009718F7">
            <w:pPr>
              <w:spacing w:before="60" w:after="60" w:line="200" w:lineRule="exact"/>
              <w:jc w:val="right"/>
              <w:rPr>
                <w:b/>
                <w:sz w:val="16"/>
                <w:szCs w:val="16"/>
              </w:rPr>
            </w:pPr>
          </w:p>
        </w:tc>
        <w:tc>
          <w:tcPr>
            <w:tcW w:w="1080" w:type="dxa"/>
            <w:vAlign w:val="center"/>
          </w:tcPr>
          <w:p w14:paraId="6592F57E" w14:textId="77777777" w:rsidR="009718F7" w:rsidRPr="00B53505" w:rsidRDefault="009718F7">
            <w:pPr>
              <w:spacing w:before="60" w:after="60" w:line="200" w:lineRule="exact"/>
              <w:jc w:val="right"/>
              <w:rPr>
                <w:b/>
                <w:sz w:val="16"/>
                <w:szCs w:val="16"/>
              </w:rPr>
            </w:pPr>
          </w:p>
        </w:tc>
      </w:tr>
      <w:tr w:rsidR="009718F7" w:rsidRPr="00B53505" w14:paraId="25B8EBD7" w14:textId="77777777">
        <w:trPr>
          <w:trHeight w:val="585"/>
        </w:trPr>
        <w:tc>
          <w:tcPr>
            <w:tcW w:w="1980" w:type="dxa"/>
            <w:shd w:val="clear" w:color="auto" w:fill="CCCCCC"/>
            <w:vAlign w:val="center"/>
          </w:tcPr>
          <w:p w14:paraId="3AA16BCE" w14:textId="77777777" w:rsidR="009718F7" w:rsidRPr="00B53505" w:rsidRDefault="009718F7">
            <w:pPr>
              <w:spacing w:before="60" w:after="60" w:line="200" w:lineRule="exact"/>
              <w:jc w:val="center"/>
              <w:rPr>
                <w:b/>
                <w:sz w:val="16"/>
                <w:szCs w:val="16"/>
              </w:rPr>
            </w:pPr>
            <w:r w:rsidRPr="00B53505">
              <w:rPr>
                <w:b/>
                <w:sz w:val="16"/>
              </w:rPr>
              <w:t xml:space="preserve">Subtotal </w:t>
            </w:r>
            <w:r w:rsidRPr="00B53505">
              <w:rPr>
                <w:sz w:val="22"/>
              </w:rPr>
              <w:br/>
            </w:r>
            <w:r w:rsidRPr="00B53505">
              <w:rPr>
                <w:b/>
                <w:sz w:val="16"/>
              </w:rPr>
              <w:t>outside HEADING 5</w:t>
            </w:r>
            <w:r w:rsidRPr="00B53505">
              <w:rPr>
                <w:sz w:val="22"/>
              </w:rPr>
              <w:br/>
            </w:r>
            <w:r w:rsidRPr="00B53505">
              <w:rPr>
                <w:b/>
                <w:sz w:val="16"/>
              </w:rPr>
              <w:t xml:space="preserve">of the multiannual financial framework </w:t>
            </w:r>
          </w:p>
        </w:tc>
        <w:tc>
          <w:tcPr>
            <w:tcW w:w="1080" w:type="dxa"/>
            <w:vAlign w:val="center"/>
          </w:tcPr>
          <w:p w14:paraId="5DB18D09" w14:textId="77777777" w:rsidR="009718F7" w:rsidRPr="00B53505" w:rsidRDefault="009718F7">
            <w:pPr>
              <w:spacing w:before="60" w:after="60" w:line="200" w:lineRule="exact"/>
              <w:jc w:val="right"/>
              <w:rPr>
                <w:sz w:val="16"/>
                <w:szCs w:val="16"/>
              </w:rPr>
            </w:pPr>
          </w:p>
        </w:tc>
        <w:tc>
          <w:tcPr>
            <w:tcW w:w="1080" w:type="dxa"/>
            <w:vAlign w:val="center"/>
          </w:tcPr>
          <w:p w14:paraId="7F7C6BE1" w14:textId="77777777" w:rsidR="009718F7" w:rsidRPr="00B53505" w:rsidRDefault="009718F7">
            <w:pPr>
              <w:spacing w:before="60" w:after="60" w:line="200" w:lineRule="exact"/>
              <w:jc w:val="right"/>
              <w:rPr>
                <w:sz w:val="16"/>
                <w:szCs w:val="16"/>
              </w:rPr>
            </w:pPr>
          </w:p>
        </w:tc>
        <w:tc>
          <w:tcPr>
            <w:tcW w:w="1080" w:type="dxa"/>
            <w:vAlign w:val="center"/>
          </w:tcPr>
          <w:p w14:paraId="6343A03B" w14:textId="77777777" w:rsidR="009718F7" w:rsidRPr="00B53505" w:rsidRDefault="009718F7">
            <w:pPr>
              <w:spacing w:before="60" w:after="60" w:line="200" w:lineRule="exact"/>
              <w:jc w:val="right"/>
              <w:rPr>
                <w:sz w:val="16"/>
                <w:szCs w:val="16"/>
              </w:rPr>
            </w:pPr>
          </w:p>
        </w:tc>
        <w:tc>
          <w:tcPr>
            <w:tcW w:w="1080" w:type="dxa"/>
            <w:vAlign w:val="center"/>
          </w:tcPr>
          <w:p w14:paraId="3466DD43" w14:textId="77777777" w:rsidR="009718F7" w:rsidRPr="00B53505" w:rsidRDefault="009718F7">
            <w:pPr>
              <w:spacing w:before="60" w:after="60" w:line="200" w:lineRule="exact"/>
              <w:jc w:val="right"/>
              <w:rPr>
                <w:sz w:val="16"/>
                <w:szCs w:val="16"/>
              </w:rPr>
            </w:pPr>
          </w:p>
        </w:tc>
        <w:tc>
          <w:tcPr>
            <w:tcW w:w="1080" w:type="dxa"/>
            <w:vAlign w:val="center"/>
          </w:tcPr>
          <w:p w14:paraId="69432768" w14:textId="77777777" w:rsidR="009718F7" w:rsidRPr="00B53505" w:rsidRDefault="009718F7">
            <w:pPr>
              <w:spacing w:before="60" w:after="60" w:line="200" w:lineRule="exact"/>
              <w:jc w:val="right"/>
              <w:rPr>
                <w:sz w:val="16"/>
                <w:szCs w:val="16"/>
              </w:rPr>
            </w:pPr>
          </w:p>
        </w:tc>
        <w:tc>
          <w:tcPr>
            <w:tcW w:w="1080" w:type="dxa"/>
            <w:vAlign w:val="center"/>
          </w:tcPr>
          <w:p w14:paraId="504BB957" w14:textId="77777777" w:rsidR="009718F7" w:rsidRPr="00B53505" w:rsidRDefault="009718F7">
            <w:pPr>
              <w:spacing w:before="60" w:after="60" w:line="200" w:lineRule="exact"/>
              <w:jc w:val="right"/>
              <w:rPr>
                <w:sz w:val="16"/>
                <w:szCs w:val="16"/>
              </w:rPr>
            </w:pPr>
          </w:p>
        </w:tc>
        <w:tc>
          <w:tcPr>
            <w:tcW w:w="1080" w:type="dxa"/>
            <w:vAlign w:val="center"/>
          </w:tcPr>
          <w:p w14:paraId="0412226A" w14:textId="77777777" w:rsidR="009718F7" w:rsidRPr="00B53505" w:rsidRDefault="009718F7">
            <w:pPr>
              <w:spacing w:before="60" w:after="60" w:line="200" w:lineRule="exact"/>
              <w:jc w:val="right"/>
              <w:rPr>
                <w:b/>
                <w:sz w:val="16"/>
                <w:szCs w:val="16"/>
              </w:rPr>
            </w:pPr>
          </w:p>
        </w:tc>
        <w:tc>
          <w:tcPr>
            <w:tcW w:w="1080" w:type="dxa"/>
            <w:vAlign w:val="center"/>
          </w:tcPr>
          <w:p w14:paraId="46BEEDE3" w14:textId="77777777" w:rsidR="009718F7" w:rsidRPr="00B53505" w:rsidRDefault="009718F7">
            <w:pPr>
              <w:spacing w:before="60" w:after="60" w:line="200" w:lineRule="exact"/>
              <w:jc w:val="right"/>
              <w:rPr>
                <w:b/>
                <w:sz w:val="16"/>
                <w:szCs w:val="16"/>
              </w:rPr>
            </w:pPr>
          </w:p>
        </w:tc>
      </w:tr>
    </w:tbl>
    <w:p w14:paraId="423C70CB" w14:textId="77777777" w:rsidR="009718F7" w:rsidRPr="00B53505" w:rsidRDefault="009718F7">
      <w:pPr>
        <w:spacing w:line="200" w:lineRule="exact"/>
        <w:rPr>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718F7" w:rsidRPr="00B53505" w14:paraId="25ECA215" w14:textId="77777777">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23C005D9" w14:textId="77777777" w:rsidR="009718F7" w:rsidRPr="00B53505" w:rsidRDefault="009718F7">
            <w:pPr>
              <w:spacing w:before="60" w:after="60" w:line="200" w:lineRule="exact"/>
              <w:jc w:val="center"/>
              <w:rPr>
                <w:sz w:val="16"/>
                <w:szCs w:val="16"/>
              </w:rPr>
            </w:pPr>
            <w:r w:rsidRPr="00B53505">
              <w:rPr>
                <w:b/>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14:paraId="18AD111A" w14:textId="3D52BE65" w:rsidR="009718F7" w:rsidRPr="00B53505" w:rsidRDefault="009718F7" w:rsidP="00A6010A">
            <w:pPr>
              <w:spacing w:before="60" w:after="60" w:line="200" w:lineRule="exact"/>
              <w:jc w:val="right"/>
              <w:rPr>
                <w:b/>
                <w:sz w:val="20"/>
                <w:szCs w:val="20"/>
              </w:rPr>
            </w:pPr>
            <w:r w:rsidRPr="00B53505">
              <w:rPr>
                <w:b/>
                <w:sz w:val="20"/>
                <w:szCs w:val="20"/>
              </w:rPr>
              <w:t>3.</w:t>
            </w:r>
            <w:r w:rsidR="00A6010A" w:rsidRPr="00B53505">
              <w:rPr>
                <w:b/>
                <w:sz w:val="20"/>
                <w:szCs w:val="20"/>
              </w:rPr>
              <w:t>7</w:t>
            </w:r>
            <w:r w:rsidRPr="00B53505">
              <w:rPr>
                <w:b/>
                <w:sz w:val="20"/>
                <w:szCs w:val="20"/>
              </w:rPr>
              <w:t>6</w:t>
            </w:r>
            <w:r w:rsidR="00A6010A" w:rsidRPr="00B53505">
              <w:rPr>
                <w:b/>
                <w:sz w:val="20"/>
                <w:szCs w:val="20"/>
              </w:rPr>
              <w:t>4</w:t>
            </w:r>
          </w:p>
        </w:tc>
        <w:tc>
          <w:tcPr>
            <w:tcW w:w="1080" w:type="dxa"/>
            <w:tcBorders>
              <w:top w:val="single" w:sz="12" w:space="0" w:color="auto"/>
              <w:left w:val="single" w:sz="2" w:space="0" w:color="auto"/>
              <w:bottom w:val="single" w:sz="12" w:space="0" w:color="auto"/>
              <w:right w:val="single" w:sz="2" w:space="0" w:color="auto"/>
            </w:tcBorders>
            <w:vAlign w:val="center"/>
          </w:tcPr>
          <w:p w14:paraId="4275DFEC" w14:textId="2A5F07DA" w:rsidR="009718F7" w:rsidRPr="00B53505" w:rsidRDefault="009718F7" w:rsidP="002A6466">
            <w:pPr>
              <w:spacing w:before="60" w:after="60" w:line="200" w:lineRule="exact"/>
              <w:jc w:val="right"/>
              <w:rPr>
                <w:b/>
                <w:sz w:val="20"/>
                <w:szCs w:val="20"/>
              </w:rPr>
            </w:pPr>
            <w:r w:rsidRPr="00B53505">
              <w:rPr>
                <w:b/>
                <w:sz w:val="20"/>
                <w:szCs w:val="20"/>
              </w:rPr>
              <w:t>3.</w:t>
            </w:r>
            <w:r w:rsidR="00A6010A" w:rsidRPr="00B53505">
              <w:rPr>
                <w:b/>
                <w:sz w:val="20"/>
                <w:szCs w:val="20"/>
              </w:rPr>
              <w:t>7</w:t>
            </w:r>
            <w:r w:rsidRPr="00B53505">
              <w:rPr>
                <w:b/>
                <w:sz w:val="20"/>
                <w:szCs w:val="20"/>
              </w:rPr>
              <w:t>6</w:t>
            </w:r>
            <w:r w:rsidR="00A6010A" w:rsidRPr="00B53505">
              <w:rPr>
                <w:b/>
                <w:sz w:val="20"/>
                <w:szCs w:val="20"/>
              </w:rPr>
              <w:t>4</w:t>
            </w:r>
          </w:p>
        </w:tc>
        <w:tc>
          <w:tcPr>
            <w:tcW w:w="1080" w:type="dxa"/>
            <w:tcBorders>
              <w:top w:val="single" w:sz="12" w:space="0" w:color="auto"/>
              <w:left w:val="single" w:sz="2" w:space="0" w:color="auto"/>
              <w:bottom w:val="single" w:sz="12" w:space="0" w:color="auto"/>
              <w:right w:val="single" w:sz="2" w:space="0" w:color="auto"/>
            </w:tcBorders>
            <w:vAlign w:val="center"/>
          </w:tcPr>
          <w:p w14:paraId="3F1C3388" w14:textId="1ABD03E6" w:rsidR="009718F7" w:rsidRPr="00B53505" w:rsidRDefault="009718F7" w:rsidP="002A6466">
            <w:pPr>
              <w:spacing w:before="60" w:after="60" w:line="200" w:lineRule="exact"/>
              <w:jc w:val="right"/>
              <w:rPr>
                <w:b/>
                <w:sz w:val="20"/>
                <w:szCs w:val="20"/>
              </w:rPr>
            </w:pPr>
            <w:r w:rsidRPr="00B53505">
              <w:rPr>
                <w:b/>
                <w:sz w:val="20"/>
                <w:szCs w:val="20"/>
              </w:rPr>
              <w:t>3.</w:t>
            </w:r>
            <w:r w:rsidR="00A6010A" w:rsidRPr="00B53505">
              <w:rPr>
                <w:b/>
                <w:sz w:val="20"/>
                <w:szCs w:val="20"/>
              </w:rPr>
              <w:t>7</w:t>
            </w:r>
            <w:r w:rsidRPr="00B53505">
              <w:rPr>
                <w:b/>
                <w:sz w:val="20"/>
                <w:szCs w:val="20"/>
              </w:rPr>
              <w:t>6</w:t>
            </w:r>
            <w:r w:rsidR="00A6010A" w:rsidRPr="00B53505">
              <w:rPr>
                <w:b/>
                <w:sz w:val="20"/>
                <w:szCs w:val="20"/>
              </w:rPr>
              <w:t>4</w:t>
            </w:r>
          </w:p>
        </w:tc>
        <w:tc>
          <w:tcPr>
            <w:tcW w:w="1080" w:type="dxa"/>
            <w:tcBorders>
              <w:top w:val="single" w:sz="12" w:space="0" w:color="auto"/>
              <w:left w:val="single" w:sz="2" w:space="0" w:color="auto"/>
              <w:bottom w:val="single" w:sz="12" w:space="0" w:color="auto"/>
              <w:right w:val="single" w:sz="2" w:space="0" w:color="auto"/>
            </w:tcBorders>
            <w:vAlign w:val="center"/>
          </w:tcPr>
          <w:p w14:paraId="37F1B73B" w14:textId="604B4FE4" w:rsidR="009718F7" w:rsidRPr="00B53505" w:rsidRDefault="009718F7" w:rsidP="002A6466">
            <w:pPr>
              <w:spacing w:before="60" w:after="60" w:line="200" w:lineRule="exact"/>
              <w:jc w:val="right"/>
              <w:rPr>
                <w:b/>
                <w:sz w:val="20"/>
                <w:szCs w:val="20"/>
              </w:rPr>
            </w:pPr>
            <w:r w:rsidRPr="00B53505">
              <w:rPr>
                <w:b/>
                <w:sz w:val="20"/>
                <w:szCs w:val="20"/>
              </w:rPr>
              <w:t>3.</w:t>
            </w:r>
            <w:r w:rsidR="00A6010A" w:rsidRPr="00B53505">
              <w:rPr>
                <w:b/>
                <w:sz w:val="20"/>
                <w:szCs w:val="20"/>
              </w:rPr>
              <w:t>7</w:t>
            </w:r>
            <w:r w:rsidRPr="00B53505">
              <w:rPr>
                <w:b/>
                <w:sz w:val="20"/>
                <w:szCs w:val="20"/>
              </w:rPr>
              <w:t>6</w:t>
            </w:r>
            <w:r w:rsidR="00A6010A" w:rsidRPr="00B53505">
              <w:rPr>
                <w:b/>
                <w:sz w:val="20"/>
                <w:szCs w:val="20"/>
              </w:rPr>
              <w:t>4</w:t>
            </w:r>
          </w:p>
        </w:tc>
        <w:tc>
          <w:tcPr>
            <w:tcW w:w="1080" w:type="dxa"/>
            <w:tcBorders>
              <w:top w:val="single" w:sz="12" w:space="0" w:color="auto"/>
              <w:left w:val="single" w:sz="2" w:space="0" w:color="auto"/>
              <w:bottom w:val="single" w:sz="12" w:space="0" w:color="auto"/>
              <w:right w:val="single" w:sz="2" w:space="0" w:color="auto"/>
            </w:tcBorders>
            <w:vAlign w:val="center"/>
          </w:tcPr>
          <w:p w14:paraId="4F0F2F92" w14:textId="77777777" w:rsidR="009718F7" w:rsidRPr="00B53505" w:rsidRDefault="009718F7">
            <w:pPr>
              <w:spacing w:before="60" w:after="60" w:line="200" w:lineRule="exact"/>
              <w:jc w:val="right"/>
              <w:rPr>
                <w:b/>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14A0C56A" w14:textId="77777777" w:rsidR="009718F7" w:rsidRPr="00B53505" w:rsidRDefault="009718F7">
            <w:pPr>
              <w:spacing w:before="60" w:after="60" w:line="200" w:lineRule="exact"/>
              <w:jc w:val="right"/>
              <w:rPr>
                <w:b/>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76C23105" w14:textId="77777777" w:rsidR="009718F7" w:rsidRPr="00B53505" w:rsidRDefault="009718F7">
            <w:pPr>
              <w:spacing w:before="60" w:after="60" w:line="200" w:lineRule="exact"/>
              <w:jc w:val="right"/>
              <w:rPr>
                <w:b/>
                <w:sz w:val="20"/>
                <w:szCs w:val="20"/>
              </w:rPr>
            </w:pPr>
          </w:p>
        </w:tc>
        <w:tc>
          <w:tcPr>
            <w:tcW w:w="1080" w:type="dxa"/>
            <w:tcBorders>
              <w:top w:val="single" w:sz="12" w:space="0" w:color="auto"/>
              <w:left w:val="single" w:sz="2" w:space="0" w:color="auto"/>
              <w:bottom w:val="single" w:sz="12" w:space="0" w:color="auto"/>
              <w:right w:val="single" w:sz="12" w:space="0" w:color="auto"/>
            </w:tcBorders>
            <w:vAlign w:val="center"/>
          </w:tcPr>
          <w:p w14:paraId="12DF91E4" w14:textId="1D85D2EE" w:rsidR="009718F7" w:rsidRPr="00B53505" w:rsidRDefault="009718F7" w:rsidP="00A6010A">
            <w:pPr>
              <w:spacing w:before="60" w:after="60" w:line="200" w:lineRule="exact"/>
              <w:jc w:val="right"/>
              <w:rPr>
                <w:b/>
                <w:sz w:val="20"/>
                <w:szCs w:val="20"/>
              </w:rPr>
            </w:pPr>
            <w:r w:rsidRPr="00B53505">
              <w:rPr>
                <w:b/>
                <w:sz w:val="20"/>
                <w:szCs w:val="20"/>
              </w:rPr>
              <w:t>1</w:t>
            </w:r>
            <w:r w:rsidR="00A6010A" w:rsidRPr="00B53505">
              <w:rPr>
                <w:b/>
                <w:sz w:val="20"/>
                <w:szCs w:val="20"/>
              </w:rPr>
              <w:t>5</w:t>
            </w:r>
            <w:r w:rsidRPr="00B53505">
              <w:rPr>
                <w:b/>
                <w:sz w:val="20"/>
                <w:szCs w:val="20"/>
              </w:rPr>
              <w:t>.0</w:t>
            </w:r>
            <w:r w:rsidR="00A6010A" w:rsidRPr="00B53505">
              <w:rPr>
                <w:b/>
                <w:sz w:val="20"/>
                <w:szCs w:val="20"/>
              </w:rPr>
              <w:t>56</w:t>
            </w:r>
          </w:p>
        </w:tc>
      </w:tr>
    </w:tbl>
    <w:p w14:paraId="0212D9B2" w14:textId="7846A854" w:rsidR="009718F7" w:rsidRPr="00B53505" w:rsidRDefault="009718F7">
      <w:pPr>
        <w:rPr>
          <w:sz w:val="18"/>
        </w:rPr>
      </w:pPr>
      <w:r w:rsidRPr="00B53505">
        <w:rPr>
          <w:sz w:val="18"/>
        </w:rPr>
        <w:t xml:space="preserve">The appropriations required for human resources and other expenditure of an administrative nature will be met by appropriations from the </w:t>
      </w:r>
      <w:r w:rsidR="006128CD" w:rsidRPr="00B53505">
        <w:rPr>
          <w:sz w:val="18"/>
        </w:rPr>
        <w:t xml:space="preserve">managing </w:t>
      </w:r>
      <w:r w:rsidRPr="00B53505">
        <w:rPr>
          <w:sz w:val="18"/>
        </w:rPr>
        <w:t>DG, together if necessary with any additional allocation which may be granted to the managing DG under the annual allocation procedure and in the light of budgetary constraints.</w:t>
      </w:r>
    </w:p>
    <w:p w14:paraId="283641E1" w14:textId="77777777" w:rsidR="009718F7" w:rsidRPr="00B53505" w:rsidRDefault="009718F7">
      <w:pPr>
        <w:rPr>
          <w:sz w:val="18"/>
        </w:rPr>
        <w:sectPr w:rsidR="009718F7" w:rsidRPr="00B53505" w:rsidSect="00772B42">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14:paraId="448A21C4" w14:textId="77777777" w:rsidR="009718F7" w:rsidRPr="00B53505" w:rsidRDefault="009718F7" w:rsidP="009718F7">
      <w:pPr>
        <w:pStyle w:val="Heading4"/>
        <w:rPr>
          <w:bCs w:val="0"/>
          <w:szCs w:val="24"/>
        </w:rPr>
      </w:pPr>
      <w:r w:rsidRPr="00B53505">
        <w:t>Estimated requirements of human resources</w:t>
      </w:r>
    </w:p>
    <w:p w14:paraId="023E428F" w14:textId="77777777" w:rsidR="009718F7" w:rsidRPr="00B53505" w:rsidRDefault="009718F7">
      <w:pPr>
        <w:pStyle w:val="ListDash1"/>
      </w:pPr>
      <w:r w:rsidRPr="00B53505">
        <w:sym w:font="Wingdings" w:char="F0A8"/>
      </w:r>
      <w:r w:rsidRPr="00B53505">
        <w:t xml:space="preserve"> The proposal/initiative does not require the use of human resources. </w:t>
      </w:r>
    </w:p>
    <w:p w14:paraId="298C2012" w14:textId="77777777" w:rsidR="009718F7" w:rsidRPr="00B53505" w:rsidRDefault="009718F7">
      <w:pPr>
        <w:pStyle w:val="ListDash1"/>
      </w:pPr>
      <w:r w:rsidRPr="00B53505">
        <w:t>x</w:t>
      </w:r>
      <w:r w:rsidRPr="00B53505">
        <w:tab/>
        <w:t>The proposal/initiative requires the use of human resources, as explained below:</w:t>
      </w:r>
    </w:p>
    <w:p w14:paraId="7FB72E40" w14:textId="77777777" w:rsidR="009718F7" w:rsidRPr="00B53505" w:rsidRDefault="009718F7">
      <w:pPr>
        <w:spacing w:after="60"/>
        <w:jc w:val="right"/>
        <w:rPr>
          <w:i/>
          <w:sz w:val="20"/>
        </w:rPr>
      </w:pPr>
      <w:r w:rsidRPr="00B53505">
        <w:rPr>
          <w:i/>
          <w:sz w:val="20"/>
        </w:rPr>
        <w:t>Estimate to be expressed in full time equivalent units</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655"/>
        <w:gridCol w:w="655"/>
        <w:gridCol w:w="2615"/>
        <w:gridCol w:w="710"/>
        <w:gridCol w:w="1273"/>
        <w:gridCol w:w="237"/>
        <w:gridCol w:w="236"/>
      </w:tblGrid>
      <w:tr w:rsidR="009718F7" w:rsidRPr="00B53505" w14:paraId="135F98C0" w14:textId="77777777" w:rsidTr="002A6466">
        <w:trPr>
          <w:gridBefore w:val="1"/>
          <w:wBefore w:w="5" w:type="pct"/>
          <w:trHeight w:val="289"/>
          <w:jc w:val="center"/>
        </w:trPr>
        <w:tc>
          <w:tcPr>
            <w:tcW w:w="1897" w:type="pct"/>
            <w:gridSpan w:val="2"/>
            <w:shd w:val="clear" w:color="auto" w:fill="auto"/>
          </w:tcPr>
          <w:p w14:paraId="31764AAE" w14:textId="77777777" w:rsidR="009718F7" w:rsidRPr="00B53505" w:rsidRDefault="009718F7">
            <w:pPr>
              <w:pStyle w:val="Text1"/>
              <w:spacing w:before="40" w:after="40"/>
              <w:ind w:left="0"/>
              <w:jc w:val="center"/>
              <w:rPr>
                <w:i/>
                <w:sz w:val="16"/>
                <w:szCs w:val="16"/>
              </w:rPr>
            </w:pPr>
          </w:p>
        </w:tc>
        <w:tc>
          <w:tcPr>
            <w:tcW w:w="318" w:type="pct"/>
            <w:shd w:val="clear" w:color="auto" w:fill="auto"/>
            <w:vAlign w:val="center"/>
          </w:tcPr>
          <w:p w14:paraId="221BD1C0" w14:textId="77777777" w:rsidR="009718F7" w:rsidRPr="00B53505" w:rsidRDefault="009718F7" w:rsidP="002A6466">
            <w:pPr>
              <w:spacing w:before="20" w:after="20"/>
              <w:jc w:val="center"/>
              <w:rPr>
                <w:sz w:val="20"/>
                <w:szCs w:val="20"/>
              </w:rPr>
            </w:pPr>
            <w:r w:rsidRPr="00B53505">
              <w:rPr>
                <w:sz w:val="20"/>
                <w:szCs w:val="20"/>
              </w:rPr>
              <w:t>Year</w:t>
            </w:r>
            <w:r w:rsidRPr="00B53505">
              <w:rPr>
                <w:sz w:val="20"/>
                <w:szCs w:val="20"/>
              </w:rPr>
              <w:br/>
            </w:r>
            <w:r w:rsidRPr="00B53505">
              <w:rPr>
                <w:b/>
                <w:sz w:val="20"/>
                <w:szCs w:val="20"/>
              </w:rPr>
              <w:t>2017</w:t>
            </w:r>
          </w:p>
        </w:tc>
        <w:tc>
          <w:tcPr>
            <w:tcW w:w="318" w:type="pct"/>
            <w:shd w:val="clear" w:color="auto" w:fill="auto"/>
            <w:vAlign w:val="center"/>
          </w:tcPr>
          <w:p w14:paraId="204A72BE" w14:textId="77777777" w:rsidR="009718F7" w:rsidRPr="00B53505" w:rsidRDefault="009718F7" w:rsidP="002A6466">
            <w:pPr>
              <w:spacing w:before="20" w:after="20"/>
              <w:jc w:val="center"/>
              <w:rPr>
                <w:sz w:val="20"/>
                <w:szCs w:val="20"/>
              </w:rPr>
            </w:pPr>
            <w:r w:rsidRPr="00B53505">
              <w:rPr>
                <w:sz w:val="20"/>
                <w:szCs w:val="20"/>
              </w:rPr>
              <w:t>Year</w:t>
            </w:r>
            <w:r w:rsidRPr="00B53505">
              <w:rPr>
                <w:sz w:val="20"/>
                <w:szCs w:val="20"/>
              </w:rPr>
              <w:br/>
            </w:r>
            <w:r w:rsidRPr="00B53505">
              <w:rPr>
                <w:b/>
                <w:sz w:val="20"/>
                <w:szCs w:val="20"/>
              </w:rPr>
              <w:t>2018</w:t>
            </w:r>
          </w:p>
        </w:tc>
        <w:tc>
          <w:tcPr>
            <w:tcW w:w="1270" w:type="pct"/>
            <w:shd w:val="clear" w:color="auto" w:fill="auto"/>
            <w:vAlign w:val="center"/>
          </w:tcPr>
          <w:p w14:paraId="63209B25" w14:textId="77777777" w:rsidR="009718F7" w:rsidRPr="00B53505" w:rsidRDefault="009718F7" w:rsidP="002A6466">
            <w:pPr>
              <w:spacing w:before="20" w:after="20"/>
              <w:jc w:val="center"/>
              <w:rPr>
                <w:sz w:val="20"/>
                <w:szCs w:val="20"/>
              </w:rPr>
            </w:pPr>
            <w:r w:rsidRPr="00B53505">
              <w:rPr>
                <w:sz w:val="20"/>
                <w:szCs w:val="20"/>
              </w:rPr>
              <w:t xml:space="preserve">Year </w:t>
            </w:r>
            <w:r w:rsidRPr="00B53505">
              <w:rPr>
                <w:b/>
                <w:sz w:val="20"/>
                <w:szCs w:val="20"/>
              </w:rPr>
              <w:t>2019</w:t>
            </w:r>
          </w:p>
        </w:tc>
        <w:tc>
          <w:tcPr>
            <w:tcW w:w="345" w:type="pct"/>
            <w:shd w:val="clear" w:color="auto" w:fill="auto"/>
            <w:vAlign w:val="center"/>
          </w:tcPr>
          <w:p w14:paraId="74ECB627" w14:textId="77777777" w:rsidR="009718F7" w:rsidRPr="00B53505" w:rsidRDefault="009718F7" w:rsidP="002A6466">
            <w:pPr>
              <w:spacing w:before="20" w:after="20"/>
              <w:jc w:val="center"/>
              <w:rPr>
                <w:sz w:val="20"/>
                <w:szCs w:val="20"/>
              </w:rPr>
            </w:pPr>
            <w:r w:rsidRPr="00B53505">
              <w:rPr>
                <w:sz w:val="20"/>
                <w:szCs w:val="20"/>
              </w:rPr>
              <w:t xml:space="preserve">Year </w:t>
            </w:r>
            <w:r w:rsidRPr="00B53505">
              <w:rPr>
                <w:b/>
                <w:sz w:val="20"/>
                <w:szCs w:val="20"/>
              </w:rPr>
              <w:t>2020</w:t>
            </w:r>
          </w:p>
        </w:tc>
        <w:tc>
          <w:tcPr>
            <w:tcW w:w="848" w:type="pct"/>
            <w:gridSpan w:val="3"/>
            <w:shd w:val="clear" w:color="auto" w:fill="auto"/>
            <w:vAlign w:val="center"/>
          </w:tcPr>
          <w:p w14:paraId="3814DC99" w14:textId="77777777" w:rsidR="009718F7" w:rsidRPr="00B53505" w:rsidRDefault="009718F7">
            <w:pPr>
              <w:jc w:val="center"/>
              <w:rPr>
                <w:b/>
                <w:sz w:val="16"/>
                <w:szCs w:val="16"/>
              </w:rPr>
            </w:pPr>
            <w:r w:rsidRPr="00B53505">
              <w:rPr>
                <w:sz w:val="16"/>
              </w:rPr>
              <w:t>Enter as many years as necessary to show the duration of the impact (see point 1.6)</w:t>
            </w:r>
          </w:p>
        </w:tc>
      </w:tr>
      <w:tr w:rsidR="009718F7" w:rsidRPr="00B53505" w14:paraId="7E7ABE81" w14:textId="77777777" w:rsidTr="002A6466">
        <w:trPr>
          <w:gridBefore w:val="1"/>
          <w:wBefore w:w="5" w:type="pct"/>
          <w:trHeight w:val="289"/>
          <w:jc w:val="center"/>
        </w:trPr>
        <w:tc>
          <w:tcPr>
            <w:tcW w:w="3803" w:type="pct"/>
            <w:gridSpan w:val="5"/>
            <w:shd w:val="clear" w:color="auto" w:fill="auto"/>
          </w:tcPr>
          <w:p w14:paraId="5573B5F2" w14:textId="77777777" w:rsidR="009718F7" w:rsidRPr="00B53505" w:rsidRDefault="009718F7">
            <w:pPr>
              <w:spacing w:before="20" w:after="20"/>
              <w:rPr>
                <w:sz w:val="16"/>
                <w:szCs w:val="16"/>
              </w:rPr>
            </w:pPr>
            <w:r w:rsidRPr="00B53505">
              <w:rPr>
                <w:b/>
                <w:sz w:val="16"/>
              </w:rPr>
              <w:sym w:font="Wingdings" w:char="F09F"/>
            </w:r>
            <w:r w:rsidRPr="00B53505">
              <w:rPr>
                <w:b/>
                <w:sz w:val="16"/>
              </w:rPr>
              <w:t xml:space="preserve"> Establishment plan posts (officials and temporary staff)</w:t>
            </w:r>
          </w:p>
        </w:tc>
        <w:tc>
          <w:tcPr>
            <w:tcW w:w="345" w:type="pct"/>
            <w:shd w:val="clear" w:color="auto" w:fill="auto"/>
            <w:vAlign w:val="center"/>
          </w:tcPr>
          <w:p w14:paraId="5317E798" w14:textId="77777777" w:rsidR="009718F7" w:rsidRPr="00B53505" w:rsidRDefault="009718F7">
            <w:pPr>
              <w:spacing w:before="20" w:after="20"/>
              <w:jc w:val="center"/>
              <w:rPr>
                <w:sz w:val="16"/>
                <w:szCs w:val="16"/>
              </w:rPr>
            </w:pPr>
          </w:p>
        </w:tc>
        <w:tc>
          <w:tcPr>
            <w:tcW w:w="848" w:type="pct"/>
            <w:gridSpan w:val="3"/>
            <w:shd w:val="clear" w:color="auto" w:fill="auto"/>
            <w:vAlign w:val="center"/>
          </w:tcPr>
          <w:p w14:paraId="571C9486" w14:textId="77777777" w:rsidR="009718F7" w:rsidRPr="00B53505" w:rsidRDefault="009718F7">
            <w:pPr>
              <w:jc w:val="center"/>
              <w:rPr>
                <w:sz w:val="16"/>
                <w:szCs w:val="16"/>
              </w:rPr>
            </w:pPr>
          </w:p>
        </w:tc>
      </w:tr>
      <w:tr w:rsidR="009718F7" w:rsidRPr="00B53505" w14:paraId="750F8D3B" w14:textId="77777777" w:rsidTr="002A6466">
        <w:trPr>
          <w:gridBefore w:val="1"/>
          <w:wBefore w:w="5" w:type="pct"/>
          <w:trHeight w:val="289"/>
          <w:jc w:val="center"/>
        </w:trPr>
        <w:tc>
          <w:tcPr>
            <w:tcW w:w="1897" w:type="pct"/>
            <w:gridSpan w:val="2"/>
            <w:shd w:val="clear" w:color="auto" w:fill="auto"/>
            <w:vAlign w:val="center"/>
          </w:tcPr>
          <w:p w14:paraId="45EB554C" w14:textId="4359E8DA" w:rsidR="009718F7" w:rsidRPr="00B53505" w:rsidRDefault="00951A8F" w:rsidP="002A6466">
            <w:pPr>
              <w:pStyle w:val="Text1"/>
              <w:spacing w:beforeLines="20" w:before="48" w:afterLines="20" w:after="48"/>
              <w:ind w:left="134"/>
              <w:jc w:val="left"/>
              <w:rPr>
                <w:b/>
                <w:sz w:val="16"/>
                <w:szCs w:val="16"/>
              </w:rPr>
            </w:pPr>
            <w:r w:rsidRPr="00B53505">
              <w:rPr>
                <w:sz w:val="16"/>
              </w:rPr>
              <w:t xml:space="preserve">XX </w:t>
            </w:r>
            <w:r w:rsidR="009718F7" w:rsidRPr="00B53505">
              <w:rPr>
                <w:sz w:val="16"/>
              </w:rPr>
              <w:t>01 01 01 (Headquarters and Commission</w:t>
            </w:r>
            <w:r w:rsidR="00B53505">
              <w:rPr>
                <w:sz w:val="16"/>
              </w:rPr>
              <w:t>'</w:t>
            </w:r>
            <w:r w:rsidR="009718F7" w:rsidRPr="00B53505">
              <w:rPr>
                <w:sz w:val="16"/>
              </w:rPr>
              <w:t>s Representation Offices)</w:t>
            </w:r>
          </w:p>
        </w:tc>
        <w:tc>
          <w:tcPr>
            <w:tcW w:w="318" w:type="pct"/>
            <w:shd w:val="clear" w:color="auto" w:fill="auto"/>
            <w:vAlign w:val="center"/>
          </w:tcPr>
          <w:p w14:paraId="703416F4" w14:textId="31F9BB45" w:rsidR="009718F7" w:rsidRPr="00B53505" w:rsidRDefault="009718F7" w:rsidP="00A6010A">
            <w:pPr>
              <w:spacing w:beforeLines="20" w:before="48" w:afterLines="20" w:after="48"/>
              <w:jc w:val="center"/>
              <w:rPr>
                <w:sz w:val="20"/>
                <w:szCs w:val="20"/>
              </w:rPr>
            </w:pPr>
            <w:r w:rsidRPr="00B53505">
              <w:rPr>
                <w:sz w:val="20"/>
                <w:szCs w:val="20"/>
              </w:rPr>
              <w:t>1</w:t>
            </w:r>
            <w:r w:rsidR="00A6010A" w:rsidRPr="00B53505">
              <w:rPr>
                <w:sz w:val="20"/>
                <w:szCs w:val="20"/>
              </w:rPr>
              <w:t>6</w:t>
            </w:r>
          </w:p>
        </w:tc>
        <w:tc>
          <w:tcPr>
            <w:tcW w:w="318" w:type="pct"/>
            <w:shd w:val="clear" w:color="auto" w:fill="auto"/>
            <w:vAlign w:val="center"/>
          </w:tcPr>
          <w:p w14:paraId="19618062" w14:textId="5492127E" w:rsidR="009718F7" w:rsidRPr="00B53505" w:rsidRDefault="009718F7" w:rsidP="00A6010A">
            <w:pPr>
              <w:spacing w:beforeLines="20" w:before="48" w:afterLines="20" w:after="48"/>
              <w:jc w:val="center"/>
              <w:rPr>
                <w:sz w:val="20"/>
                <w:szCs w:val="20"/>
              </w:rPr>
            </w:pPr>
            <w:r w:rsidRPr="00B53505">
              <w:rPr>
                <w:sz w:val="20"/>
                <w:szCs w:val="20"/>
              </w:rPr>
              <w:t>1</w:t>
            </w:r>
            <w:r w:rsidR="00A6010A" w:rsidRPr="00B53505">
              <w:rPr>
                <w:sz w:val="20"/>
                <w:szCs w:val="20"/>
              </w:rPr>
              <w:t>6</w:t>
            </w:r>
          </w:p>
        </w:tc>
        <w:tc>
          <w:tcPr>
            <w:tcW w:w="1270" w:type="pct"/>
            <w:shd w:val="clear" w:color="auto" w:fill="auto"/>
            <w:vAlign w:val="center"/>
          </w:tcPr>
          <w:p w14:paraId="4C86FF40" w14:textId="02DC501B" w:rsidR="009718F7" w:rsidRPr="00B53505" w:rsidRDefault="009718F7" w:rsidP="00A6010A">
            <w:pPr>
              <w:spacing w:beforeLines="20" w:before="48" w:afterLines="20" w:after="48"/>
              <w:jc w:val="center"/>
              <w:rPr>
                <w:sz w:val="20"/>
                <w:szCs w:val="20"/>
              </w:rPr>
            </w:pPr>
            <w:r w:rsidRPr="00B53505">
              <w:rPr>
                <w:sz w:val="20"/>
                <w:szCs w:val="20"/>
              </w:rPr>
              <w:t>1</w:t>
            </w:r>
            <w:r w:rsidR="00A6010A" w:rsidRPr="00B53505">
              <w:rPr>
                <w:sz w:val="20"/>
                <w:szCs w:val="20"/>
              </w:rPr>
              <w:t>6</w:t>
            </w:r>
          </w:p>
        </w:tc>
        <w:tc>
          <w:tcPr>
            <w:tcW w:w="345" w:type="pct"/>
            <w:shd w:val="clear" w:color="auto" w:fill="auto"/>
            <w:vAlign w:val="center"/>
          </w:tcPr>
          <w:p w14:paraId="71FB174F" w14:textId="58F9D79A" w:rsidR="009718F7" w:rsidRPr="00B53505" w:rsidRDefault="009718F7">
            <w:pPr>
              <w:spacing w:beforeLines="20" w:before="48" w:afterLines="20" w:after="48"/>
              <w:jc w:val="center"/>
              <w:rPr>
                <w:sz w:val="20"/>
                <w:szCs w:val="20"/>
              </w:rPr>
            </w:pPr>
            <w:r w:rsidRPr="00B53505">
              <w:rPr>
                <w:sz w:val="20"/>
                <w:szCs w:val="20"/>
              </w:rPr>
              <w:t>1</w:t>
            </w:r>
            <w:r w:rsidR="00A6010A" w:rsidRPr="00B53505">
              <w:rPr>
                <w:sz w:val="20"/>
                <w:szCs w:val="20"/>
              </w:rPr>
              <w:t>6</w:t>
            </w:r>
          </w:p>
        </w:tc>
        <w:tc>
          <w:tcPr>
            <w:tcW w:w="618" w:type="pct"/>
            <w:shd w:val="clear" w:color="auto" w:fill="auto"/>
            <w:vAlign w:val="center"/>
          </w:tcPr>
          <w:p w14:paraId="48BA2277"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27C9174F"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688FF0A3" w14:textId="77777777" w:rsidR="009718F7" w:rsidRPr="00B53505" w:rsidRDefault="009718F7">
            <w:pPr>
              <w:spacing w:beforeLines="20" w:before="48" w:afterLines="20" w:after="48"/>
              <w:jc w:val="center"/>
              <w:rPr>
                <w:sz w:val="16"/>
                <w:szCs w:val="16"/>
              </w:rPr>
            </w:pPr>
          </w:p>
        </w:tc>
      </w:tr>
      <w:tr w:rsidR="009718F7" w:rsidRPr="00B53505" w14:paraId="12CE4D3D" w14:textId="77777777" w:rsidTr="002A6466">
        <w:trPr>
          <w:gridBefore w:val="1"/>
          <w:wBefore w:w="5" w:type="pct"/>
          <w:trHeight w:val="289"/>
          <w:jc w:val="center"/>
        </w:trPr>
        <w:tc>
          <w:tcPr>
            <w:tcW w:w="1897" w:type="pct"/>
            <w:gridSpan w:val="2"/>
            <w:shd w:val="clear" w:color="auto" w:fill="auto"/>
            <w:vAlign w:val="center"/>
          </w:tcPr>
          <w:p w14:paraId="70A9FF7A" w14:textId="77777777" w:rsidR="009718F7" w:rsidRPr="00B53505" w:rsidRDefault="009718F7">
            <w:pPr>
              <w:pStyle w:val="Text1"/>
              <w:spacing w:beforeLines="20" w:before="48" w:afterLines="20" w:after="48"/>
              <w:ind w:left="134"/>
              <w:jc w:val="left"/>
              <w:rPr>
                <w:sz w:val="16"/>
                <w:szCs w:val="16"/>
              </w:rPr>
            </w:pPr>
            <w:r w:rsidRPr="00B53505">
              <w:rPr>
                <w:sz w:val="16"/>
              </w:rPr>
              <w:t>XX 01 01 02 (Delegations)</w:t>
            </w:r>
          </w:p>
        </w:tc>
        <w:tc>
          <w:tcPr>
            <w:tcW w:w="318" w:type="pct"/>
            <w:shd w:val="clear" w:color="auto" w:fill="auto"/>
            <w:vAlign w:val="center"/>
          </w:tcPr>
          <w:p w14:paraId="44BACCA7" w14:textId="77777777" w:rsidR="009718F7" w:rsidRPr="00B53505" w:rsidRDefault="009718F7">
            <w:pPr>
              <w:spacing w:beforeLines="20" w:before="48" w:afterLines="20" w:after="48"/>
              <w:jc w:val="center"/>
              <w:rPr>
                <w:sz w:val="20"/>
                <w:szCs w:val="20"/>
              </w:rPr>
            </w:pPr>
          </w:p>
        </w:tc>
        <w:tc>
          <w:tcPr>
            <w:tcW w:w="318" w:type="pct"/>
            <w:shd w:val="clear" w:color="auto" w:fill="auto"/>
            <w:vAlign w:val="center"/>
          </w:tcPr>
          <w:p w14:paraId="4D49FAB5" w14:textId="77777777" w:rsidR="009718F7" w:rsidRPr="00B53505" w:rsidRDefault="009718F7">
            <w:pPr>
              <w:spacing w:beforeLines="20" w:before="48" w:afterLines="20" w:after="48"/>
              <w:jc w:val="center"/>
              <w:rPr>
                <w:sz w:val="20"/>
                <w:szCs w:val="20"/>
              </w:rPr>
            </w:pPr>
          </w:p>
        </w:tc>
        <w:tc>
          <w:tcPr>
            <w:tcW w:w="1270" w:type="pct"/>
            <w:shd w:val="clear" w:color="auto" w:fill="auto"/>
            <w:vAlign w:val="center"/>
          </w:tcPr>
          <w:p w14:paraId="2A23DC01" w14:textId="77777777" w:rsidR="009718F7" w:rsidRPr="00B53505" w:rsidRDefault="009718F7">
            <w:pPr>
              <w:spacing w:beforeLines="20" w:before="48" w:afterLines="20" w:after="48"/>
              <w:jc w:val="center"/>
              <w:rPr>
                <w:sz w:val="20"/>
                <w:szCs w:val="20"/>
              </w:rPr>
            </w:pPr>
          </w:p>
        </w:tc>
        <w:tc>
          <w:tcPr>
            <w:tcW w:w="345" w:type="pct"/>
            <w:shd w:val="clear" w:color="auto" w:fill="auto"/>
            <w:vAlign w:val="center"/>
          </w:tcPr>
          <w:p w14:paraId="3CBBDB92" w14:textId="77777777" w:rsidR="009718F7" w:rsidRPr="00B53505" w:rsidRDefault="009718F7">
            <w:pPr>
              <w:spacing w:beforeLines="20" w:before="48" w:afterLines="20" w:after="48"/>
              <w:jc w:val="center"/>
              <w:rPr>
                <w:sz w:val="20"/>
                <w:szCs w:val="20"/>
              </w:rPr>
            </w:pPr>
          </w:p>
        </w:tc>
        <w:tc>
          <w:tcPr>
            <w:tcW w:w="618" w:type="pct"/>
            <w:shd w:val="clear" w:color="auto" w:fill="auto"/>
            <w:vAlign w:val="center"/>
          </w:tcPr>
          <w:p w14:paraId="0DE33547"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607F91F9"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190FEB9B" w14:textId="77777777" w:rsidR="009718F7" w:rsidRPr="00B53505" w:rsidRDefault="009718F7">
            <w:pPr>
              <w:spacing w:beforeLines="20" w:before="48" w:afterLines="20" w:after="48"/>
              <w:jc w:val="center"/>
              <w:rPr>
                <w:sz w:val="16"/>
                <w:szCs w:val="16"/>
              </w:rPr>
            </w:pPr>
          </w:p>
        </w:tc>
      </w:tr>
      <w:tr w:rsidR="009718F7" w:rsidRPr="00B53505" w14:paraId="55FAF5AC" w14:textId="77777777" w:rsidTr="002A6466">
        <w:trPr>
          <w:gridBefore w:val="1"/>
          <w:wBefore w:w="5" w:type="pct"/>
          <w:trHeight w:val="289"/>
          <w:jc w:val="center"/>
        </w:trPr>
        <w:tc>
          <w:tcPr>
            <w:tcW w:w="1897" w:type="pct"/>
            <w:gridSpan w:val="2"/>
            <w:shd w:val="clear" w:color="auto" w:fill="auto"/>
            <w:vAlign w:val="center"/>
          </w:tcPr>
          <w:p w14:paraId="0F75CBEB" w14:textId="77777777" w:rsidR="009718F7" w:rsidRPr="00B53505" w:rsidRDefault="009718F7">
            <w:pPr>
              <w:pStyle w:val="Text1"/>
              <w:spacing w:beforeLines="20" w:before="48" w:afterLines="20" w:after="48"/>
              <w:ind w:left="134"/>
              <w:jc w:val="left"/>
              <w:rPr>
                <w:sz w:val="16"/>
                <w:szCs w:val="16"/>
              </w:rPr>
            </w:pPr>
            <w:r w:rsidRPr="00B53505">
              <w:rPr>
                <w:sz w:val="16"/>
              </w:rPr>
              <w:t>XX 01 05 01 (Indirect research)</w:t>
            </w:r>
          </w:p>
        </w:tc>
        <w:tc>
          <w:tcPr>
            <w:tcW w:w="318" w:type="pct"/>
            <w:shd w:val="clear" w:color="auto" w:fill="auto"/>
            <w:vAlign w:val="center"/>
          </w:tcPr>
          <w:p w14:paraId="351CB709" w14:textId="77777777" w:rsidR="009718F7" w:rsidRPr="00B53505" w:rsidRDefault="009718F7">
            <w:pPr>
              <w:spacing w:beforeLines="20" w:before="48" w:afterLines="20" w:after="48"/>
              <w:jc w:val="center"/>
              <w:rPr>
                <w:sz w:val="20"/>
                <w:szCs w:val="20"/>
              </w:rPr>
            </w:pPr>
          </w:p>
        </w:tc>
        <w:tc>
          <w:tcPr>
            <w:tcW w:w="318" w:type="pct"/>
            <w:shd w:val="clear" w:color="auto" w:fill="auto"/>
            <w:vAlign w:val="center"/>
          </w:tcPr>
          <w:p w14:paraId="29A6A4BF" w14:textId="77777777" w:rsidR="009718F7" w:rsidRPr="00B53505" w:rsidRDefault="009718F7">
            <w:pPr>
              <w:spacing w:beforeLines="20" w:before="48" w:afterLines="20" w:after="48"/>
              <w:jc w:val="center"/>
              <w:rPr>
                <w:sz w:val="20"/>
                <w:szCs w:val="20"/>
              </w:rPr>
            </w:pPr>
          </w:p>
        </w:tc>
        <w:tc>
          <w:tcPr>
            <w:tcW w:w="1270" w:type="pct"/>
            <w:shd w:val="clear" w:color="auto" w:fill="auto"/>
            <w:vAlign w:val="center"/>
          </w:tcPr>
          <w:p w14:paraId="790AEA02" w14:textId="77777777" w:rsidR="009718F7" w:rsidRPr="00B53505" w:rsidRDefault="009718F7">
            <w:pPr>
              <w:spacing w:beforeLines="20" w:before="48" w:afterLines="20" w:after="48"/>
              <w:jc w:val="center"/>
              <w:rPr>
                <w:sz w:val="20"/>
                <w:szCs w:val="20"/>
              </w:rPr>
            </w:pPr>
          </w:p>
        </w:tc>
        <w:tc>
          <w:tcPr>
            <w:tcW w:w="345" w:type="pct"/>
            <w:shd w:val="clear" w:color="auto" w:fill="auto"/>
            <w:vAlign w:val="center"/>
          </w:tcPr>
          <w:p w14:paraId="32C03887" w14:textId="77777777" w:rsidR="009718F7" w:rsidRPr="00B53505" w:rsidRDefault="009718F7">
            <w:pPr>
              <w:spacing w:beforeLines="20" w:before="48" w:afterLines="20" w:after="48"/>
              <w:jc w:val="center"/>
              <w:rPr>
                <w:sz w:val="20"/>
                <w:szCs w:val="20"/>
              </w:rPr>
            </w:pPr>
          </w:p>
        </w:tc>
        <w:tc>
          <w:tcPr>
            <w:tcW w:w="618" w:type="pct"/>
            <w:shd w:val="clear" w:color="auto" w:fill="auto"/>
            <w:vAlign w:val="center"/>
          </w:tcPr>
          <w:p w14:paraId="134558CE"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666C8E6E"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6DA1099E" w14:textId="77777777" w:rsidR="009718F7" w:rsidRPr="00B53505" w:rsidRDefault="009718F7">
            <w:pPr>
              <w:spacing w:beforeLines="20" w:before="48" w:afterLines="20" w:after="48"/>
              <w:jc w:val="center"/>
              <w:rPr>
                <w:sz w:val="16"/>
                <w:szCs w:val="16"/>
              </w:rPr>
            </w:pPr>
          </w:p>
        </w:tc>
      </w:tr>
      <w:tr w:rsidR="009718F7" w:rsidRPr="00B53505" w14:paraId="1206D93D" w14:textId="77777777" w:rsidTr="002A6466">
        <w:trPr>
          <w:gridBefore w:val="1"/>
          <w:wBefore w:w="5" w:type="pct"/>
          <w:trHeight w:val="289"/>
          <w:jc w:val="center"/>
        </w:trPr>
        <w:tc>
          <w:tcPr>
            <w:tcW w:w="1897" w:type="pct"/>
            <w:gridSpan w:val="2"/>
            <w:shd w:val="clear" w:color="auto" w:fill="auto"/>
            <w:vAlign w:val="center"/>
          </w:tcPr>
          <w:p w14:paraId="17AFAA51" w14:textId="77777777" w:rsidR="009718F7" w:rsidRPr="00B53505" w:rsidRDefault="009718F7">
            <w:pPr>
              <w:pStyle w:val="Text1"/>
              <w:spacing w:beforeLines="20" w:before="48" w:afterLines="20" w:after="48"/>
              <w:ind w:left="134"/>
              <w:jc w:val="left"/>
              <w:rPr>
                <w:sz w:val="16"/>
                <w:szCs w:val="16"/>
              </w:rPr>
            </w:pPr>
            <w:r w:rsidRPr="00B53505">
              <w:rPr>
                <w:sz w:val="16"/>
              </w:rPr>
              <w:t>10 01 05 01 (Direct research)</w:t>
            </w:r>
          </w:p>
        </w:tc>
        <w:tc>
          <w:tcPr>
            <w:tcW w:w="318" w:type="pct"/>
            <w:shd w:val="clear" w:color="auto" w:fill="auto"/>
            <w:vAlign w:val="center"/>
          </w:tcPr>
          <w:p w14:paraId="4925AF4E" w14:textId="77777777" w:rsidR="009718F7" w:rsidRPr="00B53505" w:rsidRDefault="009718F7">
            <w:pPr>
              <w:spacing w:beforeLines="20" w:before="48" w:afterLines="20" w:after="48"/>
              <w:jc w:val="center"/>
              <w:rPr>
                <w:sz w:val="16"/>
                <w:szCs w:val="16"/>
              </w:rPr>
            </w:pPr>
          </w:p>
        </w:tc>
        <w:tc>
          <w:tcPr>
            <w:tcW w:w="318" w:type="pct"/>
            <w:shd w:val="clear" w:color="auto" w:fill="auto"/>
            <w:vAlign w:val="center"/>
          </w:tcPr>
          <w:p w14:paraId="45C320EC" w14:textId="77777777" w:rsidR="009718F7" w:rsidRPr="00B53505" w:rsidRDefault="009718F7">
            <w:pPr>
              <w:spacing w:beforeLines="20" w:before="48" w:afterLines="20" w:after="48"/>
              <w:jc w:val="center"/>
              <w:rPr>
                <w:sz w:val="16"/>
                <w:szCs w:val="16"/>
              </w:rPr>
            </w:pPr>
          </w:p>
        </w:tc>
        <w:tc>
          <w:tcPr>
            <w:tcW w:w="1270" w:type="pct"/>
            <w:shd w:val="clear" w:color="auto" w:fill="auto"/>
            <w:vAlign w:val="center"/>
          </w:tcPr>
          <w:p w14:paraId="69D2D28D" w14:textId="77777777" w:rsidR="009718F7" w:rsidRPr="00B53505" w:rsidRDefault="009718F7">
            <w:pPr>
              <w:spacing w:beforeLines="20" w:before="48" w:afterLines="20" w:after="48"/>
              <w:jc w:val="center"/>
              <w:rPr>
                <w:sz w:val="16"/>
                <w:szCs w:val="16"/>
              </w:rPr>
            </w:pPr>
          </w:p>
        </w:tc>
        <w:tc>
          <w:tcPr>
            <w:tcW w:w="345" w:type="pct"/>
            <w:shd w:val="clear" w:color="auto" w:fill="auto"/>
            <w:vAlign w:val="center"/>
          </w:tcPr>
          <w:p w14:paraId="57E45CBD" w14:textId="77777777" w:rsidR="009718F7" w:rsidRPr="00B53505" w:rsidRDefault="009718F7">
            <w:pPr>
              <w:spacing w:beforeLines="20" w:before="48" w:afterLines="20" w:after="48"/>
              <w:jc w:val="center"/>
              <w:rPr>
                <w:sz w:val="16"/>
                <w:szCs w:val="16"/>
              </w:rPr>
            </w:pPr>
          </w:p>
        </w:tc>
        <w:tc>
          <w:tcPr>
            <w:tcW w:w="618" w:type="pct"/>
            <w:shd w:val="clear" w:color="auto" w:fill="auto"/>
            <w:vAlign w:val="center"/>
          </w:tcPr>
          <w:p w14:paraId="6EC69F9D"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54E64BE3"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21FA1510" w14:textId="77777777" w:rsidR="009718F7" w:rsidRPr="00B53505" w:rsidRDefault="009718F7">
            <w:pPr>
              <w:spacing w:beforeLines="20" w:before="48" w:afterLines="20" w:after="48"/>
              <w:jc w:val="center"/>
              <w:rPr>
                <w:sz w:val="16"/>
                <w:szCs w:val="16"/>
              </w:rPr>
            </w:pPr>
          </w:p>
        </w:tc>
      </w:tr>
      <w:tr w:rsidR="009718F7" w:rsidRPr="00B53505" w14:paraId="46F412CA" w14:textId="77777777" w:rsidTr="002A6466">
        <w:trPr>
          <w:gridAfter w:val="4"/>
          <w:wAfter w:w="1193" w:type="pct"/>
          <w:trHeight w:val="248"/>
          <w:jc w:val="center"/>
        </w:trPr>
        <w:tc>
          <w:tcPr>
            <w:tcW w:w="3807" w:type="pct"/>
            <w:gridSpan w:val="6"/>
            <w:shd w:val="clear" w:color="auto" w:fill="auto"/>
            <w:vAlign w:val="center"/>
          </w:tcPr>
          <w:p w14:paraId="2BC8A525" w14:textId="77777777" w:rsidR="009718F7" w:rsidRPr="00B53505" w:rsidRDefault="009718F7">
            <w:pPr>
              <w:pStyle w:val="Text1"/>
              <w:spacing w:before="60" w:after="60"/>
              <w:ind w:left="0"/>
              <w:jc w:val="left"/>
              <w:rPr>
                <w:b/>
                <w:sz w:val="16"/>
                <w:szCs w:val="16"/>
              </w:rPr>
            </w:pPr>
            <w:r w:rsidRPr="00B53505">
              <w:rPr>
                <w:b/>
                <w:sz w:val="16"/>
              </w:rPr>
              <w:sym w:font="Wingdings" w:char="F09F"/>
            </w:r>
            <w:r w:rsidRPr="00B53505">
              <w:rPr>
                <w:b/>
                <w:sz w:val="16"/>
              </w:rPr>
              <w:t xml:space="preserve"> External staff (in Full Time Equivalent unit: FTE)</w:t>
            </w:r>
            <w:r w:rsidRPr="00B53505">
              <w:rPr>
                <w:rStyle w:val="FootnoteReference"/>
                <w:b/>
                <w:sz w:val="16"/>
              </w:rPr>
              <w:footnoteReference w:id="48"/>
            </w:r>
          </w:p>
          <w:p w14:paraId="4B7447D2" w14:textId="77777777" w:rsidR="009718F7" w:rsidRPr="00B53505" w:rsidRDefault="009718F7">
            <w:pPr>
              <w:pStyle w:val="Text1"/>
              <w:spacing w:before="0" w:after="0"/>
              <w:ind w:left="0"/>
              <w:jc w:val="left"/>
              <w:rPr>
                <w:sz w:val="16"/>
                <w:szCs w:val="16"/>
              </w:rPr>
            </w:pPr>
          </w:p>
        </w:tc>
      </w:tr>
      <w:tr w:rsidR="009718F7" w:rsidRPr="00B53505" w14:paraId="50915613" w14:textId="77777777" w:rsidTr="002A6466">
        <w:trPr>
          <w:gridBefore w:val="1"/>
          <w:wBefore w:w="5" w:type="pct"/>
          <w:trHeight w:val="289"/>
          <w:jc w:val="center"/>
        </w:trPr>
        <w:tc>
          <w:tcPr>
            <w:tcW w:w="1897" w:type="pct"/>
            <w:gridSpan w:val="2"/>
            <w:shd w:val="clear" w:color="auto" w:fill="auto"/>
            <w:vAlign w:val="center"/>
          </w:tcPr>
          <w:p w14:paraId="1C819E82" w14:textId="312D8DA9" w:rsidR="009718F7" w:rsidRPr="00B53505" w:rsidRDefault="009718F7" w:rsidP="009D35A2">
            <w:pPr>
              <w:pStyle w:val="Text1"/>
              <w:spacing w:beforeLines="20" w:before="48" w:afterLines="20" w:after="48"/>
              <w:ind w:left="136"/>
              <w:jc w:val="left"/>
              <w:rPr>
                <w:b/>
                <w:sz w:val="16"/>
                <w:szCs w:val="16"/>
              </w:rPr>
            </w:pPr>
            <w:r w:rsidRPr="00B53505">
              <w:rPr>
                <w:sz w:val="16"/>
              </w:rPr>
              <w:t xml:space="preserve"> </w:t>
            </w:r>
            <w:r w:rsidR="00951A8F" w:rsidRPr="00B53505">
              <w:rPr>
                <w:sz w:val="16"/>
              </w:rPr>
              <w:t xml:space="preserve">XX </w:t>
            </w:r>
            <w:r w:rsidRPr="00B53505">
              <w:rPr>
                <w:sz w:val="16"/>
              </w:rPr>
              <w:t xml:space="preserve">01 02 01 (AC, END, INT from the </w:t>
            </w:r>
            <w:r w:rsidR="00B53505">
              <w:rPr>
                <w:sz w:val="16"/>
              </w:rPr>
              <w:t>'</w:t>
            </w:r>
            <w:r w:rsidRPr="00B53505">
              <w:rPr>
                <w:sz w:val="16"/>
              </w:rPr>
              <w:t>global envelope</w:t>
            </w:r>
            <w:r w:rsidR="00B53505">
              <w:rPr>
                <w:sz w:val="16"/>
              </w:rPr>
              <w:t>'</w:t>
            </w:r>
            <w:r w:rsidR="00951A8F" w:rsidRPr="00B53505">
              <w:rPr>
                <w:sz w:val="16"/>
              </w:rPr>
              <w:t xml:space="preserve"> in Headquarters</w:t>
            </w:r>
            <w:r w:rsidR="00951A8F" w:rsidRPr="00B53505">
              <w:rPr>
                <w:rStyle w:val="FootnoteReference"/>
                <w:sz w:val="16"/>
              </w:rPr>
              <w:footnoteReference w:id="49"/>
            </w:r>
            <w:r w:rsidRPr="00B53505">
              <w:rPr>
                <w:sz w:val="16"/>
              </w:rPr>
              <w:t>)</w:t>
            </w:r>
          </w:p>
        </w:tc>
        <w:tc>
          <w:tcPr>
            <w:tcW w:w="318" w:type="pct"/>
            <w:shd w:val="clear" w:color="auto" w:fill="auto"/>
            <w:vAlign w:val="center"/>
          </w:tcPr>
          <w:p w14:paraId="33AAB3E0" w14:textId="03D106D8" w:rsidR="009718F7" w:rsidRPr="00B53505" w:rsidRDefault="009718F7" w:rsidP="00A6010A">
            <w:pPr>
              <w:spacing w:beforeLines="20" w:before="48" w:afterLines="20" w:after="48"/>
              <w:jc w:val="center"/>
              <w:rPr>
                <w:sz w:val="20"/>
                <w:szCs w:val="20"/>
              </w:rPr>
            </w:pPr>
            <w:r w:rsidRPr="00B53505">
              <w:rPr>
                <w:sz w:val="20"/>
                <w:szCs w:val="20"/>
              </w:rPr>
              <w:t>1</w:t>
            </w:r>
            <w:r w:rsidR="00A6010A" w:rsidRPr="00B53505">
              <w:rPr>
                <w:sz w:val="20"/>
                <w:szCs w:val="20"/>
              </w:rPr>
              <w:t>6</w:t>
            </w:r>
          </w:p>
        </w:tc>
        <w:tc>
          <w:tcPr>
            <w:tcW w:w="318" w:type="pct"/>
            <w:shd w:val="clear" w:color="auto" w:fill="auto"/>
            <w:vAlign w:val="center"/>
          </w:tcPr>
          <w:p w14:paraId="36C35944" w14:textId="05003310" w:rsidR="009718F7" w:rsidRPr="00B53505" w:rsidRDefault="009718F7" w:rsidP="00A6010A">
            <w:pPr>
              <w:spacing w:beforeLines="20" w:before="48" w:afterLines="20" w:after="48"/>
              <w:jc w:val="center"/>
              <w:rPr>
                <w:sz w:val="20"/>
                <w:szCs w:val="20"/>
              </w:rPr>
            </w:pPr>
            <w:r w:rsidRPr="00B53505">
              <w:rPr>
                <w:sz w:val="20"/>
                <w:szCs w:val="20"/>
              </w:rPr>
              <w:t>1</w:t>
            </w:r>
            <w:r w:rsidR="00A6010A" w:rsidRPr="00B53505">
              <w:rPr>
                <w:sz w:val="20"/>
                <w:szCs w:val="20"/>
              </w:rPr>
              <w:t>6</w:t>
            </w:r>
          </w:p>
        </w:tc>
        <w:tc>
          <w:tcPr>
            <w:tcW w:w="1270" w:type="pct"/>
            <w:shd w:val="clear" w:color="auto" w:fill="auto"/>
            <w:vAlign w:val="center"/>
          </w:tcPr>
          <w:p w14:paraId="7F4444B7" w14:textId="73B38ED4" w:rsidR="009718F7" w:rsidRPr="00B53505" w:rsidRDefault="009718F7" w:rsidP="00A6010A">
            <w:pPr>
              <w:spacing w:beforeLines="20" w:before="48" w:afterLines="20" w:after="48"/>
              <w:jc w:val="center"/>
              <w:rPr>
                <w:sz w:val="20"/>
                <w:szCs w:val="20"/>
              </w:rPr>
            </w:pPr>
            <w:r w:rsidRPr="00B53505">
              <w:rPr>
                <w:sz w:val="20"/>
                <w:szCs w:val="20"/>
              </w:rPr>
              <w:t>1</w:t>
            </w:r>
            <w:r w:rsidR="00A6010A" w:rsidRPr="00B53505">
              <w:rPr>
                <w:sz w:val="20"/>
                <w:szCs w:val="20"/>
              </w:rPr>
              <w:t>6</w:t>
            </w:r>
          </w:p>
        </w:tc>
        <w:tc>
          <w:tcPr>
            <w:tcW w:w="345" w:type="pct"/>
            <w:shd w:val="clear" w:color="auto" w:fill="auto"/>
            <w:vAlign w:val="center"/>
          </w:tcPr>
          <w:p w14:paraId="790D1777" w14:textId="4A7B46B0" w:rsidR="009718F7" w:rsidRPr="00B53505" w:rsidRDefault="009718F7" w:rsidP="00A6010A">
            <w:pPr>
              <w:spacing w:beforeLines="20" w:before="48" w:afterLines="20" w:after="48"/>
              <w:jc w:val="center"/>
              <w:rPr>
                <w:sz w:val="20"/>
                <w:szCs w:val="20"/>
              </w:rPr>
            </w:pPr>
            <w:r w:rsidRPr="00B53505">
              <w:rPr>
                <w:sz w:val="20"/>
                <w:szCs w:val="20"/>
              </w:rPr>
              <w:t>1</w:t>
            </w:r>
            <w:r w:rsidR="00A6010A" w:rsidRPr="00B53505">
              <w:rPr>
                <w:sz w:val="20"/>
                <w:szCs w:val="20"/>
              </w:rPr>
              <w:t>6</w:t>
            </w:r>
          </w:p>
        </w:tc>
        <w:tc>
          <w:tcPr>
            <w:tcW w:w="618" w:type="pct"/>
            <w:shd w:val="clear" w:color="auto" w:fill="auto"/>
            <w:vAlign w:val="center"/>
          </w:tcPr>
          <w:p w14:paraId="064A1B28"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640088CC"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038CEDF4" w14:textId="77777777" w:rsidR="009718F7" w:rsidRPr="00B53505" w:rsidRDefault="009718F7">
            <w:pPr>
              <w:spacing w:beforeLines="20" w:before="48" w:afterLines="20" w:after="48"/>
              <w:jc w:val="center"/>
              <w:rPr>
                <w:sz w:val="16"/>
                <w:szCs w:val="16"/>
              </w:rPr>
            </w:pPr>
          </w:p>
        </w:tc>
      </w:tr>
      <w:tr w:rsidR="009718F7" w:rsidRPr="00B53505" w14:paraId="6A261C28" w14:textId="77777777" w:rsidTr="002A6466">
        <w:trPr>
          <w:gridBefore w:val="1"/>
          <w:wBefore w:w="5" w:type="pct"/>
          <w:trHeight w:val="289"/>
          <w:jc w:val="center"/>
        </w:trPr>
        <w:tc>
          <w:tcPr>
            <w:tcW w:w="1897" w:type="pct"/>
            <w:gridSpan w:val="2"/>
            <w:shd w:val="clear" w:color="auto" w:fill="auto"/>
            <w:vAlign w:val="center"/>
          </w:tcPr>
          <w:p w14:paraId="729FE5B9" w14:textId="77777777" w:rsidR="009718F7" w:rsidRPr="00B53505" w:rsidRDefault="009718F7">
            <w:pPr>
              <w:pStyle w:val="Text1"/>
              <w:spacing w:beforeLines="20" w:before="48" w:afterLines="20" w:after="48"/>
              <w:ind w:left="136"/>
              <w:jc w:val="left"/>
              <w:rPr>
                <w:sz w:val="16"/>
                <w:szCs w:val="16"/>
              </w:rPr>
            </w:pPr>
            <w:r w:rsidRPr="00B53505">
              <w:rPr>
                <w:sz w:val="16"/>
              </w:rPr>
              <w:t>XX 01 02 02 (AC, AL, END, INT and JED in the delegations)</w:t>
            </w:r>
          </w:p>
        </w:tc>
        <w:tc>
          <w:tcPr>
            <w:tcW w:w="318" w:type="pct"/>
            <w:shd w:val="clear" w:color="auto" w:fill="auto"/>
            <w:vAlign w:val="center"/>
          </w:tcPr>
          <w:p w14:paraId="7B3CEDB4" w14:textId="77777777" w:rsidR="009718F7" w:rsidRPr="00B53505" w:rsidRDefault="009718F7">
            <w:pPr>
              <w:spacing w:beforeLines="20" w:before="48" w:afterLines="20" w:after="48"/>
              <w:jc w:val="center"/>
              <w:rPr>
                <w:sz w:val="20"/>
                <w:szCs w:val="20"/>
              </w:rPr>
            </w:pPr>
          </w:p>
        </w:tc>
        <w:tc>
          <w:tcPr>
            <w:tcW w:w="318" w:type="pct"/>
            <w:shd w:val="clear" w:color="auto" w:fill="auto"/>
            <w:vAlign w:val="center"/>
          </w:tcPr>
          <w:p w14:paraId="6B780A33" w14:textId="77777777" w:rsidR="009718F7" w:rsidRPr="00B53505" w:rsidRDefault="009718F7">
            <w:pPr>
              <w:spacing w:beforeLines="20" w:before="48" w:afterLines="20" w:after="48"/>
              <w:jc w:val="center"/>
              <w:rPr>
                <w:sz w:val="20"/>
                <w:szCs w:val="20"/>
              </w:rPr>
            </w:pPr>
          </w:p>
        </w:tc>
        <w:tc>
          <w:tcPr>
            <w:tcW w:w="1270" w:type="pct"/>
            <w:shd w:val="clear" w:color="auto" w:fill="auto"/>
            <w:vAlign w:val="center"/>
          </w:tcPr>
          <w:p w14:paraId="772C3172" w14:textId="77777777" w:rsidR="009718F7" w:rsidRPr="00B53505" w:rsidRDefault="009718F7">
            <w:pPr>
              <w:spacing w:beforeLines="20" w:before="48" w:afterLines="20" w:after="48"/>
              <w:jc w:val="center"/>
              <w:rPr>
                <w:sz w:val="20"/>
                <w:szCs w:val="20"/>
              </w:rPr>
            </w:pPr>
          </w:p>
        </w:tc>
        <w:tc>
          <w:tcPr>
            <w:tcW w:w="345" w:type="pct"/>
            <w:shd w:val="clear" w:color="auto" w:fill="auto"/>
            <w:vAlign w:val="center"/>
          </w:tcPr>
          <w:p w14:paraId="7571EA68" w14:textId="77777777" w:rsidR="009718F7" w:rsidRPr="00B53505" w:rsidRDefault="009718F7">
            <w:pPr>
              <w:spacing w:beforeLines="20" w:before="48" w:afterLines="20" w:after="48"/>
              <w:jc w:val="center"/>
              <w:rPr>
                <w:sz w:val="20"/>
                <w:szCs w:val="20"/>
              </w:rPr>
            </w:pPr>
          </w:p>
        </w:tc>
        <w:tc>
          <w:tcPr>
            <w:tcW w:w="618" w:type="pct"/>
            <w:shd w:val="clear" w:color="auto" w:fill="auto"/>
            <w:vAlign w:val="center"/>
          </w:tcPr>
          <w:p w14:paraId="2E3A8BB2"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170E0582"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0FF5F78A" w14:textId="77777777" w:rsidR="009718F7" w:rsidRPr="00B53505" w:rsidRDefault="009718F7">
            <w:pPr>
              <w:spacing w:beforeLines="20" w:before="48" w:afterLines="20" w:after="48"/>
              <w:jc w:val="center"/>
              <w:rPr>
                <w:sz w:val="16"/>
                <w:szCs w:val="16"/>
              </w:rPr>
            </w:pPr>
          </w:p>
        </w:tc>
      </w:tr>
      <w:tr w:rsidR="009718F7" w:rsidRPr="00B53505" w14:paraId="5EA197BF" w14:textId="77777777" w:rsidTr="002A6466">
        <w:trPr>
          <w:gridBefore w:val="1"/>
          <w:wBefore w:w="5" w:type="pct"/>
          <w:trHeight w:val="289"/>
          <w:jc w:val="center"/>
        </w:trPr>
        <w:tc>
          <w:tcPr>
            <w:tcW w:w="948" w:type="pct"/>
            <w:vMerge w:val="restart"/>
            <w:shd w:val="clear" w:color="auto" w:fill="auto"/>
            <w:vAlign w:val="center"/>
          </w:tcPr>
          <w:p w14:paraId="53131F1E" w14:textId="77777777" w:rsidR="009718F7" w:rsidRPr="00B53505" w:rsidRDefault="009718F7">
            <w:pPr>
              <w:pStyle w:val="Text1"/>
              <w:spacing w:beforeLines="20" w:before="48" w:afterLines="20" w:after="48"/>
              <w:ind w:left="136"/>
              <w:jc w:val="left"/>
              <w:rPr>
                <w:b/>
                <w:sz w:val="16"/>
                <w:szCs w:val="16"/>
              </w:rPr>
            </w:pPr>
            <w:r w:rsidRPr="00B53505">
              <w:rPr>
                <w:b/>
                <w:sz w:val="16"/>
                <w:szCs w:val="16"/>
              </w:rPr>
              <w:t>XX</w:t>
            </w:r>
            <w:r w:rsidRPr="00B53505">
              <w:rPr>
                <w:sz w:val="16"/>
                <w:szCs w:val="16"/>
              </w:rPr>
              <w:t xml:space="preserve"> 01 04 </w:t>
            </w:r>
            <w:r w:rsidRPr="00B53505">
              <w:rPr>
                <w:b/>
                <w:sz w:val="16"/>
                <w:szCs w:val="16"/>
              </w:rPr>
              <w:t>yy</w:t>
            </w:r>
            <w:r w:rsidRPr="00B53505">
              <w:rPr>
                <w:b/>
                <w:i/>
                <w:sz w:val="16"/>
              </w:rPr>
              <w:t xml:space="preserve"> </w:t>
            </w:r>
            <w:r w:rsidRPr="00B53505">
              <w:rPr>
                <w:rStyle w:val="FootnoteReference"/>
                <w:b/>
                <w:i/>
                <w:sz w:val="16"/>
              </w:rPr>
              <w:footnoteReference w:id="50"/>
            </w:r>
          </w:p>
          <w:p w14:paraId="1F9DB404" w14:textId="77777777" w:rsidR="009718F7" w:rsidRPr="00B53505" w:rsidRDefault="009718F7">
            <w:pPr>
              <w:pStyle w:val="Text1"/>
              <w:spacing w:beforeLines="20" w:before="48" w:afterLines="20" w:after="48"/>
              <w:ind w:left="136"/>
              <w:jc w:val="left"/>
              <w:rPr>
                <w:b/>
                <w:sz w:val="16"/>
                <w:szCs w:val="16"/>
              </w:rPr>
            </w:pPr>
          </w:p>
        </w:tc>
        <w:tc>
          <w:tcPr>
            <w:tcW w:w="949" w:type="pct"/>
            <w:shd w:val="clear" w:color="auto" w:fill="auto"/>
            <w:vAlign w:val="center"/>
          </w:tcPr>
          <w:p w14:paraId="000FC96F" w14:textId="77777777" w:rsidR="009718F7" w:rsidRPr="00B53505" w:rsidRDefault="009718F7">
            <w:pPr>
              <w:pStyle w:val="Text1"/>
              <w:spacing w:beforeLines="20" w:before="48" w:afterLines="20" w:after="48"/>
              <w:ind w:left="136"/>
              <w:jc w:val="left"/>
              <w:rPr>
                <w:b/>
                <w:sz w:val="16"/>
                <w:szCs w:val="16"/>
              </w:rPr>
            </w:pPr>
            <w:r w:rsidRPr="00B53505">
              <w:rPr>
                <w:sz w:val="16"/>
              </w:rPr>
              <w:t>- at Headquarters</w:t>
            </w:r>
          </w:p>
          <w:p w14:paraId="78AF61D7" w14:textId="77777777" w:rsidR="009718F7" w:rsidRPr="00B53505" w:rsidRDefault="009718F7">
            <w:pPr>
              <w:pStyle w:val="Text1"/>
              <w:spacing w:beforeLines="20" w:before="48" w:afterLines="20" w:after="48"/>
              <w:ind w:left="136"/>
              <w:jc w:val="left"/>
              <w:rPr>
                <w:b/>
                <w:sz w:val="16"/>
                <w:szCs w:val="16"/>
              </w:rPr>
            </w:pPr>
          </w:p>
        </w:tc>
        <w:tc>
          <w:tcPr>
            <w:tcW w:w="318" w:type="pct"/>
            <w:shd w:val="clear" w:color="auto" w:fill="auto"/>
            <w:vAlign w:val="center"/>
          </w:tcPr>
          <w:p w14:paraId="7B496FFC" w14:textId="77777777" w:rsidR="009718F7" w:rsidRPr="00B53505" w:rsidRDefault="009718F7">
            <w:pPr>
              <w:pStyle w:val="Text1"/>
              <w:spacing w:beforeLines="20" w:before="48" w:afterLines="20" w:after="48"/>
              <w:ind w:left="0"/>
              <w:rPr>
                <w:sz w:val="20"/>
                <w:szCs w:val="20"/>
              </w:rPr>
            </w:pPr>
          </w:p>
        </w:tc>
        <w:tc>
          <w:tcPr>
            <w:tcW w:w="318" w:type="pct"/>
            <w:shd w:val="clear" w:color="auto" w:fill="auto"/>
            <w:vAlign w:val="center"/>
          </w:tcPr>
          <w:p w14:paraId="4B5A2057" w14:textId="77777777" w:rsidR="009718F7" w:rsidRPr="00B53505" w:rsidRDefault="009718F7">
            <w:pPr>
              <w:spacing w:beforeLines="20" w:before="48" w:afterLines="20" w:after="48"/>
              <w:jc w:val="center"/>
              <w:rPr>
                <w:sz w:val="20"/>
                <w:szCs w:val="20"/>
              </w:rPr>
            </w:pPr>
          </w:p>
        </w:tc>
        <w:tc>
          <w:tcPr>
            <w:tcW w:w="1270" w:type="pct"/>
            <w:shd w:val="clear" w:color="auto" w:fill="auto"/>
            <w:vAlign w:val="center"/>
          </w:tcPr>
          <w:p w14:paraId="5B9784F1" w14:textId="77777777" w:rsidR="009718F7" w:rsidRPr="00B53505" w:rsidRDefault="009718F7">
            <w:pPr>
              <w:spacing w:beforeLines="20" w:before="48" w:afterLines="20" w:after="48"/>
              <w:jc w:val="center"/>
              <w:rPr>
                <w:sz w:val="20"/>
                <w:szCs w:val="20"/>
              </w:rPr>
            </w:pPr>
          </w:p>
        </w:tc>
        <w:tc>
          <w:tcPr>
            <w:tcW w:w="345" w:type="pct"/>
            <w:shd w:val="clear" w:color="auto" w:fill="auto"/>
            <w:vAlign w:val="center"/>
          </w:tcPr>
          <w:p w14:paraId="5ED3FB7F" w14:textId="77777777" w:rsidR="009718F7" w:rsidRPr="00B53505" w:rsidRDefault="009718F7">
            <w:pPr>
              <w:spacing w:beforeLines="20" w:before="48" w:afterLines="20" w:after="48"/>
              <w:jc w:val="center"/>
              <w:rPr>
                <w:sz w:val="20"/>
                <w:szCs w:val="20"/>
              </w:rPr>
            </w:pPr>
          </w:p>
        </w:tc>
        <w:tc>
          <w:tcPr>
            <w:tcW w:w="618" w:type="pct"/>
            <w:shd w:val="clear" w:color="auto" w:fill="auto"/>
            <w:vAlign w:val="center"/>
          </w:tcPr>
          <w:p w14:paraId="05643133"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6FC020E1"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38BA5026" w14:textId="77777777" w:rsidR="009718F7" w:rsidRPr="00B53505" w:rsidRDefault="009718F7">
            <w:pPr>
              <w:spacing w:beforeLines="20" w:before="48" w:afterLines="20" w:after="48"/>
              <w:jc w:val="center"/>
              <w:rPr>
                <w:sz w:val="16"/>
                <w:szCs w:val="16"/>
              </w:rPr>
            </w:pPr>
          </w:p>
        </w:tc>
      </w:tr>
      <w:tr w:rsidR="009718F7" w:rsidRPr="00B53505" w14:paraId="4543701E" w14:textId="77777777" w:rsidTr="002A6466">
        <w:trPr>
          <w:gridBefore w:val="1"/>
          <w:wBefore w:w="5" w:type="pct"/>
          <w:trHeight w:val="289"/>
          <w:jc w:val="center"/>
        </w:trPr>
        <w:tc>
          <w:tcPr>
            <w:tcW w:w="948" w:type="pct"/>
            <w:vMerge/>
            <w:shd w:val="clear" w:color="auto" w:fill="auto"/>
            <w:vAlign w:val="center"/>
          </w:tcPr>
          <w:p w14:paraId="78476156" w14:textId="77777777" w:rsidR="009718F7" w:rsidRPr="00B53505" w:rsidRDefault="009718F7">
            <w:pPr>
              <w:pStyle w:val="Text1"/>
              <w:spacing w:beforeLines="20" w:before="48" w:afterLines="20" w:after="48"/>
              <w:ind w:left="136"/>
              <w:jc w:val="left"/>
              <w:rPr>
                <w:b/>
                <w:sz w:val="16"/>
                <w:szCs w:val="16"/>
              </w:rPr>
            </w:pPr>
          </w:p>
        </w:tc>
        <w:tc>
          <w:tcPr>
            <w:tcW w:w="949" w:type="pct"/>
            <w:shd w:val="clear" w:color="auto" w:fill="auto"/>
            <w:vAlign w:val="center"/>
          </w:tcPr>
          <w:p w14:paraId="656E101C" w14:textId="77777777" w:rsidR="009718F7" w:rsidRPr="00B53505" w:rsidRDefault="009718F7">
            <w:pPr>
              <w:pStyle w:val="Text1"/>
              <w:spacing w:beforeLines="20" w:before="48" w:afterLines="20" w:after="48"/>
              <w:ind w:left="136"/>
              <w:jc w:val="left"/>
              <w:rPr>
                <w:b/>
                <w:sz w:val="16"/>
                <w:szCs w:val="16"/>
              </w:rPr>
            </w:pPr>
            <w:r w:rsidRPr="00B53505">
              <w:rPr>
                <w:sz w:val="16"/>
              </w:rPr>
              <w:t xml:space="preserve">- in Delegations </w:t>
            </w:r>
          </w:p>
        </w:tc>
        <w:tc>
          <w:tcPr>
            <w:tcW w:w="318" w:type="pct"/>
            <w:shd w:val="clear" w:color="auto" w:fill="auto"/>
            <w:vAlign w:val="center"/>
          </w:tcPr>
          <w:p w14:paraId="4A6CE35B" w14:textId="77777777" w:rsidR="009718F7" w:rsidRPr="00B53505" w:rsidRDefault="009718F7">
            <w:pPr>
              <w:pStyle w:val="Text1"/>
              <w:spacing w:beforeLines="20" w:before="48" w:afterLines="20" w:after="48"/>
              <w:ind w:left="0"/>
              <w:rPr>
                <w:sz w:val="20"/>
                <w:szCs w:val="20"/>
              </w:rPr>
            </w:pPr>
          </w:p>
        </w:tc>
        <w:tc>
          <w:tcPr>
            <w:tcW w:w="318" w:type="pct"/>
            <w:shd w:val="clear" w:color="auto" w:fill="auto"/>
            <w:vAlign w:val="center"/>
          </w:tcPr>
          <w:p w14:paraId="4E5AE416" w14:textId="77777777" w:rsidR="009718F7" w:rsidRPr="00B53505" w:rsidRDefault="009718F7">
            <w:pPr>
              <w:spacing w:beforeLines="20" w:before="48" w:afterLines="20" w:after="48"/>
              <w:jc w:val="center"/>
              <w:rPr>
                <w:sz w:val="20"/>
                <w:szCs w:val="20"/>
              </w:rPr>
            </w:pPr>
          </w:p>
        </w:tc>
        <w:tc>
          <w:tcPr>
            <w:tcW w:w="1270" w:type="pct"/>
            <w:shd w:val="clear" w:color="auto" w:fill="auto"/>
            <w:vAlign w:val="center"/>
          </w:tcPr>
          <w:p w14:paraId="0FED0B84" w14:textId="77777777" w:rsidR="009718F7" w:rsidRPr="00B53505" w:rsidRDefault="009718F7">
            <w:pPr>
              <w:spacing w:beforeLines="20" w:before="48" w:afterLines="20" w:after="48"/>
              <w:jc w:val="center"/>
              <w:rPr>
                <w:sz w:val="20"/>
                <w:szCs w:val="20"/>
              </w:rPr>
            </w:pPr>
          </w:p>
        </w:tc>
        <w:tc>
          <w:tcPr>
            <w:tcW w:w="345" w:type="pct"/>
            <w:shd w:val="clear" w:color="auto" w:fill="auto"/>
            <w:vAlign w:val="center"/>
          </w:tcPr>
          <w:p w14:paraId="13DF9388" w14:textId="77777777" w:rsidR="009718F7" w:rsidRPr="00B53505" w:rsidRDefault="009718F7">
            <w:pPr>
              <w:spacing w:beforeLines="20" w:before="48" w:afterLines="20" w:after="48"/>
              <w:jc w:val="center"/>
              <w:rPr>
                <w:sz w:val="20"/>
                <w:szCs w:val="20"/>
              </w:rPr>
            </w:pPr>
          </w:p>
        </w:tc>
        <w:tc>
          <w:tcPr>
            <w:tcW w:w="618" w:type="pct"/>
            <w:shd w:val="clear" w:color="auto" w:fill="auto"/>
            <w:vAlign w:val="center"/>
          </w:tcPr>
          <w:p w14:paraId="032B9450"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39E5749D"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32B783AE" w14:textId="77777777" w:rsidR="009718F7" w:rsidRPr="00B53505" w:rsidRDefault="009718F7">
            <w:pPr>
              <w:spacing w:beforeLines="20" w:before="48" w:afterLines="20" w:after="48"/>
              <w:jc w:val="center"/>
              <w:rPr>
                <w:sz w:val="16"/>
                <w:szCs w:val="16"/>
              </w:rPr>
            </w:pPr>
          </w:p>
        </w:tc>
      </w:tr>
      <w:tr w:rsidR="009718F7" w:rsidRPr="00B53505" w14:paraId="760AE7EE" w14:textId="77777777" w:rsidTr="002A6466">
        <w:trPr>
          <w:gridBefore w:val="1"/>
          <w:wBefore w:w="5" w:type="pct"/>
          <w:trHeight w:val="289"/>
          <w:jc w:val="center"/>
        </w:trPr>
        <w:tc>
          <w:tcPr>
            <w:tcW w:w="1897" w:type="pct"/>
            <w:gridSpan w:val="2"/>
            <w:shd w:val="clear" w:color="auto" w:fill="auto"/>
            <w:vAlign w:val="center"/>
          </w:tcPr>
          <w:p w14:paraId="47311ACC" w14:textId="77777777" w:rsidR="009718F7" w:rsidRPr="00B53505" w:rsidRDefault="009718F7">
            <w:pPr>
              <w:pStyle w:val="Text1"/>
              <w:spacing w:beforeLines="20" w:before="48" w:afterLines="20" w:after="48"/>
              <w:ind w:left="136"/>
              <w:jc w:val="left"/>
              <w:rPr>
                <w:sz w:val="16"/>
                <w:szCs w:val="16"/>
              </w:rPr>
            </w:pPr>
            <w:r w:rsidRPr="00B53505">
              <w:rPr>
                <w:b/>
                <w:sz w:val="16"/>
                <w:szCs w:val="16"/>
              </w:rPr>
              <w:t>XX</w:t>
            </w:r>
            <w:r w:rsidRPr="00B53505">
              <w:rPr>
                <w:sz w:val="16"/>
                <w:szCs w:val="16"/>
              </w:rPr>
              <w:t xml:space="preserve"> 01 05 02 (AC, END, INT - Indirect research)</w:t>
            </w:r>
          </w:p>
        </w:tc>
        <w:tc>
          <w:tcPr>
            <w:tcW w:w="318" w:type="pct"/>
            <w:shd w:val="clear" w:color="auto" w:fill="auto"/>
            <w:vAlign w:val="center"/>
          </w:tcPr>
          <w:p w14:paraId="41DDCD2A" w14:textId="77777777" w:rsidR="009718F7" w:rsidRPr="00B53505" w:rsidRDefault="009718F7">
            <w:pPr>
              <w:spacing w:beforeLines="20" w:before="48" w:afterLines="20" w:after="48"/>
              <w:jc w:val="center"/>
              <w:rPr>
                <w:sz w:val="20"/>
                <w:szCs w:val="20"/>
              </w:rPr>
            </w:pPr>
          </w:p>
        </w:tc>
        <w:tc>
          <w:tcPr>
            <w:tcW w:w="318" w:type="pct"/>
            <w:shd w:val="clear" w:color="auto" w:fill="auto"/>
            <w:vAlign w:val="center"/>
          </w:tcPr>
          <w:p w14:paraId="7514A1EA" w14:textId="77777777" w:rsidR="009718F7" w:rsidRPr="00B53505" w:rsidRDefault="009718F7">
            <w:pPr>
              <w:spacing w:beforeLines="20" w:before="48" w:afterLines="20" w:after="48"/>
              <w:jc w:val="center"/>
              <w:rPr>
                <w:sz w:val="20"/>
                <w:szCs w:val="20"/>
              </w:rPr>
            </w:pPr>
          </w:p>
        </w:tc>
        <w:tc>
          <w:tcPr>
            <w:tcW w:w="1270" w:type="pct"/>
            <w:shd w:val="clear" w:color="auto" w:fill="auto"/>
            <w:vAlign w:val="center"/>
          </w:tcPr>
          <w:p w14:paraId="33949029" w14:textId="77777777" w:rsidR="009718F7" w:rsidRPr="00B53505" w:rsidRDefault="009718F7">
            <w:pPr>
              <w:spacing w:beforeLines="20" w:before="48" w:afterLines="20" w:after="48"/>
              <w:jc w:val="center"/>
              <w:rPr>
                <w:sz w:val="20"/>
                <w:szCs w:val="20"/>
              </w:rPr>
            </w:pPr>
          </w:p>
        </w:tc>
        <w:tc>
          <w:tcPr>
            <w:tcW w:w="345" w:type="pct"/>
            <w:shd w:val="clear" w:color="auto" w:fill="auto"/>
            <w:vAlign w:val="center"/>
          </w:tcPr>
          <w:p w14:paraId="656B3C00" w14:textId="77777777" w:rsidR="009718F7" w:rsidRPr="00B53505" w:rsidRDefault="009718F7">
            <w:pPr>
              <w:spacing w:beforeLines="20" w:before="48" w:afterLines="20" w:after="48"/>
              <w:jc w:val="center"/>
              <w:rPr>
                <w:sz w:val="20"/>
                <w:szCs w:val="20"/>
              </w:rPr>
            </w:pPr>
          </w:p>
        </w:tc>
        <w:tc>
          <w:tcPr>
            <w:tcW w:w="618" w:type="pct"/>
            <w:shd w:val="clear" w:color="auto" w:fill="auto"/>
            <w:vAlign w:val="center"/>
          </w:tcPr>
          <w:p w14:paraId="5DE9B44C"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69B6C1D1"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23365295" w14:textId="77777777" w:rsidR="009718F7" w:rsidRPr="00B53505" w:rsidRDefault="009718F7">
            <w:pPr>
              <w:spacing w:beforeLines="20" w:before="48" w:afterLines="20" w:after="48"/>
              <w:jc w:val="center"/>
              <w:rPr>
                <w:sz w:val="16"/>
                <w:szCs w:val="16"/>
              </w:rPr>
            </w:pPr>
          </w:p>
        </w:tc>
      </w:tr>
      <w:tr w:rsidR="009718F7" w:rsidRPr="00B53505" w14:paraId="3B409267" w14:textId="77777777" w:rsidTr="002A6466">
        <w:trPr>
          <w:gridBefore w:val="1"/>
          <w:wBefore w:w="5" w:type="pct"/>
          <w:trHeight w:val="289"/>
          <w:jc w:val="center"/>
        </w:trPr>
        <w:tc>
          <w:tcPr>
            <w:tcW w:w="1897" w:type="pct"/>
            <w:gridSpan w:val="2"/>
            <w:shd w:val="clear" w:color="auto" w:fill="auto"/>
            <w:vAlign w:val="center"/>
          </w:tcPr>
          <w:p w14:paraId="1B709272" w14:textId="77777777" w:rsidR="009718F7" w:rsidRPr="00B53505" w:rsidRDefault="009718F7">
            <w:pPr>
              <w:pStyle w:val="Text1"/>
              <w:spacing w:beforeLines="20" w:before="48" w:afterLines="20" w:after="48"/>
              <w:ind w:left="136"/>
              <w:jc w:val="left"/>
              <w:rPr>
                <w:sz w:val="16"/>
                <w:szCs w:val="16"/>
              </w:rPr>
            </w:pPr>
            <w:r w:rsidRPr="00B53505">
              <w:rPr>
                <w:sz w:val="16"/>
              </w:rPr>
              <w:t>10 01 05 02 (AC, END, INT - Direct research)</w:t>
            </w:r>
          </w:p>
        </w:tc>
        <w:tc>
          <w:tcPr>
            <w:tcW w:w="318" w:type="pct"/>
            <w:shd w:val="clear" w:color="auto" w:fill="auto"/>
            <w:vAlign w:val="center"/>
          </w:tcPr>
          <w:p w14:paraId="48AED1FE" w14:textId="77777777" w:rsidR="009718F7" w:rsidRPr="00B53505" w:rsidRDefault="009718F7">
            <w:pPr>
              <w:spacing w:beforeLines="20" w:before="48" w:afterLines="20" w:after="48"/>
              <w:jc w:val="center"/>
              <w:rPr>
                <w:sz w:val="20"/>
                <w:szCs w:val="20"/>
              </w:rPr>
            </w:pPr>
          </w:p>
        </w:tc>
        <w:tc>
          <w:tcPr>
            <w:tcW w:w="318" w:type="pct"/>
            <w:shd w:val="clear" w:color="auto" w:fill="auto"/>
            <w:vAlign w:val="center"/>
          </w:tcPr>
          <w:p w14:paraId="75BAC80D" w14:textId="77777777" w:rsidR="009718F7" w:rsidRPr="00B53505" w:rsidRDefault="009718F7">
            <w:pPr>
              <w:spacing w:beforeLines="20" w:before="48" w:afterLines="20" w:after="48"/>
              <w:jc w:val="center"/>
              <w:rPr>
                <w:sz w:val="20"/>
                <w:szCs w:val="20"/>
              </w:rPr>
            </w:pPr>
          </w:p>
        </w:tc>
        <w:tc>
          <w:tcPr>
            <w:tcW w:w="1270" w:type="pct"/>
            <w:shd w:val="clear" w:color="auto" w:fill="auto"/>
            <w:vAlign w:val="center"/>
          </w:tcPr>
          <w:p w14:paraId="19997F34" w14:textId="77777777" w:rsidR="009718F7" w:rsidRPr="00B53505" w:rsidRDefault="009718F7">
            <w:pPr>
              <w:spacing w:beforeLines="20" w:before="48" w:afterLines="20" w:after="48"/>
              <w:jc w:val="center"/>
              <w:rPr>
                <w:sz w:val="20"/>
                <w:szCs w:val="20"/>
              </w:rPr>
            </w:pPr>
          </w:p>
        </w:tc>
        <w:tc>
          <w:tcPr>
            <w:tcW w:w="345" w:type="pct"/>
            <w:shd w:val="clear" w:color="auto" w:fill="auto"/>
            <w:vAlign w:val="center"/>
          </w:tcPr>
          <w:p w14:paraId="30B1B7B2" w14:textId="77777777" w:rsidR="009718F7" w:rsidRPr="00B53505" w:rsidRDefault="009718F7">
            <w:pPr>
              <w:spacing w:beforeLines="20" w:before="48" w:afterLines="20" w:after="48"/>
              <w:jc w:val="center"/>
              <w:rPr>
                <w:sz w:val="20"/>
                <w:szCs w:val="20"/>
              </w:rPr>
            </w:pPr>
          </w:p>
        </w:tc>
        <w:tc>
          <w:tcPr>
            <w:tcW w:w="618" w:type="pct"/>
            <w:shd w:val="clear" w:color="auto" w:fill="auto"/>
            <w:vAlign w:val="center"/>
          </w:tcPr>
          <w:p w14:paraId="2CE0FE48"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4E87E918" w14:textId="77777777" w:rsidR="009718F7" w:rsidRPr="00B53505" w:rsidRDefault="009718F7">
            <w:pPr>
              <w:spacing w:beforeLines="20" w:before="48" w:afterLines="20" w:after="48"/>
              <w:jc w:val="center"/>
              <w:rPr>
                <w:sz w:val="16"/>
                <w:szCs w:val="16"/>
              </w:rPr>
            </w:pPr>
          </w:p>
        </w:tc>
        <w:tc>
          <w:tcPr>
            <w:tcW w:w="115" w:type="pct"/>
            <w:shd w:val="clear" w:color="auto" w:fill="auto"/>
            <w:vAlign w:val="center"/>
          </w:tcPr>
          <w:p w14:paraId="4F062EDC" w14:textId="77777777" w:rsidR="009718F7" w:rsidRPr="00B53505" w:rsidRDefault="009718F7">
            <w:pPr>
              <w:spacing w:beforeLines="20" w:before="48" w:afterLines="20" w:after="48"/>
              <w:jc w:val="center"/>
              <w:rPr>
                <w:sz w:val="16"/>
                <w:szCs w:val="16"/>
              </w:rPr>
            </w:pPr>
          </w:p>
        </w:tc>
      </w:tr>
      <w:tr w:rsidR="009718F7" w:rsidRPr="00B53505" w14:paraId="63C8D266" w14:textId="77777777" w:rsidTr="002A6466">
        <w:trPr>
          <w:gridBefore w:val="1"/>
          <w:wBefore w:w="5" w:type="pct"/>
          <w:trHeight w:val="289"/>
          <w:jc w:val="center"/>
        </w:trPr>
        <w:tc>
          <w:tcPr>
            <w:tcW w:w="1897" w:type="pct"/>
            <w:gridSpan w:val="2"/>
            <w:tcBorders>
              <w:bottom w:val="double" w:sz="4" w:space="0" w:color="auto"/>
            </w:tcBorders>
            <w:shd w:val="clear" w:color="auto" w:fill="auto"/>
            <w:vAlign w:val="center"/>
          </w:tcPr>
          <w:p w14:paraId="373D4326" w14:textId="77777777" w:rsidR="009718F7" w:rsidRPr="00B53505" w:rsidRDefault="009718F7">
            <w:pPr>
              <w:pStyle w:val="Text1"/>
              <w:spacing w:beforeLines="20" w:before="48" w:afterLines="20" w:after="48"/>
              <w:ind w:left="134"/>
              <w:jc w:val="left"/>
              <w:rPr>
                <w:sz w:val="16"/>
                <w:szCs w:val="16"/>
              </w:rPr>
            </w:pPr>
            <w:r w:rsidRPr="00B53505">
              <w:rPr>
                <w:sz w:val="16"/>
              </w:rPr>
              <w:t>Other budget lines (specify)</w:t>
            </w:r>
          </w:p>
        </w:tc>
        <w:tc>
          <w:tcPr>
            <w:tcW w:w="318" w:type="pct"/>
            <w:tcBorders>
              <w:bottom w:val="double" w:sz="4" w:space="0" w:color="auto"/>
            </w:tcBorders>
            <w:shd w:val="clear" w:color="auto" w:fill="auto"/>
            <w:vAlign w:val="center"/>
          </w:tcPr>
          <w:p w14:paraId="4445D874" w14:textId="77777777" w:rsidR="009718F7" w:rsidRPr="00B53505" w:rsidRDefault="009718F7">
            <w:pPr>
              <w:spacing w:beforeLines="20" w:before="48" w:afterLines="20" w:after="48"/>
              <w:jc w:val="center"/>
              <w:rPr>
                <w:sz w:val="20"/>
                <w:szCs w:val="20"/>
              </w:rPr>
            </w:pPr>
          </w:p>
        </w:tc>
        <w:tc>
          <w:tcPr>
            <w:tcW w:w="318" w:type="pct"/>
            <w:tcBorders>
              <w:bottom w:val="double" w:sz="4" w:space="0" w:color="auto"/>
            </w:tcBorders>
            <w:shd w:val="clear" w:color="auto" w:fill="auto"/>
            <w:vAlign w:val="center"/>
          </w:tcPr>
          <w:p w14:paraId="468DB734" w14:textId="77777777" w:rsidR="009718F7" w:rsidRPr="00B53505" w:rsidRDefault="009718F7">
            <w:pPr>
              <w:spacing w:beforeLines="20" w:before="48" w:afterLines="20" w:after="48"/>
              <w:jc w:val="center"/>
              <w:rPr>
                <w:sz w:val="20"/>
                <w:szCs w:val="20"/>
              </w:rPr>
            </w:pPr>
          </w:p>
        </w:tc>
        <w:tc>
          <w:tcPr>
            <w:tcW w:w="1270" w:type="pct"/>
            <w:tcBorders>
              <w:bottom w:val="double" w:sz="4" w:space="0" w:color="auto"/>
            </w:tcBorders>
            <w:shd w:val="clear" w:color="auto" w:fill="auto"/>
            <w:vAlign w:val="center"/>
          </w:tcPr>
          <w:p w14:paraId="45BA104B" w14:textId="77777777" w:rsidR="009718F7" w:rsidRPr="00B53505" w:rsidRDefault="009718F7">
            <w:pPr>
              <w:spacing w:beforeLines="20" w:before="48" w:afterLines="20" w:after="48"/>
              <w:jc w:val="center"/>
              <w:rPr>
                <w:sz w:val="20"/>
                <w:szCs w:val="20"/>
              </w:rPr>
            </w:pPr>
          </w:p>
        </w:tc>
        <w:tc>
          <w:tcPr>
            <w:tcW w:w="345" w:type="pct"/>
            <w:tcBorders>
              <w:bottom w:val="double" w:sz="4" w:space="0" w:color="auto"/>
            </w:tcBorders>
            <w:shd w:val="clear" w:color="auto" w:fill="auto"/>
            <w:vAlign w:val="center"/>
          </w:tcPr>
          <w:p w14:paraId="0E0FF540" w14:textId="77777777" w:rsidR="009718F7" w:rsidRPr="00B53505" w:rsidRDefault="009718F7">
            <w:pPr>
              <w:spacing w:beforeLines="20" w:before="48" w:afterLines="20" w:after="48"/>
              <w:jc w:val="center"/>
              <w:rPr>
                <w:sz w:val="20"/>
                <w:szCs w:val="20"/>
              </w:rPr>
            </w:pPr>
          </w:p>
        </w:tc>
        <w:tc>
          <w:tcPr>
            <w:tcW w:w="618" w:type="pct"/>
            <w:tcBorders>
              <w:bottom w:val="double" w:sz="4" w:space="0" w:color="auto"/>
            </w:tcBorders>
            <w:shd w:val="clear" w:color="auto" w:fill="auto"/>
            <w:vAlign w:val="center"/>
          </w:tcPr>
          <w:p w14:paraId="15405039" w14:textId="77777777" w:rsidR="009718F7" w:rsidRPr="00B53505" w:rsidRDefault="009718F7">
            <w:pPr>
              <w:spacing w:beforeLines="20" w:before="48" w:afterLines="20" w:after="48"/>
              <w:jc w:val="center"/>
              <w:rPr>
                <w:sz w:val="16"/>
                <w:szCs w:val="16"/>
              </w:rPr>
            </w:pPr>
          </w:p>
        </w:tc>
        <w:tc>
          <w:tcPr>
            <w:tcW w:w="115" w:type="pct"/>
            <w:tcBorders>
              <w:bottom w:val="double" w:sz="4" w:space="0" w:color="auto"/>
            </w:tcBorders>
            <w:shd w:val="clear" w:color="auto" w:fill="auto"/>
            <w:vAlign w:val="center"/>
          </w:tcPr>
          <w:p w14:paraId="5F52687B" w14:textId="77777777" w:rsidR="009718F7" w:rsidRPr="00B53505" w:rsidRDefault="009718F7">
            <w:pPr>
              <w:spacing w:beforeLines="20" w:before="48" w:afterLines="20" w:after="48"/>
              <w:jc w:val="center"/>
              <w:rPr>
                <w:sz w:val="16"/>
                <w:szCs w:val="16"/>
              </w:rPr>
            </w:pPr>
          </w:p>
        </w:tc>
        <w:tc>
          <w:tcPr>
            <w:tcW w:w="115" w:type="pct"/>
            <w:tcBorders>
              <w:bottom w:val="double" w:sz="4" w:space="0" w:color="auto"/>
            </w:tcBorders>
            <w:shd w:val="clear" w:color="auto" w:fill="auto"/>
            <w:vAlign w:val="center"/>
          </w:tcPr>
          <w:p w14:paraId="777F255A" w14:textId="77777777" w:rsidR="009718F7" w:rsidRPr="00B53505" w:rsidRDefault="009718F7">
            <w:pPr>
              <w:spacing w:beforeLines="20" w:before="48" w:afterLines="20" w:after="48"/>
              <w:jc w:val="center"/>
              <w:rPr>
                <w:sz w:val="16"/>
                <w:szCs w:val="16"/>
              </w:rPr>
            </w:pPr>
          </w:p>
        </w:tc>
      </w:tr>
      <w:tr w:rsidR="009718F7" w:rsidRPr="00B53505" w14:paraId="70292E69" w14:textId="77777777" w:rsidTr="002A6466">
        <w:trPr>
          <w:gridBefore w:val="1"/>
          <w:wBefore w:w="5" w:type="pct"/>
          <w:trHeight w:val="289"/>
          <w:jc w:val="center"/>
        </w:trPr>
        <w:tc>
          <w:tcPr>
            <w:tcW w:w="1897" w:type="pct"/>
            <w:gridSpan w:val="2"/>
            <w:tcBorders>
              <w:top w:val="double" w:sz="4" w:space="0" w:color="auto"/>
            </w:tcBorders>
            <w:shd w:val="clear" w:color="auto" w:fill="auto"/>
            <w:vAlign w:val="center"/>
          </w:tcPr>
          <w:p w14:paraId="2A3C71B1" w14:textId="77777777" w:rsidR="009718F7" w:rsidRPr="00B53505" w:rsidRDefault="009718F7">
            <w:pPr>
              <w:pStyle w:val="Text1"/>
              <w:spacing w:beforeLines="20" w:before="48" w:afterLines="20" w:after="48"/>
              <w:ind w:left="136"/>
              <w:jc w:val="left"/>
              <w:rPr>
                <w:sz w:val="16"/>
                <w:szCs w:val="16"/>
              </w:rPr>
            </w:pPr>
            <w:r w:rsidRPr="00B53505">
              <w:rPr>
                <w:b/>
                <w:sz w:val="16"/>
              </w:rPr>
              <w:t>TOTAL</w:t>
            </w:r>
          </w:p>
        </w:tc>
        <w:tc>
          <w:tcPr>
            <w:tcW w:w="318" w:type="pct"/>
            <w:tcBorders>
              <w:top w:val="double" w:sz="4" w:space="0" w:color="auto"/>
            </w:tcBorders>
            <w:shd w:val="clear" w:color="auto" w:fill="auto"/>
            <w:vAlign w:val="center"/>
          </w:tcPr>
          <w:p w14:paraId="6BE25696" w14:textId="7653A886" w:rsidR="009718F7" w:rsidRPr="00B53505" w:rsidRDefault="009718F7" w:rsidP="00A6010A">
            <w:pPr>
              <w:spacing w:beforeLines="20" w:before="48" w:afterLines="20" w:after="48"/>
              <w:jc w:val="center"/>
              <w:rPr>
                <w:b/>
                <w:sz w:val="20"/>
                <w:szCs w:val="20"/>
              </w:rPr>
            </w:pPr>
            <w:r w:rsidRPr="00B53505">
              <w:rPr>
                <w:b/>
                <w:sz w:val="20"/>
                <w:szCs w:val="20"/>
              </w:rPr>
              <w:t>3</w:t>
            </w:r>
            <w:r w:rsidR="00A6010A" w:rsidRPr="00B53505">
              <w:rPr>
                <w:b/>
                <w:sz w:val="20"/>
                <w:szCs w:val="20"/>
              </w:rPr>
              <w:t>2</w:t>
            </w:r>
          </w:p>
        </w:tc>
        <w:tc>
          <w:tcPr>
            <w:tcW w:w="318" w:type="pct"/>
            <w:tcBorders>
              <w:top w:val="double" w:sz="4" w:space="0" w:color="auto"/>
            </w:tcBorders>
            <w:shd w:val="clear" w:color="auto" w:fill="auto"/>
            <w:vAlign w:val="center"/>
          </w:tcPr>
          <w:p w14:paraId="652096AD" w14:textId="02750DAD" w:rsidR="009718F7" w:rsidRPr="00B53505" w:rsidRDefault="009718F7" w:rsidP="00A6010A">
            <w:pPr>
              <w:spacing w:beforeLines="20" w:before="48" w:afterLines="20" w:after="48"/>
              <w:jc w:val="center"/>
              <w:rPr>
                <w:b/>
                <w:sz w:val="20"/>
                <w:szCs w:val="20"/>
              </w:rPr>
            </w:pPr>
            <w:r w:rsidRPr="00B53505">
              <w:rPr>
                <w:b/>
                <w:sz w:val="20"/>
                <w:szCs w:val="20"/>
              </w:rPr>
              <w:t>3</w:t>
            </w:r>
            <w:r w:rsidR="00A6010A" w:rsidRPr="00B53505">
              <w:rPr>
                <w:b/>
                <w:sz w:val="20"/>
                <w:szCs w:val="20"/>
              </w:rPr>
              <w:t>2</w:t>
            </w:r>
          </w:p>
        </w:tc>
        <w:tc>
          <w:tcPr>
            <w:tcW w:w="1270" w:type="pct"/>
            <w:tcBorders>
              <w:top w:val="double" w:sz="4" w:space="0" w:color="auto"/>
            </w:tcBorders>
            <w:shd w:val="clear" w:color="auto" w:fill="auto"/>
            <w:vAlign w:val="center"/>
          </w:tcPr>
          <w:p w14:paraId="2E415120" w14:textId="5F9A5606" w:rsidR="009718F7" w:rsidRPr="00B53505" w:rsidRDefault="009718F7">
            <w:pPr>
              <w:spacing w:beforeLines="20" w:before="48" w:afterLines="20" w:after="48"/>
              <w:jc w:val="center"/>
              <w:rPr>
                <w:b/>
                <w:sz w:val="20"/>
                <w:szCs w:val="20"/>
              </w:rPr>
            </w:pPr>
            <w:r w:rsidRPr="00B53505">
              <w:rPr>
                <w:b/>
                <w:sz w:val="20"/>
                <w:szCs w:val="20"/>
              </w:rPr>
              <w:t>3</w:t>
            </w:r>
            <w:r w:rsidR="00A6010A" w:rsidRPr="00B53505">
              <w:rPr>
                <w:b/>
                <w:sz w:val="20"/>
                <w:szCs w:val="20"/>
              </w:rPr>
              <w:t>2</w:t>
            </w:r>
          </w:p>
        </w:tc>
        <w:tc>
          <w:tcPr>
            <w:tcW w:w="345" w:type="pct"/>
            <w:tcBorders>
              <w:top w:val="double" w:sz="4" w:space="0" w:color="auto"/>
            </w:tcBorders>
            <w:shd w:val="clear" w:color="auto" w:fill="auto"/>
            <w:vAlign w:val="center"/>
          </w:tcPr>
          <w:p w14:paraId="1AD21025" w14:textId="3EE31C84" w:rsidR="009718F7" w:rsidRPr="00B53505" w:rsidRDefault="009718F7">
            <w:pPr>
              <w:spacing w:beforeLines="20" w:before="48" w:afterLines="20" w:after="48"/>
              <w:jc w:val="center"/>
              <w:rPr>
                <w:b/>
                <w:sz w:val="20"/>
                <w:szCs w:val="20"/>
              </w:rPr>
            </w:pPr>
            <w:r w:rsidRPr="00B53505">
              <w:rPr>
                <w:b/>
                <w:sz w:val="20"/>
                <w:szCs w:val="20"/>
              </w:rPr>
              <w:t>3</w:t>
            </w:r>
            <w:r w:rsidR="00A6010A" w:rsidRPr="00B53505">
              <w:rPr>
                <w:b/>
                <w:sz w:val="20"/>
                <w:szCs w:val="20"/>
              </w:rPr>
              <w:t>2</w:t>
            </w:r>
          </w:p>
        </w:tc>
        <w:tc>
          <w:tcPr>
            <w:tcW w:w="618" w:type="pct"/>
            <w:tcBorders>
              <w:top w:val="double" w:sz="4" w:space="0" w:color="auto"/>
            </w:tcBorders>
            <w:shd w:val="clear" w:color="auto" w:fill="auto"/>
            <w:vAlign w:val="center"/>
          </w:tcPr>
          <w:p w14:paraId="07C214EA" w14:textId="77777777" w:rsidR="009718F7" w:rsidRPr="00B53505" w:rsidRDefault="009718F7">
            <w:pPr>
              <w:spacing w:beforeLines="20" w:before="48" w:afterLines="20" w:after="48"/>
              <w:jc w:val="center"/>
              <w:rPr>
                <w:b/>
                <w:sz w:val="16"/>
                <w:szCs w:val="16"/>
              </w:rPr>
            </w:pPr>
          </w:p>
        </w:tc>
        <w:tc>
          <w:tcPr>
            <w:tcW w:w="115" w:type="pct"/>
            <w:tcBorders>
              <w:top w:val="double" w:sz="4" w:space="0" w:color="auto"/>
            </w:tcBorders>
            <w:shd w:val="clear" w:color="auto" w:fill="auto"/>
            <w:vAlign w:val="center"/>
          </w:tcPr>
          <w:p w14:paraId="3BA914B3" w14:textId="77777777" w:rsidR="009718F7" w:rsidRPr="00B53505" w:rsidRDefault="009718F7">
            <w:pPr>
              <w:spacing w:beforeLines="20" w:before="48" w:afterLines="20" w:after="48"/>
              <w:jc w:val="center"/>
              <w:rPr>
                <w:b/>
                <w:sz w:val="16"/>
                <w:szCs w:val="16"/>
              </w:rPr>
            </w:pPr>
          </w:p>
        </w:tc>
        <w:tc>
          <w:tcPr>
            <w:tcW w:w="115" w:type="pct"/>
            <w:tcBorders>
              <w:top w:val="double" w:sz="4" w:space="0" w:color="auto"/>
            </w:tcBorders>
            <w:shd w:val="clear" w:color="auto" w:fill="auto"/>
            <w:vAlign w:val="center"/>
          </w:tcPr>
          <w:p w14:paraId="608BD9A3" w14:textId="77777777" w:rsidR="009718F7" w:rsidRPr="00B53505" w:rsidRDefault="009718F7">
            <w:pPr>
              <w:spacing w:beforeLines="20" w:before="48" w:afterLines="20" w:after="48"/>
              <w:jc w:val="center"/>
              <w:rPr>
                <w:b/>
                <w:sz w:val="16"/>
                <w:szCs w:val="16"/>
              </w:rPr>
            </w:pPr>
          </w:p>
        </w:tc>
      </w:tr>
    </w:tbl>
    <w:p w14:paraId="76E65712" w14:textId="77777777" w:rsidR="009718F7" w:rsidRPr="00B53505" w:rsidRDefault="009718F7">
      <w:pPr>
        <w:pStyle w:val="Text1"/>
        <w:spacing w:before="60" w:after="60"/>
        <w:ind w:left="851"/>
        <w:rPr>
          <w:sz w:val="18"/>
          <w:szCs w:val="18"/>
        </w:rPr>
      </w:pPr>
      <w:r w:rsidRPr="00B53505">
        <w:rPr>
          <w:b/>
          <w:sz w:val="18"/>
          <w:szCs w:val="18"/>
        </w:rPr>
        <w:t>XX</w:t>
      </w:r>
      <w:r w:rsidRPr="00B53505">
        <w:rPr>
          <w:sz w:val="18"/>
          <w:szCs w:val="18"/>
        </w:rPr>
        <w:t xml:space="preserve"> is the policy area or budget title concerned.</w:t>
      </w:r>
    </w:p>
    <w:p w14:paraId="7DA74126" w14:textId="274E0D22" w:rsidR="009718F7" w:rsidRPr="00B53505" w:rsidRDefault="009718F7">
      <w:pPr>
        <w:pStyle w:val="Text1"/>
        <w:rPr>
          <w:sz w:val="18"/>
          <w:szCs w:val="18"/>
        </w:rPr>
      </w:pPr>
      <w:r w:rsidRPr="00B53505">
        <w:rPr>
          <w:sz w:val="18"/>
        </w:rPr>
        <w:t xml:space="preserve">The human resources required will be met by staff from the </w:t>
      </w:r>
      <w:r w:rsidR="00951A8F" w:rsidRPr="00B53505">
        <w:rPr>
          <w:sz w:val="18"/>
        </w:rPr>
        <w:t xml:space="preserve">managing </w:t>
      </w:r>
      <w:r w:rsidRPr="00B53505">
        <w:rPr>
          <w:sz w:val="18"/>
        </w:rPr>
        <w:t>DG, together if necessary with any additional allocation which may be granted to the managing DG under the annual allocation procedure and in the light of budgetary constraints.</w:t>
      </w:r>
    </w:p>
    <w:p w14:paraId="147B5980" w14:textId="77777777" w:rsidR="009718F7" w:rsidRPr="00B53505" w:rsidRDefault="009718F7">
      <w:pPr>
        <w:rPr>
          <w:sz w:val="20"/>
        </w:rPr>
      </w:pPr>
      <w:r w:rsidRPr="00B53505">
        <w:rPr>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718F7" w:rsidRPr="00B53505" w14:paraId="04F79CEC" w14:textId="77777777">
        <w:tc>
          <w:tcPr>
            <w:tcW w:w="3240" w:type="dxa"/>
          </w:tcPr>
          <w:p w14:paraId="5B253F5E" w14:textId="77777777" w:rsidR="009718F7" w:rsidRPr="00B53505" w:rsidRDefault="009718F7">
            <w:pPr>
              <w:rPr>
                <w:sz w:val="20"/>
              </w:rPr>
            </w:pPr>
            <w:r w:rsidRPr="00B53505">
              <w:rPr>
                <w:sz w:val="20"/>
              </w:rPr>
              <w:t>Officials and temporary staff</w:t>
            </w:r>
          </w:p>
        </w:tc>
        <w:tc>
          <w:tcPr>
            <w:tcW w:w="7200" w:type="dxa"/>
          </w:tcPr>
          <w:p w14:paraId="3EFCD802" w14:textId="500EF4E1" w:rsidR="009718F7" w:rsidRPr="00B53505" w:rsidRDefault="009718F7" w:rsidP="002A6466">
            <w:pPr>
              <w:rPr>
                <w:sz w:val="20"/>
              </w:rPr>
            </w:pPr>
            <w:r w:rsidRPr="00B53505">
              <w:rPr>
                <w:sz w:val="20"/>
              </w:rPr>
              <w:t>Operational and financial management of the European Fund for Sustainable Development com</w:t>
            </w:r>
            <w:r w:rsidR="00B26000">
              <w:rPr>
                <w:sz w:val="20"/>
              </w:rPr>
              <w:t>m</w:t>
            </w:r>
            <w:r w:rsidRPr="00B53505">
              <w:rPr>
                <w:sz w:val="20"/>
              </w:rPr>
              <w:t>unication and visibility</w:t>
            </w:r>
          </w:p>
        </w:tc>
      </w:tr>
      <w:tr w:rsidR="009718F7" w:rsidRPr="00B53505" w14:paraId="17D8B7F9" w14:textId="77777777">
        <w:tc>
          <w:tcPr>
            <w:tcW w:w="3240" w:type="dxa"/>
          </w:tcPr>
          <w:p w14:paraId="2A4BB532" w14:textId="77777777" w:rsidR="009718F7" w:rsidRPr="00B53505" w:rsidRDefault="009718F7">
            <w:pPr>
              <w:spacing w:before="60" w:after="60"/>
              <w:rPr>
                <w:sz w:val="20"/>
              </w:rPr>
            </w:pPr>
            <w:r w:rsidRPr="00B53505">
              <w:rPr>
                <w:sz w:val="20"/>
              </w:rPr>
              <w:t>External staff</w:t>
            </w:r>
          </w:p>
        </w:tc>
        <w:tc>
          <w:tcPr>
            <w:tcW w:w="7200" w:type="dxa"/>
          </w:tcPr>
          <w:p w14:paraId="35730021" w14:textId="68D52DDC" w:rsidR="009718F7" w:rsidRPr="00B53505" w:rsidRDefault="009718F7">
            <w:pPr>
              <w:rPr>
                <w:sz w:val="20"/>
              </w:rPr>
            </w:pPr>
            <w:r w:rsidRPr="00B53505">
              <w:rPr>
                <w:sz w:val="20"/>
              </w:rPr>
              <w:t>Operational and financial management of the European Fund for Sustainable Development com</w:t>
            </w:r>
            <w:r w:rsidR="00B26000">
              <w:rPr>
                <w:sz w:val="20"/>
              </w:rPr>
              <w:t>m</w:t>
            </w:r>
            <w:r w:rsidRPr="00B53505">
              <w:rPr>
                <w:sz w:val="20"/>
              </w:rPr>
              <w:t>unication and visibility</w:t>
            </w:r>
          </w:p>
        </w:tc>
      </w:tr>
    </w:tbl>
    <w:p w14:paraId="701697F5" w14:textId="77777777" w:rsidR="009718F7" w:rsidRPr="00B53505" w:rsidRDefault="009718F7">
      <w:pPr>
        <w:sectPr w:rsidR="009718F7" w:rsidRPr="00B53505" w:rsidSect="00772B42">
          <w:pgSz w:w="11907" w:h="16840"/>
          <w:pgMar w:top="1134" w:right="1418" w:bottom="1134" w:left="1418" w:header="709" w:footer="709" w:gutter="0"/>
          <w:cols w:space="708"/>
          <w:docGrid w:linePitch="360"/>
        </w:sectPr>
      </w:pPr>
    </w:p>
    <w:p w14:paraId="2DD07D4D" w14:textId="77777777" w:rsidR="009718F7" w:rsidRPr="00B53505" w:rsidRDefault="009718F7">
      <w:pPr>
        <w:pStyle w:val="Heading3"/>
        <w:rPr>
          <w:bCs w:val="0"/>
          <w:szCs w:val="24"/>
        </w:rPr>
      </w:pPr>
      <w:r w:rsidRPr="00B53505">
        <w:t xml:space="preserve">Compatibility with the current multiannual financial framework </w:t>
      </w:r>
    </w:p>
    <w:p w14:paraId="3263D102" w14:textId="6B664A4B" w:rsidR="009718F7" w:rsidRPr="00B53505" w:rsidRDefault="009718F7">
      <w:pPr>
        <w:pStyle w:val="ListDash1"/>
      </w:pPr>
      <w:r w:rsidRPr="00B53505">
        <w:sym w:font="Wingdings" w:char="F0A8"/>
      </w:r>
      <w:r w:rsidRPr="00B53505">
        <w:tab/>
        <w:t xml:space="preserve">The proposal/initiative is compatible </w:t>
      </w:r>
      <w:r w:rsidR="006128CD" w:rsidRPr="00B53505">
        <w:t xml:space="preserve">with </w:t>
      </w:r>
      <w:r w:rsidRPr="00B53505">
        <w:t>the current multiannual financial framework.</w:t>
      </w:r>
    </w:p>
    <w:p w14:paraId="3A5611FE" w14:textId="77777777" w:rsidR="009718F7" w:rsidRPr="00B53505" w:rsidRDefault="009718F7">
      <w:pPr>
        <w:pStyle w:val="ListDash1"/>
      </w:pPr>
      <w:r w:rsidRPr="00B53505">
        <w:t>X The proposal/initiative will entail reprogramming of the relevant heading in the multiannual financial framework.</w:t>
      </w:r>
    </w:p>
    <w:p w14:paraId="12FD1611" w14:textId="77777777" w:rsidR="009718F7" w:rsidRPr="00B53505" w:rsidRDefault="009718F7">
      <w:pPr>
        <w:pStyle w:val="Text1"/>
        <w:pBdr>
          <w:top w:val="single" w:sz="4" w:space="1" w:color="auto"/>
          <w:left w:val="single" w:sz="4" w:space="4" w:color="auto"/>
          <w:bottom w:val="single" w:sz="4" w:space="1" w:color="auto"/>
          <w:right w:val="single" w:sz="4" w:space="4" w:color="auto"/>
        </w:pBdr>
        <w:rPr>
          <w:sz w:val="20"/>
        </w:rPr>
      </w:pPr>
      <w:r w:rsidRPr="00B53505">
        <w:rPr>
          <w:sz w:val="20"/>
        </w:rPr>
        <w:t>Explain what reprogramming is required, specifying the budget lines concerned and the corresponding amounts.</w:t>
      </w:r>
    </w:p>
    <w:p w14:paraId="12444705" w14:textId="1A06CFC2" w:rsidR="009718F7" w:rsidRPr="00B53505" w:rsidRDefault="00C62120" w:rsidP="00FB1F2C">
      <w:pPr>
        <w:pStyle w:val="Text1"/>
        <w:pBdr>
          <w:top w:val="single" w:sz="4" w:space="1" w:color="auto"/>
          <w:left w:val="single" w:sz="4" w:space="4" w:color="auto"/>
          <w:bottom w:val="single" w:sz="4" w:space="1" w:color="auto"/>
          <w:right w:val="single" w:sz="4" w:space="4" w:color="auto"/>
        </w:pBdr>
      </w:pPr>
      <w:r w:rsidRPr="00B53505">
        <w:t>T</w:t>
      </w:r>
      <w:r w:rsidR="009718F7" w:rsidRPr="00B53505">
        <w:t xml:space="preserve">he European Neighbourhood Instrument </w:t>
      </w:r>
      <w:r w:rsidRPr="00B53505">
        <w:t xml:space="preserve">(chapter 22.04) </w:t>
      </w:r>
      <w:r w:rsidR="009718F7" w:rsidRPr="00B53505">
        <w:t xml:space="preserve">will contribute with EUR 100 million in commitment and payment appropriations (EUR 25 million per year, 2017-2020) to the </w:t>
      </w:r>
      <w:r w:rsidRPr="00B53505">
        <w:t xml:space="preserve">provisioning of the EFSD Guarantee Fund </w:t>
      </w:r>
      <w:r w:rsidR="009718F7" w:rsidRPr="00B53505">
        <w:t xml:space="preserve">as indicated in Section 3.2.1. </w:t>
      </w:r>
    </w:p>
    <w:p w14:paraId="6065512C" w14:textId="125D150E" w:rsidR="009718F7" w:rsidRPr="004F2B8C" w:rsidRDefault="009718F7" w:rsidP="00FB1F2C">
      <w:pPr>
        <w:pStyle w:val="Text1"/>
        <w:pBdr>
          <w:top w:val="single" w:sz="4" w:space="1" w:color="auto"/>
          <w:left w:val="single" w:sz="4" w:space="4" w:color="auto"/>
          <w:bottom w:val="single" w:sz="4" w:space="1" w:color="auto"/>
          <w:right w:val="single" w:sz="4" w:space="4" w:color="auto"/>
        </w:pBdr>
      </w:pPr>
    </w:p>
    <w:p w14:paraId="29E7F454" w14:textId="2872851D" w:rsidR="009718F7" w:rsidRPr="00B53505" w:rsidRDefault="00FB1F2C">
      <w:pPr>
        <w:pStyle w:val="ListDash1"/>
      </w:pPr>
      <w:r>
        <w:t>X</w:t>
      </w:r>
      <w:r w:rsidR="009718F7" w:rsidRPr="00B53505">
        <w:tab/>
        <w:t xml:space="preserve">The proposal/initiative requires application of the </w:t>
      </w:r>
      <w:r>
        <w:t>contingency margin</w:t>
      </w:r>
      <w:r w:rsidR="009718F7" w:rsidRPr="00B53505">
        <w:t xml:space="preserve"> of the multiannual financial framework.</w:t>
      </w:r>
    </w:p>
    <w:p w14:paraId="42951135" w14:textId="073BD8D1" w:rsidR="009718F7" w:rsidRPr="00B53505" w:rsidRDefault="00147203">
      <w:pPr>
        <w:pStyle w:val="Text1"/>
        <w:pBdr>
          <w:top w:val="single" w:sz="4" w:space="1" w:color="auto"/>
          <w:left w:val="single" w:sz="4" w:space="4" w:color="auto"/>
          <w:bottom w:val="single" w:sz="4" w:space="1" w:color="auto"/>
          <w:right w:val="single" w:sz="4" w:space="4" w:color="auto"/>
        </w:pBdr>
        <w:rPr>
          <w:sz w:val="20"/>
        </w:rPr>
      </w:pPr>
      <w:r>
        <w:rPr>
          <w:sz w:val="20"/>
        </w:rPr>
        <w:t>The Commission intends</w:t>
      </w:r>
      <w:r w:rsidR="00FB1F2C">
        <w:rPr>
          <w:sz w:val="20"/>
        </w:rPr>
        <w:t xml:space="preserve"> to mobilise the contingency margin under Article 13 of Regulation 1311/2013 for an amount of EUR 250 million in 2017.</w:t>
      </w:r>
    </w:p>
    <w:p w14:paraId="6BC1FE29" w14:textId="77777777" w:rsidR="009718F7" w:rsidRPr="00B53505" w:rsidRDefault="009718F7">
      <w:pPr>
        <w:pStyle w:val="Text1"/>
        <w:pBdr>
          <w:top w:val="single" w:sz="4" w:space="1" w:color="auto"/>
          <w:left w:val="single" w:sz="4" w:space="4" w:color="auto"/>
          <w:bottom w:val="single" w:sz="4" w:space="1" w:color="auto"/>
          <w:right w:val="single" w:sz="4" w:space="4" w:color="auto"/>
        </w:pBdr>
      </w:pPr>
    </w:p>
    <w:p w14:paraId="0C4057EB" w14:textId="77777777" w:rsidR="009718F7" w:rsidRPr="00B53505" w:rsidRDefault="009718F7">
      <w:pPr>
        <w:pStyle w:val="Heading3"/>
        <w:rPr>
          <w:bCs w:val="0"/>
          <w:szCs w:val="24"/>
        </w:rPr>
      </w:pPr>
      <w:r w:rsidRPr="00B53505">
        <w:t xml:space="preserve">Third-party contributions </w:t>
      </w:r>
    </w:p>
    <w:p w14:paraId="1B7990F0" w14:textId="77777777" w:rsidR="009718F7" w:rsidRPr="00B53505" w:rsidRDefault="009718F7">
      <w:pPr>
        <w:pStyle w:val="ListDash1"/>
      </w:pPr>
      <w:r w:rsidRPr="00B53505">
        <w:t xml:space="preserve">The proposal/initiative does not provide for co-financing by third parties. </w:t>
      </w:r>
    </w:p>
    <w:p w14:paraId="21BA145E" w14:textId="77777777" w:rsidR="009718F7" w:rsidRPr="00B53505" w:rsidRDefault="009718F7">
      <w:pPr>
        <w:pStyle w:val="ListDash1"/>
      </w:pPr>
      <w:r w:rsidRPr="00B53505">
        <w:t>X The proposal/initiative provides for the co-financing estimated below:</w:t>
      </w:r>
    </w:p>
    <w:p w14:paraId="7AAC1111" w14:textId="77777777" w:rsidR="009718F7" w:rsidRPr="00B53505" w:rsidRDefault="009718F7">
      <w:pPr>
        <w:jc w:val="right"/>
        <w:rPr>
          <w:sz w:val="20"/>
        </w:rPr>
      </w:pPr>
      <w:r w:rsidRPr="00B53505">
        <w:rPr>
          <w:sz w:val="20"/>
        </w:rPr>
        <w:t>Appropriations in EUR million (to three decimal places)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718F7" w:rsidRPr="00B53505" w14:paraId="405BF0F4" w14:textId="77777777">
        <w:trPr>
          <w:cantSplit/>
        </w:trPr>
        <w:tc>
          <w:tcPr>
            <w:tcW w:w="2340" w:type="dxa"/>
          </w:tcPr>
          <w:p w14:paraId="3617BED9" w14:textId="77777777" w:rsidR="009718F7" w:rsidRPr="00B53505" w:rsidRDefault="009718F7">
            <w:pPr>
              <w:spacing w:before="60" w:after="60"/>
              <w:rPr>
                <w:sz w:val="20"/>
              </w:rPr>
            </w:pPr>
          </w:p>
        </w:tc>
        <w:tc>
          <w:tcPr>
            <w:tcW w:w="964" w:type="dxa"/>
            <w:vAlign w:val="center"/>
          </w:tcPr>
          <w:p w14:paraId="48016678"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2017</w:t>
            </w:r>
          </w:p>
        </w:tc>
        <w:tc>
          <w:tcPr>
            <w:tcW w:w="964" w:type="dxa"/>
            <w:vAlign w:val="center"/>
          </w:tcPr>
          <w:p w14:paraId="78C4E90D"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2018</w:t>
            </w:r>
          </w:p>
        </w:tc>
        <w:tc>
          <w:tcPr>
            <w:tcW w:w="964" w:type="dxa"/>
            <w:vAlign w:val="center"/>
          </w:tcPr>
          <w:p w14:paraId="352D814C"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2019</w:t>
            </w:r>
          </w:p>
        </w:tc>
        <w:tc>
          <w:tcPr>
            <w:tcW w:w="964" w:type="dxa"/>
            <w:vAlign w:val="center"/>
          </w:tcPr>
          <w:p w14:paraId="2DC617E7" w14:textId="77777777" w:rsidR="009718F7" w:rsidRPr="00B53505" w:rsidRDefault="009718F7" w:rsidP="002A6466">
            <w:pPr>
              <w:jc w:val="center"/>
              <w:rPr>
                <w:sz w:val="20"/>
              </w:rPr>
            </w:pPr>
            <w:r w:rsidRPr="00B53505">
              <w:rPr>
                <w:sz w:val="20"/>
              </w:rPr>
              <w:t>Year</w:t>
            </w:r>
            <w:r w:rsidRPr="00B53505">
              <w:rPr>
                <w:sz w:val="22"/>
              </w:rPr>
              <w:br/>
            </w:r>
            <w:r w:rsidRPr="00B53505">
              <w:rPr>
                <w:b/>
                <w:sz w:val="20"/>
              </w:rPr>
              <w:t>2020</w:t>
            </w:r>
          </w:p>
        </w:tc>
        <w:tc>
          <w:tcPr>
            <w:tcW w:w="2892" w:type="dxa"/>
            <w:gridSpan w:val="3"/>
            <w:vAlign w:val="center"/>
          </w:tcPr>
          <w:p w14:paraId="238FC3D9" w14:textId="77777777" w:rsidR="009718F7" w:rsidRPr="00B53505" w:rsidRDefault="009718F7">
            <w:pPr>
              <w:jc w:val="center"/>
              <w:rPr>
                <w:b/>
                <w:sz w:val="20"/>
              </w:rPr>
            </w:pPr>
            <w:r w:rsidRPr="00B53505">
              <w:rPr>
                <w:sz w:val="20"/>
              </w:rPr>
              <w:t>Enter as many years as necessary to show the duration of the impact (see point 1.6)</w:t>
            </w:r>
          </w:p>
        </w:tc>
        <w:tc>
          <w:tcPr>
            <w:tcW w:w="1158" w:type="dxa"/>
            <w:vAlign w:val="center"/>
          </w:tcPr>
          <w:p w14:paraId="5D5927E2" w14:textId="77777777" w:rsidR="009718F7" w:rsidRPr="00B53505" w:rsidRDefault="009718F7">
            <w:pPr>
              <w:spacing w:before="60" w:after="60"/>
              <w:jc w:val="center"/>
              <w:rPr>
                <w:sz w:val="20"/>
              </w:rPr>
            </w:pPr>
            <w:r w:rsidRPr="00B53505">
              <w:rPr>
                <w:sz w:val="20"/>
              </w:rPr>
              <w:t>Total</w:t>
            </w:r>
          </w:p>
        </w:tc>
      </w:tr>
      <w:tr w:rsidR="009718F7" w:rsidRPr="00B53505" w14:paraId="119E90BA" w14:textId="77777777">
        <w:trPr>
          <w:cantSplit/>
        </w:trPr>
        <w:tc>
          <w:tcPr>
            <w:tcW w:w="2340" w:type="dxa"/>
          </w:tcPr>
          <w:p w14:paraId="2237910A" w14:textId="77777777" w:rsidR="009718F7" w:rsidRPr="00B53505" w:rsidRDefault="009718F7" w:rsidP="002A6466">
            <w:r w:rsidRPr="00B53505">
              <w:rPr>
                <w:sz w:val="20"/>
              </w:rPr>
              <w:t>Specify the co-financing body</w:t>
            </w:r>
            <w:r w:rsidRPr="00B53505">
              <w:rPr>
                <w:i/>
                <w:sz w:val="20"/>
              </w:rPr>
              <w:t xml:space="preserve"> European Development Fund </w:t>
            </w:r>
          </w:p>
        </w:tc>
        <w:tc>
          <w:tcPr>
            <w:tcW w:w="964" w:type="dxa"/>
            <w:vAlign w:val="center"/>
          </w:tcPr>
          <w:p w14:paraId="48C402A6" w14:textId="77777777" w:rsidR="009718F7" w:rsidRPr="00B53505" w:rsidRDefault="009718F7" w:rsidP="002A6466">
            <w:pPr>
              <w:spacing w:before="60" w:after="60"/>
              <w:jc w:val="center"/>
              <w:rPr>
                <w:i/>
                <w:sz w:val="20"/>
              </w:rPr>
            </w:pPr>
            <w:r w:rsidRPr="00B53505">
              <w:rPr>
                <w:i/>
                <w:sz w:val="20"/>
              </w:rPr>
              <w:t xml:space="preserve">150.000 </w:t>
            </w:r>
          </w:p>
        </w:tc>
        <w:tc>
          <w:tcPr>
            <w:tcW w:w="964" w:type="dxa"/>
            <w:vAlign w:val="center"/>
          </w:tcPr>
          <w:p w14:paraId="22A6883A" w14:textId="77777777" w:rsidR="009718F7" w:rsidRPr="00B53505" w:rsidRDefault="009718F7" w:rsidP="002A6466">
            <w:pPr>
              <w:spacing w:before="60" w:after="60"/>
              <w:jc w:val="center"/>
              <w:rPr>
                <w:i/>
                <w:sz w:val="20"/>
              </w:rPr>
            </w:pPr>
            <w:r w:rsidRPr="00B53505">
              <w:rPr>
                <w:i/>
                <w:sz w:val="20"/>
              </w:rPr>
              <w:t>150.000</w:t>
            </w:r>
          </w:p>
        </w:tc>
        <w:tc>
          <w:tcPr>
            <w:tcW w:w="964" w:type="dxa"/>
            <w:vAlign w:val="center"/>
          </w:tcPr>
          <w:p w14:paraId="69C4DE74" w14:textId="77777777" w:rsidR="009718F7" w:rsidRPr="00B53505" w:rsidRDefault="009718F7">
            <w:pPr>
              <w:spacing w:before="60" w:after="60"/>
              <w:jc w:val="center"/>
              <w:rPr>
                <w:i/>
                <w:sz w:val="20"/>
              </w:rPr>
            </w:pPr>
            <w:r w:rsidRPr="00B53505">
              <w:rPr>
                <w:i/>
                <w:sz w:val="20"/>
              </w:rPr>
              <w:t>50.000</w:t>
            </w:r>
          </w:p>
        </w:tc>
        <w:tc>
          <w:tcPr>
            <w:tcW w:w="964" w:type="dxa"/>
            <w:vAlign w:val="center"/>
          </w:tcPr>
          <w:p w14:paraId="4096E99F" w14:textId="77777777" w:rsidR="009718F7" w:rsidRPr="00B53505" w:rsidRDefault="009718F7">
            <w:pPr>
              <w:spacing w:before="60" w:after="60"/>
              <w:jc w:val="center"/>
              <w:rPr>
                <w:i/>
                <w:sz w:val="20"/>
              </w:rPr>
            </w:pPr>
            <w:r w:rsidRPr="00B53505">
              <w:rPr>
                <w:i/>
                <w:sz w:val="20"/>
              </w:rPr>
              <w:t>50.000</w:t>
            </w:r>
          </w:p>
        </w:tc>
        <w:tc>
          <w:tcPr>
            <w:tcW w:w="964" w:type="dxa"/>
            <w:vAlign w:val="center"/>
          </w:tcPr>
          <w:p w14:paraId="788D5EA9" w14:textId="77777777" w:rsidR="009718F7" w:rsidRPr="00B53505" w:rsidRDefault="009718F7">
            <w:pPr>
              <w:spacing w:before="60" w:after="60"/>
              <w:jc w:val="center"/>
              <w:rPr>
                <w:sz w:val="20"/>
              </w:rPr>
            </w:pPr>
            <w:r w:rsidRPr="00B53505">
              <w:rPr>
                <w:sz w:val="20"/>
              </w:rPr>
              <w:t>pm</w:t>
            </w:r>
          </w:p>
        </w:tc>
        <w:tc>
          <w:tcPr>
            <w:tcW w:w="964" w:type="dxa"/>
            <w:vAlign w:val="center"/>
          </w:tcPr>
          <w:p w14:paraId="62757ACB" w14:textId="77777777" w:rsidR="009718F7" w:rsidRPr="00B53505" w:rsidRDefault="009718F7">
            <w:pPr>
              <w:spacing w:before="60" w:after="60"/>
              <w:jc w:val="center"/>
              <w:rPr>
                <w:sz w:val="20"/>
              </w:rPr>
            </w:pPr>
            <w:r w:rsidRPr="00B53505">
              <w:rPr>
                <w:sz w:val="20"/>
              </w:rPr>
              <w:t>pm</w:t>
            </w:r>
          </w:p>
        </w:tc>
        <w:tc>
          <w:tcPr>
            <w:tcW w:w="964" w:type="dxa"/>
            <w:vAlign w:val="center"/>
          </w:tcPr>
          <w:p w14:paraId="4FF4B242" w14:textId="77777777" w:rsidR="009718F7" w:rsidRPr="00B53505" w:rsidRDefault="009718F7">
            <w:pPr>
              <w:spacing w:before="60" w:after="60"/>
              <w:jc w:val="center"/>
              <w:rPr>
                <w:sz w:val="20"/>
              </w:rPr>
            </w:pPr>
            <w:r w:rsidRPr="00B53505">
              <w:rPr>
                <w:sz w:val="20"/>
              </w:rPr>
              <w:t>pm</w:t>
            </w:r>
          </w:p>
        </w:tc>
        <w:tc>
          <w:tcPr>
            <w:tcW w:w="1158" w:type="dxa"/>
            <w:vAlign w:val="center"/>
          </w:tcPr>
          <w:p w14:paraId="7967791F" w14:textId="77777777" w:rsidR="009718F7" w:rsidRPr="00B53505" w:rsidRDefault="009718F7">
            <w:pPr>
              <w:spacing w:before="60" w:after="60"/>
              <w:jc w:val="center"/>
              <w:rPr>
                <w:sz w:val="20"/>
              </w:rPr>
            </w:pPr>
            <w:r w:rsidRPr="00B53505">
              <w:rPr>
                <w:sz w:val="20"/>
              </w:rPr>
              <w:t>400.000</w:t>
            </w:r>
          </w:p>
        </w:tc>
      </w:tr>
      <w:tr w:rsidR="009718F7" w:rsidRPr="00B53505" w14:paraId="26C03453" w14:textId="77777777" w:rsidTr="002A6466">
        <w:trPr>
          <w:cantSplit/>
        </w:trPr>
        <w:tc>
          <w:tcPr>
            <w:tcW w:w="2340" w:type="dxa"/>
          </w:tcPr>
          <w:p w14:paraId="0B22E9CB" w14:textId="77777777" w:rsidR="009718F7" w:rsidRPr="00B53505" w:rsidRDefault="009718F7" w:rsidP="002A6466">
            <w:pPr>
              <w:rPr>
                <w:sz w:val="20"/>
              </w:rPr>
            </w:pPr>
            <w:r w:rsidRPr="00B53505">
              <w:rPr>
                <w:sz w:val="20"/>
              </w:rPr>
              <w:t>EU Member States and other 2.1contributors</w:t>
            </w:r>
          </w:p>
        </w:tc>
        <w:tc>
          <w:tcPr>
            <w:tcW w:w="964" w:type="dxa"/>
            <w:vAlign w:val="center"/>
          </w:tcPr>
          <w:p w14:paraId="556FC964" w14:textId="77777777" w:rsidR="009718F7" w:rsidRPr="00B53505" w:rsidRDefault="009718F7">
            <w:pPr>
              <w:spacing w:before="60" w:after="60"/>
              <w:jc w:val="center"/>
              <w:rPr>
                <w:sz w:val="20"/>
              </w:rPr>
            </w:pPr>
            <w:r w:rsidRPr="00B53505">
              <w:rPr>
                <w:sz w:val="20"/>
              </w:rPr>
              <w:t>pm</w:t>
            </w:r>
          </w:p>
        </w:tc>
        <w:tc>
          <w:tcPr>
            <w:tcW w:w="964" w:type="dxa"/>
          </w:tcPr>
          <w:p w14:paraId="3C8DE775" w14:textId="77777777" w:rsidR="009718F7" w:rsidRPr="00B53505" w:rsidRDefault="009718F7">
            <w:pPr>
              <w:spacing w:before="60" w:after="60"/>
              <w:jc w:val="center"/>
              <w:rPr>
                <w:sz w:val="20"/>
              </w:rPr>
            </w:pPr>
            <w:r w:rsidRPr="00B53505">
              <w:rPr>
                <w:sz w:val="20"/>
              </w:rPr>
              <w:t>pm</w:t>
            </w:r>
          </w:p>
        </w:tc>
        <w:tc>
          <w:tcPr>
            <w:tcW w:w="964" w:type="dxa"/>
          </w:tcPr>
          <w:p w14:paraId="2AF53D16" w14:textId="77777777" w:rsidR="009718F7" w:rsidRPr="00B53505" w:rsidRDefault="009718F7">
            <w:pPr>
              <w:spacing w:before="60" w:after="60"/>
              <w:jc w:val="center"/>
              <w:rPr>
                <w:sz w:val="20"/>
              </w:rPr>
            </w:pPr>
            <w:r w:rsidRPr="00B53505">
              <w:rPr>
                <w:sz w:val="20"/>
              </w:rPr>
              <w:t>pm</w:t>
            </w:r>
          </w:p>
        </w:tc>
        <w:tc>
          <w:tcPr>
            <w:tcW w:w="964" w:type="dxa"/>
          </w:tcPr>
          <w:p w14:paraId="1D3536B5" w14:textId="77777777" w:rsidR="009718F7" w:rsidRPr="00B53505" w:rsidRDefault="009718F7">
            <w:pPr>
              <w:spacing w:before="60" w:after="60"/>
              <w:jc w:val="center"/>
              <w:rPr>
                <w:sz w:val="20"/>
              </w:rPr>
            </w:pPr>
            <w:r w:rsidRPr="00B53505">
              <w:rPr>
                <w:sz w:val="20"/>
              </w:rPr>
              <w:t>pm</w:t>
            </w:r>
          </w:p>
        </w:tc>
        <w:tc>
          <w:tcPr>
            <w:tcW w:w="964" w:type="dxa"/>
          </w:tcPr>
          <w:p w14:paraId="1D807CB2" w14:textId="77777777" w:rsidR="009718F7" w:rsidRPr="00B53505" w:rsidRDefault="009718F7">
            <w:pPr>
              <w:spacing w:before="60" w:after="60"/>
              <w:jc w:val="center"/>
              <w:rPr>
                <w:sz w:val="20"/>
              </w:rPr>
            </w:pPr>
            <w:r w:rsidRPr="00B53505">
              <w:rPr>
                <w:sz w:val="20"/>
              </w:rPr>
              <w:t>pm</w:t>
            </w:r>
          </w:p>
        </w:tc>
        <w:tc>
          <w:tcPr>
            <w:tcW w:w="964" w:type="dxa"/>
          </w:tcPr>
          <w:p w14:paraId="653C8251" w14:textId="77777777" w:rsidR="009718F7" w:rsidRPr="00B53505" w:rsidRDefault="009718F7">
            <w:pPr>
              <w:spacing w:before="60" w:after="60"/>
              <w:jc w:val="center"/>
              <w:rPr>
                <w:sz w:val="20"/>
              </w:rPr>
            </w:pPr>
            <w:r w:rsidRPr="00B53505">
              <w:rPr>
                <w:sz w:val="20"/>
              </w:rPr>
              <w:t>pm</w:t>
            </w:r>
          </w:p>
        </w:tc>
        <w:tc>
          <w:tcPr>
            <w:tcW w:w="964" w:type="dxa"/>
          </w:tcPr>
          <w:p w14:paraId="5D604C78" w14:textId="77777777" w:rsidR="009718F7" w:rsidRPr="00B53505" w:rsidRDefault="009718F7">
            <w:pPr>
              <w:spacing w:before="60" w:after="60"/>
              <w:jc w:val="center"/>
              <w:rPr>
                <w:sz w:val="20"/>
              </w:rPr>
            </w:pPr>
            <w:r w:rsidRPr="00B53505">
              <w:rPr>
                <w:sz w:val="20"/>
              </w:rPr>
              <w:t>pm</w:t>
            </w:r>
          </w:p>
        </w:tc>
        <w:tc>
          <w:tcPr>
            <w:tcW w:w="1158" w:type="dxa"/>
          </w:tcPr>
          <w:p w14:paraId="526278C6" w14:textId="77777777" w:rsidR="009718F7" w:rsidRPr="00B53505" w:rsidRDefault="009718F7">
            <w:pPr>
              <w:spacing w:before="60" w:after="60"/>
              <w:jc w:val="center"/>
              <w:rPr>
                <w:sz w:val="20"/>
              </w:rPr>
            </w:pPr>
            <w:r w:rsidRPr="00B53505">
              <w:rPr>
                <w:sz w:val="20"/>
              </w:rPr>
              <w:t>pm</w:t>
            </w:r>
          </w:p>
        </w:tc>
      </w:tr>
      <w:tr w:rsidR="009718F7" w:rsidRPr="00B53505" w14:paraId="3BAA14DC" w14:textId="77777777">
        <w:trPr>
          <w:cantSplit/>
        </w:trPr>
        <w:tc>
          <w:tcPr>
            <w:tcW w:w="2340" w:type="dxa"/>
          </w:tcPr>
          <w:p w14:paraId="36A41950" w14:textId="77777777" w:rsidR="009718F7" w:rsidRPr="00B53505" w:rsidRDefault="009718F7">
            <w:pPr>
              <w:spacing w:before="60" w:after="60"/>
              <w:jc w:val="left"/>
              <w:rPr>
                <w:sz w:val="20"/>
              </w:rPr>
            </w:pPr>
            <w:r w:rsidRPr="00B53505">
              <w:rPr>
                <w:sz w:val="20"/>
              </w:rPr>
              <w:t xml:space="preserve">TOTAL appropriations co-financed </w:t>
            </w:r>
          </w:p>
        </w:tc>
        <w:tc>
          <w:tcPr>
            <w:tcW w:w="964" w:type="dxa"/>
            <w:vAlign w:val="center"/>
          </w:tcPr>
          <w:p w14:paraId="506BDEA3" w14:textId="77777777" w:rsidR="009718F7" w:rsidRPr="00B53505" w:rsidRDefault="009718F7" w:rsidP="002A6466">
            <w:pPr>
              <w:spacing w:before="60" w:after="60"/>
              <w:jc w:val="center"/>
              <w:rPr>
                <w:i/>
                <w:sz w:val="20"/>
              </w:rPr>
            </w:pPr>
            <w:r w:rsidRPr="00B53505">
              <w:rPr>
                <w:i/>
                <w:sz w:val="20"/>
              </w:rPr>
              <w:t xml:space="preserve">150.000 </w:t>
            </w:r>
          </w:p>
        </w:tc>
        <w:tc>
          <w:tcPr>
            <w:tcW w:w="964" w:type="dxa"/>
            <w:vAlign w:val="center"/>
          </w:tcPr>
          <w:p w14:paraId="5549057B" w14:textId="77777777" w:rsidR="009718F7" w:rsidRPr="00B53505" w:rsidRDefault="009718F7">
            <w:pPr>
              <w:spacing w:before="60" w:after="60"/>
              <w:jc w:val="center"/>
              <w:rPr>
                <w:i/>
                <w:sz w:val="20"/>
              </w:rPr>
            </w:pPr>
            <w:r w:rsidRPr="00B53505">
              <w:rPr>
                <w:i/>
                <w:sz w:val="20"/>
              </w:rPr>
              <w:t>150.000</w:t>
            </w:r>
          </w:p>
        </w:tc>
        <w:tc>
          <w:tcPr>
            <w:tcW w:w="964" w:type="dxa"/>
            <w:vAlign w:val="center"/>
          </w:tcPr>
          <w:p w14:paraId="6D641998" w14:textId="77777777" w:rsidR="009718F7" w:rsidRPr="00B53505" w:rsidRDefault="009718F7">
            <w:pPr>
              <w:spacing w:before="60" w:after="60"/>
              <w:jc w:val="center"/>
              <w:rPr>
                <w:i/>
                <w:sz w:val="20"/>
              </w:rPr>
            </w:pPr>
            <w:r w:rsidRPr="00B53505">
              <w:rPr>
                <w:i/>
                <w:sz w:val="20"/>
              </w:rPr>
              <w:t>50.000</w:t>
            </w:r>
          </w:p>
        </w:tc>
        <w:tc>
          <w:tcPr>
            <w:tcW w:w="964" w:type="dxa"/>
            <w:vAlign w:val="center"/>
          </w:tcPr>
          <w:p w14:paraId="3436DB39" w14:textId="77777777" w:rsidR="009718F7" w:rsidRPr="00B53505" w:rsidRDefault="009718F7">
            <w:pPr>
              <w:spacing w:before="60" w:after="60"/>
              <w:jc w:val="center"/>
              <w:rPr>
                <w:i/>
                <w:sz w:val="20"/>
              </w:rPr>
            </w:pPr>
            <w:r w:rsidRPr="00B53505">
              <w:rPr>
                <w:i/>
                <w:sz w:val="20"/>
              </w:rPr>
              <w:t>50.000</w:t>
            </w:r>
          </w:p>
        </w:tc>
        <w:tc>
          <w:tcPr>
            <w:tcW w:w="964" w:type="dxa"/>
            <w:vAlign w:val="center"/>
          </w:tcPr>
          <w:p w14:paraId="3784EF0D" w14:textId="77777777" w:rsidR="009718F7" w:rsidRPr="00B53505" w:rsidRDefault="009718F7">
            <w:pPr>
              <w:spacing w:before="60" w:after="60"/>
              <w:jc w:val="center"/>
              <w:rPr>
                <w:sz w:val="20"/>
              </w:rPr>
            </w:pPr>
            <w:r w:rsidRPr="00B53505">
              <w:rPr>
                <w:sz w:val="20"/>
              </w:rPr>
              <w:t>pm</w:t>
            </w:r>
          </w:p>
        </w:tc>
        <w:tc>
          <w:tcPr>
            <w:tcW w:w="964" w:type="dxa"/>
            <w:vAlign w:val="center"/>
          </w:tcPr>
          <w:p w14:paraId="01D39B4B" w14:textId="77777777" w:rsidR="009718F7" w:rsidRPr="00B53505" w:rsidRDefault="009718F7">
            <w:pPr>
              <w:spacing w:before="60" w:after="60"/>
              <w:jc w:val="center"/>
              <w:rPr>
                <w:sz w:val="20"/>
              </w:rPr>
            </w:pPr>
            <w:r w:rsidRPr="00B53505">
              <w:rPr>
                <w:sz w:val="20"/>
              </w:rPr>
              <w:t>pm</w:t>
            </w:r>
          </w:p>
        </w:tc>
        <w:tc>
          <w:tcPr>
            <w:tcW w:w="964" w:type="dxa"/>
            <w:vAlign w:val="center"/>
          </w:tcPr>
          <w:p w14:paraId="2DF9505B" w14:textId="77777777" w:rsidR="009718F7" w:rsidRPr="00B53505" w:rsidRDefault="009718F7">
            <w:pPr>
              <w:spacing w:before="60" w:after="60"/>
              <w:jc w:val="center"/>
              <w:rPr>
                <w:sz w:val="20"/>
              </w:rPr>
            </w:pPr>
            <w:r w:rsidRPr="00B53505">
              <w:rPr>
                <w:sz w:val="20"/>
              </w:rPr>
              <w:t>pm</w:t>
            </w:r>
          </w:p>
        </w:tc>
        <w:tc>
          <w:tcPr>
            <w:tcW w:w="1158" w:type="dxa"/>
            <w:vAlign w:val="center"/>
          </w:tcPr>
          <w:p w14:paraId="508C912C" w14:textId="77777777" w:rsidR="009718F7" w:rsidRPr="00B53505" w:rsidRDefault="009718F7">
            <w:pPr>
              <w:spacing w:before="60" w:after="60"/>
              <w:jc w:val="center"/>
              <w:rPr>
                <w:sz w:val="20"/>
              </w:rPr>
            </w:pPr>
            <w:r w:rsidRPr="00B53505">
              <w:rPr>
                <w:sz w:val="20"/>
              </w:rPr>
              <w:t>400.000</w:t>
            </w:r>
          </w:p>
        </w:tc>
      </w:tr>
    </w:tbl>
    <w:p w14:paraId="06EF0787" w14:textId="77777777" w:rsidR="009718F7" w:rsidRPr="00B53505" w:rsidRDefault="009718F7">
      <w:r w:rsidRPr="00B53505">
        <w:br/>
      </w:r>
    </w:p>
    <w:p w14:paraId="1B008416" w14:textId="77777777" w:rsidR="009718F7" w:rsidRPr="00B53505" w:rsidRDefault="009718F7">
      <w:pPr>
        <w:pStyle w:val="Heading2"/>
        <w:rPr>
          <w:bCs w:val="0"/>
          <w:szCs w:val="24"/>
        </w:rPr>
      </w:pPr>
      <w:r w:rsidRPr="00B53505">
        <w:br w:type="page"/>
        <w:t xml:space="preserve">Estimated impact on revenue </w:t>
      </w:r>
    </w:p>
    <w:p w14:paraId="7DD802C0" w14:textId="77777777" w:rsidR="009718F7" w:rsidRPr="00B53505" w:rsidRDefault="009718F7">
      <w:pPr>
        <w:pStyle w:val="ListDash1"/>
      </w:pPr>
      <w:r w:rsidRPr="00B53505">
        <w:sym w:font="Wingdings" w:char="F0A8"/>
      </w:r>
      <w:r w:rsidRPr="00B53505">
        <w:tab/>
        <w:t>The proposal/initiative has no financial impact on revenue.</w:t>
      </w:r>
    </w:p>
    <w:p w14:paraId="62EE79E2" w14:textId="77777777" w:rsidR="009718F7" w:rsidRPr="00B53505" w:rsidRDefault="009718F7">
      <w:pPr>
        <w:pStyle w:val="ListDash1"/>
      </w:pPr>
      <w:r w:rsidRPr="00B53505">
        <w:sym w:font="Wingdings" w:char="F0A8"/>
      </w:r>
      <w:r w:rsidRPr="00B53505">
        <w:tab/>
        <w:t>The proposal/initiative has the following financial impact:</w:t>
      </w:r>
    </w:p>
    <w:p w14:paraId="71C6AFEF" w14:textId="77777777" w:rsidR="009718F7" w:rsidRPr="00B53505" w:rsidRDefault="009718F7">
      <w:pPr>
        <w:pStyle w:val="ListNumberLevel3"/>
      </w:pPr>
      <w:r w:rsidRPr="00B53505">
        <w:sym w:font="Wingdings" w:char="F0A8"/>
      </w:r>
      <w:r w:rsidRPr="00B53505">
        <w:tab/>
        <w:t xml:space="preserve">on own resources </w:t>
      </w:r>
    </w:p>
    <w:p w14:paraId="6E58660C" w14:textId="77777777" w:rsidR="009718F7" w:rsidRPr="00B53505" w:rsidRDefault="009718F7">
      <w:pPr>
        <w:pStyle w:val="ListNumberLevel3"/>
      </w:pPr>
      <w:r w:rsidRPr="00B53505">
        <w:t>X</w:t>
      </w:r>
      <w:r w:rsidRPr="00B53505">
        <w:tab/>
        <w:t xml:space="preserve">on miscellaneous revenue </w:t>
      </w:r>
    </w:p>
    <w:p w14:paraId="504FCEDF" w14:textId="77777777" w:rsidR="009718F7" w:rsidRPr="00B53505" w:rsidRDefault="009718F7" w:rsidP="00B26000">
      <w:pPr>
        <w:spacing w:before="0"/>
        <w:jc w:val="right"/>
        <w:rPr>
          <w:i/>
          <w:sz w:val="20"/>
        </w:rPr>
      </w:pPr>
      <w:r w:rsidRPr="00B53505">
        <w:t>EUR million (to three decimal places)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1819"/>
        <w:gridCol w:w="801"/>
        <w:gridCol w:w="801"/>
        <w:gridCol w:w="711"/>
        <w:gridCol w:w="711"/>
        <w:gridCol w:w="630"/>
        <w:gridCol w:w="627"/>
        <w:gridCol w:w="627"/>
      </w:tblGrid>
      <w:tr w:rsidR="009718F7" w:rsidRPr="00B53505" w14:paraId="65BEC0E6" w14:textId="77777777" w:rsidTr="00B26000">
        <w:trPr>
          <w:trHeight w:val="388"/>
        </w:trPr>
        <w:tc>
          <w:tcPr>
            <w:tcW w:w="0" w:type="auto"/>
            <w:vMerge w:val="restart"/>
            <w:vAlign w:val="center"/>
          </w:tcPr>
          <w:p w14:paraId="20C02C3D" w14:textId="77777777" w:rsidR="009718F7" w:rsidRPr="00B53505" w:rsidRDefault="009718F7">
            <w:pPr>
              <w:spacing w:before="40" w:after="40"/>
              <w:rPr>
                <w:sz w:val="18"/>
              </w:rPr>
            </w:pPr>
            <w:r w:rsidRPr="00B53505">
              <w:rPr>
                <w:sz w:val="18"/>
              </w:rPr>
              <w:t>Budget revenue line:</w:t>
            </w:r>
          </w:p>
        </w:tc>
        <w:tc>
          <w:tcPr>
            <w:tcW w:w="0" w:type="auto"/>
            <w:vMerge w:val="restart"/>
            <w:vAlign w:val="center"/>
          </w:tcPr>
          <w:p w14:paraId="076DD0DE" w14:textId="77777777" w:rsidR="009718F7" w:rsidRPr="00B53505" w:rsidRDefault="009718F7">
            <w:pPr>
              <w:jc w:val="center"/>
              <w:rPr>
                <w:sz w:val="18"/>
              </w:rPr>
            </w:pPr>
            <w:r w:rsidRPr="00B53505">
              <w:rPr>
                <w:sz w:val="18"/>
              </w:rPr>
              <w:t>Appropriations available for the current financial year</w:t>
            </w:r>
          </w:p>
        </w:tc>
        <w:tc>
          <w:tcPr>
            <w:tcW w:w="0" w:type="auto"/>
            <w:gridSpan w:val="7"/>
            <w:vAlign w:val="center"/>
          </w:tcPr>
          <w:p w14:paraId="1AF28AAD" w14:textId="77777777" w:rsidR="009718F7" w:rsidRPr="00B53505" w:rsidRDefault="009718F7">
            <w:pPr>
              <w:jc w:val="center"/>
              <w:rPr>
                <w:sz w:val="18"/>
              </w:rPr>
            </w:pPr>
            <w:r w:rsidRPr="00B53505">
              <w:rPr>
                <w:sz w:val="18"/>
              </w:rPr>
              <w:t>Impact of the proposal/initiative</w:t>
            </w:r>
            <w:r w:rsidRPr="00B53505">
              <w:rPr>
                <w:rStyle w:val="FootnoteReference"/>
                <w:sz w:val="18"/>
              </w:rPr>
              <w:footnoteReference w:id="51"/>
            </w:r>
          </w:p>
        </w:tc>
      </w:tr>
      <w:tr w:rsidR="009718F7" w:rsidRPr="00B53505" w14:paraId="3292ABC8" w14:textId="77777777" w:rsidTr="00B26000">
        <w:trPr>
          <w:trHeight w:val="388"/>
        </w:trPr>
        <w:tc>
          <w:tcPr>
            <w:tcW w:w="0" w:type="auto"/>
            <w:vMerge/>
          </w:tcPr>
          <w:p w14:paraId="61FB1E48" w14:textId="77777777" w:rsidR="009718F7" w:rsidRPr="00B53505" w:rsidRDefault="009718F7">
            <w:pPr>
              <w:spacing w:before="40" w:after="40"/>
              <w:rPr>
                <w:sz w:val="18"/>
              </w:rPr>
            </w:pPr>
          </w:p>
        </w:tc>
        <w:tc>
          <w:tcPr>
            <w:tcW w:w="0" w:type="auto"/>
            <w:vMerge/>
          </w:tcPr>
          <w:p w14:paraId="79C58B1E" w14:textId="77777777" w:rsidR="009718F7" w:rsidRPr="00B53505" w:rsidRDefault="009718F7">
            <w:pPr>
              <w:spacing w:beforeLines="40" w:before="96" w:afterLines="40" w:after="96"/>
              <w:rPr>
                <w:i/>
                <w:sz w:val="18"/>
              </w:rPr>
            </w:pPr>
          </w:p>
        </w:tc>
        <w:tc>
          <w:tcPr>
            <w:tcW w:w="0" w:type="auto"/>
            <w:vAlign w:val="center"/>
          </w:tcPr>
          <w:p w14:paraId="2A76EB5F" w14:textId="77777777" w:rsidR="009718F7" w:rsidRPr="00B53505" w:rsidRDefault="009718F7" w:rsidP="002A6466">
            <w:pPr>
              <w:jc w:val="center"/>
              <w:rPr>
                <w:sz w:val="18"/>
              </w:rPr>
            </w:pPr>
            <w:r w:rsidRPr="00B53505">
              <w:rPr>
                <w:sz w:val="18"/>
              </w:rPr>
              <w:t>Year</w:t>
            </w:r>
            <w:r w:rsidRPr="00B53505">
              <w:rPr>
                <w:sz w:val="22"/>
              </w:rPr>
              <w:br/>
            </w:r>
            <w:r w:rsidRPr="00B53505">
              <w:rPr>
                <w:b/>
                <w:sz w:val="18"/>
              </w:rPr>
              <w:t>2017</w:t>
            </w:r>
          </w:p>
        </w:tc>
        <w:tc>
          <w:tcPr>
            <w:tcW w:w="0" w:type="auto"/>
            <w:vAlign w:val="center"/>
          </w:tcPr>
          <w:p w14:paraId="2F305D86" w14:textId="77777777" w:rsidR="009718F7" w:rsidRPr="00B53505" w:rsidRDefault="009718F7" w:rsidP="002A6466">
            <w:pPr>
              <w:jc w:val="center"/>
              <w:rPr>
                <w:sz w:val="18"/>
              </w:rPr>
            </w:pPr>
            <w:r w:rsidRPr="00B53505">
              <w:rPr>
                <w:sz w:val="18"/>
              </w:rPr>
              <w:t>Year</w:t>
            </w:r>
            <w:r w:rsidRPr="00B53505">
              <w:rPr>
                <w:sz w:val="22"/>
              </w:rPr>
              <w:br/>
            </w:r>
            <w:r w:rsidRPr="00B53505">
              <w:rPr>
                <w:b/>
                <w:sz w:val="18"/>
              </w:rPr>
              <w:t>2018</w:t>
            </w:r>
          </w:p>
        </w:tc>
        <w:tc>
          <w:tcPr>
            <w:tcW w:w="0" w:type="auto"/>
            <w:vAlign w:val="center"/>
          </w:tcPr>
          <w:p w14:paraId="6D80B87E" w14:textId="77777777" w:rsidR="009718F7" w:rsidRPr="00B53505" w:rsidRDefault="009718F7" w:rsidP="002A6466">
            <w:pPr>
              <w:jc w:val="center"/>
              <w:rPr>
                <w:sz w:val="18"/>
              </w:rPr>
            </w:pPr>
            <w:r w:rsidRPr="00B53505">
              <w:rPr>
                <w:sz w:val="18"/>
              </w:rPr>
              <w:t>Year</w:t>
            </w:r>
            <w:r w:rsidRPr="00B53505">
              <w:rPr>
                <w:sz w:val="22"/>
              </w:rPr>
              <w:br/>
            </w:r>
            <w:r w:rsidRPr="00B53505">
              <w:rPr>
                <w:b/>
                <w:sz w:val="18"/>
              </w:rPr>
              <w:t>2019</w:t>
            </w:r>
          </w:p>
        </w:tc>
        <w:tc>
          <w:tcPr>
            <w:tcW w:w="0" w:type="auto"/>
            <w:vAlign w:val="center"/>
          </w:tcPr>
          <w:p w14:paraId="7E32994E" w14:textId="77777777" w:rsidR="009718F7" w:rsidRPr="00B53505" w:rsidRDefault="009718F7" w:rsidP="002A6466">
            <w:pPr>
              <w:jc w:val="center"/>
              <w:rPr>
                <w:sz w:val="18"/>
              </w:rPr>
            </w:pPr>
            <w:r w:rsidRPr="00B53505">
              <w:rPr>
                <w:sz w:val="18"/>
              </w:rPr>
              <w:t>Year</w:t>
            </w:r>
            <w:r w:rsidRPr="00B53505">
              <w:rPr>
                <w:sz w:val="22"/>
              </w:rPr>
              <w:br/>
            </w:r>
            <w:r w:rsidRPr="00B53505">
              <w:rPr>
                <w:b/>
                <w:sz w:val="18"/>
              </w:rPr>
              <w:t>2020</w:t>
            </w:r>
          </w:p>
        </w:tc>
        <w:tc>
          <w:tcPr>
            <w:tcW w:w="0" w:type="auto"/>
            <w:gridSpan w:val="3"/>
            <w:vAlign w:val="center"/>
          </w:tcPr>
          <w:p w14:paraId="763035F3" w14:textId="77777777" w:rsidR="009718F7" w:rsidRPr="00B53505" w:rsidRDefault="009718F7">
            <w:pPr>
              <w:jc w:val="center"/>
              <w:rPr>
                <w:b/>
                <w:sz w:val="18"/>
              </w:rPr>
            </w:pPr>
            <w:r w:rsidRPr="00B53505">
              <w:rPr>
                <w:sz w:val="18"/>
              </w:rPr>
              <w:t>Enter as many years as necessary to show the duration of the impact (see point 1.6)</w:t>
            </w:r>
          </w:p>
        </w:tc>
      </w:tr>
      <w:tr w:rsidR="009718F7" w:rsidRPr="00B53505" w14:paraId="524291C9" w14:textId="77777777" w:rsidTr="00B26000">
        <w:trPr>
          <w:trHeight w:val="388"/>
        </w:trPr>
        <w:tc>
          <w:tcPr>
            <w:tcW w:w="0" w:type="auto"/>
            <w:vAlign w:val="center"/>
          </w:tcPr>
          <w:p w14:paraId="3FD4DEEA" w14:textId="77777777" w:rsidR="009718F7" w:rsidRPr="00B53505" w:rsidRDefault="009718F7" w:rsidP="002A6466">
            <w:pPr>
              <w:spacing w:before="40" w:after="40"/>
              <w:rPr>
                <w:sz w:val="18"/>
                <w:szCs w:val="18"/>
              </w:rPr>
            </w:pPr>
            <w:r w:rsidRPr="00B53505">
              <w:rPr>
                <w:b/>
                <w:i/>
                <w:sz w:val="18"/>
                <w:szCs w:val="18"/>
              </w:rPr>
              <w:t>New article</w:t>
            </w:r>
            <w:r w:rsidRPr="00B53505">
              <w:rPr>
                <w:sz w:val="18"/>
                <w:szCs w:val="18"/>
              </w:rPr>
              <w:t xml:space="preserve"> 635 Contributions to the European Fund for Sustainable Development (EFSD) – assigned revenue</w:t>
            </w:r>
          </w:p>
        </w:tc>
        <w:tc>
          <w:tcPr>
            <w:tcW w:w="0" w:type="auto"/>
          </w:tcPr>
          <w:p w14:paraId="647886E1" w14:textId="77777777" w:rsidR="009718F7" w:rsidRPr="00B53505" w:rsidRDefault="009718F7">
            <w:pPr>
              <w:spacing w:beforeLines="40" w:before="96" w:afterLines="40" w:after="96"/>
              <w:jc w:val="center"/>
              <w:rPr>
                <w:i/>
                <w:sz w:val="18"/>
              </w:rPr>
            </w:pPr>
          </w:p>
        </w:tc>
        <w:tc>
          <w:tcPr>
            <w:tcW w:w="0" w:type="auto"/>
          </w:tcPr>
          <w:p w14:paraId="7EDB57B3" w14:textId="77777777" w:rsidR="009718F7" w:rsidRPr="00B53505" w:rsidRDefault="009718F7">
            <w:pPr>
              <w:spacing w:beforeLines="40" w:before="96" w:afterLines="40" w:after="96"/>
              <w:jc w:val="center"/>
              <w:rPr>
                <w:i/>
                <w:sz w:val="18"/>
              </w:rPr>
            </w:pPr>
          </w:p>
        </w:tc>
        <w:tc>
          <w:tcPr>
            <w:tcW w:w="0" w:type="auto"/>
          </w:tcPr>
          <w:p w14:paraId="3FC078CB" w14:textId="77777777" w:rsidR="009718F7" w:rsidRPr="00B53505" w:rsidRDefault="009718F7">
            <w:pPr>
              <w:spacing w:beforeLines="40" w:before="96" w:afterLines="40" w:after="96"/>
              <w:jc w:val="center"/>
              <w:rPr>
                <w:i/>
                <w:sz w:val="18"/>
              </w:rPr>
            </w:pPr>
          </w:p>
        </w:tc>
        <w:tc>
          <w:tcPr>
            <w:tcW w:w="0" w:type="auto"/>
          </w:tcPr>
          <w:p w14:paraId="55E6ECDF" w14:textId="77777777" w:rsidR="009718F7" w:rsidRPr="00B53505" w:rsidRDefault="009718F7">
            <w:pPr>
              <w:spacing w:beforeLines="40" w:before="96" w:afterLines="40" w:after="96"/>
              <w:jc w:val="center"/>
              <w:rPr>
                <w:i/>
                <w:sz w:val="18"/>
              </w:rPr>
            </w:pPr>
          </w:p>
        </w:tc>
        <w:tc>
          <w:tcPr>
            <w:tcW w:w="0" w:type="auto"/>
          </w:tcPr>
          <w:p w14:paraId="1719FAC9" w14:textId="77777777" w:rsidR="009718F7" w:rsidRPr="00B53505" w:rsidRDefault="009718F7">
            <w:pPr>
              <w:spacing w:beforeLines="40" w:before="96" w:afterLines="40" w:after="96"/>
              <w:jc w:val="center"/>
              <w:rPr>
                <w:i/>
                <w:sz w:val="18"/>
              </w:rPr>
            </w:pPr>
          </w:p>
        </w:tc>
        <w:tc>
          <w:tcPr>
            <w:tcW w:w="0" w:type="auto"/>
          </w:tcPr>
          <w:p w14:paraId="5AB6A757" w14:textId="77777777" w:rsidR="009718F7" w:rsidRPr="00B53505" w:rsidRDefault="009718F7">
            <w:pPr>
              <w:spacing w:beforeLines="40" w:before="96" w:afterLines="40" w:after="96"/>
              <w:jc w:val="center"/>
              <w:rPr>
                <w:sz w:val="18"/>
              </w:rPr>
            </w:pPr>
          </w:p>
        </w:tc>
        <w:tc>
          <w:tcPr>
            <w:tcW w:w="0" w:type="auto"/>
          </w:tcPr>
          <w:p w14:paraId="2C3EA8E5" w14:textId="77777777" w:rsidR="009718F7" w:rsidRPr="00B53505" w:rsidRDefault="009718F7">
            <w:pPr>
              <w:spacing w:beforeLines="40" w:before="96" w:afterLines="40" w:after="96"/>
              <w:jc w:val="center"/>
              <w:rPr>
                <w:sz w:val="18"/>
              </w:rPr>
            </w:pPr>
          </w:p>
        </w:tc>
        <w:tc>
          <w:tcPr>
            <w:tcW w:w="0" w:type="auto"/>
          </w:tcPr>
          <w:p w14:paraId="7AE22F6E" w14:textId="77777777" w:rsidR="009718F7" w:rsidRPr="00B53505" w:rsidRDefault="009718F7">
            <w:pPr>
              <w:spacing w:beforeLines="40" w:before="96" w:afterLines="40" w:after="96"/>
              <w:jc w:val="center"/>
              <w:rPr>
                <w:sz w:val="18"/>
              </w:rPr>
            </w:pPr>
          </w:p>
        </w:tc>
      </w:tr>
      <w:tr w:rsidR="009718F7" w:rsidRPr="00B53505" w14:paraId="7281A53A" w14:textId="77777777" w:rsidTr="00B26000">
        <w:trPr>
          <w:trHeight w:val="388"/>
        </w:trPr>
        <w:tc>
          <w:tcPr>
            <w:tcW w:w="0" w:type="auto"/>
            <w:vAlign w:val="center"/>
          </w:tcPr>
          <w:p w14:paraId="5EDFAB8D" w14:textId="77777777" w:rsidR="009718F7" w:rsidRPr="00B53505" w:rsidRDefault="009718F7">
            <w:pPr>
              <w:spacing w:before="40" w:after="40"/>
              <w:rPr>
                <w:sz w:val="18"/>
                <w:szCs w:val="18"/>
              </w:rPr>
            </w:pPr>
            <w:r w:rsidRPr="00B53505">
              <w:rPr>
                <w:b/>
                <w:i/>
                <w:sz w:val="18"/>
                <w:szCs w:val="18"/>
              </w:rPr>
              <w:t>New budget line</w:t>
            </w:r>
            <w:r w:rsidRPr="00B53505">
              <w:rPr>
                <w:sz w:val="18"/>
                <w:szCs w:val="18"/>
              </w:rPr>
              <w:t xml:space="preserve"> 6350 Contribution of the EDF to the EFSD</w:t>
            </w:r>
          </w:p>
        </w:tc>
        <w:tc>
          <w:tcPr>
            <w:tcW w:w="0" w:type="auto"/>
          </w:tcPr>
          <w:p w14:paraId="45C530C4" w14:textId="77777777" w:rsidR="009718F7" w:rsidRPr="00B53505" w:rsidRDefault="009718F7">
            <w:pPr>
              <w:spacing w:beforeLines="40" w:before="96" w:afterLines="40" w:after="96"/>
              <w:jc w:val="center"/>
              <w:rPr>
                <w:i/>
                <w:sz w:val="18"/>
              </w:rPr>
            </w:pPr>
            <w:r w:rsidRPr="00B53505">
              <w:rPr>
                <w:i/>
                <w:sz w:val="18"/>
              </w:rPr>
              <w:t>pm</w:t>
            </w:r>
          </w:p>
        </w:tc>
        <w:tc>
          <w:tcPr>
            <w:tcW w:w="0" w:type="auto"/>
          </w:tcPr>
          <w:p w14:paraId="38ECA24D" w14:textId="77777777" w:rsidR="009718F7" w:rsidRPr="00B53505" w:rsidRDefault="009718F7" w:rsidP="002A6466">
            <w:pPr>
              <w:spacing w:beforeLines="40" w:before="96" w:afterLines="40" w:after="96"/>
              <w:jc w:val="center"/>
              <w:rPr>
                <w:sz w:val="18"/>
              </w:rPr>
            </w:pPr>
            <w:r w:rsidRPr="00B53505">
              <w:rPr>
                <w:i/>
                <w:sz w:val="18"/>
              </w:rPr>
              <w:t>150.000</w:t>
            </w:r>
          </w:p>
        </w:tc>
        <w:tc>
          <w:tcPr>
            <w:tcW w:w="0" w:type="auto"/>
          </w:tcPr>
          <w:p w14:paraId="691B284E" w14:textId="77777777" w:rsidR="009718F7" w:rsidRPr="00B53505" w:rsidRDefault="009718F7" w:rsidP="002A6466">
            <w:pPr>
              <w:spacing w:beforeLines="40" w:before="96" w:afterLines="40" w:after="96"/>
              <w:jc w:val="center"/>
              <w:rPr>
                <w:sz w:val="18"/>
              </w:rPr>
            </w:pPr>
            <w:r w:rsidRPr="00B53505">
              <w:rPr>
                <w:i/>
                <w:sz w:val="18"/>
              </w:rPr>
              <w:t>150.000</w:t>
            </w:r>
          </w:p>
        </w:tc>
        <w:tc>
          <w:tcPr>
            <w:tcW w:w="0" w:type="auto"/>
          </w:tcPr>
          <w:p w14:paraId="51E62B5A" w14:textId="77777777" w:rsidR="009718F7" w:rsidRPr="00B53505" w:rsidRDefault="009718F7">
            <w:pPr>
              <w:spacing w:beforeLines="40" w:before="96" w:afterLines="40" w:after="96"/>
              <w:jc w:val="center"/>
              <w:rPr>
                <w:sz w:val="18"/>
              </w:rPr>
            </w:pPr>
            <w:r w:rsidRPr="00B53505">
              <w:rPr>
                <w:i/>
                <w:sz w:val="18"/>
              </w:rPr>
              <w:t>50.000</w:t>
            </w:r>
          </w:p>
        </w:tc>
        <w:tc>
          <w:tcPr>
            <w:tcW w:w="0" w:type="auto"/>
          </w:tcPr>
          <w:p w14:paraId="0619EE92" w14:textId="77777777" w:rsidR="009718F7" w:rsidRPr="00B53505" w:rsidRDefault="009718F7">
            <w:pPr>
              <w:spacing w:beforeLines="40" w:before="96" w:afterLines="40" w:after="96"/>
              <w:jc w:val="center"/>
              <w:rPr>
                <w:sz w:val="18"/>
              </w:rPr>
            </w:pPr>
            <w:r w:rsidRPr="00B53505">
              <w:rPr>
                <w:i/>
                <w:sz w:val="18"/>
              </w:rPr>
              <w:t>50.000</w:t>
            </w:r>
          </w:p>
        </w:tc>
        <w:tc>
          <w:tcPr>
            <w:tcW w:w="0" w:type="auto"/>
          </w:tcPr>
          <w:p w14:paraId="2BE20678" w14:textId="77777777" w:rsidR="009718F7" w:rsidRPr="00B53505" w:rsidRDefault="009718F7">
            <w:pPr>
              <w:spacing w:beforeLines="40" w:before="96" w:afterLines="40" w:after="96"/>
              <w:jc w:val="center"/>
              <w:rPr>
                <w:sz w:val="18"/>
              </w:rPr>
            </w:pPr>
          </w:p>
        </w:tc>
        <w:tc>
          <w:tcPr>
            <w:tcW w:w="0" w:type="auto"/>
          </w:tcPr>
          <w:p w14:paraId="191F029C" w14:textId="77777777" w:rsidR="009718F7" w:rsidRPr="00B53505" w:rsidRDefault="009718F7">
            <w:pPr>
              <w:spacing w:beforeLines="40" w:before="96" w:afterLines="40" w:after="96"/>
              <w:jc w:val="center"/>
              <w:rPr>
                <w:sz w:val="18"/>
              </w:rPr>
            </w:pPr>
          </w:p>
        </w:tc>
        <w:tc>
          <w:tcPr>
            <w:tcW w:w="0" w:type="auto"/>
          </w:tcPr>
          <w:p w14:paraId="55B3EC6B" w14:textId="77777777" w:rsidR="009718F7" w:rsidRPr="00B53505" w:rsidRDefault="009718F7">
            <w:pPr>
              <w:spacing w:beforeLines="40" w:before="96" w:afterLines="40" w:after="96"/>
              <w:jc w:val="center"/>
              <w:rPr>
                <w:sz w:val="18"/>
              </w:rPr>
            </w:pPr>
          </w:p>
        </w:tc>
      </w:tr>
      <w:tr w:rsidR="009718F7" w:rsidRPr="00B53505" w14:paraId="6963F7BD" w14:textId="77777777" w:rsidTr="00B26000">
        <w:trPr>
          <w:trHeight w:val="388"/>
        </w:trPr>
        <w:tc>
          <w:tcPr>
            <w:tcW w:w="0" w:type="auto"/>
            <w:vAlign w:val="center"/>
          </w:tcPr>
          <w:p w14:paraId="72AC9289" w14:textId="77777777" w:rsidR="009718F7" w:rsidRPr="00B53505" w:rsidRDefault="009718F7">
            <w:pPr>
              <w:spacing w:before="40" w:after="40"/>
              <w:rPr>
                <w:sz w:val="18"/>
                <w:szCs w:val="18"/>
              </w:rPr>
            </w:pPr>
            <w:r w:rsidRPr="00B53505">
              <w:rPr>
                <w:b/>
                <w:i/>
                <w:sz w:val="18"/>
                <w:szCs w:val="18"/>
              </w:rPr>
              <w:t>New budget line</w:t>
            </w:r>
            <w:r w:rsidRPr="00B53505">
              <w:rPr>
                <w:sz w:val="18"/>
                <w:szCs w:val="18"/>
              </w:rPr>
              <w:t xml:space="preserve"> 6351 Contributions from Member States, including their agencies, entities or natural persons to the European Fund for Sustainable Development</w:t>
            </w:r>
          </w:p>
        </w:tc>
        <w:tc>
          <w:tcPr>
            <w:tcW w:w="0" w:type="auto"/>
          </w:tcPr>
          <w:p w14:paraId="617E8455" w14:textId="77777777" w:rsidR="009718F7" w:rsidRPr="00B53505" w:rsidRDefault="009718F7">
            <w:pPr>
              <w:spacing w:beforeLines="40" w:before="96" w:afterLines="40" w:after="96"/>
              <w:jc w:val="center"/>
              <w:rPr>
                <w:i/>
                <w:sz w:val="18"/>
              </w:rPr>
            </w:pPr>
            <w:r w:rsidRPr="00B53505">
              <w:rPr>
                <w:i/>
                <w:sz w:val="18"/>
              </w:rPr>
              <w:t>pm</w:t>
            </w:r>
          </w:p>
        </w:tc>
        <w:tc>
          <w:tcPr>
            <w:tcW w:w="0" w:type="auto"/>
          </w:tcPr>
          <w:p w14:paraId="4DA7A6BE" w14:textId="77777777" w:rsidR="009718F7" w:rsidRPr="00B53505" w:rsidRDefault="009718F7">
            <w:pPr>
              <w:spacing w:beforeLines="40" w:before="96" w:afterLines="40" w:after="96"/>
              <w:jc w:val="center"/>
              <w:rPr>
                <w:sz w:val="18"/>
              </w:rPr>
            </w:pPr>
            <w:r w:rsidRPr="00B53505">
              <w:rPr>
                <w:sz w:val="18"/>
              </w:rPr>
              <w:t>pm</w:t>
            </w:r>
          </w:p>
        </w:tc>
        <w:tc>
          <w:tcPr>
            <w:tcW w:w="0" w:type="auto"/>
          </w:tcPr>
          <w:p w14:paraId="33B49626" w14:textId="77777777" w:rsidR="009718F7" w:rsidRPr="00B53505" w:rsidRDefault="009718F7">
            <w:pPr>
              <w:spacing w:beforeLines="40" w:before="96" w:afterLines="40" w:after="96"/>
              <w:jc w:val="center"/>
              <w:rPr>
                <w:sz w:val="18"/>
              </w:rPr>
            </w:pPr>
            <w:r w:rsidRPr="00B53505">
              <w:rPr>
                <w:sz w:val="18"/>
              </w:rPr>
              <w:t>pm</w:t>
            </w:r>
          </w:p>
        </w:tc>
        <w:tc>
          <w:tcPr>
            <w:tcW w:w="0" w:type="auto"/>
          </w:tcPr>
          <w:p w14:paraId="31F10274" w14:textId="77777777" w:rsidR="009718F7" w:rsidRPr="00B53505" w:rsidRDefault="009718F7">
            <w:pPr>
              <w:spacing w:beforeLines="40" w:before="96" w:afterLines="40" w:after="96"/>
              <w:jc w:val="center"/>
              <w:rPr>
                <w:sz w:val="18"/>
              </w:rPr>
            </w:pPr>
            <w:r w:rsidRPr="00B53505">
              <w:rPr>
                <w:sz w:val="18"/>
              </w:rPr>
              <w:t>pm</w:t>
            </w:r>
          </w:p>
        </w:tc>
        <w:tc>
          <w:tcPr>
            <w:tcW w:w="0" w:type="auto"/>
          </w:tcPr>
          <w:p w14:paraId="05F7DD08" w14:textId="77777777" w:rsidR="009718F7" w:rsidRPr="00B53505" w:rsidRDefault="009718F7">
            <w:pPr>
              <w:spacing w:beforeLines="40" w:before="96" w:afterLines="40" w:after="96"/>
              <w:jc w:val="center"/>
              <w:rPr>
                <w:sz w:val="18"/>
              </w:rPr>
            </w:pPr>
            <w:r w:rsidRPr="00B53505">
              <w:rPr>
                <w:sz w:val="18"/>
              </w:rPr>
              <w:t>pm</w:t>
            </w:r>
          </w:p>
        </w:tc>
        <w:tc>
          <w:tcPr>
            <w:tcW w:w="0" w:type="auto"/>
          </w:tcPr>
          <w:p w14:paraId="10E73AED" w14:textId="77777777" w:rsidR="009718F7" w:rsidRPr="00B53505" w:rsidRDefault="009718F7">
            <w:pPr>
              <w:spacing w:beforeLines="40" w:before="96" w:afterLines="40" w:after="96"/>
              <w:jc w:val="center"/>
              <w:rPr>
                <w:sz w:val="18"/>
              </w:rPr>
            </w:pPr>
          </w:p>
        </w:tc>
        <w:tc>
          <w:tcPr>
            <w:tcW w:w="0" w:type="auto"/>
          </w:tcPr>
          <w:p w14:paraId="11CC405C" w14:textId="77777777" w:rsidR="009718F7" w:rsidRPr="00B53505" w:rsidRDefault="009718F7">
            <w:pPr>
              <w:spacing w:beforeLines="40" w:before="96" w:afterLines="40" w:after="96"/>
              <w:jc w:val="center"/>
              <w:rPr>
                <w:sz w:val="18"/>
              </w:rPr>
            </w:pPr>
          </w:p>
        </w:tc>
        <w:tc>
          <w:tcPr>
            <w:tcW w:w="0" w:type="auto"/>
          </w:tcPr>
          <w:p w14:paraId="63CDCDFB" w14:textId="77777777" w:rsidR="009718F7" w:rsidRPr="00B53505" w:rsidRDefault="009718F7">
            <w:pPr>
              <w:spacing w:beforeLines="40" w:before="96" w:afterLines="40" w:after="96"/>
              <w:jc w:val="center"/>
              <w:rPr>
                <w:sz w:val="18"/>
              </w:rPr>
            </w:pPr>
          </w:p>
        </w:tc>
      </w:tr>
      <w:tr w:rsidR="009718F7" w:rsidRPr="00B53505" w14:paraId="571DBAD2" w14:textId="77777777" w:rsidTr="00B26000">
        <w:trPr>
          <w:trHeight w:val="388"/>
        </w:trPr>
        <w:tc>
          <w:tcPr>
            <w:tcW w:w="0" w:type="auto"/>
            <w:vAlign w:val="center"/>
          </w:tcPr>
          <w:p w14:paraId="6E4F0A52" w14:textId="5B8A53A8" w:rsidR="009718F7" w:rsidRPr="00B53505" w:rsidRDefault="009718F7" w:rsidP="00B26000">
            <w:pPr>
              <w:spacing w:before="40" w:after="40"/>
              <w:rPr>
                <w:sz w:val="18"/>
                <w:szCs w:val="18"/>
              </w:rPr>
            </w:pPr>
            <w:r w:rsidRPr="00B53505">
              <w:rPr>
                <w:b/>
                <w:i/>
                <w:sz w:val="18"/>
                <w:szCs w:val="18"/>
              </w:rPr>
              <w:t>New budget line</w:t>
            </w:r>
            <w:r w:rsidRPr="00B53505">
              <w:rPr>
                <w:sz w:val="18"/>
                <w:szCs w:val="18"/>
              </w:rPr>
              <w:t xml:space="preserve"> 6352 Contributions from third countries, including their agencies, entities or natural persons to the European Fund for Sustainable Development</w:t>
            </w:r>
          </w:p>
        </w:tc>
        <w:tc>
          <w:tcPr>
            <w:tcW w:w="0" w:type="auto"/>
          </w:tcPr>
          <w:p w14:paraId="694BE09A" w14:textId="77777777" w:rsidR="009718F7" w:rsidRPr="00B53505" w:rsidRDefault="009718F7">
            <w:pPr>
              <w:spacing w:beforeLines="40" w:before="96" w:afterLines="40" w:after="96"/>
              <w:jc w:val="center"/>
              <w:rPr>
                <w:i/>
                <w:sz w:val="18"/>
              </w:rPr>
            </w:pPr>
            <w:r w:rsidRPr="00B53505">
              <w:rPr>
                <w:i/>
                <w:sz w:val="18"/>
              </w:rPr>
              <w:t>pm</w:t>
            </w:r>
          </w:p>
        </w:tc>
        <w:tc>
          <w:tcPr>
            <w:tcW w:w="0" w:type="auto"/>
          </w:tcPr>
          <w:p w14:paraId="1EF454AE" w14:textId="77777777" w:rsidR="009718F7" w:rsidRPr="00B53505" w:rsidRDefault="009718F7">
            <w:pPr>
              <w:spacing w:beforeLines="40" w:before="96" w:afterLines="40" w:after="96"/>
              <w:jc w:val="center"/>
              <w:rPr>
                <w:sz w:val="18"/>
              </w:rPr>
            </w:pPr>
            <w:r w:rsidRPr="00B53505">
              <w:rPr>
                <w:sz w:val="18"/>
              </w:rPr>
              <w:t>pm</w:t>
            </w:r>
          </w:p>
        </w:tc>
        <w:tc>
          <w:tcPr>
            <w:tcW w:w="0" w:type="auto"/>
          </w:tcPr>
          <w:p w14:paraId="1E615DCC" w14:textId="77777777" w:rsidR="009718F7" w:rsidRPr="00B53505" w:rsidRDefault="009718F7">
            <w:pPr>
              <w:spacing w:beforeLines="40" w:before="96" w:afterLines="40" w:after="96"/>
              <w:jc w:val="center"/>
              <w:rPr>
                <w:sz w:val="18"/>
              </w:rPr>
            </w:pPr>
            <w:r w:rsidRPr="00B53505">
              <w:rPr>
                <w:sz w:val="18"/>
              </w:rPr>
              <w:t>pm</w:t>
            </w:r>
          </w:p>
        </w:tc>
        <w:tc>
          <w:tcPr>
            <w:tcW w:w="0" w:type="auto"/>
          </w:tcPr>
          <w:p w14:paraId="185812A2" w14:textId="77777777" w:rsidR="009718F7" w:rsidRPr="00B53505" w:rsidRDefault="009718F7">
            <w:pPr>
              <w:spacing w:beforeLines="40" w:before="96" w:afterLines="40" w:after="96"/>
              <w:jc w:val="center"/>
              <w:rPr>
                <w:sz w:val="18"/>
              </w:rPr>
            </w:pPr>
            <w:r w:rsidRPr="00B53505">
              <w:rPr>
                <w:sz w:val="18"/>
              </w:rPr>
              <w:t>pm</w:t>
            </w:r>
          </w:p>
        </w:tc>
        <w:tc>
          <w:tcPr>
            <w:tcW w:w="0" w:type="auto"/>
          </w:tcPr>
          <w:p w14:paraId="05CF9B2F" w14:textId="77777777" w:rsidR="009718F7" w:rsidRPr="00B53505" w:rsidRDefault="009718F7">
            <w:pPr>
              <w:spacing w:beforeLines="40" w:before="96" w:afterLines="40" w:after="96"/>
              <w:jc w:val="center"/>
              <w:rPr>
                <w:sz w:val="18"/>
              </w:rPr>
            </w:pPr>
            <w:r w:rsidRPr="00B53505">
              <w:rPr>
                <w:sz w:val="18"/>
              </w:rPr>
              <w:t>pm</w:t>
            </w:r>
          </w:p>
        </w:tc>
        <w:tc>
          <w:tcPr>
            <w:tcW w:w="0" w:type="auto"/>
          </w:tcPr>
          <w:p w14:paraId="088114BF" w14:textId="77777777" w:rsidR="009718F7" w:rsidRPr="00B53505" w:rsidRDefault="009718F7">
            <w:pPr>
              <w:spacing w:beforeLines="40" w:before="96" w:afterLines="40" w:after="96"/>
              <w:jc w:val="center"/>
              <w:rPr>
                <w:sz w:val="18"/>
              </w:rPr>
            </w:pPr>
          </w:p>
        </w:tc>
        <w:tc>
          <w:tcPr>
            <w:tcW w:w="0" w:type="auto"/>
          </w:tcPr>
          <w:p w14:paraId="5B059F7A" w14:textId="77777777" w:rsidR="009718F7" w:rsidRPr="00B53505" w:rsidRDefault="009718F7">
            <w:pPr>
              <w:spacing w:beforeLines="40" w:before="96" w:afterLines="40" w:after="96"/>
              <w:jc w:val="center"/>
              <w:rPr>
                <w:sz w:val="18"/>
              </w:rPr>
            </w:pPr>
          </w:p>
        </w:tc>
        <w:tc>
          <w:tcPr>
            <w:tcW w:w="0" w:type="auto"/>
          </w:tcPr>
          <w:p w14:paraId="01C3FF17" w14:textId="77777777" w:rsidR="009718F7" w:rsidRPr="00B53505" w:rsidRDefault="009718F7">
            <w:pPr>
              <w:spacing w:beforeLines="40" w:before="96" w:afterLines="40" w:after="96"/>
              <w:jc w:val="center"/>
              <w:rPr>
                <w:sz w:val="18"/>
              </w:rPr>
            </w:pPr>
          </w:p>
        </w:tc>
      </w:tr>
      <w:tr w:rsidR="009718F7" w:rsidRPr="00B53505" w14:paraId="1B5B7931" w14:textId="77777777" w:rsidTr="00B26000">
        <w:trPr>
          <w:trHeight w:val="388"/>
        </w:trPr>
        <w:tc>
          <w:tcPr>
            <w:tcW w:w="0" w:type="auto"/>
            <w:vAlign w:val="center"/>
          </w:tcPr>
          <w:p w14:paraId="2BF83A90" w14:textId="64B833CA" w:rsidR="009718F7" w:rsidRPr="00B53505" w:rsidRDefault="009718F7" w:rsidP="00B26000">
            <w:pPr>
              <w:spacing w:before="40" w:after="40"/>
              <w:rPr>
                <w:sz w:val="18"/>
                <w:szCs w:val="18"/>
              </w:rPr>
            </w:pPr>
            <w:r w:rsidRPr="00B53505">
              <w:rPr>
                <w:b/>
                <w:i/>
                <w:sz w:val="18"/>
                <w:szCs w:val="18"/>
              </w:rPr>
              <w:t>New budget line</w:t>
            </w:r>
            <w:r w:rsidRPr="00B53505">
              <w:rPr>
                <w:sz w:val="18"/>
                <w:szCs w:val="18"/>
              </w:rPr>
              <w:t xml:space="preserve"> 6353 Contributions from international organisations to the European Fund for Sustainable Development</w:t>
            </w:r>
          </w:p>
        </w:tc>
        <w:tc>
          <w:tcPr>
            <w:tcW w:w="0" w:type="auto"/>
          </w:tcPr>
          <w:p w14:paraId="6CEB7223" w14:textId="77777777" w:rsidR="009718F7" w:rsidRPr="00B53505" w:rsidRDefault="009718F7">
            <w:pPr>
              <w:spacing w:beforeLines="40" w:before="96" w:afterLines="40" w:after="96"/>
              <w:jc w:val="center"/>
              <w:rPr>
                <w:i/>
                <w:sz w:val="18"/>
              </w:rPr>
            </w:pPr>
            <w:r w:rsidRPr="00B53505">
              <w:rPr>
                <w:i/>
                <w:sz w:val="18"/>
              </w:rPr>
              <w:t>pm</w:t>
            </w:r>
          </w:p>
        </w:tc>
        <w:tc>
          <w:tcPr>
            <w:tcW w:w="0" w:type="auto"/>
          </w:tcPr>
          <w:p w14:paraId="1F86A207" w14:textId="77777777" w:rsidR="009718F7" w:rsidRPr="00B53505" w:rsidRDefault="009718F7">
            <w:pPr>
              <w:spacing w:beforeLines="40" w:before="96" w:afterLines="40" w:after="96"/>
              <w:jc w:val="center"/>
              <w:rPr>
                <w:sz w:val="18"/>
              </w:rPr>
            </w:pPr>
            <w:r w:rsidRPr="00B53505">
              <w:rPr>
                <w:sz w:val="18"/>
              </w:rPr>
              <w:t>pm</w:t>
            </w:r>
          </w:p>
        </w:tc>
        <w:tc>
          <w:tcPr>
            <w:tcW w:w="0" w:type="auto"/>
          </w:tcPr>
          <w:p w14:paraId="0B029D05" w14:textId="77777777" w:rsidR="009718F7" w:rsidRPr="00B53505" w:rsidRDefault="009718F7">
            <w:pPr>
              <w:spacing w:beforeLines="40" w:before="96" w:afterLines="40" w:after="96"/>
              <w:jc w:val="center"/>
              <w:rPr>
                <w:sz w:val="18"/>
              </w:rPr>
            </w:pPr>
            <w:r w:rsidRPr="00B53505">
              <w:rPr>
                <w:sz w:val="18"/>
              </w:rPr>
              <w:t>pm</w:t>
            </w:r>
          </w:p>
        </w:tc>
        <w:tc>
          <w:tcPr>
            <w:tcW w:w="0" w:type="auto"/>
          </w:tcPr>
          <w:p w14:paraId="7E4E7E50" w14:textId="77777777" w:rsidR="009718F7" w:rsidRPr="00B53505" w:rsidRDefault="009718F7">
            <w:pPr>
              <w:spacing w:beforeLines="40" w:before="96" w:afterLines="40" w:after="96"/>
              <w:jc w:val="center"/>
              <w:rPr>
                <w:sz w:val="18"/>
              </w:rPr>
            </w:pPr>
            <w:r w:rsidRPr="00B53505">
              <w:rPr>
                <w:sz w:val="18"/>
              </w:rPr>
              <w:t>pm</w:t>
            </w:r>
          </w:p>
        </w:tc>
        <w:tc>
          <w:tcPr>
            <w:tcW w:w="0" w:type="auto"/>
          </w:tcPr>
          <w:p w14:paraId="2450B76E" w14:textId="77777777" w:rsidR="009718F7" w:rsidRPr="00B53505" w:rsidRDefault="009718F7">
            <w:pPr>
              <w:spacing w:beforeLines="40" w:before="96" w:afterLines="40" w:after="96"/>
              <w:jc w:val="center"/>
              <w:rPr>
                <w:sz w:val="18"/>
              </w:rPr>
            </w:pPr>
            <w:r w:rsidRPr="00B53505">
              <w:rPr>
                <w:sz w:val="18"/>
              </w:rPr>
              <w:t>pm</w:t>
            </w:r>
          </w:p>
        </w:tc>
        <w:tc>
          <w:tcPr>
            <w:tcW w:w="0" w:type="auto"/>
          </w:tcPr>
          <w:p w14:paraId="4799ADE2" w14:textId="77777777" w:rsidR="009718F7" w:rsidRPr="00B53505" w:rsidRDefault="009718F7">
            <w:pPr>
              <w:spacing w:beforeLines="40" w:before="96" w:afterLines="40" w:after="96"/>
              <w:jc w:val="center"/>
              <w:rPr>
                <w:sz w:val="18"/>
              </w:rPr>
            </w:pPr>
          </w:p>
        </w:tc>
        <w:tc>
          <w:tcPr>
            <w:tcW w:w="0" w:type="auto"/>
          </w:tcPr>
          <w:p w14:paraId="6DB09668" w14:textId="77777777" w:rsidR="009718F7" w:rsidRPr="00B53505" w:rsidRDefault="009718F7">
            <w:pPr>
              <w:spacing w:beforeLines="40" w:before="96" w:afterLines="40" w:after="96"/>
              <w:jc w:val="center"/>
              <w:rPr>
                <w:sz w:val="18"/>
              </w:rPr>
            </w:pPr>
          </w:p>
        </w:tc>
        <w:tc>
          <w:tcPr>
            <w:tcW w:w="0" w:type="auto"/>
          </w:tcPr>
          <w:p w14:paraId="2A8715C9" w14:textId="77777777" w:rsidR="009718F7" w:rsidRPr="00B53505" w:rsidRDefault="009718F7">
            <w:pPr>
              <w:spacing w:beforeLines="40" w:before="96" w:afterLines="40" w:after="96"/>
              <w:jc w:val="center"/>
              <w:rPr>
                <w:sz w:val="18"/>
              </w:rPr>
            </w:pPr>
          </w:p>
        </w:tc>
      </w:tr>
      <w:tr w:rsidR="009718F7" w:rsidRPr="00B53505" w14:paraId="2BD3E64D" w14:textId="77777777" w:rsidTr="00B26000">
        <w:trPr>
          <w:trHeight w:val="388"/>
        </w:trPr>
        <w:tc>
          <w:tcPr>
            <w:tcW w:w="0" w:type="auto"/>
            <w:vAlign w:val="center"/>
          </w:tcPr>
          <w:p w14:paraId="1F4516FB" w14:textId="41C14796" w:rsidR="009718F7" w:rsidRPr="00B53505" w:rsidRDefault="009718F7" w:rsidP="00916986">
            <w:pPr>
              <w:spacing w:before="40" w:after="40"/>
              <w:rPr>
                <w:b/>
                <w:i/>
                <w:sz w:val="18"/>
                <w:szCs w:val="18"/>
              </w:rPr>
            </w:pPr>
            <w:r w:rsidRPr="00B53505">
              <w:rPr>
                <w:b/>
                <w:i/>
                <w:sz w:val="18"/>
                <w:szCs w:val="18"/>
              </w:rPr>
              <w:t>New budget line</w:t>
            </w:r>
            <w:r w:rsidRPr="00B53505">
              <w:rPr>
                <w:sz w:val="18"/>
                <w:szCs w:val="18"/>
              </w:rPr>
              <w:t xml:space="preserve"> 836</w:t>
            </w:r>
            <w:r w:rsidR="00916986">
              <w:rPr>
                <w:sz w:val="18"/>
                <w:szCs w:val="18"/>
              </w:rPr>
              <w:t xml:space="preserve"> </w:t>
            </w:r>
            <w:r w:rsidRPr="00B53505">
              <w:rPr>
                <w:sz w:val="18"/>
                <w:szCs w:val="18"/>
              </w:rPr>
              <w:t>EU guarantee for the European Fund for Sustainable Development (EFSD)</w:t>
            </w:r>
          </w:p>
        </w:tc>
        <w:tc>
          <w:tcPr>
            <w:tcW w:w="0" w:type="auto"/>
          </w:tcPr>
          <w:p w14:paraId="388F6E48" w14:textId="77777777" w:rsidR="009718F7" w:rsidRPr="00B53505" w:rsidRDefault="009718F7" w:rsidP="002A6466">
            <w:pPr>
              <w:spacing w:beforeLines="40" w:before="96" w:afterLines="40" w:after="96"/>
              <w:jc w:val="center"/>
              <w:rPr>
                <w:i/>
                <w:sz w:val="18"/>
              </w:rPr>
            </w:pPr>
            <w:r w:rsidRPr="00B53505">
              <w:rPr>
                <w:i/>
                <w:sz w:val="18"/>
              </w:rPr>
              <w:t>pm</w:t>
            </w:r>
          </w:p>
        </w:tc>
        <w:tc>
          <w:tcPr>
            <w:tcW w:w="0" w:type="auto"/>
          </w:tcPr>
          <w:p w14:paraId="7186847D" w14:textId="77777777" w:rsidR="009718F7" w:rsidRPr="00B53505" w:rsidRDefault="009718F7" w:rsidP="002A6466">
            <w:pPr>
              <w:spacing w:beforeLines="40" w:before="96" w:afterLines="40" w:after="96"/>
              <w:jc w:val="center"/>
              <w:rPr>
                <w:sz w:val="18"/>
              </w:rPr>
            </w:pPr>
            <w:r w:rsidRPr="00B53505">
              <w:rPr>
                <w:i/>
                <w:sz w:val="18"/>
              </w:rPr>
              <w:t>pm</w:t>
            </w:r>
          </w:p>
        </w:tc>
        <w:tc>
          <w:tcPr>
            <w:tcW w:w="0" w:type="auto"/>
          </w:tcPr>
          <w:p w14:paraId="5095A26D" w14:textId="77777777" w:rsidR="009718F7" w:rsidRPr="00B53505" w:rsidRDefault="009718F7" w:rsidP="002A6466">
            <w:pPr>
              <w:spacing w:beforeLines="40" w:before="96" w:afterLines="40" w:after="96"/>
              <w:jc w:val="center"/>
              <w:rPr>
                <w:sz w:val="18"/>
              </w:rPr>
            </w:pPr>
            <w:r w:rsidRPr="00B53505">
              <w:rPr>
                <w:i/>
                <w:sz w:val="18"/>
              </w:rPr>
              <w:t>pm</w:t>
            </w:r>
          </w:p>
        </w:tc>
        <w:tc>
          <w:tcPr>
            <w:tcW w:w="0" w:type="auto"/>
          </w:tcPr>
          <w:p w14:paraId="1785028C" w14:textId="77777777" w:rsidR="009718F7" w:rsidRPr="00B53505" w:rsidRDefault="009718F7" w:rsidP="002A6466">
            <w:pPr>
              <w:spacing w:beforeLines="40" w:before="96" w:afterLines="40" w:after="96"/>
              <w:jc w:val="center"/>
              <w:rPr>
                <w:sz w:val="18"/>
              </w:rPr>
            </w:pPr>
            <w:r w:rsidRPr="00B53505">
              <w:rPr>
                <w:i/>
                <w:sz w:val="18"/>
              </w:rPr>
              <w:t>pm</w:t>
            </w:r>
          </w:p>
        </w:tc>
        <w:tc>
          <w:tcPr>
            <w:tcW w:w="0" w:type="auto"/>
          </w:tcPr>
          <w:p w14:paraId="64BF6B41" w14:textId="77777777" w:rsidR="009718F7" w:rsidRPr="00B53505" w:rsidRDefault="009718F7" w:rsidP="002A6466">
            <w:pPr>
              <w:spacing w:beforeLines="40" w:before="96" w:afterLines="40" w:after="96"/>
              <w:jc w:val="center"/>
              <w:rPr>
                <w:sz w:val="18"/>
              </w:rPr>
            </w:pPr>
            <w:r w:rsidRPr="00B53505">
              <w:rPr>
                <w:i/>
                <w:sz w:val="18"/>
              </w:rPr>
              <w:t>pm</w:t>
            </w:r>
          </w:p>
        </w:tc>
        <w:tc>
          <w:tcPr>
            <w:tcW w:w="0" w:type="auto"/>
          </w:tcPr>
          <w:p w14:paraId="1E8297DF" w14:textId="77777777" w:rsidR="009718F7" w:rsidRPr="00B53505" w:rsidRDefault="009718F7" w:rsidP="002A6466">
            <w:pPr>
              <w:spacing w:beforeLines="40" w:before="96" w:afterLines="40" w:after="96"/>
              <w:jc w:val="center"/>
              <w:rPr>
                <w:sz w:val="18"/>
              </w:rPr>
            </w:pPr>
          </w:p>
        </w:tc>
        <w:tc>
          <w:tcPr>
            <w:tcW w:w="0" w:type="auto"/>
          </w:tcPr>
          <w:p w14:paraId="13091823" w14:textId="77777777" w:rsidR="009718F7" w:rsidRPr="00B53505" w:rsidRDefault="009718F7" w:rsidP="002A6466">
            <w:pPr>
              <w:spacing w:beforeLines="40" w:before="96" w:afterLines="40" w:after="96"/>
              <w:jc w:val="center"/>
              <w:rPr>
                <w:sz w:val="18"/>
              </w:rPr>
            </w:pPr>
          </w:p>
        </w:tc>
        <w:tc>
          <w:tcPr>
            <w:tcW w:w="0" w:type="auto"/>
          </w:tcPr>
          <w:p w14:paraId="5EEFAD30" w14:textId="77777777" w:rsidR="009718F7" w:rsidRPr="00B53505" w:rsidRDefault="009718F7" w:rsidP="002A6466">
            <w:pPr>
              <w:spacing w:beforeLines="40" w:before="96" w:afterLines="40" w:after="96"/>
              <w:jc w:val="center"/>
              <w:rPr>
                <w:sz w:val="18"/>
              </w:rPr>
            </w:pPr>
          </w:p>
        </w:tc>
      </w:tr>
    </w:tbl>
    <w:p w14:paraId="7B36E5F8" w14:textId="0889C4EA" w:rsidR="009718F7" w:rsidRPr="00B53505" w:rsidRDefault="009718F7">
      <w:pPr>
        <w:pStyle w:val="Text1"/>
        <w:rPr>
          <w:szCs w:val="24"/>
        </w:rPr>
      </w:pPr>
      <w:r w:rsidRPr="00B53505">
        <w:rPr>
          <w:szCs w:val="24"/>
        </w:rPr>
        <w:t xml:space="preserve">For miscellaneous </w:t>
      </w:r>
      <w:r w:rsidR="00B53505">
        <w:rPr>
          <w:szCs w:val="24"/>
        </w:rPr>
        <w:t>'</w:t>
      </w:r>
      <w:r w:rsidRPr="00B53505">
        <w:rPr>
          <w:szCs w:val="24"/>
        </w:rPr>
        <w:t>assigned</w:t>
      </w:r>
      <w:r w:rsidR="00B53505">
        <w:rPr>
          <w:szCs w:val="24"/>
        </w:rPr>
        <w:t>'</w:t>
      </w:r>
      <w:r w:rsidRPr="00B53505">
        <w:rPr>
          <w:szCs w:val="24"/>
        </w:rPr>
        <w:t xml:space="preserve"> revenue, specify the budget expenditure line(s) affected.</w:t>
      </w:r>
    </w:p>
    <w:p w14:paraId="04215EAC" w14:textId="5CB1F655" w:rsidR="009718F7" w:rsidRPr="00B53505" w:rsidRDefault="00D71438" w:rsidP="002A6466">
      <w:pPr>
        <w:pStyle w:val="Text1"/>
        <w:pBdr>
          <w:top w:val="single" w:sz="4" w:space="1" w:color="auto"/>
          <w:left w:val="single" w:sz="4" w:space="4" w:color="auto"/>
          <w:bottom w:val="single" w:sz="4" w:space="1" w:color="auto"/>
          <w:right w:val="single" w:sz="4" w:space="4" w:color="auto"/>
        </w:pBdr>
        <w:rPr>
          <w:szCs w:val="24"/>
        </w:rPr>
      </w:pPr>
      <w:r>
        <w:rPr>
          <w:szCs w:val="24"/>
        </w:rPr>
        <w:t>0</w:t>
      </w:r>
      <w:r w:rsidR="009718F7" w:rsidRPr="00B53505">
        <w:rPr>
          <w:szCs w:val="24"/>
        </w:rPr>
        <w:t>1 0</w:t>
      </w:r>
      <w:r>
        <w:rPr>
          <w:szCs w:val="24"/>
        </w:rPr>
        <w:t>3</w:t>
      </w:r>
      <w:r w:rsidR="009718F7" w:rsidRPr="00B53505">
        <w:rPr>
          <w:szCs w:val="24"/>
        </w:rPr>
        <w:t> 0</w:t>
      </w:r>
      <w:r>
        <w:rPr>
          <w:szCs w:val="24"/>
        </w:rPr>
        <w:t>7</w:t>
      </w:r>
      <w:r w:rsidR="00C62120" w:rsidRPr="00B53505">
        <w:rPr>
          <w:szCs w:val="24"/>
        </w:rPr>
        <w:t xml:space="preserve"> </w:t>
      </w:r>
      <w:r w:rsidR="009718F7" w:rsidRPr="00B53505">
        <w:rPr>
          <w:szCs w:val="24"/>
        </w:rPr>
        <w:t>European Union guarantee for the European Fund for Sustainable Development (EFSD)</w:t>
      </w:r>
    </w:p>
    <w:p w14:paraId="0F399E77" w14:textId="3243F492" w:rsidR="009718F7" w:rsidRPr="00B53505" w:rsidRDefault="00D71438" w:rsidP="002A6466">
      <w:pPr>
        <w:pStyle w:val="Text1"/>
        <w:pBdr>
          <w:top w:val="single" w:sz="4" w:space="1" w:color="auto"/>
          <w:left w:val="single" w:sz="4" w:space="4" w:color="auto"/>
          <w:bottom w:val="single" w:sz="4" w:space="1" w:color="auto"/>
          <w:right w:val="single" w:sz="4" w:space="4" w:color="auto"/>
        </w:pBdr>
        <w:rPr>
          <w:szCs w:val="24"/>
        </w:rPr>
      </w:pPr>
      <w:r>
        <w:rPr>
          <w:szCs w:val="24"/>
        </w:rPr>
        <w:t>0</w:t>
      </w:r>
      <w:r w:rsidR="009718F7" w:rsidRPr="00B53505">
        <w:rPr>
          <w:szCs w:val="24"/>
        </w:rPr>
        <w:t>1 0</w:t>
      </w:r>
      <w:r>
        <w:rPr>
          <w:szCs w:val="24"/>
        </w:rPr>
        <w:t>3</w:t>
      </w:r>
      <w:r w:rsidR="009718F7" w:rsidRPr="00B53505">
        <w:rPr>
          <w:szCs w:val="24"/>
        </w:rPr>
        <w:t> </w:t>
      </w:r>
      <w:r>
        <w:rPr>
          <w:szCs w:val="24"/>
        </w:rPr>
        <w:t>08</w:t>
      </w:r>
      <w:r w:rsidR="009718F7" w:rsidRPr="00B53505">
        <w:rPr>
          <w:szCs w:val="24"/>
        </w:rPr>
        <w:t xml:space="preserve"> Provisioning of the EFSD Guarantee Fund</w:t>
      </w:r>
    </w:p>
    <w:p w14:paraId="3080F4A0" w14:textId="77777777" w:rsidR="009718F7" w:rsidRPr="00B53505" w:rsidRDefault="009718F7">
      <w:pPr>
        <w:pStyle w:val="Text1"/>
        <w:rPr>
          <w:szCs w:val="24"/>
        </w:rPr>
      </w:pPr>
      <w:r w:rsidRPr="00B53505">
        <w:rPr>
          <w:szCs w:val="24"/>
        </w:rPr>
        <w:t>Specify the method for calculating the impact on revenue.</w:t>
      </w:r>
    </w:p>
    <w:p w14:paraId="5E357D35" w14:textId="77777777" w:rsidR="009718F7" w:rsidRPr="00B53505" w:rsidRDefault="009718F7">
      <w:pPr>
        <w:pStyle w:val="Text1"/>
        <w:pBdr>
          <w:top w:val="single" w:sz="4" w:space="1" w:color="auto"/>
          <w:left w:val="single" w:sz="4" w:space="4" w:color="auto"/>
          <w:bottom w:val="single" w:sz="4" w:space="1" w:color="auto"/>
          <w:right w:val="single" w:sz="4" w:space="4" w:color="auto"/>
        </w:pBdr>
        <w:rPr>
          <w:szCs w:val="24"/>
        </w:rPr>
      </w:pPr>
      <w:r w:rsidRPr="00B53505">
        <w:rPr>
          <w:szCs w:val="24"/>
        </w:rPr>
        <w:t>The EDF contribution is an initial estimate on the basis of the possible evolution of the new EFSD Guarantee.</w:t>
      </w:r>
      <w:bookmarkStart w:id="0" w:name="_GoBack"/>
      <w:bookmarkEnd w:id="0"/>
    </w:p>
    <w:sectPr w:rsidR="009718F7" w:rsidRPr="00B53505" w:rsidSect="00772B42">
      <w:pgSz w:w="11907" w:h="16840" w:code="9"/>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29749E" w15:done="0"/>
  <w15:commentEx w15:paraId="5B6B798F" w15:done="0"/>
  <w15:commentEx w15:paraId="45234A93" w15:done="0"/>
  <w15:commentEx w15:paraId="75F0CB41" w15:done="0"/>
  <w15:commentEx w15:paraId="31B2855C" w15:done="0"/>
  <w15:commentEx w15:paraId="28B2E0EE" w15:done="0"/>
  <w15:commentEx w15:paraId="716BE160" w15:done="0"/>
  <w15:commentEx w15:paraId="52B214B0" w15:done="0"/>
  <w15:commentEx w15:paraId="14D084AC" w15:done="0"/>
  <w15:commentEx w15:paraId="1E7E8112" w15:done="0"/>
  <w15:commentEx w15:paraId="762A470F" w15:done="0"/>
  <w15:commentEx w15:paraId="4EF4FB24" w15:done="0"/>
  <w15:commentEx w15:paraId="2753751D" w15:done="0"/>
  <w15:commentEx w15:paraId="47C095A1" w15:done="0"/>
  <w15:commentEx w15:paraId="42390EE4" w15:done="0"/>
  <w15:commentEx w15:paraId="21FD0CA8" w15:done="0"/>
  <w15:commentEx w15:paraId="03DB5BFB" w15:done="0"/>
  <w15:commentEx w15:paraId="11646296" w15:done="0"/>
  <w15:commentEx w15:paraId="5326C306" w15:done="0"/>
  <w15:commentEx w15:paraId="11148F4E" w15:done="0"/>
  <w15:commentEx w15:paraId="5CCA59CF" w15:done="0"/>
  <w15:commentEx w15:paraId="59E4360F" w15:done="0"/>
  <w15:commentEx w15:paraId="22FAD1D1" w15:done="0"/>
  <w15:commentEx w15:paraId="0B4FF5C7" w15:done="0"/>
  <w15:commentEx w15:paraId="159485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73103" w14:textId="77777777" w:rsidR="006311EF" w:rsidRDefault="006311EF" w:rsidP="00D70913">
      <w:pPr>
        <w:spacing w:before="0" w:after="0"/>
      </w:pPr>
      <w:r>
        <w:separator/>
      </w:r>
    </w:p>
  </w:endnote>
  <w:endnote w:type="continuationSeparator" w:id="0">
    <w:p w14:paraId="7515AC25" w14:textId="77777777" w:rsidR="006311EF" w:rsidRDefault="006311EF" w:rsidP="00D70913">
      <w:pPr>
        <w:spacing w:before="0" w:after="0"/>
      </w:pPr>
      <w:r>
        <w:continuationSeparator/>
      </w:r>
    </w:p>
  </w:endnote>
  <w:endnote w:type="continuationNotice" w:id="1">
    <w:p w14:paraId="6F4B4750" w14:textId="77777777" w:rsidR="006311EF" w:rsidRDefault="006311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CSquareSansPro">
    <w:altName w:val="Malgun Gothic"/>
    <w:panose1 w:val="00000000000000000000"/>
    <w:charset w:val="81"/>
    <w:family w:val="auto"/>
    <w:notTrueType/>
    <w:pitch w:val="default"/>
    <w:sig w:usb0="00000000" w:usb1="09060000" w:usb2="00000010" w:usb3="00000000" w:csb0="0008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E1AB7" w14:textId="77777777" w:rsidR="00772B42" w:rsidRPr="00772B42" w:rsidRDefault="00772B42" w:rsidP="00772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3F0D4" w14:textId="18FE2B59" w:rsidR="005D4995" w:rsidRPr="00772B42" w:rsidRDefault="00772B42" w:rsidP="00772B42">
    <w:pPr>
      <w:pStyle w:val="Footer"/>
      <w:rPr>
        <w:rFonts w:ascii="Arial" w:hAnsi="Arial" w:cs="Arial"/>
        <w:b/>
        <w:sz w:val="48"/>
      </w:rPr>
    </w:pPr>
    <w:r w:rsidRPr="00772B42">
      <w:rPr>
        <w:rFonts w:ascii="Arial" w:hAnsi="Arial" w:cs="Arial"/>
        <w:b/>
        <w:sz w:val="48"/>
      </w:rPr>
      <w:t>EN</w:t>
    </w:r>
    <w:r w:rsidRPr="00772B42">
      <w:rPr>
        <w:rFonts w:ascii="Arial" w:hAnsi="Arial" w:cs="Arial"/>
        <w:b/>
        <w:sz w:val="48"/>
      </w:rPr>
      <w:tab/>
    </w:r>
    <w:r w:rsidRPr="00772B42">
      <w:rPr>
        <w:rFonts w:ascii="Arial" w:hAnsi="Arial" w:cs="Arial"/>
        <w:b/>
        <w:sz w:val="48"/>
      </w:rPr>
      <w:tab/>
    </w:r>
    <w:fldSimple w:instr=" DOCVARIABLE &quot;LW_Confidence&quot; \* MERGEFORMAT ">
      <w:r>
        <w:t xml:space="preserve"> </w:t>
      </w:r>
    </w:fldSimple>
    <w:r w:rsidRPr="00772B42">
      <w:tab/>
    </w:r>
    <w:proofErr w:type="spellStart"/>
    <w:r w:rsidRPr="00772B42">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1BD96" w14:textId="77777777" w:rsidR="00772B42" w:rsidRPr="00772B42" w:rsidRDefault="00772B42" w:rsidP="00772B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26978" w14:textId="66B4C3FE" w:rsidR="00772B42" w:rsidRPr="00772B42" w:rsidRDefault="00772B42" w:rsidP="00772B42">
    <w:pPr>
      <w:pStyle w:val="Footer"/>
      <w:rPr>
        <w:rFonts w:ascii="Arial" w:hAnsi="Arial" w:cs="Arial"/>
        <w:b/>
        <w:sz w:val="48"/>
      </w:rPr>
    </w:pPr>
    <w:r w:rsidRPr="00772B42">
      <w:rPr>
        <w:rFonts w:ascii="Arial" w:hAnsi="Arial" w:cs="Arial"/>
        <w:b/>
        <w:sz w:val="48"/>
      </w:rPr>
      <w:t>EN</w:t>
    </w:r>
    <w:r w:rsidRPr="00772B42">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fldSimple w:instr=" DOCVARIABLE &quot;LW_Confidence&quot; \* MERGEFORMAT ">
      <w:r>
        <w:t xml:space="preserve"> </w:t>
      </w:r>
    </w:fldSimple>
    <w:r w:rsidRPr="00772B42">
      <w:tab/>
    </w:r>
    <w:r w:rsidRPr="00772B42">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ADF51" w14:textId="77777777" w:rsidR="00772B42" w:rsidRPr="00772B42" w:rsidRDefault="00772B42" w:rsidP="00772B4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18F9E" w14:textId="7449D8C4" w:rsidR="005D4995" w:rsidRPr="00772B42" w:rsidRDefault="00772B42" w:rsidP="00772B42">
    <w:pPr>
      <w:pStyle w:val="FooterLandscape"/>
      <w:rPr>
        <w:rFonts w:ascii="Arial" w:hAnsi="Arial" w:cs="Arial"/>
        <w:b/>
        <w:sz w:val="48"/>
      </w:rPr>
    </w:pPr>
    <w:r w:rsidRPr="00772B42">
      <w:rPr>
        <w:rFonts w:ascii="Arial" w:hAnsi="Arial" w:cs="Arial"/>
        <w:b/>
        <w:sz w:val="48"/>
      </w:rPr>
      <w:t>EN</w:t>
    </w:r>
    <w:r w:rsidRPr="00772B42">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fldSimple w:instr=" DOCVARIABLE &quot;LW_Confidence&quot; \* MERGEFORMAT ">
      <w:r>
        <w:t xml:space="preserve"> </w:t>
      </w:r>
    </w:fldSimple>
    <w:r w:rsidRPr="00772B42">
      <w:tab/>
    </w:r>
    <w:r w:rsidRPr="00772B42">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4E9B" w14:textId="77777777" w:rsidR="00772B42" w:rsidRPr="00772B42" w:rsidRDefault="00772B42" w:rsidP="00772B42">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A0B2C" w14:textId="49F0F59A" w:rsidR="005D4995" w:rsidRPr="00772B42" w:rsidRDefault="00772B42" w:rsidP="00772B42">
    <w:pPr>
      <w:pStyle w:val="Footer"/>
      <w:rPr>
        <w:rFonts w:ascii="Arial" w:hAnsi="Arial" w:cs="Arial"/>
        <w:b/>
        <w:sz w:val="48"/>
      </w:rPr>
    </w:pPr>
    <w:r w:rsidRPr="00772B42">
      <w:rPr>
        <w:rFonts w:ascii="Arial" w:hAnsi="Arial" w:cs="Arial"/>
        <w:b/>
        <w:sz w:val="48"/>
      </w:rPr>
      <w:t>EN</w:t>
    </w:r>
    <w:r w:rsidRPr="00772B42">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fldSimple w:instr=" DOCVARIABLE &quot;LW_Confidence&quot; \* MERGEFORMAT ">
      <w:r>
        <w:t xml:space="preserve"> </w:t>
      </w:r>
    </w:fldSimple>
    <w:r w:rsidRPr="00772B42">
      <w:tab/>
    </w:r>
    <w:r w:rsidRPr="00772B42">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CA00" w14:textId="77777777" w:rsidR="00772B42" w:rsidRPr="00772B42" w:rsidRDefault="00772B42" w:rsidP="00772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B7FF6" w14:textId="77777777" w:rsidR="006311EF" w:rsidRDefault="006311EF" w:rsidP="00D70913">
      <w:pPr>
        <w:spacing w:before="0" w:after="0"/>
      </w:pPr>
      <w:r>
        <w:separator/>
      </w:r>
    </w:p>
  </w:footnote>
  <w:footnote w:type="continuationSeparator" w:id="0">
    <w:p w14:paraId="7E4CBBE8" w14:textId="77777777" w:rsidR="006311EF" w:rsidRDefault="006311EF" w:rsidP="00D70913">
      <w:pPr>
        <w:spacing w:before="0" w:after="0"/>
      </w:pPr>
      <w:r>
        <w:continuationSeparator/>
      </w:r>
    </w:p>
  </w:footnote>
  <w:footnote w:type="continuationNotice" w:id="1">
    <w:p w14:paraId="66A8FBC2" w14:textId="77777777" w:rsidR="006311EF" w:rsidRDefault="006311EF">
      <w:pPr>
        <w:spacing w:before="0" w:after="0"/>
      </w:pPr>
    </w:p>
  </w:footnote>
  <w:footnote w:id="2">
    <w:p w14:paraId="02BF6677" w14:textId="77777777" w:rsidR="00D71438" w:rsidRPr="00657A2F" w:rsidRDefault="00D71438" w:rsidP="0062063A">
      <w:pPr>
        <w:pStyle w:val="FootnoteText"/>
        <w:ind w:left="284" w:hanging="284"/>
      </w:pPr>
      <w:r w:rsidRPr="00E32613">
        <w:rPr>
          <w:rStyle w:val="FootnoteReference"/>
        </w:rPr>
        <w:footnoteRef/>
      </w:r>
      <w:r>
        <w:tab/>
      </w:r>
      <w:r w:rsidRPr="00657A2F">
        <w:t>COM(2016) 385</w:t>
      </w:r>
    </w:p>
  </w:footnote>
  <w:footnote w:id="3">
    <w:p w14:paraId="03CA8208" w14:textId="02A10A61" w:rsidR="00D71438" w:rsidRPr="00657A2F" w:rsidRDefault="00D71438" w:rsidP="00E705BB">
      <w:pPr>
        <w:pStyle w:val="FootnoteText"/>
        <w:ind w:left="284" w:hanging="284"/>
      </w:pPr>
      <w:r w:rsidRPr="00E705BB">
        <w:rPr>
          <w:rStyle w:val="FootnoteReference"/>
        </w:rPr>
        <w:footnoteRef/>
      </w:r>
      <w:r w:rsidRPr="00843BEE">
        <w:tab/>
      </w:r>
      <w:r w:rsidRPr="00657A2F">
        <w:t xml:space="preserve">As defined </w:t>
      </w:r>
      <w:r w:rsidRPr="00D339F3">
        <w:t xml:space="preserve">for Africa by the </w:t>
      </w:r>
      <w:proofErr w:type="spellStart"/>
      <w:r w:rsidRPr="00D339F3">
        <w:t>Cotonou</w:t>
      </w:r>
      <w:proofErr w:type="spellEnd"/>
      <w:r w:rsidRPr="00D339F3">
        <w:t xml:space="preserve"> Agreement </w:t>
      </w:r>
      <w:r>
        <w:t>(</w:t>
      </w:r>
      <w:r w:rsidRPr="00D339F3">
        <w:rPr>
          <w:bCs/>
        </w:rPr>
        <w:t>OJ L 287, 04</w:t>
      </w:r>
      <w:r>
        <w:rPr>
          <w:bCs/>
        </w:rPr>
        <w:t>.11.</w:t>
      </w:r>
      <w:r w:rsidRPr="00D339F3">
        <w:rPr>
          <w:bCs/>
        </w:rPr>
        <w:t>2010</w:t>
      </w:r>
      <w:r>
        <w:rPr>
          <w:bCs/>
        </w:rPr>
        <w:t>)</w:t>
      </w:r>
      <w:r w:rsidRPr="00D339F3">
        <w:rPr>
          <w:bCs/>
        </w:rPr>
        <w:t xml:space="preserve">, </w:t>
      </w:r>
      <w:r w:rsidRPr="00D339F3">
        <w:rPr>
          <w:color w:val="000000"/>
        </w:rPr>
        <w:t xml:space="preserve">and </w:t>
      </w:r>
      <w:r w:rsidRPr="00843BEE">
        <w:rPr>
          <w:color w:val="000000"/>
        </w:rPr>
        <w:t xml:space="preserve">for </w:t>
      </w:r>
      <w:r>
        <w:rPr>
          <w:color w:val="000000"/>
        </w:rPr>
        <w:t xml:space="preserve">the EU </w:t>
      </w:r>
      <w:r w:rsidRPr="00843BEE">
        <w:rPr>
          <w:color w:val="000000"/>
        </w:rPr>
        <w:t>Neighbourhood</w:t>
      </w:r>
      <w:r>
        <w:rPr>
          <w:color w:val="000000"/>
        </w:rPr>
        <w:t xml:space="preserve"> by</w:t>
      </w:r>
      <w:r w:rsidRPr="00843BEE">
        <w:rPr>
          <w:color w:val="000000"/>
        </w:rPr>
        <w:t xml:space="preserve"> </w:t>
      </w:r>
      <w:r w:rsidRPr="00657A2F">
        <w:rPr>
          <w:bCs/>
          <w:color w:val="000000"/>
        </w:rPr>
        <w:t>R</w:t>
      </w:r>
      <w:r w:rsidRPr="00D339F3">
        <w:rPr>
          <w:bCs/>
          <w:color w:val="000000"/>
        </w:rPr>
        <w:t xml:space="preserve">egulation (EU) </w:t>
      </w:r>
      <w:r>
        <w:rPr>
          <w:bCs/>
          <w:color w:val="000000"/>
        </w:rPr>
        <w:t>N</w:t>
      </w:r>
      <w:r w:rsidRPr="00D339F3">
        <w:rPr>
          <w:bCs/>
          <w:color w:val="000000"/>
        </w:rPr>
        <w:t>o 232/2014 of the European Parliament and of the Council</w:t>
      </w:r>
      <w:r w:rsidRPr="00843BEE">
        <w:rPr>
          <w:bCs/>
          <w:color w:val="000000"/>
        </w:rPr>
        <w:t xml:space="preserve"> of 11 March 2014 establishing a European Neighbourhood Instrument</w:t>
      </w:r>
      <w:r>
        <w:rPr>
          <w:bCs/>
          <w:color w:val="000000"/>
        </w:rPr>
        <w:t xml:space="preserve"> (</w:t>
      </w:r>
      <w:r w:rsidRPr="003D5589">
        <w:rPr>
          <w:bCs/>
          <w:color w:val="000000"/>
        </w:rPr>
        <w:t>OJ L 77, 15.3.2014, p. 27</w:t>
      </w:r>
      <w:r>
        <w:rPr>
          <w:bCs/>
          <w:color w:val="000000"/>
        </w:rPr>
        <w:t>).</w:t>
      </w:r>
    </w:p>
  </w:footnote>
  <w:footnote w:id="4">
    <w:p w14:paraId="0AEB1320" w14:textId="19B088A1" w:rsidR="00D71438" w:rsidRPr="00657A2F" w:rsidRDefault="00D71438" w:rsidP="009A16BE">
      <w:pPr>
        <w:pStyle w:val="FootnoteText"/>
        <w:ind w:left="284" w:hanging="284"/>
      </w:pPr>
      <w:r w:rsidRPr="00E705BB">
        <w:rPr>
          <w:rStyle w:val="FootnoteReference"/>
        </w:rPr>
        <w:footnoteRef/>
      </w:r>
      <w:r>
        <w:tab/>
      </w:r>
      <w:r w:rsidRPr="0097479F">
        <w:t>For Africa, see C</w:t>
      </w:r>
      <w:r w:rsidRPr="00657A2F">
        <w:t>o</w:t>
      </w:r>
      <w:r w:rsidRPr="0097479F">
        <w:t xml:space="preserve">mmission Decision (2015)5210 and </w:t>
      </w:r>
      <w:r w:rsidRPr="00657A2F">
        <w:t>for t</w:t>
      </w:r>
      <w:r w:rsidRPr="00D339F3">
        <w:t>he Neighbourhood</w:t>
      </w:r>
      <w:r>
        <w:t xml:space="preserve"> </w:t>
      </w:r>
      <w:r w:rsidRPr="0097479F">
        <w:t>Commi</w:t>
      </w:r>
      <w:r w:rsidRPr="00657A2F">
        <w:t>ssion</w:t>
      </w:r>
      <w:r>
        <w:t xml:space="preserve"> Implementing</w:t>
      </w:r>
      <w:r w:rsidRPr="00657A2F">
        <w:t xml:space="preserve"> Decision (2016)3436</w:t>
      </w:r>
      <w:r w:rsidRPr="00843BEE">
        <w:t>.</w:t>
      </w:r>
    </w:p>
  </w:footnote>
  <w:footnote w:id="5">
    <w:p w14:paraId="77496F28" w14:textId="1AD8EAF8" w:rsidR="00D71438" w:rsidRPr="00657A2F" w:rsidRDefault="00D71438" w:rsidP="009A16BE">
      <w:pPr>
        <w:pStyle w:val="FootnoteText"/>
        <w:ind w:left="284" w:hanging="284"/>
      </w:pPr>
      <w:r w:rsidRPr="00E705BB">
        <w:rPr>
          <w:rStyle w:val="FootnoteReference"/>
        </w:rPr>
        <w:footnoteRef/>
      </w:r>
      <w:r>
        <w:tab/>
      </w:r>
      <w:r w:rsidRPr="00843BEE">
        <w:t xml:space="preserve">OJ L 317, 15.12.2000 as last amended by </w:t>
      </w:r>
      <w:r w:rsidRPr="00657A2F">
        <w:t>OJ</w:t>
      </w:r>
      <w:r w:rsidRPr="00843BEE">
        <w:t xml:space="preserve"> L 287, 4.11.2010</w:t>
      </w:r>
      <w:r>
        <w:t>.</w:t>
      </w:r>
    </w:p>
  </w:footnote>
  <w:footnote w:id="6">
    <w:p w14:paraId="60757211" w14:textId="79ED5DB2" w:rsidR="00D71438" w:rsidRPr="003F0A5E" w:rsidRDefault="00D71438" w:rsidP="00843BEE">
      <w:pPr>
        <w:pStyle w:val="FootnoteText"/>
        <w:ind w:left="284" w:hanging="284"/>
        <w:rPr>
          <w:lang w:val="pt-PT"/>
        </w:rPr>
      </w:pPr>
      <w:r w:rsidRPr="00E705BB">
        <w:rPr>
          <w:rStyle w:val="FootnoteReference"/>
        </w:rPr>
        <w:footnoteRef/>
      </w:r>
      <w:r w:rsidRPr="003F0A5E">
        <w:rPr>
          <w:lang w:val="pt-PT"/>
        </w:rPr>
        <w:tab/>
      </w:r>
      <w:proofErr w:type="gramStart"/>
      <w:r w:rsidRPr="003F0A5E">
        <w:rPr>
          <w:lang w:val="pt-PT"/>
        </w:rPr>
        <w:t>JOIN(2015</w:t>
      </w:r>
      <w:proofErr w:type="gramEnd"/>
      <w:r w:rsidRPr="003F0A5E">
        <w:rPr>
          <w:lang w:val="pt-PT"/>
        </w:rPr>
        <w:t>)</w:t>
      </w:r>
      <w:r>
        <w:rPr>
          <w:lang w:val="pt-PT"/>
        </w:rPr>
        <w:t> </w:t>
      </w:r>
      <w:r w:rsidRPr="003F0A5E">
        <w:rPr>
          <w:lang w:val="pt-PT"/>
        </w:rPr>
        <w:t>50 final</w:t>
      </w:r>
    </w:p>
  </w:footnote>
  <w:footnote w:id="7">
    <w:p w14:paraId="6FBC28D4" w14:textId="2F1B08FB" w:rsidR="00D71438" w:rsidRPr="003F0A5E" w:rsidRDefault="00D71438" w:rsidP="00FD3DFB">
      <w:pPr>
        <w:pStyle w:val="FootnoteText"/>
        <w:tabs>
          <w:tab w:val="left" w:pos="284"/>
        </w:tabs>
        <w:ind w:left="284" w:hanging="284"/>
        <w:rPr>
          <w:lang w:val="pt-PT"/>
        </w:rPr>
      </w:pPr>
      <w:r w:rsidRPr="00E705BB">
        <w:rPr>
          <w:rStyle w:val="FootnoteReference"/>
        </w:rPr>
        <w:footnoteRef/>
      </w:r>
      <w:r w:rsidRPr="003F0A5E">
        <w:rPr>
          <w:color w:val="141413"/>
          <w:lang w:val="pt-PT"/>
        </w:rPr>
        <w:tab/>
      </w:r>
      <w:proofErr w:type="gramStart"/>
      <w:r>
        <w:rPr>
          <w:color w:val="141413"/>
          <w:lang w:val="pt-PT"/>
        </w:rPr>
        <w:t>OJ</w:t>
      </w:r>
      <w:r w:rsidRPr="003F0A5E">
        <w:rPr>
          <w:color w:val="141413"/>
          <w:lang w:val="pt-PT"/>
        </w:rPr>
        <w:t>(2006</w:t>
      </w:r>
      <w:proofErr w:type="gramEnd"/>
      <w:r w:rsidRPr="003F0A5E">
        <w:rPr>
          <w:color w:val="141413"/>
          <w:lang w:val="pt-PT"/>
        </w:rPr>
        <w:t>/C 46/01)</w:t>
      </w:r>
    </w:p>
  </w:footnote>
  <w:footnote w:id="8">
    <w:p w14:paraId="2077449A" w14:textId="4F8C6D19" w:rsidR="00D71438" w:rsidRPr="00A6010A" w:rsidRDefault="00D71438" w:rsidP="00FD3DFB">
      <w:pPr>
        <w:pStyle w:val="FootnoteText"/>
        <w:tabs>
          <w:tab w:val="left" w:pos="284"/>
        </w:tabs>
        <w:ind w:left="284" w:hanging="284"/>
        <w:rPr>
          <w:lang w:val="pt-PT"/>
        </w:rPr>
      </w:pPr>
      <w:r w:rsidRPr="00E705BB">
        <w:rPr>
          <w:rStyle w:val="FootnoteReference"/>
        </w:rPr>
        <w:footnoteRef/>
      </w:r>
      <w:r w:rsidRPr="003F0A5E">
        <w:rPr>
          <w:lang w:val="pt-PT"/>
        </w:rPr>
        <w:tab/>
      </w:r>
      <w:proofErr w:type="gramStart"/>
      <w:r w:rsidRPr="003F0A5E">
        <w:rPr>
          <w:lang w:val="pt-PT"/>
        </w:rPr>
        <w:t>COM(2011</w:t>
      </w:r>
      <w:proofErr w:type="gramEnd"/>
      <w:r w:rsidRPr="003F0A5E">
        <w:rPr>
          <w:lang w:val="pt-PT"/>
        </w:rPr>
        <w:t>) 637 final</w:t>
      </w:r>
    </w:p>
  </w:footnote>
  <w:footnote w:id="9">
    <w:p w14:paraId="1A8F9DE4" w14:textId="2476355F" w:rsidR="00D71438" w:rsidRPr="003F0A5E" w:rsidRDefault="00D71438" w:rsidP="00434E6D">
      <w:pPr>
        <w:pStyle w:val="FootnoteText"/>
        <w:ind w:left="284" w:hanging="284"/>
        <w:rPr>
          <w:lang w:val="pt-PT"/>
        </w:rPr>
      </w:pPr>
      <w:r w:rsidRPr="00A326BA">
        <w:rPr>
          <w:rStyle w:val="FootnoteReference"/>
        </w:rPr>
        <w:footnoteRef/>
      </w:r>
      <w:r w:rsidRPr="003F0A5E">
        <w:rPr>
          <w:lang w:val="pt-PT"/>
        </w:rPr>
        <w:tab/>
      </w:r>
      <w:proofErr w:type="gramStart"/>
      <w:r w:rsidRPr="003F0A5E">
        <w:rPr>
          <w:lang w:val="pt-PT"/>
        </w:rPr>
        <w:t>SWD(2015</w:t>
      </w:r>
      <w:proofErr w:type="gramEnd"/>
      <w:r w:rsidRPr="003F0A5E">
        <w:rPr>
          <w:lang w:val="pt-PT"/>
        </w:rPr>
        <w:t>) 182 final</w:t>
      </w:r>
    </w:p>
  </w:footnote>
  <w:footnote w:id="10">
    <w:p w14:paraId="3583CF13" w14:textId="0288D908" w:rsidR="00D71438" w:rsidRPr="00387018" w:rsidRDefault="00D71438" w:rsidP="00387018">
      <w:pPr>
        <w:pStyle w:val="FootnoteText"/>
        <w:ind w:left="284" w:hanging="284"/>
        <w:rPr>
          <w:lang w:val="pt-PT"/>
        </w:rPr>
      </w:pPr>
      <w:r w:rsidRPr="00AC5473">
        <w:rPr>
          <w:rStyle w:val="FootnoteReference"/>
        </w:rPr>
        <w:footnoteRef/>
      </w:r>
      <w:r>
        <w:rPr>
          <w:lang w:val="pt-PT"/>
        </w:rPr>
        <w:tab/>
      </w:r>
      <w:proofErr w:type="gramStart"/>
      <w:r w:rsidRPr="00387018">
        <w:rPr>
          <w:szCs w:val="24"/>
          <w:lang w:val="pt-PT"/>
        </w:rPr>
        <w:t>COM(2014</w:t>
      </w:r>
      <w:proofErr w:type="gramEnd"/>
      <w:r w:rsidRPr="00387018">
        <w:rPr>
          <w:szCs w:val="24"/>
          <w:lang w:val="pt-PT"/>
        </w:rPr>
        <w:t>) 263 final</w:t>
      </w:r>
    </w:p>
  </w:footnote>
  <w:footnote w:id="11">
    <w:p w14:paraId="76B5765F" w14:textId="2E792E2E" w:rsidR="00D71438" w:rsidRPr="00387018" w:rsidRDefault="00D71438" w:rsidP="00FD3DFB">
      <w:pPr>
        <w:pStyle w:val="FootnoteText"/>
        <w:tabs>
          <w:tab w:val="left" w:pos="284"/>
        </w:tabs>
        <w:ind w:left="284" w:hanging="284"/>
        <w:rPr>
          <w:lang w:val="pt-PT"/>
        </w:rPr>
      </w:pPr>
      <w:r w:rsidRPr="00E705BB">
        <w:rPr>
          <w:rStyle w:val="FootnoteReference"/>
        </w:rPr>
        <w:footnoteRef/>
      </w:r>
      <w:r w:rsidRPr="00387018">
        <w:rPr>
          <w:lang w:val="pt-PT"/>
        </w:rPr>
        <w:tab/>
      </w:r>
      <w:proofErr w:type="gramStart"/>
      <w:r w:rsidRPr="00387018">
        <w:rPr>
          <w:lang w:val="pt-PT"/>
        </w:rPr>
        <w:t>JOIN(2015</w:t>
      </w:r>
      <w:proofErr w:type="gramEnd"/>
      <w:r w:rsidRPr="00387018">
        <w:rPr>
          <w:lang w:val="pt-PT"/>
        </w:rPr>
        <w:t>)</w:t>
      </w:r>
      <w:r>
        <w:rPr>
          <w:lang w:val="pt-PT"/>
        </w:rPr>
        <w:t> </w:t>
      </w:r>
      <w:r w:rsidRPr="00387018">
        <w:rPr>
          <w:lang w:val="pt-PT"/>
        </w:rPr>
        <w:t>50 final</w:t>
      </w:r>
    </w:p>
  </w:footnote>
  <w:footnote w:id="12">
    <w:p w14:paraId="5C6E8FDE" w14:textId="3F345263" w:rsidR="00D71438" w:rsidRPr="00417D50" w:rsidRDefault="00D71438" w:rsidP="00434E6D">
      <w:pPr>
        <w:pStyle w:val="FootnoteText"/>
        <w:tabs>
          <w:tab w:val="left" w:pos="284"/>
        </w:tabs>
        <w:ind w:left="284" w:hanging="284"/>
      </w:pPr>
      <w:r w:rsidRPr="00A326BA">
        <w:rPr>
          <w:rStyle w:val="FootnoteReference"/>
        </w:rPr>
        <w:footnoteRef/>
      </w:r>
      <w:r w:rsidRPr="00417D50">
        <w:tab/>
        <w:t>COM(2015) 81 final/2</w:t>
      </w:r>
    </w:p>
  </w:footnote>
  <w:footnote w:id="13">
    <w:p w14:paraId="3A7CEBC8" w14:textId="6903966D" w:rsidR="00D71438" w:rsidRPr="00657A2F" w:rsidRDefault="00D71438" w:rsidP="00843BEE">
      <w:pPr>
        <w:pStyle w:val="FootnoteText"/>
        <w:ind w:left="284" w:hanging="284"/>
      </w:pPr>
      <w:r w:rsidRPr="00A326BA">
        <w:rPr>
          <w:rStyle w:val="FootnoteReference"/>
        </w:rPr>
        <w:footnoteRef/>
      </w:r>
      <w:r>
        <w:tab/>
      </w:r>
      <w:r w:rsidRPr="00843BEE">
        <w:t>COM(2016) 110</w:t>
      </w:r>
    </w:p>
  </w:footnote>
  <w:footnote w:id="14">
    <w:p w14:paraId="3BC001AA" w14:textId="49AECD95" w:rsidR="00D71438" w:rsidRPr="00657A2F" w:rsidRDefault="00D71438" w:rsidP="00843BEE">
      <w:pPr>
        <w:pStyle w:val="FootnoteText"/>
        <w:ind w:left="284" w:hanging="284"/>
      </w:pPr>
      <w:r w:rsidRPr="00E705BB">
        <w:rPr>
          <w:rStyle w:val="FootnoteReference"/>
        </w:rPr>
        <w:footnoteRef/>
      </w:r>
      <w:r>
        <w:tab/>
      </w:r>
      <w:r w:rsidRPr="001765A4">
        <w:t>Regulation</w:t>
      </w:r>
      <w:r>
        <w:t xml:space="preserve"> (EU) 2015/1017 of the European P</w:t>
      </w:r>
      <w:r w:rsidRPr="001765A4">
        <w:t>arliament and Council of 25 June 2015 on the European Fund for Strategic I</w:t>
      </w:r>
      <w:r>
        <w:t>nvestment Advisory Hub and the European</w:t>
      </w:r>
      <w:r w:rsidRPr="001765A4">
        <w:t xml:space="preserve"> </w:t>
      </w:r>
      <w:r w:rsidRPr="00604C47">
        <w:t>Investment project Portal and amending regulations (EU)No1291/2013 and (EU) no1316/2013- the European Fund for Strategic Investments, O</w:t>
      </w:r>
      <w:r>
        <w:t>J</w:t>
      </w:r>
      <w:r w:rsidRPr="00604C47">
        <w:t xml:space="preserve"> L 169/1,1.7.2015</w:t>
      </w:r>
    </w:p>
  </w:footnote>
  <w:footnote w:id="15">
    <w:p w14:paraId="272EEBCC" w14:textId="4929772F" w:rsidR="00D71438" w:rsidRPr="00657A2F" w:rsidRDefault="00D71438" w:rsidP="00E705BB">
      <w:pPr>
        <w:pStyle w:val="FootnoteText"/>
        <w:ind w:left="284" w:hanging="284"/>
      </w:pPr>
      <w:r w:rsidRPr="00E705BB">
        <w:rPr>
          <w:rStyle w:val="FootnoteReference"/>
        </w:rPr>
        <w:footnoteRef/>
      </w:r>
      <w:r>
        <w:tab/>
      </w:r>
      <w:r w:rsidRPr="00657A2F">
        <w:t>For Africa, see Commission Decision (2015)5210 and for the</w:t>
      </w:r>
      <w:r w:rsidRPr="00D339F3">
        <w:t xml:space="preserve"> Neighbourhood. Commission Decision (2016)3436 for the Neighbourhood</w:t>
      </w:r>
    </w:p>
  </w:footnote>
  <w:footnote w:id="16">
    <w:p w14:paraId="2A8B21FC" w14:textId="6615015A" w:rsidR="00D71438" w:rsidRPr="00843BEE" w:rsidRDefault="00D71438" w:rsidP="00FD3DFB">
      <w:pPr>
        <w:pStyle w:val="FootnoteText"/>
        <w:tabs>
          <w:tab w:val="left" w:pos="284"/>
        </w:tabs>
        <w:ind w:left="284" w:hanging="284"/>
      </w:pPr>
      <w:r w:rsidRPr="00A57232">
        <w:rPr>
          <w:rStyle w:val="FootnoteReference"/>
        </w:rPr>
        <w:footnoteRef/>
      </w:r>
      <w:r w:rsidRPr="00843BEE">
        <w:tab/>
        <w:t>JOIN(2015)</w:t>
      </w:r>
      <w:r>
        <w:t> </w:t>
      </w:r>
      <w:r w:rsidRPr="00843BEE">
        <w:t>50 final</w:t>
      </w:r>
    </w:p>
  </w:footnote>
  <w:footnote w:id="17">
    <w:p w14:paraId="36A3839C" w14:textId="77777777" w:rsidR="00D71438" w:rsidRPr="00843BEE" w:rsidRDefault="00D71438" w:rsidP="00FD3DFB">
      <w:pPr>
        <w:pStyle w:val="FootnoteText"/>
        <w:tabs>
          <w:tab w:val="left" w:pos="284"/>
        </w:tabs>
        <w:ind w:left="284" w:hanging="284"/>
      </w:pPr>
      <w:r w:rsidRPr="00A57232">
        <w:rPr>
          <w:rStyle w:val="FootnoteReference"/>
        </w:rPr>
        <w:footnoteRef/>
      </w:r>
      <w:r w:rsidRPr="00843BEE">
        <w:tab/>
      </w:r>
      <w:r w:rsidRPr="00843BEE">
        <w:rPr>
          <w:color w:val="141413"/>
        </w:rPr>
        <w:t>(2006/C 46/01)</w:t>
      </w:r>
    </w:p>
  </w:footnote>
  <w:footnote w:id="18">
    <w:p w14:paraId="39FCC0F4" w14:textId="77777777" w:rsidR="00D71438" w:rsidRPr="00843BEE" w:rsidRDefault="00D71438" w:rsidP="00FD3DFB">
      <w:pPr>
        <w:pStyle w:val="FootnoteText"/>
        <w:tabs>
          <w:tab w:val="left" w:pos="284"/>
        </w:tabs>
        <w:ind w:left="284" w:hanging="284"/>
      </w:pPr>
      <w:r w:rsidRPr="00A57232">
        <w:rPr>
          <w:rStyle w:val="FootnoteReference"/>
        </w:rPr>
        <w:footnoteRef/>
      </w:r>
      <w:r w:rsidRPr="00843BEE">
        <w:tab/>
      </w:r>
      <w:r w:rsidRPr="00843BEE">
        <w:rPr>
          <w:color w:val="000000"/>
        </w:rPr>
        <w:t>COM(2011) 637 final</w:t>
      </w:r>
    </w:p>
  </w:footnote>
  <w:footnote w:id="19">
    <w:p w14:paraId="30831CD8" w14:textId="77777777" w:rsidR="00D71438" w:rsidRPr="00843BEE" w:rsidRDefault="00D71438" w:rsidP="00FD3DFB">
      <w:pPr>
        <w:pStyle w:val="FootnoteText"/>
        <w:tabs>
          <w:tab w:val="left" w:pos="284"/>
        </w:tabs>
        <w:ind w:left="284" w:hanging="284"/>
      </w:pPr>
      <w:r w:rsidRPr="00A57232">
        <w:rPr>
          <w:rStyle w:val="FootnoteReference"/>
        </w:rPr>
        <w:footnoteRef/>
      </w:r>
      <w:r w:rsidRPr="00843BEE">
        <w:tab/>
        <w:t>SWD(2015) 182 final</w:t>
      </w:r>
    </w:p>
  </w:footnote>
  <w:footnote w:id="20">
    <w:p w14:paraId="30F659E5" w14:textId="2ADF1B45" w:rsidR="00D71438" w:rsidRPr="00D339F3" w:rsidRDefault="00D71438" w:rsidP="00FD3DFB">
      <w:pPr>
        <w:pStyle w:val="FootnoteText"/>
        <w:ind w:left="284" w:hanging="284"/>
      </w:pPr>
      <w:r w:rsidRPr="00A57232">
        <w:rPr>
          <w:rStyle w:val="FootnoteReference"/>
        </w:rPr>
        <w:footnoteRef/>
      </w:r>
      <w:r w:rsidRPr="00843BEE">
        <w:tab/>
        <w:t>OJ L 210/1, 6.8.2013</w:t>
      </w:r>
    </w:p>
  </w:footnote>
  <w:footnote w:id="21">
    <w:p w14:paraId="7072BA06" w14:textId="626E4EC9" w:rsidR="00D71438" w:rsidRPr="00D46FB0" w:rsidRDefault="00D71438" w:rsidP="00387018">
      <w:pPr>
        <w:pStyle w:val="FootnoteText"/>
        <w:ind w:left="284" w:hanging="284"/>
      </w:pPr>
      <w:r w:rsidRPr="00AC5473">
        <w:rPr>
          <w:rStyle w:val="FootnoteReference"/>
        </w:rPr>
        <w:footnoteRef/>
      </w:r>
      <w:r>
        <w:tab/>
        <w:t>COM</w:t>
      </w:r>
      <w:r w:rsidRPr="00657A2F">
        <w:t>(2015)</w:t>
      </w:r>
      <w:r>
        <w:t> </w:t>
      </w:r>
      <w:r w:rsidRPr="00657A2F">
        <w:t xml:space="preserve">5210 </w:t>
      </w:r>
    </w:p>
  </w:footnote>
  <w:footnote w:id="22">
    <w:p w14:paraId="5EE199AA" w14:textId="3CD16D6E" w:rsidR="00D71438" w:rsidRPr="00D46FB0" w:rsidRDefault="00D71438" w:rsidP="00387018">
      <w:pPr>
        <w:pStyle w:val="FootnoteText"/>
        <w:ind w:left="284" w:hanging="284"/>
      </w:pPr>
      <w:r w:rsidRPr="00AC5473">
        <w:rPr>
          <w:rStyle w:val="FootnoteReference"/>
        </w:rPr>
        <w:footnoteRef/>
      </w:r>
      <w:r>
        <w:tab/>
        <w:t>COM</w:t>
      </w:r>
      <w:r w:rsidRPr="00D339F3">
        <w:t>(2016)</w:t>
      </w:r>
      <w:r>
        <w:t> </w:t>
      </w:r>
      <w:r w:rsidRPr="00D339F3">
        <w:t xml:space="preserve">3436 </w:t>
      </w:r>
    </w:p>
  </w:footnote>
  <w:footnote w:id="23">
    <w:p w14:paraId="0172B17B" w14:textId="52119BE1" w:rsidR="00D71438" w:rsidRPr="00843BEE" w:rsidRDefault="00D71438" w:rsidP="00FD3DFB">
      <w:pPr>
        <w:pStyle w:val="FootnoteText"/>
        <w:ind w:left="284" w:hanging="284"/>
        <w:rPr>
          <w:sz w:val="18"/>
          <w:szCs w:val="18"/>
        </w:rPr>
      </w:pPr>
      <w:r w:rsidRPr="00E705BB">
        <w:rPr>
          <w:rStyle w:val="FootnoteReference"/>
        </w:rPr>
        <w:footnoteRef/>
      </w:r>
      <w:r>
        <w:tab/>
      </w:r>
      <w:r w:rsidRPr="00843BEE">
        <w:t xml:space="preserve">OJ L 317, 15.12.2000 as last amended by </w:t>
      </w:r>
      <w:r w:rsidRPr="00657A2F">
        <w:t>OJ</w:t>
      </w:r>
      <w:r w:rsidRPr="00843BEE">
        <w:t xml:space="preserve"> L 287, 4.11.2010</w:t>
      </w:r>
    </w:p>
  </w:footnote>
  <w:footnote w:id="24">
    <w:p w14:paraId="183CB42D" w14:textId="4450F4FB" w:rsidR="00D71438" w:rsidRPr="00EC7C13" w:rsidRDefault="00D71438" w:rsidP="00434E6D">
      <w:pPr>
        <w:pStyle w:val="FootnoteText"/>
        <w:ind w:left="284" w:hanging="284"/>
      </w:pPr>
      <w:r w:rsidRPr="00A326BA">
        <w:rPr>
          <w:rStyle w:val="FootnoteReference"/>
        </w:rPr>
        <w:footnoteRef/>
      </w:r>
      <w:r>
        <w:tab/>
        <w:t xml:space="preserve">Annex II to the </w:t>
      </w:r>
      <w:proofErr w:type="spellStart"/>
      <w:r>
        <w:t>Cotonou</w:t>
      </w:r>
      <w:proofErr w:type="spellEnd"/>
      <w:r>
        <w:t xml:space="preserve"> Agreement</w:t>
      </w:r>
    </w:p>
  </w:footnote>
  <w:footnote w:id="25">
    <w:p w14:paraId="09DFFE1A" w14:textId="77777777" w:rsidR="00D71438" w:rsidRPr="00FD3DFB" w:rsidRDefault="00D71438" w:rsidP="00196760">
      <w:pPr>
        <w:pStyle w:val="FootnoteText"/>
        <w:ind w:left="284" w:hanging="284"/>
      </w:pPr>
      <w:r w:rsidRPr="00104801">
        <w:rPr>
          <w:rStyle w:val="FootnoteReference"/>
        </w:rPr>
        <w:footnoteRef/>
      </w:r>
      <w:r>
        <w:tab/>
      </w:r>
      <w:r w:rsidRPr="00A57232">
        <w:t xml:space="preserve">Regulation (EU, </w:t>
      </w:r>
      <w:proofErr w:type="spellStart"/>
      <w:r w:rsidRPr="00A57232">
        <w:t>Euratom</w:t>
      </w:r>
      <w:proofErr w:type="spellEnd"/>
      <w:r w:rsidRPr="00A57232">
        <w:t xml:space="preserve">) No 966/2012 of the European Parliament and the Council of 25 October 2012 on the financial rules applicable to the general budget of the Union and repealing Council Regulation (EC, </w:t>
      </w:r>
      <w:proofErr w:type="spellStart"/>
      <w:r w:rsidRPr="00A57232">
        <w:t>Euratom</w:t>
      </w:r>
      <w:proofErr w:type="spellEnd"/>
      <w:r w:rsidRPr="00A57232">
        <w:t>) No 1605/2002 (OJ L 298</w:t>
      </w:r>
      <w:r w:rsidRPr="00FD3DFB">
        <w:t>, 26.10.2012, p. 1).</w:t>
      </w:r>
    </w:p>
  </w:footnote>
  <w:footnote w:id="26">
    <w:p w14:paraId="5C7F2884" w14:textId="4E80143C" w:rsidR="00D71438" w:rsidRPr="00987288" w:rsidRDefault="00D71438" w:rsidP="00387018">
      <w:pPr>
        <w:pStyle w:val="FootnoteText"/>
        <w:ind w:left="284" w:hanging="284"/>
      </w:pPr>
      <w:r w:rsidRPr="00AC5473">
        <w:rPr>
          <w:rStyle w:val="FootnoteReference"/>
        </w:rPr>
        <w:footnoteRef/>
      </w:r>
      <w:r>
        <w:tab/>
      </w:r>
      <w:r w:rsidRPr="00FD3DFB">
        <w:t>Internal Agreement between the Representatives of the Governments of the Member States of the European Union, meeting within the Council, on the financing of European Union aid under the multiannual financial framework for the period 2014 to 2020, in accordance with the ACP-EU Partnership Agreement and on the allocation of financial assistance for the Overseas Countries and Territories to which Part Four of the Treaty on the Functioning of the European Union applies</w:t>
      </w:r>
      <w:r>
        <w:t xml:space="preserve"> (</w:t>
      </w:r>
      <w:r w:rsidRPr="00FD3DFB">
        <w:t>OJ L 210, 6.8.2013, p. 1</w:t>
      </w:r>
      <w:r>
        <w:t>).</w:t>
      </w:r>
    </w:p>
  </w:footnote>
  <w:footnote w:id="27">
    <w:p w14:paraId="7D5343A4" w14:textId="37FA577F" w:rsidR="00D71438" w:rsidRPr="00FB4804" w:rsidRDefault="00D71438" w:rsidP="00FD3DFB">
      <w:pPr>
        <w:pStyle w:val="FootnoteText"/>
        <w:ind w:left="284" w:hanging="284"/>
      </w:pPr>
      <w:r w:rsidRPr="00E705BB">
        <w:rPr>
          <w:rStyle w:val="FootnoteReference"/>
        </w:rPr>
        <w:footnoteRef/>
      </w:r>
      <w:r>
        <w:tab/>
      </w:r>
      <w:r w:rsidRPr="00843BEE">
        <w:t xml:space="preserve">Regulation (EU, </w:t>
      </w:r>
      <w:proofErr w:type="spellStart"/>
      <w:r w:rsidRPr="00843BEE">
        <w:t>Euratom</w:t>
      </w:r>
      <w:proofErr w:type="spellEnd"/>
      <w:r w:rsidRPr="00843BEE">
        <w:t>) No 883/2013 of the European Parliament and of the Council of 11 September 2013 concerning investigations conducted by the European Anti-Fraud Office (OLAF) and repealing Regulation (EC) No 1073/1999 of the European Parliament and of the Council and Council Regulation (</w:t>
      </w:r>
      <w:proofErr w:type="spellStart"/>
      <w:r w:rsidRPr="00843BEE">
        <w:t>Euratom</w:t>
      </w:r>
      <w:proofErr w:type="spellEnd"/>
      <w:r w:rsidRPr="00843BEE">
        <w:t>) No 1074/1999 (OJ L 248, 18.9.2013, p. 1).</w:t>
      </w:r>
    </w:p>
  </w:footnote>
  <w:footnote w:id="28">
    <w:p w14:paraId="7E56D68C" w14:textId="5BFD439D" w:rsidR="00D71438" w:rsidRPr="00FB4804" w:rsidRDefault="00D71438" w:rsidP="00FD3DFB">
      <w:pPr>
        <w:pStyle w:val="FootnoteText"/>
        <w:ind w:left="284" w:hanging="284"/>
      </w:pPr>
      <w:r w:rsidRPr="00E705BB">
        <w:rPr>
          <w:rStyle w:val="FootnoteReference"/>
        </w:rPr>
        <w:footnoteRef/>
      </w:r>
      <w:r>
        <w:tab/>
      </w:r>
      <w:r w:rsidRPr="00843BEE">
        <w:t>Council Regulation (</w:t>
      </w:r>
      <w:proofErr w:type="spellStart"/>
      <w:proofErr w:type="gramStart"/>
      <w:r w:rsidRPr="00843BEE">
        <w:t>Euratom</w:t>
      </w:r>
      <w:proofErr w:type="spellEnd"/>
      <w:proofErr w:type="gramEnd"/>
      <w:r w:rsidRPr="00843BEE">
        <w:t>, EC) No 2185/96 of 11 November 1996 concerning on-the-spot checks and inspections carried out by the Commission in order to protect the European Communities</w:t>
      </w:r>
      <w:r>
        <w:t>'</w:t>
      </w:r>
      <w:r w:rsidRPr="00843BEE">
        <w:t xml:space="preserve"> financial interests against fraud and other irregularities (OJ L 292, 15.11.1996, p. 2).</w:t>
      </w:r>
    </w:p>
  </w:footnote>
  <w:footnote w:id="29">
    <w:p w14:paraId="6471BADC" w14:textId="36A80F1F" w:rsidR="00D71438" w:rsidRPr="00C41718" w:rsidRDefault="00D71438" w:rsidP="00FD3DFB">
      <w:pPr>
        <w:pStyle w:val="FootnoteText"/>
        <w:ind w:left="284" w:hanging="284"/>
      </w:pPr>
      <w:r w:rsidRPr="00E705BB">
        <w:rPr>
          <w:rStyle w:val="FootnoteReference"/>
        </w:rPr>
        <w:footnoteRef/>
      </w:r>
      <w:r>
        <w:tab/>
      </w:r>
      <w:r w:rsidRPr="00843BEE">
        <w:t xml:space="preserve">Council Regulation (EC, </w:t>
      </w:r>
      <w:proofErr w:type="spellStart"/>
      <w:proofErr w:type="gramStart"/>
      <w:r w:rsidRPr="00843BEE">
        <w:t>Euratom</w:t>
      </w:r>
      <w:proofErr w:type="spellEnd"/>
      <w:proofErr w:type="gramEnd"/>
      <w:r w:rsidRPr="00843BEE">
        <w:t>) No 2988/95 of 18 December 1995 on the protection of the European Communities financial interests (OJ L 312, 23.12.1995, p. 1).</w:t>
      </w:r>
    </w:p>
  </w:footnote>
  <w:footnote w:id="30">
    <w:p w14:paraId="33151D3D" w14:textId="12CA11F3" w:rsidR="00D71438" w:rsidRPr="00472A65" w:rsidRDefault="00D71438" w:rsidP="00387018">
      <w:pPr>
        <w:pStyle w:val="FootnoteText"/>
        <w:ind w:left="284" w:hanging="284"/>
      </w:pPr>
      <w:r w:rsidRPr="00AC5473">
        <w:rPr>
          <w:rStyle w:val="FootnoteReference"/>
        </w:rPr>
        <w:footnoteRef/>
      </w:r>
      <w:r>
        <w:tab/>
        <w:t xml:space="preserve">Regulation (EU) No 236/2014 of the European Parliament and the Council of 11 March 2014 laying down common rules and procedures for the implementation of the Union's instruments for financing external action </w:t>
      </w:r>
      <w:r w:rsidRPr="00843BEE">
        <w:t xml:space="preserve">(OJ L </w:t>
      </w:r>
      <w:r>
        <w:t>77</w:t>
      </w:r>
      <w:r w:rsidRPr="00843BEE">
        <w:t xml:space="preserve">, </w:t>
      </w:r>
      <w:r>
        <w:t>15</w:t>
      </w:r>
      <w:r w:rsidRPr="00843BEE">
        <w:t>.</w:t>
      </w:r>
      <w:r>
        <w:t>03</w:t>
      </w:r>
      <w:r w:rsidRPr="00843BEE">
        <w:t>.</w:t>
      </w:r>
      <w:r>
        <w:t>2014</w:t>
      </w:r>
      <w:r w:rsidRPr="00843BEE">
        <w:t xml:space="preserve">, p. </w:t>
      </w:r>
      <w:r>
        <w:t>95</w:t>
      </w:r>
      <w:r w:rsidRPr="00843BEE">
        <w:t>).</w:t>
      </w:r>
    </w:p>
  </w:footnote>
  <w:footnote w:id="31">
    <w:p w14:paraId="324767CC" w14:textId="29E5A111" w:rsidR="00D71438" w:rsidRPr="003C0C13" w:rsidRDefault="00D71438" w:rsidP="00387018">
      <w:pPr>
        <w:pStyle w:val="FootnoteText"/>
        <w:ind w:left="284" w:hanging="284"/>
      </w:pPr>
      <w:r w:rsidRPr="00AC5473">
        <w:rPr>
          <w:rStyle w:val="FootnoteReference"/>
        </w:rPr>
        <w:footnoteRef/>
      </w:r>
      <w:r>
        <w:tab/>
        <w:t>Council Regulation (EU) 2015/323 of 2 March 2015 on the financial regulation applicable to the 11</w:t>
      </w:r>
      <w:r w:rsidRPr="000259A8">
        <w:rPr>
          <w:vertAlign w:val="superscript"/>
        </w:rPr>
        <w:t>th</w:t>
      </w:r>
      <w:r>
        <w:t xml:space="preserve"> European Development Fund </w:t>
      </w:r>
      <w:r w:rsidRPr="00843BEE">
        <w:t xml:space="preserve">(OJ L </w:t>
      </w:r>
      <w:r>
        <w:t>58</w:t>
      </w:r>
      <w:r w:rsidRPr="00843BEE">
        <w:t xml:space="preserve">, </w:t>
      </w:r>
      <w:r>
        <w:t>03</w:t>
      </w:r>
      <w:r w:rsidRPr="00843BEE">
        <w:t>.</w:t>
      </w:r>
      <w:r>
        <w:t>03</w:t>
      </w:r>
      <w:r w:rsidRPr="00843BEE">
        <w:t>.</w:t>
      </w:r>
      <w:r>
        <w:t>2015</w:t>
      </w:r>
      <w:r w:rsidRPr="00843BEE">
        <w:t>, p.</w:t>
      </w:r>
      <w:r>
        <w:t>17</w:t>
      </w:r>
      <w:r w:rsidRPr="00843BEE">
        <w:t>).</w:t>
      </w:r>
    </w:p>
  </w:footnote>
  <w:footnote w:id="32">
    <w:p w14:paraId="7A1A6974" w14:textId="67C2FA71" w:rsidR="00D71438" w:rsidRPr="00A57232" w:rsidRDefault="00D71438" w:rsidP="00FD3DFB">
      <w:pPr>
        <w:pStyle w:val="FootnoteText"/>
        <w:ind w:left="284" w:hanging="284"/>
      </w:pPr>
      <w:r w:rsidRPr="00E705BB">
        <w:rPr>
          <w:rStyle w:val="FootnoteReference"/>
        </w:rPr>
        <w:footnoteRef/>
      </w:r>
      <w:r>
        <w:tab/>
      </w:r>
      <w:r w:rsidRPr="00843BEE">
        <w:t xml:space="preserve">OJ L 317, 15.12.2000 as last amended by </w:t>
      </w:r>
      <w:r w:rsidRPr="00657A2F">
        <w:t>OJ</w:t>
      </w:r>
      <w:r w:rsidRPr="00843BEE">
        <w:t xml:space="preserve"> L 287, 4.11.2010</w:t>
      </w:r>
    </w:p>
  </w:footnote>
  <w:footnote w:id="33">
    <w:p w14:paraId="624C77AE" w14:textId="3BE036C8" w:rsidR="00D71438" w:rsidRPr="00A57232" w:rsidRDefault="00D71438" w:rsidP="00FD3DFB">
      <w:pPr>
        <w:pStyle w:val="FootnoteText"/>
        <w:ind w:left="284" w:hanging="284"/>
      </w:pPr>
      <w:r w:rsidRPr="00A57232">
        <w:rPr>
          <w:rStyle w:val="FootnoteReference"/>
        </w:rPr>
        <w:footnoteRef/>
      </w:r>
      <w:r w:rsidRPr="00A57232">
        <w:tab/>
      </w:r>
      <w:r w:rsidRPr="003D5589">
        <w:rPr>
          <w:bCs/>
          <w:color w:val="000000"/>
        </w:rPr>
        <w:t>Regulation (EU) No 232/2014 of the European Parliament and of the Council of 11 March 2014 establishing a European Neighbourhood Instrument (OJ L 77, 15.3.2014, p. 27).</w:t>
      </w:r>
    </w:p>
  </w:footnote>
  <w:footnote w:id="34">
    <w:p w14:paraId="2A9847D2" w14:textId="57B51C81" w:rsidR="00D71438" w:rsidRPr="00A02BC7" w:rsidRDefault="00D71438" w:rsidP="00434E6D">
      <w:pPr>
        <w:pStyle w:val="FootnoteText"/>
        <w:ind w:left="284" w:hanging="284"/>
        <w:rPr>
          <w:sz w:val="18"/>
          <w:szCs w:val="18"/>
        </w:rPr>
      </w:pPr>
      <w:r w:rsidRPr="00A326BA">
        <w:rPr>
          <w:rStyle w:val="FootnoteReference"/>
        </w:rPr>
        <w:footnoteRef/>
      </w:r>
      <w:r>
        <w:tab/>
      </w:r>
      <w:r w:rsidRPr="00434E6D">
        <w:rPr>
          <w:bCs/>
          <w:color w:val="000000"/>
        </w:rPr>
        <w:t>Regulation</w:t>
      </w:r>
      <w:r>
        <w:rPr>
          <w:bCs/>
        </w:rPr>
        <w:t xml:space="preserve"> (EU) No 233/2014 of the European Parliament and of t</w:t>
      </w:r>
      <w:r w:rsidRPr="003D5589">
        <w:rPr>
          <w:bCs/>
        </w:rPr>
        <w:t>he Council of 11 March 2014 establishing a financing instrument for development cooperation for the period 2014-2020</w:t>
      </w:r>
      <w:r>
        <w:rPr>
          <w:bCs/>
        </w:rPr>
        <w:t xml:space="preserve"> </w:t>
      </w:r>
      <w:r w:rsidRPr="00DE52EB">
        <w:rPr>
          <w:bCs/>
        </w:rPr>
        <w:t xml:space="preserve">(OJ L 77, 15.3.2014, p. </w:t>
      </w:r>
      <w:r>
        <w:rPr>
          <w:bCs/>
        </w:rPr>
        <w:t>44</w:t>
      </w:r>
      <w:r w:rsidRPr="00DE52EB">
        <w:rPr>
          <w:bCs/>
        </w:rPr>
        <w:t>)</w:t>
      </w:r>
      <w:r>
        <w:rPr>
          <w:bCs/>
        </w:rPr>
        <w:t>.</w:t>
      </w:r>
    </w:p>
  </w:footnote>
  <w:footnote w:id="35">
    <w:p w14:paraId="4FE09A53" w14:textId="46890CDF" w:rsidR="00D71438" w:rsidRPr="00A57232" w:rsidRDefault="00D71438" w:rsidP="002A7D3D">
      <w:pPr>
        <w:pStyle w:val="FootnoteText"/>
        <w:ind w:left="284" w:hanging="284"/>
      </w:pPr>
      <w:r w:rsidRPr="00E705BB">
        <w:rPr>
          <w:rStyle w:val="FootnoteReference"/>
        </w:rPr>
        <w:footnoteRef/>
      </w:r>
      <w:r>
        <w:tab/>
      </w:r>
      <w:r w:rsidRPr="00FD3DFB">
        <w:t xml:space="preserve">Internal Agreement between the Representatives of the Governments of the Member States of the European Union, meeting within the Council, on the financing of European Union aid under the multiannual financial framework for the period 2014 to 2020, in accordance with the ACP-EU Partnership Agreement and on the allocation of financial assistance for the Overseas Countries and Territories to which Part Four of the Treaty on the Functioning of the European Union applies, OJ L 210, 6.8.2013, p. 1. </w:t>
      </w:r>
    </w:p>
  </w:footnote>
  <w:footnote w:id="36">
    <w:p w14:paraId="21AB2350" w14:textId="5DF4CC92" w:rsidR="00D71438" w:rsidRDefault="00D71438" w:rsidP="00843BEE">
      <w:pPr>
        <w:pStyle w:val="FootnoteText"/>
        <w:ind w:left="284" w:hanging="284"/>
      </w:pPr>
      <w:r w:rsidRPr="00E705BB">
        <w:rPr>
          <w:rStyle w:val="FootnoteReference"/>
        </w:rPr>
        <w:footnoteRef/>
      </w:r>
      <w:r>
        <w:tab/>
      </w:r>
      <w:proofErr w:type="gramStart"/>
      <w:r>
        <w:t>Regulation (EU) 2015/847 of the European Parliament and of the Council of 20 May 2015 on information accompanying transfers of funds and repealing Regulation (EC) No 1781/2006 (OJ L 141, 5.6.2015, p. 1).</w:t>
      </w:r>
      <w:proofErr w:type="gramEnd"/>
    </w:p>
  </w:footnote>
  <w:footnote w:id="37">
    <w:p w14:paraId="3D7670D4" w14:textId="54D32968" w:rsidR="00D71438" w:rsidRDefault="00D71438" w:rsidP="00843BEE">
      <w:pPr>
        <w:pStyle w:val="FootnoteText"/>
        <w:ind w:left="284" w:hanging="284"/>
      </w:pPr>
      <w:r w:rsidRPr="00E705BB">
        <w:rPr>
          <w:rStyle w:val="FootnoteReference"/>
        </w:rPr>
        <w:footnoteRef/>
      </w:r>
      <w:r>
        <w:tab/>
      </w:r>
      <w:r w:rsidRPr="00AE6AEF">
        <w:t>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w:t>
      </w:r>
      <w:r>
        <w:t xml:space="preserve"> (</w:t>
      </w:r>
      <w:r w:rsidRPr="00AE6AEF">
        <w:t>OJ L 141, 5.6.2015, p. 73</w:t>
      </w:r>
      <w:r>
        <w:t>).</w:t>
      </w:r>
    </w:p>
  </w:footnote>
  <w:footnote w:id="38">
    <w:p w14:paraId="03D35AC6" w14:textId="77777777" w:rsidR="00D71438" w:rsidRDefault="00D71438" w:rsidP="00896A4C">
      <w:pPr>
        <w:pStyle w:val="FootnoteText"/>
        <w:ind w:left="284" w:hanging="284"/>
        <w:rPr>
          <w:szCs w:val="24"/>
        </w:rPr>
      </w:pPr>
      <w:r>
        <w:rPr>
          <w:rStyle w:val="FootnoteReference"/>
        </w:rPr>
        <w:footnoteRef/>
      </w:r>
      <w:r>
        <w:tab/>
        <w:t>ABM: activity-based management; ABB: activity-based budgeting.</w:t>
      </w:r>
    </w:p>
  </w:footnote>
  <w:footnote w:id="39">
    <w:p w14:paraId="5E4E04AB" w14:textId="77777777" w:rsidR="00D71438" w:rsidRDefault="00D71438" w:rsidP="00896A4C">
      <w:pPr>
        <w:pStyle w:val="FootnoteText"/>
        <w:ind w:left="284" w:hanging="284"/>
        <w:rPr>
          <w:szCs w:val="24"/>
        </w:rPr>
      </w:pPr>
      <w:r>
        <w:rPr>
          <w:rStyle w:val="FootnoteReference"/>
        </w:rPr>
        <w:footnoteRef/>
      </w:r>
      <w:r>
        <w:tab/>
        <w:t>As referred to in Article 54(2</w:t>
      </w:r>
      <w:proofErr w:type="gramStart"/>
      <w:r>
        <w:t>)(</w:t>
      </w:r>
      <w:proofErr w:type="gramEnd"/>
      <w:r>
        <w:t>a) or (b) of the Financial Regulation.</w:t>
      </w:r>
    </w:p>
  </w:footnote>
  <w:footnote w:id="40">
    <w:p w14:paraId="4DCFAE1E" w14:textId="654AE6AB" w:rsidR="00D71438" w:rsidRDefault="00D71438" w:rsidP="00434E6D">
      <w:pPr>
        <w:pStyle w:val="FootnoteText"/>
        <w:ind w:left="284" w:hanging="284"/>
      </w:pPr>
      <w:r w:rsidRPr="00A904FA">
        <w:rPr>
          <w:rStyle w:val="FootnoteReference"/>
        </w:rPr>
        <w:footnoteRef/>
      </w:r>
      <w:r>
        <w:tab/>
      </w:r>
      <w:r w:rsidRPr="00C56BEB">
        <w:t xml:space="preserve">C(2015) </w:t>
      </w:r>
      <w:r w:rsidRPr="00434E6D">
        <w:rPr>
          <w:rStyle w:val="FootnoteReference"/>
          <w:vertAlign w:val="baseline"/>
        </w:rPr>
        <w:t>5210</w:t>
      </w:r>
      <w:r w:rsidRPr="00434E6D">
        <w:t xml:space="preserve"> </w:t>
      </w:r>
      <w:r w:rsidRPr="00C56BEB">
        <w:t xml:space="preserve">final, 29.7.2015, </w:t>
      </w:r>
      <w:r w:rsidRPr="00C56BEB">
        <w:rPr>
          <w:bCs/>
        </w:rPr>
        <w:t xml:space="preserve">Commission Decision </w:t>
      </w:r>
      <w:r>
        <w:rPr>
          <w:bCs/>
        </w:rPr>
        <w:t>on the individual measure "</w:t>
      </w:r>
      <w:r w:rsidRPr="00C56BEB">
        <w:rPr>
          <w:bCs/>
        </w:rPr>
        <w:t>Creation of the Africa Investment Facility</w:t>
      </w:r>
      <w:r>
        <w:rPr>
          <w:bCs/>
        </w:rPr>
        <w:t>"</w:t>
      </w:r>
      <w:r w:rsidRPr="00C56BEB">
        <w:rPr>
          <w:bCs/>
        </w:rPr>
        <w:t xml:space="preserve"> under the 11</w:t>
      </w:r>
      <w:r w:rsidRPr="00C56BEB">
        <w:rPr>
          <w:bCs/>
          <w:vertAlign w:val="superscript"/>
        </w:rPr>
        <w:t>th</w:t>
      </w:r>
      <w:r w:rsidRPr="00C56BEB">
        <w:rPr>
          <w:bCs/>
        </w:rPr>
        <w:t xml:space="preserve"> European Development Fund</w:t>
      </w:r>
    </w:p>
  </w:footnote>
  <w:footnote w:id="41">
    <w:p w14:paraId="3357903D" w14:textId="77777777" w:rsidR="00D71438" w:rsidRPr="004D6C9D" w:rsidRDefault="00D71438" w:rsidP="00896A4C">
      <w:pPr>
        <w:pStyle w:val="FootnoteText"/>
        <w:ind w:left="284" w:hanging="284"/>
        <w:jc w:val="left"/>
        <w:rPr>
          <w:szCs w:val="24"/>
        </w:rPr>
      </w:pPr>
      <w:r>
        <w:rPr>
          <w:rStyle w:val="FootnoteReference"/>
        </w:rPr>
        <w:footnoteRef/>
      </w:r>
      <w:r>
        <w:tab/>
        <w:t xml:space="preserve">Details of management modes and references to the Financial Regulation may be found on the </w:t>
      </w:r>
      <w:proofErr w:type="spellStart"/>
      <w:r>
        <w:t>BudgWeb</w:t>
      </w:r>
      <w:proofErr w:type="spellEnd"/>
      <w:r>
        <w:t xml:space="preserve"> site: </w:t>
      </w:r>
      <w:hyperlink r:id="rId1" w:history="1">
        <w:r w:rsidRPr="004D6C9D">
          <w:rPr>
            <w:rStyle w:val="Hyperlink"/>
            <w:szCs w:val="24"/>
          </w:rPr>
          <w:t>https://myintracomm.ec.europa.eu/budgweb/EN/man/budgmanag/Pages/budgmanag.aspx</w:t>
        </w:r>
      </w:hyperlink>
      <w:r w:rsidRPr="004D6C9D">
        <w:rPr>
          <w:szCs w:val="24"/>
        </w:rPr>
        <w:t xml:space="preserve"> </w:t>
      </w:r>
    </w:p>
  </w:footnote>
  <w:footnote w:id="42">
    <w:p w14:paraId="414537BF" w14:textId="77777777" w:rsidR="00D71438" w:rsidRDefault="00D71438" w:rsidP="00434E6D">
      <w:pPr>
        <w:pStyle w:val="FootnoteText"/>
        <w:ind w:left="284" w:hanging="284"/>
        <w:rPr>
          <w:szCs w:val="24"/>
        </w:rPr>
      </w:pPr>
      <w:r>
        <w:rPr>
          <w:rStyle w:val="FootnoteReference"/>
        </w:rPr>
        <w:footnoteRef/>
      </w:r>
      <w:r>
        <w:tab/>
        <w:t>Year N is the year in which implementation of the proposal/initiative starts.</w:t>
      </w:r>
    </w:p>
  </w:footnote>
  <w:footnote w:id="43">
    <w:p w14:paraId="17786E16" w14:textId="6ED3AE58" w:rsidR="00D71438" w:rsidRDefault="00D71438" w:rsidP="00434E6D">
      <w:pPr>
        <w:pStyle w:val="FootnoteText"/>
        <w:ind w:left="284" w:hanging="284"/>
        <w:rPr>
          <w:szCs w:val="24"/>
        </w:rPr>
      </w:pPr>
      <w:r>
        <w:rPr>
          <w:rStyle w:val="FootnoteReference"/>
        </w:rPr>
        <w:footnoteRef/>
      </w:r>
      <w:r>
        <w:tab/>
      </w:r>
      <w:proofErr w:type="gramStart"/>
      <w:r>
        <w:t>Technical and/or administrative assistance and expenditure in support of the implementation of EU programmes and/or actions (former 'BA' lines), indirect research, direct research.</w:t>
      </w:r>
      <w:proofErr w:type="gramEnd"/>
    </w:p>
  </w:footnote>
  <w:footnote w:id="44">
    <w:p w14:paraId="613215B5" w14:textId="740A48C5" w:rsidR="00D71438" w:rsidRPr="00387018" w:rsidRDefault="00D71438" w:rsidP="00434E6D">
      <w:pPr>
        <w:pStyle w:val="FootnoteText"/>
        <w:ind w:left="284" w:hanging="284"/>
        <w:rPr>
          <w:lang w:val="en-US"/>
        </w:rPr>
      </w:pPr>
      <w:r w:rsidRPr="00AC5473">
        <w:rPr>
          <w:rStyle w:val="FootnoteReference"/>
        </w:rPr>
        <w:footnoteRef/>
      </w:r>
      <w:r>
        <w:tab/>
        <w:t>One</w:t>
      </w:r>
      <w:r w:rsidRPr="003F0A5E">
        <w:t xml:space="preserve"> C</w:t>
      </w:r>
      <w:r w:rsidR="009E26A3">
        <w:t xml:space="preserve">ontractual </w:t>
      </w:r>
      <w:r w:rsidRPr="003F0A5E">
        <w:t>A</w:t>
      </w:r>
      <w:r w:rsidR="009E26A3">
        <w:t>gent</w:t>
      </w:r>
      <w:r w:rsidRPr="003F0A5E">
        <w:t xml:space="preserve"> will be financed by the </w:t>
      </w:r>
      <w:r w:rsidR="009E26A3">
        <w:t>European External Action Service (</w:t>
      </w:r>
      <w:r w:rsidRPr="003F0A5E">
        <w:t>EEAS</w:t>
      </w:r>
      <w:r w:rsidR="009E26A3">
        <w:t>)</w:t>
      </w:r>
      <w:r w:rsidRPr="003F0A5E">
        <w:t xml:space="preserve"> budget to support policy liaison functions</w:t>
      </w:r>
      <w:r w:rsidR="009E26A3">
        <w:t>.</w:t>
      </w:r>
    </w:p>
  </w:footnote>
  <w:footnote w:id="45">
    <w:p w14:paraId="0223F15A" w14:textId="4996B590" w:rsidR="00D71438" w:rsidRDefault="00D71438" w:rsidP="00434E6D">
      <w:pPr>
        <w:pStyle w:val="FootnoteText"/>
        <w:ind w:left="284" w:hanging="284"/>
        <w:rPr>
          <w:szCs w:val="24"/>
        </w:rPr>
      </w:pPr>
      <w:r>
        <w:rPr>
          <w:rStyle w:val="FootnoteReference"/>
        </w:rPr>
        <w:footnoteRef/>
      </w:r>
      <w:r>
        <w:tab/>
        <w:t>Outputs are products and services to be supplied (e.g. number of student exchanges financed, number of km of roads built, etc.).</w:t>
      </w:r>
    </w:p>
  </w:footnote>
  <w:footnote w:id="46">
    <w:p w14:paraId="37EEB561" w14:textId="77777777" w:rsidR="00D71438" w:rsidRDefault="00D71438" w:rsidP="00434E6D">
      <w:pPr>
        <w:pStyle w:val="FootnoteText"/>
        <w:ind w:left="284" w:hanging="284"/>
        <w:rPr>
          <w:szCs w:val="24"/>
        </w:rPr>
      </w:pPr>
      <w:r>
        <w:rPr>
          <w:rStyle w:val="FootnoteReference"/>
        </w:rPr>
        <w:footnoteRef/>
      </w:r>
      <w:r>
        <w:tab/>
        <w:t>Year N is the year in which implementation of the proposal/initiative starts.</w:t>
      </w:r>
    </w:p>
  </w:footnote>
  <w:footnote w:id="47">
    <w:p w14:paraId="5BB1201B" w14:textId="1DF427F7" w:rsidR="00D71438" w:rsidRDefault="00D71438" w:rsidP="00434E6D">
      <w:pPr>
        <w:pStyle w:val="FootnoteText"/>
        <w:ind w:left="284" w:hanging="284"/>
        <w:rPr>
          <w:szCs w:val="24"/>
        </w:rPr>
      </w:pPr>
      <w:r>
        <w:rPr>
          <w:rStyle w:val="FootnoteReference"/>
        </w:rPr>
        <w:footnoteRef/>
      </w:r>
      <w:r>
        <w:tab/>
      </w:r>
      <w:proofErr w:type="gramStart"/>
      <w:r>
        <w:t>Technical and/or administrative assistance and expenditure in support of the implementation of EU programmes and/or actions (former 'BA' lines), indirect research, direct research.</w:t>
      </w:r>
      <w:proofErr w:type="gramEnd"/>
    </w:p>
  </w:footnote>
  <w:footnote w:id="48">
    <w:p w14:paraId="3529A2CC" w14:textId="77777777" w:rsidR="00D71438" w:rsidRDefault="00D71438" w:rsidP="00434E6D">
      <w:pPr>
        <w:pStyle w:val="FootnoteText"/>
        <w:ind w:left="284" w:hanging="284"/>
        <w:rPr>
          <w:szCs w:val="24"/>
        </w:rPr>
      </w:pPr>
      <w:r>
        <w:rPr>
          <w:rStyle w:val="FootnoteReference"/>
        </w:rPr>
        <w:footnoteRef/>
      </w:r>
      <w:r>
        <w:tab/>
        <w:t xml:space="preserve">AC= Contract Staff; AL = Local Staff; END= Seconded National Expert; INT = agency staff; JED= Junior Experts in Delegations. </w:t>
      </w:r>
    </w:p>
  </w:footnote>
  <w:footnote w:id="49">
    <w:p w14:paraId="195730AC" w14:textId="4364E509" w:rsidR="00D71438" w:rsidRDefault="00D71438" w:rsidP="00434E6D">
      <w:pPr>
        <w:pStyle w:val="FootnoteText"/>
        <w:ind w:left="284" w:hanging="284"/>
      </w:pPr>
      <w:r w:rsidRPr="00E705BB">
        <w:rPr>
          <w:rStyle w:val="FootnoteReference"/>
        </w:rPr>
        <w:footnoteRef/>
      </w:r>
      <w:r>
        <w:tab/>
        <w:t>Part of the external staff required will be met by internal redeployment of external staff financed by ENI administrative support line / EDF in proportion to the operational appropriations redeployed for the action.</w:t>
      </w:r>
    </w:p>
  </w:footnote>
  <w:footnote w:id="50">
    <w:p w14:paraId="40F2F1AE" w14:textId="046651F0" w:rsidR="00D71438" w:rsidRDefault="00D71438" w:rsidP="00434E6D">
      <w:pPr>
        <w:pStyle w:val="FootnoteText"/>
        <w:ind w:left="284" w:hanging="284"/>
        <w:rPr>
          <w:szCs w:val="24"/>
        </w:rPr>
      </w:pPr>
      <w:r>
        <w:rPr>
          <w:rStyle w:val="FootnoteReference"/>
        </w:rPr>
        <w:footnoteRef/>
      </w:r>
      <w:r>
        <w:tab/>
      </w:r>
      <w:proofErr w:type="gramStart"/>
      <w:r>
        <w:t>Sub-ceiling for external staff covered by operational appropriations (former 'BA' lines).</w:t>
      </w:r>
      <w:proofErr w:type="gramEnd"/>
    </w:p>
  </w:footnote>
  <w:footnote w:id="51">
    <w:p w14:paraId="432E66B8" w14:textId="0069E155" w:rsidR="00D71438" w:rsidRDefault="00D71438" w:rsidP="00434E6D">
      <w:pPr>
        <w:pStyle w:val="FootnoteText"/>
        <w:ind w:left="284" w:hanging="284"/>
        <w:rPr>
          <w:szCs w:val="24"/>
        </w:rPr>
      </w:pPr>
      <w:r>
        <w:rPr>
          <w:rStyle w:val="FootnoteReference"/>
        </w:rPr>
        <w:footnoteRef/>
      </w:r>
      <w:r>
        <w:tab/>
        <w:t>As regards traditional own resources (customs duties, sugar levies), the amounts indicated must be net amounts, i.e. gross amounts after deduction of 25%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BA5D" w14:textId="77777777" w:rsidR="00772B42" w:rsidRPr="00772B42" w:rsidRDefault="00772B42" w:rsidP="00772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D3A28" w14:textId="77777777" w:rsidR="00772B42" w:rsidRPr="00772B42" w:rsidRDefault="00772B42" w:rsidP="00772B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5254B" w14:textId="77777777" w:rsidR="00772B42" w:rsidRPr="00772B42" w:rsidRDefault="00772B42" w:rsidP="00772B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1DDC" w14:textId="77777777" w:rsidR="005D4995" w:rsidRDefault="005D4995" w:rsidP="00772B42">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28305" w14:textId="77777777" w:rsidR="00772B42" w:rsidRPr="00772B42" w:rsidRDefault="00772B42" w:rsidP="00772B42">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4DD2" w14:textId="77777777" w:rsidR="005D4995" w:rsidRDefault="005D4995" w:rsidP="00772B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0018" w14:textId="77777777" w:rsidR="00772B42" w:rsidRPr="00772B42" w:rsidRDefault="00772B42" w:rsidP="00772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3"/>
  </w:num>
  <w:num w:numId="5">
    <w:abstractNumId w:val="20"/>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3"/>
  </w:num>
  <w:num w:numId="19">
    <w:abstractNumId w:val="2"/>
  </w:num>
  <w:num w:numId="20">
    <w:abstractNumId w:val="1"/>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1"/>
  </w:num>
  <w:num w:numId="28">
    <w:abstractNumId w:val="22"/>
  </w:num>
  <w:num w:numId="29">
    <w:abstractNumId w:val="9"/>
  </w:num>
  <w:num w:numId="30">
    <w:abstractNumId w:val="12"/>
  </w:num>
  <w:num w:numId="31">
    <w:abstractNumId w:val="7"/>
  </w:num>
  <w:num w:numId="32">
    <w:abstractNumId w:val="21"/>
  </w:num>
  <w:num w:numId="33">
    <w:abstractNumId w:val="6"/>
  </w:num>
  <w:num w:numId="34">
    <w:abstractNumId w:val="13"/>
  </w:num>
  <w:num w:numId="35">
    <w:abstractNumId w:val="17"/>
  </w:num>
  <w:num w:numId="36">
    <w:abstractNumId w:val="18"/>
  </w:num>
  <w:num w:numId="37">
    <w:abstractNumId w:val="8"/>
  </w:num>
  <w:num w:numId="38">
    <w:abstractNumId w:val="16"/>
  </w:num>
  <w:num w:numId="39">
    <w:abstractNumId w:val="25"/>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ulia">
    <w15:presenceInfo w15:providerId="None" w15:userId="Giu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28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8 16:03: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3"/>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94E3981B09FE47DDB5BFD3B787AD723D"/>
    <w:docVar w:name="LW_CROSSREFERENCE" w:val="&lt;UNUSED&gt;"/>
    <w:docVar w:name="LW_DocType" w:val="COM"/>
    <w:docVar w:name="LW_EMISSION" w:val="14.9.2016"/>
    <w:docVar w:name="LW_EMISSION_ISODATE" w:val="2016-09-14"/>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81"/>
    <w:docVar w:name="LW_REF.II.NEW.CP_YEAR" w:val="2016"/>
    <w:docVar w:name="LW_REF.INST.NEW" w:val="COM"/>
    <w:docVar w:name="LW_REF.INST.NEW_ADOPTED" w:val="final"/>
    <w:docVar w:name="LW_REF.INST.NEW_TEXT" w:val="(2016) 586"/>
    <w:docVar w:name="LW_REF.INTERNE" w:val="&lt;UNUSED&gt;"/>
    <w:docVar w:name="LW_SOUS.TITRE.OBJ.CP" w:val="&lt;UNUSED&gt;"/>
    <w:docVar w:name="LW_STATUT.CP" w:val="Proposal for a"/>
    <w:docVar w:name="LW_SUPERTITRE" w:val="&lt;UNUSED&gt;"/>
    <w:docVar w:name="LW_TITRE.OBJ.CP" w:val="on the European Fund for Sustainable Development (EFSD) and establishing the EFSD Guarantee and the EFSD Guarantee Fund"/>
    <w:docVar w:name="LW_TYPE.DOC.CP" w:val="REGULATION OF THE EUROPEAN PARLIAMENT AND OF THE COUNCIL"/>
  </w:docVars>
  <w:rsids>
    <w:rsidRoot w:val="00D70913"/>
    <w:rsid w:val="00000C6A"/>
    <w:rsid w:val="000055FF"/>
    <w:rsid w:val="00006023"/>
    <w:rsid w:val="00006EBD"/>
    <w:rsid w:val="00007A64"/>
    <w:rsid w:val="00022327"/>
    <w:rsid w:val="000260EB"/>
    <w:rsid w:val="00042443"/>
    <w:rsid w:val="00051A36"/>
    <w:rsid w:val="00062F6C"/>
    <w:rsid w:val="00067387"/>
    <w:rsid w:val="0007340B"/>
    <w:rsid w:val="00073FFE"/>
    <w:rsid w:val="00075063"/>
    <w:rsid w:val="00075578"/>
    <w:rsid w:val="00077FAB"/>
    <w:rsid w:val="00081056"/>
    <w:rsid w:val="00084C2B"/>
    <w:rsid w:val="00087FAD"/>
    <w:rsid w:val="00090190"/>
    <w:rsid w:val="00092865"/>
    <w:rsid w:val="000A53EC"/>
    <w:rsid w:val="000A6BA1"/>
    <w:rsid w:val="000B28F0"/>
    <w:rsid w:val="000B2BCB"/>
    <w:rsid w:val="000B3DAC"/>
    <w:rsid w:val="000C142E"/>
    <w:rsid w:val="000C2009"/>
    <w:rsid w:val="000C2EE8"/>
    <w:rsid w:val="000C2FB1"/>
    <w:rsid w:val="000C7ED6"/>
    <w:rsid w:val="000D3B73"/>
    <w:rsid w:val="000E099C"/>
    <w:rsid w:val="000E257F"/>
    <w:rsid w:val="00104801"/>
    <w:rsid w:val="00107AB3"/>
    <w:rsid w:val="00114529"/>
    <w:rsid w:val="001153E6"/>
    <w:rsid w:val="00120815"/>
    <w:rsid w:val="001247CC"/>
    <w:rsid w:val="00125538"/>
    <w:rsid w:val="001268CB"/>
    <w:rsid w:val="00126ED8"/>
    <w:rsid w:val="00127E77"/>
    <w:rsid w:val="00140170"/>
    <w:rsid w:val="00145084"/>
    <w:rsid w:val="00145B13"/>
    <w:rsid w:val="001466B3"/>
    <w:rsid w:val="00147203"/>
    <w:rsid w:val="00161A10"/>
    <w:rsid w:val="00163BB5"/>
    <w:rsid w:val="00167031"/>
    <w:rsid w:val="00171635"/>
    <w:rsid w:val="00171789"/>
    <w:rsid w:val="00171CF7"/>
    <w:rsid w:val="0017345E"/>
    <w:rsid w:val="001765A4"/>
    <w:rsid w:val="001833B5"/>
    <w:rsid w:val="001837F8"/>
    <w:rsid w:val="00185251"/>
    <w:rsid w:val="0018525E"/>
    <w:rsid w:val="00187AF8"/>
    <w:rsid w:val="00196760"/>
    <w:rsid w:val="00197689"/>
    <w:rsid w:val="001A1A25"/>
    <w:rsid w:val="001A61A4"/>
    <w:rsid w:val="001B323A"/>
    <w:rsid w:val="001B48C6"/>
    <w:rsid w:val="001C0D50"/>
    <w:rsid w:val="001C46F4"/>
    <w:rsid w:val="001C5A8C"/>
    <w:rsid w:val="001C5D5D"/>
    <w:rsid w:val="001C5F6E"/>
    <w:rsid w:val="001C6B74"/>
    <w:rsid w:val="001C73CD"/>
    <w:rsid w:val="001D1BCB"/>
    <w:rsid w:val="001D4E78"/>
    <w:rsid w:val="001E4C51"/>
    <w:rsid w:val="001F54A0"/>
    <w:rsid w:val="001F6BB8"/>
    <w:rsid w:val="0020017B"/>
    <w:rsid w:val="002011AA"/>
    <w:rsid w:val="00205848"/>
    <w:rsid w:val="00210858"/>
    <w:rsid w:val="00211613"/>
    <w:rsid w:val="00213D0A"/>
    <w:rsid w:val="00214A27"/>
    <w:rsid w:val="00214ADF"/>
    <w:rsid w:val="00220EFF"/>
    <w:rsid w:val="00230699"/>
    <w:rsid w:val="00233CB6"/>
    <w:rsid w:val="00241B19"/>
    <w:rsid w:val="00241E4E"/>
    <w:rsid w:val="00243DF5"/>
    <w:rsid w:val="002454E4"/>
    <w:rsid w:val="00250243"/>
    <w:rsid w:val="00253EE9"/>
    <w:rsid w:val="00255AA7"/>
    <w:rsid w:val="00261492"/>
    <w:rsid w:val="00263EE8"/>
    <w:rsid w:val="00265B6D"/>
    <w:rsid w:val="00274F92"/>
    <w:rsid w:val="00282212"/>
    <w:rsid w:val="00287EAE"/>
    <w:rsid w:val="00287F47"/>
    <w:rsid w:val="00292BC3"/>
    <w:rsid w:val="002A138F"/>
    <w:rsid w:val="002A185F"/>
    <w:rsid w:val="002A3818"/>
    <w:rsid w:val="002A4F59"/>
    <w:rsid w:val="002A6466"/>
    <w:rsid w:val="002A7D3D"/>
    <w:rsid w:val="002B5159"/>
    <w:rsid w:val="002C2770"/>
    <w:rsid w:val="002C3657"/>
    <w:rsid w:val="002C499C"/>
    <w:rsid w:val="002C4DDA"/>
    <w:rsid w:val="002D660A"/>
    <w:rsid w:val="002D7D52"/>
    <w:rsid w:val="002E0FFA"/>
    <w:rsid w:val="002E25A4"/>
    <w:rsid w:val="002F03CF"/>
    <w:rsid w:val="002F6A38"/>
    <w:rsid w:val="002F7423"/>
    <w:rsid w:val="00304E76"/>
    <w:rsid w:val="003071AB"/>
    <w:rsid w:val="00307921"/>
    <w:rsid w:val="00316F67"/>
    <w:rsid w:val="00317F05"/>
    <w:rsid w:val="00322F2B"/>
    <w:rsid w:val="00323358"/>
    <w:rsid w:val="003233B6"/>
    <w:rsid w:val="003235C9"/>
    <w:rsid w:val="0033019F"/>
    <w:rsid w:val="003307DB"/>
    <w:rsid w:val="00332F69"/>
    <w:rsid w:val="00333AE9"/>
    <w:rsid w:val="00342245"/>
    <w:rsid w:val="00343B63"/>
    <w:rsid w:val="0034445E"/>
    <w:rsid w:val="0034543F"/>
    <w:rsid w:val="00345B88"/>
    <w:rsid w:val="00356F22"/>
    <w:rsid w:val="003675D5"/>
    <w:rsid w:val="00370EDB"/>
    <w:rsid w:val="003740E5"/>
    <w:rsid w:val="00376AFB"/>
    <w:rsid w:val="003775E6"/>
    <w:rsid w:val="00385664"/>
    <w:rsid w:val="00387018"/>
    <w:rsid w:val="00396402"/>
    <w:rsid w:val="00396432"/>
    <w:rsid w:val="0039786E"/>
    <w:rsid w:val="003B160B"/>
    <w:rsid w:val="003B1C68"/>
    <w:rsid w:val="003C09FC"/>
    <w:rsid w:val="003C0C13"/>
    <w:rsid w:val="003C263F"/>
    <w:rsid w:val="003C33DE"/>
    <w:rsid w:val="003C7AAF"/>
    <w:rsid w:val="003D5589"/>
    <w:rsid w:val="003D6DB6"/>
    <w:rsid w:val="003D7AD8"/>
    <w:rsid w:val="003D7EBA"/>
    <w:rsid w:val="003E33F7"/>
    <w:rsid w:val="003F0A5E"/>
    <w:rsid w:val="00404124"/>
    <w:rsid w:val="00404D5F"/>
    <w:rsid w:val="00405305"/>
    <w:rsid w:val="00411743"/>
    <w:rsid w:val="00415514"/>
    <w:rsid w:val="0041651F"/>
    <w:rsid w:val="0041658C"/>
    <w:rsid w:val="00417D50"/>
    <w:rsid w:val="0042577F"/>
    <w:rsid w:val="004311A9"/>
    <w:rsid w:val="00433243"/>
    <w:rsid w:val="00433B46"/>
    <w:rsid w:val="00434D5C"/>
    <w:rsid w:val="00434E6D"/>
    <w:rsid w:val="00437D8A"/>
    <w:rsid w:val="00443CFF"/>
    <w:rsid w:val="0044424D"/>
    <w:rsid w:val="00446D89"/>
    <w:rsid w:val="00451D09"/>
    <w:rsid w:val="00460C9F"/>
    <w:rsid w:val="00461410"/>
    <w:rsid w:val="004614A3"/>
    <w:rsid w:val="0046246F"/>
    <w:rsid w:val="004716F4"/>
    <w:rsid w:val="00472A65"/>
    <w:rsid w:val="0048496B"/>
    <w:rsid w:val="0048598C"/>
    <w:rsid w:val="00487240"/>
    <w:rsid w:val="00492A9C"/>
    <w:rsid w:val="00497D10"/>
    <w:rsid w:val="004A3AF1"/>
    <w:rsid w:val="004A44DA"/>
    <w:rsid w:val="004B2C4E"/>
    <w:rsid w:val="004D3F54"/>
    <w:rsid w:val="004D5104"/>
    <w:rsid w:val="004D5E75"/>
    <w:rsid w:val="004E504A"/>
    <w:rsid w:val="004E6876"/>
    <w:rsid w:val="004E7A83"/>
    <w:rsid w:val="004F0097"/>
    <w:rsid w:val="004F2B8C"/>
    <w:rsid w:val="004F4E9F"/>
    <w:rsid w:val="00500256"/>
    <w:rsid w:val="005044FF"/>
    <w:rsid w:val="00504697"/>
    <w:rsid w:val="005050BC"/>
    <w:rsid w:val="005101BD"/>
    <w:rsid w:val="005163A6"/>
    <w:rsid w:val="005247CF"/>
    <w:rsid w:val="005254E2"/>
    <w:rsid w:val="005264EB"/>
    <w:rsid w:val="00526C4A"/>
    <w:rsid w:val="00526F96"/>
    <w:rsid w:val="00540493"/>
    <w:rsid w:val="0054076F"/>
    <w:rsid w:val="00542F7F"/>
    <w:rsid w:val="00543A6F"/>
    <w:rsid w:val="00552A55"/>
    <w:rsid w:val="00562E6F"/>
    <w:rsid w:val="0057454D"/>
    <w:rsid w:val="00574C46"/>
    <w:rsid w:val="00575FBF"/>
    <w:rsid w:val="00580F47"/>
    <w:rsid w:val="005823AD"/>
    <w:rsid w:val="005830FB"/>
    <w:rsid w:val="00591659"/>
    <w:rsid w:val="00594521"/>
    <w:rsid w:val="0059556E"/>
    <w:rsid w:val="00595BE8"/>
    <w:rsid w:val="00596520"/>
    <w:rsid w:val="005972ED"/>
    <w:rsid w:val="005A6396"/>
    <w:rsid w:val="005C29AB"/>
    <w:rsid w:val="005C360F"/>
    <w:rsid w:val="005D1B46"/>
    <w:rsid w:val="005D346B"/>
    <w:rsid w:val="005D4995"/>
    <w:rsid w:val="005D5187"/>
    <w:rsid w:val="005D6185"/>
    <w:rsid w:val="005D7D31"/>
    <w:rsid w:val="005E3455"/>
    <w:rsid w:val="00601E83"/>
    <w:rsid w:val="00604C47"/>
    <w:rsid w:val="00606EB3"/>
    <w:rsid w:val="006128CD"/>
    <w:rsid w:val="006152D7"/>
    <w:rsid w:val="0062063A"/>
    <w:rsid w:val="006209F3"/>
    <w:rsid w:val="00623FF5"/>
    <w:rsid w:val="00626A2A"/>
    <w:rsid w:val="006277E9"/>
    <w:rsid w:val="006311EF"/>
    <w:rsid w:val="0063635D"/>
    <w:rsid w:val="00641799"/>
    <w:rsid w:val="00642586"/>
    <w:rsid w:val="00645C12"/>
    <w:rsid w:val="006463F8"/>
    <w:rsid w:val="00657A2F"/>
    <w:rsid w:val="00666E0F"/>
    <w:rsid w:val="00673264"/>
    <w:rsid w:val="0067500C"/>
    <w:rsid w:val="006858E8"/>
    <w:rsid w:val="00685FC2"/>
    <w:rsid w:val="00691F67"/>
    <w:rsid w:val="00692C75"/>
    <w:rsid w:val="0069500D"/>
    <w:rsid w:val="00696B2D"/>
    <w:rsid w:val="00697C4F"/>
    <w:rsid w:val="006A0FC1"/>
    <w:rsid w:val="006A7D1B"/>
    <w:rsid w:val="006B0C0C"/>
    <w:rsid w:val="006B1C8C"/>
    <w:rsid w:val="006C1094"/>
    <w:rsid w:val="006C14D2"/>
    <w:rsid w:val="006C2BD5"/>
    <w:rsid w:val="006C40A6"/>
    <w:rsid w:val="006C66B4"/>
    <w:rsid w:val="006C74E2"/>
    <w:rsid w:val="006D044A"/>
    <w:rsid w:val="006D3542"/>
    <w:rsid w:val="006D75F0"/>
    <w:rsid w:val="006D7A42"/>
    <w:rsid w:val="006F4739"/>
    <w:rsid w:val="00705CAF"/>
    <w:rsid w:val="00714FF7"/>
    <w:rsid w:val="00715D61"/>
    <w:rsid w:val="0072267D"/>
    <w:rsid w:val="00722BE6"/>
    <w:rsid w:val="0072455B"/>
    <w:rsid w:val="0072732B"/>
    <w:rsid w:val="00732AD0"/>
    <w:rsid w:val="00733917"/>
    <w:rsid w:val="00746096"/>
    <w:rsid w:val="007461C4"/>
    <w:rsid w:val="00747022"/>
    <w:rsid w:val="00751070"/>
    <w:rsid w:val="00752CC8"/>
    <w:rsid w:val="00753E6D"/>
    <w:rsid w:val="007630B5"/>
    <w:rsid w:val="00763B24"/>
    <w:rsid w:val="0076660D"/>
    <w:rsid w:val="00766785"/>
    <w:rsid w:val="00766C5C"/>
    <w:rsid w:val="007676B3"/>
    <w:rsid w:val="00772B42"/>
    <w:rsid w:val="00774317"/>
    <w:rsid w:val="00774FF3"/>
    <w:rsid w:val="007753B7"/>
    <w:rsid w:val="007753F0"/>
    <w:rsid w:val="007766DC"/>
    <w:rsid w:val="007808D0"/>
    <w:rsid w:val="00792C2A"/>
    <w:rsid w:val="007A1954"/>
    <w:rsid w:val="007A79A0"/>
    <w:rsid w:val="007B2552"/>
    <w:rsid w:val="007C0EB8"/>
    <w:rsid w:val="007D00E7"/>
    <w:rsid w:val="007D4484"/>
    <w:rsid w:val="007D53B6"/>
    <w:rsid w:val="007E5052"/>
    <w:rsid w:val="007F7FA9"/>
    <w:rsid w:val="00801B96"/>
    <w:rsid w:val="00807341"/>
    <w:rsid w:val="00815F7C"/>
    <w:rsid w:val="008161B5"/>
    <w:rsid w:val="00820527"/>
    <w:rsid w:val="00827BBF"/>
    <w:rsid w:val="00833083"/>
    <w:rsid w:val="00842A1D"/>
    <w:rsid w:val="00843BEE"/>
    <w:rsid w:val="00854A36"/>
    <w:rsid w:val="0085661A"/>
    <w:rsid w:val="00863BD4"/>
    <w:rsid w:val="00864195"/>
    <w:rsid w:val="008657EA"/>
    <w:rsid w:val="008705BB"/>
    <w:rsid w:val="00875D0F"/>
    <w:rsid w:val="0087765F"/>
    <w:rsid w:val="00881ED5"/>
    <w:rsid w:val="00885781"/>
    <w:rsid w:val="008910CB"/>
    <w:rsid w:val="0089257F"/>
    <w:rsid w:val="008932E0"/>
    <w:rsid w:val="008961A3"/>
    <w:rsid w:val="00896A4C"/>
    <w:rsid w:val="0089781D"/>
    <w:rsid w:val="00897B8B"/>
    <w:rsid w:val="00897BA1"/>
    <w:rsid w:val="008A0AB5"/>
    <w:rsid w:val="008A61AB"/>
    <w:rsid w:val="008A6598"/>
    <w:rsid w:val="008B1E6E"/>
    <w:rsid w:val="008B2B21"/>
    <w:rsid w:val="008B2C3E"/>
    <w:rsid w:val="008B6743"/>
    <w:rsid w:val="008C2789"/>
    <w:rsid w:val="008C3387"/>
    <w:rsid w:val="008C53A8"/>
    <w:rsid w:val="008E0B91"/>
    <w:rsid w:val="008E4FE3"/>
    <w:rsid w:val="008E7067"/>
    <w:rsid w:val="008F23AD"/>
    <w:rsid w:val="008F2EB2"/>
    <w:rsid w:val="009130E6"/>
    <w:rsid w:val="00916986"/>
    <w:rsid w:val="009176A2"/>
    <w:rsid w:val="00920556"/>
    <w:rsid w:val="0092464C"/>
    <w:rsid w:val="0093304F"/>
    <w:rsid w:val="0093628D"/>
    <w:rsid w:val="009369DA"/>
    <w:rsid w:val="00942C36"/>
    <w:rsid w:val="00945139"/>
    <w:rsid w:val="00947FDD"/>
    <w:rsid w:val="00951A8F"/>
    <w:rsid w:val="009532B2"/>
    <w:rsid w:val="00953FE6"/>
    <w:rsid w:val="00955724"/>
    <w:rsid w:val="00956697"/>
    <w:rsid w:val="00956E06"/>
    <w:rsid w:val="00957BFC"/>
    <w:rsid w:val="00962DC2"/>
    <w:rsid w:val="00967EAD"/>
    <w:rsid w:val="009713D6"/>
    <w:rsid w:val="009718F7"/>
    <w:rsid w:val="00971FF9"/>
    <w:rsid w:val="0097479F"/>
    <w:rsid w:val="00974891"/>
    <w:rsid w:val="009802EA"/>
    <w:rsid w:val="00987288"/>
    <w:rsid w:val="009903F7"/>
    <w:rsid w:val="00993114"/>
    <w:rsid w:val="00994423"/>
    <w:rsid w:val="009A16BE"/>
    <w:rsid w:val="009A3FA1"/>
    <w:rsid w:val="009B3072"/>
    <w:rsid w:val="009B4905"/>
    <w:rsid w:val="009B6FCB"/>
    <w:rsid w:val="009B7B80"/>
    <w:rsid w:val="009C456E"/>
    <w:rsid w:val="009C47F1"/>
    <w:rsid w:val="009D35A2"/>
    <w:rsid w:val="009D4124"/>
    <w:rsid w:val="009E26A3"/>
    <w:rsid w:val="009E4699"/>
    <w:rsid w:val="009E5360"/>
    <w:rsid w:val="009E7A3F"/>
    <w:rsid w:val="009F0E6A"/>
    <w:rsid w:val="009F1A36"/>
    <w:rsid w:val="009F3DD3"/>
    <w:rsid w:val="00A01975"/>
    <w:rsid w:val="00A021E3"/>
    <w:rsid w:val="00A02E07"/>
    <w:rsid w:val="00A03E70"/>
    <w:rsid w:val="00A057E7"/>
    <w:rsid w:val="00A130DF"/>
    <w:rsid w:val="00A14241"/>
    <w:rsid w:val="00A270B0"/>
    <w:rsid w:val="00A326BA"/>
    <w:rsid w:val="00A335B2"/>
    <w:rsid w:val="00A37267"/>
    <w:rsid w:val="00A44EC3"/>
    <w:rsid w:val="00A52565"/>
    <w:rsid w:val="00A52FB2"/>
    <w:rsid w:val="00A543E2"/>
    <w:rsid w:val="00A56DB8"/>
    <w:rsid w:val="00A57232"/>
    <w:rsid w:val="00A6010A"/>
    <w:rsid w:val="00A63D07"/>
    <w:rsid w:val="00A70401"/>
    <w:rsid w:val="00A904FA"/>
    <w:rsid w:val="00A95E14"/>
    <w:rsid w:val="00A974A6"/>
    <w:rsid w:val="00AA6BDF"/>
    <w:rsid w:val="00AC5473"/>
    <w:rsid w:val="00AC73DF"/>
    <w:rsid w:val="00AD07AF"/>
    <w:rsid w:val="00AD1A96"/>
    <w:rsid w:val="00AD6336"/>
    <w:rsid w:val="00AE0E8F"/>
    <w:rsid w:val="00AE12DD"/>
    <w:rsid w:val="00AE1984"/>
    <w:rsid w:val="00AE3867"/>
    <w:rsid w:val="00AE6AEF"/>
    <w:rsid w:val="00AF5AC8"/>
    <w:rsid w:val="00AF66D3"/>
    <w:rsid w:val="00B00151"/>
    <w:rsid w:val="00B00996"/>
    <w:rsid w:val="00B02D5C"/>
    <w:rsid w:val="00B04DCA"/>
    <w:rsid w:val="00B126F4"/>
    <w:rsid w:val="00B17BC5"/>
    <w:rsid w:val="00B26000"/>
    <w:rsid w:val="00B261D1"/>
    <w:rsid w:val="00B26726"/>
    <w:rsid w:val="00B43031"/>
    <w:rsid w:val="00B44AE2"/>
    <w:rsid w:val="00B44CFD"/>
    <w:rsid w:val="00B51AAF"/>
    <w:rsid w:val="00B53505"/>
    <w:rsid w:val="00B579AC"/>
    <w:rsid w:val="00B608D0"/>
    <w:rsid w:val="00B62D9B"/>
    <w:rsid w:val="00B65152"/>
    <w:rsid w:val="00B6763C"/>
    <w:rsid w:val="00B67686"/>
    <w:rsid w:val="00B703CC"/>
    <w:rsid w:val="00B71C80"/>
    <w:rsid w:val="00B75D78"/>
    <w:rsid w:val="00B806C9"/>
    <w:rsid w:val="00B83BFB"/>
    <w:rsid w:val="00BA171F"/>
    <w:rsid w:val="00BA2CF4"/>
    <w:rsid w:val="00BA4C22"/>
    <w:rsid w:val="00BA7B0A"/>
    <w:rsid w:val="00BB2780"/>
    <w:rsid w:val="00BC0E05"/>
    <w:rsid w:val="00BC414E"/>
    <w:rsid w:val="00BC43C4"/>
    <w:rsid w:val="00BC53BF"/>
    <w:rsid w:val="00BC653D"/>
    <w:rsid w:val="00BC7123"/>
    <w:rsid w:val="00BD0DFA"/>
    <w:rsid w:val="00BD5F8A"/>
    <w:rsid w:val="00BE322F"/>
    <w:rsid w:val="00BF63B2"/>
    <w:rsid w:val="00BF6B60"/>
    <w:rsid w:val="00C04648"/>
    <w:rsid w:val="00C051D3"/>
    <w:rsid w:val="00C120E1"/>
    <w:rsid w:val="00C12A2A"/>
    <w:rsid w:val="00C149D1"/>
    <w:rsid w:val="00C352EA"/>
    <w:rsid w:val="00C372B0"/>
    <w:rsid w:val="00C41885"/>
    <w:rsid w:val="00C4412F"/>
    <w:rsid w:val="00C464B9"/>
    <w:rsid w:val="00C51093"/>
    <w:rsid w:val="00C526B5"/>
    <w:rsid w:val="00C54399"/>
    <w:rsid w:val="00C62120"/>
    <w:rsid w:val="00C6398D"/>
    <w:rsid w:val="00C661E9"/>
    <w:rsid w:val="00C70F12"/>
    <w:rsid w:val="00C74CAD"/>
    <w:rsid w:val="00C75316"/>
    <w:rsid w:val="00C76E67"/>
    <w:rsid w:val="00C809B6"/>
    <w:rsid w:val="00C85D32"/>
    <w:rsid w:val="00C956DA"/>
    <w:rsid w:val="00C974AB"/>
    <w:rsid w:val="00CA3560"/>
    <w:rsid w:val="00CA37EB"/>
    <w:rsid w:val="00CA6D95"/>
    <w:rsid w:val="00CA7BF2"/>
    <w:rsid w:val="00CB162C"/>
    <w:rsid w:val="00CB20EA"/>
    <w:rsid w:val="00CB4359"/>
    <w:rsid w:val="00CB68EC"/>
    <w:rsid w:val="00CC0331"/>
    <w:rsid w:val="00CC0D71"/>
    <w:rsid w:val="00CC500C"/>
    <w:rsid w:val="00CC5F8F"/>
    <w:rsid w:val="00CE3F1A"/>
    <w:rsid w:val="00CE7FB9"/>
    <w:rsid w:val="00CF5D3D"/>
    <w:rsid w:val="00CF7D5E"/>
    <w:rsid w:val="00D006C2"/>
    <w:rsid w:val="00D1361E"/>
    <w:rsid w:val="00D166F9"/>
    <w:rsid w:val="00D17651"/>
    <w:rsid w:val="00D339F3"/>
    <w:rsid w:val="00D34FB9"/>
    <w:rsid w:val="00D356AE"/>
    <w:rsid w:val="00D44922"/>
    <w:rsid w:val="00D46FB0"/>
    <w:rsid w:val="00D555F8"/>
    <w:rsid w:val="00D661D3"/>
    <w:rsid w:val="00D70913"/>
    <w:rsid w:val="00D71438"/>
    <w:rsid w:val="00D7505B"/>
    <w:rsid w:val="00D75C52"/>
    <w:rsid w:val="00D76943"/>
    <w:rsid w:val="00D838CA"/>
    <w:rsid w:val="00D932AA"/>
    <w:rsid w:val="00D96366"/>
    <w:rsid w:val="00D9794C"/>
    <w:rsid w:val="00DA2694"/>
    <w:rsid w:val="00DA5797"/>
    <w:rsid w:val="00DA7C10"/>
    <w:rsid w:val="00DC1C1B"/>
    <w:rsid w:val="00DC2257"/>
    <w:rsid w:val="00DC3C69"/>
    <w:rsid w:val="00DD1792"/>
    <w:rsid w:val="00DD242E"/>
    <w:rsid w:val="00DE4065"/>
    <w:rsid w:val="00DE412B"/>
    <w:rsid w:val="00DE7AC2"/>
    <w:rsid w:val="00DF2CE9"/>
    <w:rsid w:val="00DF52D0"/>
    <w:rsid w:val="00DF6F07"/>
    <w:rsid w:val="00E026CE"/>
    <w:rsid w:val="00E0449A"/>
    <w:rsid w:val="00E0528A"/>
    <w:rsid w:val="00E12D22"/>
    <w:rsid w:val="00E15BFA"/>
    <w:rsid w:val="00E2584A"/>
    <w:rsid w:val="00E3213F"/>
    <w:rsid w:val="00E32613"/>
    <w:rsid w:val="00E32862"/>
    <w:rsid w:val="00E339D5"/>
    <w:rsid w:val="00E41DF9"/>
    <w:rsid w:val="00E42334"/>
    <w:rsid w:val="00E42E73"/>
    <w:rsid w:val="00E44B93"/>
    <w:rsid w:val="00E516E2"/>
    <w:rsid w:val="00E532E8"/>
    <w:rsid w:val="00E614E6"/>
    <w:rsid w:val="00E65A9C"/>
    <w:rsid w:val="00E705BB"/>
    <w:rsid w:val="00E71AC9"/>
    <w:rsid w:val="00E72D0E"/>
    <w:rsid w:val="00E75ACB"/>
    <w:rsid w:val="00E846D2"/>
    <w:rsid w:val="00E93383"/>
    <w:rsid w:val="00E97534"/>
    <w:rsid w:val="00EA10C2"/>
    <w:rsid w:val="00EA3076"/>
    <w:rsid w:val="00EA320D"/>
    <w:rsid w:val="00EA5B5F"/>
    <w:rsid w:val="00EB4BE8"/>
    <w:rsid w:val="00EB6167"/>
    <w:rsid w:val="00EC5259"/>
    <w:rsid w:val="00EC7C13"/>
    <w:rsid w:val="00EC7D31"/>
    <w:rsid w:val="00ED0716"/>
    <w:rsid w:val="00ED5C17"/>
    <w:rsid w:val="00ED7C07"/>
    <w:rsid w:val="00EE1239"/>
    <w:rsid w:val="00EE522C"/>
    <w:rsid w:val="00EF1B5B"/>
    <w:rsid w:val="00EF2DA6"/>
    <w:rsid w:val="00EF4D60"/>
    <w:rsid w:val="00EF5098"/>
    <w:rsid w:val="00EF5EF2"/>
    <w:rsid w:val="00F00606"/>
    <w:rsid w:val="00F10F1A"/>
    <w:rsid w:val="00F135B0"/>
    <w:rsid w:val="00F14B4A"/>
    <w:rsid w:val="00F17690"/>
    <w:rsid w:val="00F228A9"/>
    <w:rsid w:val="00F24020"/>
    <w:rsid w:val="00F25894"/>
    <w:rsid w:val="00F32320"/>
    <w:rsid w:val="00F333EF"/>
    <w:rsid w:val="00F344D8"/>
    <w:rsid w:val="00F37C80"/>
    <w:rsid w:val="00F459F2"/>
    <w:rsid w:val="00F5128D"/>
    <w:rsid w:val="00F54538"/>
    <w:rsid w:val="00F55671"/>
    <w:rsid w:val="00F55824"/>
    <w:rsid w:val="00F56DB9"/>
    <w:rsid w:val="00F6745D"/>
    <w:rsid w:val="00F75A82"/>
    <w:rsid w:val="00F8150A"/>
    <w:rsid w:val="00F87183"/>
    <w:rsid w:val="00F90532"/>
    <w:rsid w:val="00F93E9D"/>
    <w:rsid w:val="00FA08B0"/>
    <w:rsid w:val="00FA2515"/>
    <w:rsid w:val="00FA4506"/>
    <w:rsid w:val="00FA4EA7"/>
    <w:rsid w:val="00FB0A1B"/>
    <w:rsid w:val="00FB1F2C"/>
    <w:rsid w:val="00FB28A3"/>
    <w:rsid w:val="00FB4804"/>
    <w:rsid w:val="00FC07CB"/>
    <w:rsid w:val="00FC31DB"/>
    <w:rsid w:val="00FC365A"/>
    <w:rsid w:val="00FC4B03"/>
    <w:rsid w:val="00FD3DFB"/>
    <w:rsid w:val="00FD6F6E"/>
    <w:rsid w:val="00FF0CDA"/>
    <w:rsid w:val="00FF4C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A2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70913"/>
    <w:pPr>
      <w:numPr>
        <w:numId w:val="4"/>
      </w:numPr>
    </w:pPr>
    <w:rPr>
      <w:rFonts w:eastAsia="Times New Roman"/>
      <w:lang w:eastAsia="de-DE"/>
    </w:rPr>
  </w:style>
  <w:style w:type="paragraph" w:customStyle="1" w:styleId="ListBullet1">
    <w:name w:val="List Bullet 1"/>
    <w:basedOn w:val="Normal"/>
    <w:rsid w:val="00D70913"/>
    <w:pPr>
      <w:numPr>
        <w:numId w:val="1"/>
      </w:numPr>
    </w:pPr>
    <w:rPr>
      <w:rFonts w:eastAsia="Times New Roman"/>
      <w:lang w:eastAsia="de-DE"/>
    </w:rPr>
  </w:style>
  <w:style w:type="paragraph" w:customStyle="1" w:styleId="ListDash1">
    <w:name w:val="List Dash 1"/>
    <w:basedOn w:val="Normal"/>
    <w:rsid w:val="00D70913"/>
    <w:pPr>
      <w:numPr>
        <w:numId w:val="2"/>
      </w:numPr>
    </w:pPr>
    <w:rPr>
      <w:rFonts w:eastAsia="Times New Roman"/>
      <w:lang w:eastAsia="de-DE"/>
    </w:rPr>
  </w:style>
  <w:style w:type="paragraph" w:customStyle="1" w:styleId="ListDash2">
    <w:name w:val="List Dash 2"/>
    <w:basedOn w:val="Normal"/>
    <w:rsid w:val="00D70913"/>
    <w:pPr>
      <w:numPr>
        <w:numId w:val="3"/>
      </w:numPr>
    </w:pPr>
    <w:rPr>
      <w:rFonts w:eastAsia="Times New Roman"/>
      <w:lang w:eastAsia="de-DE"/>
    </w:rPr>
  </w:style>
  <w:style w:type="paragraph" w:customStyle="1" w:styleId="ListNumberLevel2">
    <w:name w:val="List Number (Level 2)"/>
    <w:basedOn w:val="Normal"/>
    <w:rsid w:val="00D70913"/>
    <w:pPr>
      <w:numPr>
        <w:ilvl w:val="1"/>
        <w:numId w:val="4"/>
      </w:numPr>
    </w:pPr>
    <w:rPr>
      <w:rFonts w:eastAsia="Times New Roman"/>
      <w:lang w:eastAsia="de-DE"/>
    </w:rPr>
  </w:style>
  <w:style w:type="paragraph" w:customStyle="1" w:styleId="ListNumberLevel3">
    <w:name w:val="List Number (Level 3)"/>
    <w:basedOn w:val="Normal"/>
    <w:rsid w:val="00D70913"/>
    <w:pPr>
      <w:numPr>
        <w:ilvl w:val="2"/>
        <w:numId w:val="4"/>
      </w:numPr>
    </w:pPr>
    <w:rPr>
      <w:rFonts w:eastAsia="Times New Roman"/>
      <w:lang w:eastAsia="de-DE"/>
    </w:rPr>
  </w:style>
  <w:style w:type="paragraph" w:customStyle="1" w:styleId="ListNumberLevel4">
    <w:name w:val="List Number (Level 4)"/>
    <w:basedOn w:val="Normal"/>
    <w:rsid w:val="00D70913"/>
    <w:pPr>
      <w:numPr>
        <w:ilvl w:val="3"/>
        <w:numId w:val="4"/>
      </w:numPr>
    </w:pPr>
    <w:rPr>
      <w:rFonts w:eastAsia="Times New Roman"/>
      <w:lang w:eastAsia="de-DE"/>
    </w:rPr>
  </w:style>
  <w:style w:type="character" w:styleId="Hyperlink">
    <w:name w:val="Hyperlink"/>
    <w:rsid w:val="00D70913"/>
    <w:rPr>
      <w:color w:val="0000FF"/>
      <w:u w:val="single"/>
    </w:rPr>
  </w:style>
  <w:style w:type="paragraph" w:styleId="ListBullet">
    <w:name w:val="List Bullet"/>
    <w:basedOn w:val="Normal"/>
    <w:rsid w:val="00D70913"/>
    <w:pPr>
      <w:numPr>
        <w:numId w:val="5"/>
      </w:numPr>
    </w:pPr>
    <w:rPr>
      <w:rFonts w:eastAsia="Times New Roman"/>
      <w:lang w:val="fr-FR" w:eastAsia="en-GB"/>
    </w:rPr>
  </w:style>
  <w:style w:type="paragraph" w:styleId="ListBullet2">
    <w:name w:val="List Bullet 2"/>
    <w:basedOn w:val="Normal"/>
    <w:rsid w:val="00D70913"/>
    <w:pPr>
      <w:numPr>
        <w:numId w:val="6"/>
      </w:numPr>
    </w:pPr>
    <w:rPr>
      <w:rFonts w:eastAsia="Times New Roman"/>
      <w:lang w:val="fr-FR" w:eastAsia="en-GB"/>
    </w:rPr>
  </w:style>
  <w:style w:type="paragraph" w:styleId="PlainText">
    <w:name w:val="Plain Text"/>
    <w:basedOn w:val="Normal"/>
    <w:link w:val="PlainTextChar"/>
    <w:uiPriority w:val="99"/>
    <w:semiHidden/>
    <w:unhideWhenUsed/>
    <w:rsid w:val="00D70913"/>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D70913"/>
    <w:rPr>
      <w:rFonts w:ascii="Calibri" w:hAnsi="Calibri"/>
      <w:szCs w:val="21"/>
      <w:lang w:val="en-GB"/>
    </w:rPr>
  </w:style>
  <w:style w:type="paragraph" w:styleId="ListParagraph">
    <w:name w:val="List Paragraph"/>
    <w:basedOn w:val="Normal"/>
    <w:uiPriority w:val="34"/>
    <w:qFormat/>
    <w:rsid w:val="00333AE9"/>
    <w:pPr>
      <w:spacing w:before="0" w:after="200" w:line="276" w:lineRule="auto"/>
      <w:ind w:left="720"/>
      <w:contextualSpacing/>
      <w:jc w:val="left"/>
    </w:pPr>
    <w:rPr>
      <w:rFonts w:asciiTheme="minorHAnsi" w:hAnsiTheme="minorHAnsi" w:cstheme="minorBidi"/>
      <w:noProof/>
      <w:sz w:val="22"/>
    </w:rPr>
  </w:style>
  <w:style w:type="character" w:customStyle="1" w:styleId="Bodytext2">
    <w:name w:val="Body text (2)"/>
    <w:basedOn w:val="DefaultParagraphFont"/>
    <w:rsid w:val="00333AE9"/>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n-US" w:eastAsia="en-US" w:bidi="en-US"/>
    </w:rPr>
  </w:style>
  <w:style w:type="paragraph" w:styleId="NormalWeb">
    <w:name w:val="Normal (Web)"/>
    <w:basedOn w:val="Normal"/>
    <w:uiPriority w:val="99"/>
    <w:semiHidden/>
    <w:unhideWhenUsed/>
    <w:rsid w:val="00333AE9"/>
    <w:pPr>
      <w:spacing w:before="100" w:beforeAutospacing="1" w:after="100" w:afterAutospacing="1"/>
      <w:jc w:val="left"/>
    </w:pPr>
    <w:rPr>
      <w:szCs w:val="24"/>
      <w:lang w:eastAsia="en-GB"/>
    </w:rPr>
  </w:style>
  <w:style w:type="paragraph" w:customStyle="1" w:styleId="ListDash">
    <w:name w:val="List Dash"/>
    <w:basedOn w:val="Normal"/>
    <w:rsid w:val="005823AD"/>
    <w:pPr>
      <w:numPr>
        <w:numId w:val="16"/>
      </w:numPr>
    </w:pPr>
    <w:rPr>
      <w:rFonts w:eastAsia="Times New Roman"/>
      <w:lang w:eastAsia="en-GB"/>
    </w:rPr>
  </w:style>
  <w:style w:type="character" w:styleId="CommentReference">
    <w:name w:val="annotation reference"/>
    <w:rsid w:val="005823AD"/>
    <w:rPr>
      <w:rFonts w:cs="Times New Roman"/>
      <w:sz w:val="16"/>
      <w:szCs w:val="16"/>
      <w:lang w:val="en-GB" w:eastAsia="en-GB"/>
    </w:rPr>
  </w:style>
  <w:style w:type="paragraph" w:styleId="CommentText">
    <w:name w:val="annotation text"/>
    <w:basedOn w:val="Normal"/>
    <w:link w:val="CommentTextChar"/>
    <w:rsid w:val="005823AD"/>
    <w:rPr>
      <w:rFonts w:eastAsia="Times New Roman"/>
      <w:sz w:val="20"/>
      <w:lang w:eastAsia="en-GB"/>
    </w:rPr>
  </w:style>
  <w:style w:type="character" w:customStyle="1" w:styleId="CommentTextChar">
    <w:name w:val="Comment Text Char"/>
    <w:basedOn w:val="DefaultParagraphFont"/>
    <w:link w:val="CommentText"/>
    <w:rsid w:val="005823AD"/>
    <w:rPr>
      <w:rFonts w:ascii="Times New Roman" w:eastAsia="Times New Roman" w:hAnsi="Times New Roman" w:cs="Times New Roman"/>
      <w:sz w:val="20"/>
      <w:lang w:val="en-GB" w:eastAsia="en-GB"/>
    </w:rPr>
  </w:style>
  <w:style w:type="paragraph" w:styleId="BalloonText">
    <w:name w:val="Balloon Text"/>
    <w:basedOn w:val="Normal"/>
    <w:link w:val="BalloonTextChar"/>
    <w:rsid w:val="005823AD"/>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5823AD"/>
    <w:rPr>
      <w:rFonts w:ascii="Tahoma" w:eastAsia="Times New Roman" w:hAnsi="Tahoma" w:cs="Tahoma"/>
      <w:sz w:val="16"/>
      <w:szCs w:val="16"/>
      <w:lang w:val="en-GB" w:eastAsia="en-GB"/>
    </w:rPr>
  </w:style>
  <w:style w:type="paragraph" w:styleId="Caption">
    <w:name w:val="caption"/>
    <w:basedOn w:val="Normal"/>
    <w:next w:val="Normal"/>
    <w:qFormat/>
    <w:rsid w:val="005823AD"/>
    <w:rPr>
      <w:rFonts w:eastAsia="Times New Roman"/>
      <w:b/>
      <w:bCs/>
      <w:sz w:val="20"/>
      <w:lang w:eastAsia="en-GB"/>
    </w:rPr>
  </w:style>
  <w:style w:type="paragraph" w:styleId="TableofFigures">
    <w:name w:val="table of figures"/>
    <w:basedOn w:val="Normal"/>
    <w:next w:val="Normal"/>
    <w:rsid w:val="005823AD"/>
    <w:rPr>
      <w:rFonts w:eastAsia="Times New Roman"/>
      <w:lang w:eastAsia="en-GB"/>
    </w:rPr>
  </w:style>
  <w:style w:type="paragraph" w:styleId="ListBullet3">
    <w:name w:val="List Bullet 3"/>
    <w:basedOn w:val="Normal"/>
    <w:rsid w:val="005823AD"/>
    <w:pPr>
      <w:numPr>
        <w:numId w:val="17"/>
      </w:numPr>
      <w:contextualSpacing/>
    </w:pPr>
    <w:rPr>
      <w:rFonts w:eastAsia="Times New Roman"/>
      <w:lang w:eastAsia="en-GB"/>
    </w:rPr>
  </w:style>
  <w:style w:type="paragraph" w:styleId="ListBullet4">
    <w:name w:val="List Bullet 4"/>
    <w:basedOn w:val="Normal"/>
    <w:rsid w:val="005823AD"/>
    <w:pPr>
      <w:numPr>
        <w:numId w:val="18"/>
      </w:numPr>
      <w:contextualSpacing/>
    </w:pPr>
    <w:rPr>
      <w:rFonts w:eastAsia="Times New Roman"/>
      <w:lang w:eastAsia="en-GB"/>
    </w:rPr>
  </w:style>
  <w:style w:type="paragraph" w:styleId="ListNumber2">
    <w:name w:val="List Number 2"/>
    <w:basedOn w:val="Normal"/>
    <w:rsid w:val="005823AD"/>
    <w:pPr>
      <w:numPr>
        <w:numId w:val="19"/>
      </w:numPr>
      <w:contextualSpacing/>
    </w:pPr>
    <w:rPr>
      <w:rFonts w:eastAsia="Times New Roman"/>
      <w:lang w:eastAsia="en-GB"/>
    </w:rPr>
  </w:style>
  <w:style w:type="paragraph" w:styleId="ListNumber3">
    <w:name w:val="List Number 3"/>
    <w:basedOn w:val="Normal"/>
    <w:rsid w:val="005823AD"/>
    <w:pPr>
      <w:numPr>
        <w:numId w:val="20"/>
      </w:numPr>
      <w:contextualSpacing/>
    </w:pPr>
    <w:rPr>
      <w:rFonts w:eastAsia="Times New Roman"/>
      <w:lang w:eastAsia="en-GB"/>
    </w:rPr>
  </w:style>
  <w:style w:type="paragraph" w:styleId="ListNumber4">
    <w:name w:val="List Number 4"/>
    <w:basedOn w:val="Normal"/>
    <w:rsid w:val="005823AD"/>
    <w:pPr>
      <w:numPr>
        <w:numId w:val="21"/>
      </w:numPr>
      <w:contextualSpacing/>
    </w:pPr>
    <w:rPr>
      <w:rFonts w:eastAsia="Times New Roman"/>
      <w:lang w:eastAsia="en-GB"/>
    </w:rPr>
  </w:style>
  <w:style w:type="paragraph" w:styleId="CommentSubject">
    <w:name w:val="annotation subject"/>
    <w:basedOn w:val="CommentText"/>
    <w:next w:val="CommentText"/>
    <w:link w:val="CommentSubjectChar"/>
    <w:rsid w:val="005823AD"/>
    <w:rPr>
      <w:b/>
      <w:bCs/>
    </w:rPr>
  </w:style>
  <w:style w:type="character" w:customStyle="1" w:styleId="CommentSubjectChar">
    <w:name w:val="Comment Subject Char"/>
    <w:basedOn w:val="CommentTextChar"/>
    <w:link w:val="CommentSubject"/>
    <w:rsid w:val="005823AD"/>
    <w:rPr>
      <w:rFonts w:ascii="Times New Roman" w:eastAsia="Times New Roman" w:hAnsi="Times New Roman" w:cs="Times New Roman"/>
      <w:b/>
      <w:bCs/>
      <w:sz w:val="20"/>
      <w:lang w:val="en-GB" w:eastAsia="en-GB"/>
    </w:rPr>
  </w:style>
  <w:style w:type="character" w:styleId="FollowedHyperlink">
    <w:name w:val="FollowedHyperlink"/>
    <w:rsid w:val="005823AD"/>
    <w:rPr>
      <w:color w:val="800080"/>
      <w:u w:val="single"/>
    </w:rPr>
  </w:style>
  <w:style w:type="paragraph" w:customStyle="1" w:styleId="Default">
    <w:name w:val="Default"/>
    <w:rsid w:val="005823A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Revision">
    <w:name w:val="Revision"/>
    <w:hidden/>
    <w:uiPriority w:val="99"/>
    <w:semiHidden/>
    <w:rsid w:val="005823AD"/>
    <w:pPr>
      <w:spacing w:after="0" w:line="240" w:lineRule="auto"/>
    </w:pPr>
    <w:rPr>
      <w:rFonts w:ascii="Times New Roman" w:eastAsia="Times New Roman" w:hAnsi="Times New Roman" w:cs="Times New Roman"/>
      <w:sz w:val="24"/>
      <w:lang w:val="en-GB" w:eastAsia="en-GB"/>
    </w:rPr>
  </w:style>
  <w:style w:type="paragraph" w:styleId="NoSpacing">
    <w:name w:val="No Spacing"/>
    <w:basedOn w:val="Normal"/>
    <w:qFormat/>
    <w:rsid w:val="005823AD"/>
    <w:pPr>
      <w:spacing w:before="0" w:after="0"/>
      <w:jc w:val="left"/>
    </w:pPr>
    <w:rPr>
      <w:rFonts w:asciiTheme="minorHAnsi" w:hAnsiTheme="minorHAnsi" w:cstheme="minorBidi"/>
      <w:sz w:val="22"/>
    </w:rPr>
  </w:style>
  <w:style w:type="paragraph" w:styleId="Header">
    <w:name w:val="header"/>
    <w:basedOn w:val="Normal"/>
    <w:link w:val="HeaderChar"/>
    <w:uiPriority w:val="99"/>
    <w:unhideWhenUsed/>
    <w:rsid w:val="00772B42"/>
    <w:pPr>
      <w:tabs>
        <w:tab w:val="center" w:pos="4535"/>
        <w:tab w:val="right" w:pos="9071"/>
      </w:tabs>
      <w:spacing w:before="0"/>
    </w:pPr>
  </w:style>
  <w:style w:type="character" w:customStyle="1" w:styleId="HeaderChar">
    <w:name w:val="Header Char"/>
    <w:basedOn w:val="DefaultParagraphFont"/>
    <w:link w:val="Header"/>
    <w:uiPriority w:val="99"/>
    <w:rsid w:val="00772B42"/>
    <w:rPr>
      <w:rFonts w:ascii="Times New Roman" w:hAnsi="Times New Roman" w:cs="Times New Roman"/>
      <w:sz w:val="24"/>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72B42"/>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6"/>
      </w:numPr>
    </w:pPr>
  </w:style>
  <w:style w:type="paragraph" w:customStyle="1" w:styleId="Tiret1">
    <w:name w:val="Tiret 1"/>
    <w:basedOn w:val="Point1"/>
    <w:rsid w:val="007D53B6"/>
    <w:pPr>
      <w:numPr>
        <w:numId w:val="27"/>
      </w:numPr>
    </w:pPr>
  </w:style>
  <w:style w:type="paragraph" w:customStyle="1" w:styleId="Tiret2">
    <w:name w:val="Tiret 2"/>
    <w:basedOn w:val="Point2"/>
    <w:rsid w:val="007D53B6"/>
    <w:pPr>
      <w:numPr>
        <w:numId w:val="28"/>
      </w:numPr>
    </w:pPr>
  </w:style>
  <w:style w:type="paragraph" w:customStyle="1" w:styleId="Tiret3">
    <w:name w:val="Tiret 3"/>
    <w:basedOn w:val="Point3"/>
    <w:rsid w:val="007D53B6"/>
    <w:pPr>
      <w:numPr>
        <w:numId w:val="29"/>
      </w:numPr>
    </w:pPr>
  </w:style>
  <w:style w:type="paragraph" w:customStyle="1" w:styleId="Tiret4">
    <w:name w:val="Tiret 4"/>
    <w:basedOn w:val="Point4"/>
    <w:rsid w:val="007D53B6"/>
    <w:pPr>
      <w:numPr>
        <w:numId w:val="30"/>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1"/>
      </w:numPr>
    </w:pPr>
  </w:style>
  <w:style w:type="paragraph" w:customStyle="1" w:styleId="NumPar2">
    <w:name w:val="NumPar 2"/>
    <w:basedOn w:val="Normal"/>
    <w:next w:val="Text1"/>
    <w:rsid w:val="007D53B6"/>
    <w:pPr>
      <w:numPr>
        <w:ilvl w:val="1"/>
        <w:numId w:val="31"/>
      </w:numPr>
    </w:pPr>
  </w:style>
  <w:style w:type="paragraph" w:customStyle="1" w:styleId="NumPar3">
    <w:name w:val="NumPar 3"/>
    <w:basedOn w:val="Normal"/>
    <w:next w:val="Text1"/>
    <w:rsid w:val="007D53B6"/>
    <w:pPr>
      <w:numPr>
        <w:ilvl w:val="2"/>
        <w:numId w:val="31"/>
      </w:numPr>
    </w:pPr>
  </w:style>
  <w:style w:type="paragraph" w:customStyle="1" w:styleId="NumPar4">
    <w:name w:val="NumPar 4"/>
    <w:basedOn w:val="Normal"/>
    <w:next w:val="Text1"/>
    <w:rsid w:val="007D53B6"/>
    <w:pPr>
      <w:numPr>
        <w:ilvl w:val="3"/>
        <w:numId w:val="31"/>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3"/>
      </w:numPr>
    </w:pPr>
  </w:style>
  <w:style w:type="paragraph" w:customStyle="1" w:styleId="Point1number">
    <w:name w:val="Point 1 (number)"/>
    <w:basedOn w:val="Normal"/>
    <w:rsid w:val="007D53B6"/>
    <w:pPr>
      <w:numPr>
        <w:ilvl w:val="2"/>
        <w:numId w:val="33"/>
      </w:numPr>
    </w:pPr>
  </w:style>
  <w:style w:type="paragraph" w:customStyle="1" w:styleId="Point2number">
    <w:name w:val="Point 2 (number)"/>
    <w:basedOn w:val="Normal"/>
    <w:rsid w:val="007D53B6"/>
    <w:pPr>
      <w:numPr>
        <w:ilvl w:val="4"/>
        <w:numId w:val="33"/>
      </w:numPr>
    </w:pPr>
  </w:style>
  <w:style w:type="paragraph" w:customStyle="1" w:styleId="Point3number">
    <w:name w:val="Point 3 (number)"/>
    <w:basedOn w:val="Normal"/>
    <w:rsid w:val="007D53B6"/>
    <w:pPr>
      <w:numPr>
        <w:ilvl w:val="6"/>
        <w:numId w:val="33"/>
      </w:numPr>
    </w:pPr>
  </w:style>
  <w:style w:type="paragraph" w:customStyle="1" w:styleId="Point0letter">
    <w:name w:val="Point 0 (letter)"/>
    <w:basedOn w:val="Normal"/>
    <w:rsid w:val="007D53B6"/>
    <w:pPr>
      <w:numPr>
        <w:ilvl w:val="1"/>
        <w:numId w:val="33"/>
      </w:numPr>
    </w:pPr>
  </w:style>
  <w:style w:type="paragraph" w:customStyle="1" w:styleId="Point1letter">
    <w:name w:val="Point 1 (letter)"/>
    <w:basedOn w:val="Normal"/>
    <w:rsid w:val="007D53B6"/>
    <w:pPr>
      <w:numPr>
        <w:ilvl w:val="3"/>
        <w:numId w:val="33"/>
      </w:numPr>
    </w:pPr>
  </w:style>
  <w:style w:type="paragraph" w:customStyle="1" w:styleId="Point2letter">
    <w:name w:val="Point 2 (letter)"/>
    <w:basedOn w:val="Normal"/>
    <w:rsid w:val="007D53B6"/>
    <w:pPr>
      <w:numPr>
        <w:ilvl w:val="5"/>
        <w:numId w:val="33"/>
      </w:numPr>
    </w:pPr>
  </w:style>
  <w:style w:type="paragraph" w:customStyle="1" w:styleId="Point3letter">
    <w:name w:val="Point 3 (letter)"/>
    <w:basedOn w:val="Normal"/>
    <w:rsid w:val="007D53B6"/>
    <w:pPr>
      <w:numPr>
        <w:ilvl w:val="7"/>
        <w:numId w:val="33"/>
      </w:numPr>
    </w:pPr>
  </w:style>
  <w:style w:type="paragraph" w:customStyle="1" w:styleId="Point4letter">
    <w:name w:val="Point 4 (letter)"/>
    <w:basedOn w:val="Normal"/>
    <w:rsid w:val="007D53B6"/>
    <w:pPr>
      <w:numPr>
        <w:ilvl w:val="8"/>
        <w:numId w:val="33"/>
      </w:numPr>
    </w:pPr>
  </w:style>
  <w:style w:type="paragraph" w:customStyle="1" w:styleId="Bullet0">
    <w:name w:val="Bullet 0"/>
    <w:basedOn w:val="Normal"/>
    <w:rsid w:val="007D53B6"/>
    <w:pPr>
      <w:numPr>
        <w:numId w:val="34"/>
      </w:numPr>
    </w:pPr>
  </w:style>
  <w:style w:type="paragraph" w:customStyle="1" w:styleId="Bullet1">
    <w:name w:val="Bullet 1"/>
    <w:basedOn w:val="Normal"/>
    <w:rsid w:val="007D53B6"/>
    <w:pPr>
      <w:numPr>
        <w:numId w:val="35"/>
      </w:numPr>
    </w:pPr>
  </w:style>
  <w:style w:type="paragraph" w:customStyle="1" w:styleId="Bullet2">
    <w:name w:val="Bullet 2"/>
    <w:basedOn w:val="Normal"/>
    <w:rsid w:val="007D53B6"/>
    <w:pPr>
      <w:numPr>
        <w:numId w:val="36"/>
      </w:numPr>
    </w:pPr>
  </w:style>
  <w:style w:type="paragraph" w:customStyle="1" w:styleId="Bullet3">
    <w:name w:val="Bullet 3"/>
    <w:basedOn w:val="Normal"/>
    <w:rsid w:val="007D53B6"/>
    <w:pPr>
      <w:numPr>
        <w:numId w:val="37"/>
      </w:numPr>
    </w:pPr>
  </w:style>
  <w:style w:type="paragraph" w:customStyle="1" w:styleId="Bullet4">
    <w:name w:val="Bullet 4"/>
    <w:basedOn w:val="Normal"/>
    <w:rsid w:val="007D53B6"/>
    <w:pPr>
      <w:numPr>
        <w:numId w:val="38"/>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9"/>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70913"/>
    <w:pPr>
      <w:numPr>
        <w:numId w:val="4"/>
      </w:numPr>
    </w:pPr>
    <w:rPr>
      <w:rFonts w:eastAsia="Times New Roman"/>
      <w:lang w:eastAsia="de-DE"/>
    </w:rPr>
  </w:style>
  <w:style w:type="paragraph" w:customStyle="1" w:styleId="ListBullet1">
    <w:name w:val="List Bullet 1"/>
    <w:basedOn w:val="Normal"/>
    <w:rsid w:val="00D70913"/>
    <w:pPr>
      <w:numPr>
        <w:numId w:val="1"/>
      </w:numPr>
    </w:pPr>
    <w:rPr>
      <w:rFonts w:eastAsia="Times New Roman"/>
      <w:lang w:eastAsia="de-DE"/>
    </w:rPr>
  </w:style>
  <w:style w:type="paragraph" w:customStyle="1" w:styleId="ListDash1">
    <w:name w:val="List Dash 1"/>
    <w:basedOn w:val="Normal"/>
    <w:rsid w:val="00D70913"/>
    <w:pPr>
      <w:numPr>
        <w:numId w:val="2"/>
      </w:numPr>
    </w:pPr>
    <w:rPr>
      <w:rFonts w:eastAsia="Times New Roman"/>
      <w:lang w:eastAsia="de-DE"/>
    </w:rPr>
  </w:style>
  <w:style w:type="paragraph" w:customStyle="1" w:styleId="ListDash2">
    <w:name w:val="List Dash 2"/>
    <w:basedOn w:val="Normal"/>
    <w:rsid w:val="00D70913"/>
    <w:pPr>
      <w:numPr>
        <w:numId w:val="3"/>
      </w:numPr>
    </w:pPr>
    <w:rPr>
      <w:rFonts w:eastAsia="Times New Roman"/>
      <w:lang w:eastAsia="de-DE"/>
    </w:rPr>
  </w:style>
  <w:style w:type="paragraph" w:customStyle="1" w:styleId="ListNumberLevel2">
    <w:name w:val="List Number (Level 2)"/>
    <w:basedOn w:val="Normal"/>
    <w:rsid w:val="00D70913"/>
    <w:pPr>
      <w:numPr>
        <w:ilvl w:val="1"/>
        <w:numId w:val="4"/>
      </w:numPr>
    </w:pPr>
    <w:rPr>
      <w:rFonts w:eastAsia="Times New Roman"/>
      <w:lang w:eastAsia="de-DE"/>
    </w:rPr>
  </w:style>
  <w:style w:type="paragraph" w:customStyle="1" w:styleId="ListNumberLevel3">
    <w:name w:val="List Number (Level 3)"/>
    <w:basedOn w:val="Normal"/>
    <w:rsid w:val="00D70913"/>
    <w:pPr>
      <w:numPr>
        <w:ilvl w:val="2"/>
        <w:numId w:val="4"/>
      </w:numPr>
    </w:pPr>
    <w:rPr>
      <w:rFonts w:eastAsia="Times New Roman"/>
      <w:lang w:eastAsia="de-DE"/>
    </w:rPr>
  </w:style>
  <w:style w:type="paragraph" w:customStyle="1" w:styleId="ListNumberLevel4">
    <w:name w:val="List Number (Level 4)"/>
    <w:basedOn w:val="Normal"/>
    <w:rsid w:val="00D70913"/>
    <w:pPr>
      <w:numPr>
        <w:ilvl w:val="3"/>
        <w:numId w:val="4"/>
      </w:numPr>
    </w:pPr>
    <w:rPr>
      <w:rFonts w:eastAsia="Times New Roman"/>
      <w:lang w:eastAsia="de-DE"/>
    </w:rPr>
  </w:style>
  <w:style w:type="character" w:styleId="Hyperlink">
    <w:name w:val="Hyperlink"/>
    <w:rsid w:val="00D70913"/>
    <w:rPr>
      <w:color w:val="0000FF"/>
      <w:u w:val="single"/>
    </w:rPr>
  </w:style>
  <w:style w:type="paragraph" w:styleId="ListBullet">
    <w:name w:val="List Bullet"/>
    <w:basedOn w:val="Normal"/>
    <w:rsid w:val="00D70913"/>
    <w:pPr>
      <w:numPr>
        <w:numId w:val="5"/>
      </w:numPr>
    </w:pPr>
    <w:rPr>
      <w:rFonts w:eastAsia="Times New Roman"/>
      <w:lang w:val="fr-FR" w:eastAsia="en-GB"/>
    </w:rPr>
  </w:style>
  <w:style w:type="paragraph" w:styleId="ListBullet2">
    <w:name w:val="List Bullet 2"/>
    <w:basedOn w:val="Normal"/>
    <w:rsid w:val="00D70913"/>
    <w:pPr>
      <w:numPr>
        <w:numId w:val="6"/>
      </w:numPr>
    </w:pPr>
    <w:rPr>
      <w:rFonts w:eastAsia="Times New Roman"/>
      <w:lang w:val="fr-FR" w:eastAsia="en-GB"/>
    </w:rPr>
  </w:style>
  <w:style w:type="paragraph" w:styleId="PlainText">
    <w:name w:val="Plain Text"/>
    <w:basedOn w:val="Normal"/>
    <w:link w:val="PlainTextChar"/>
    <w:uiPriority w:val="99"/>
    <w:semiHidden/>
    <w:unhideWhenUsed/>
    <w:rsid w:val="00D70913"/>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D70913"/>
    <w:rPr>
      <w:rFonts w:ascii="Calibri" w:hAnsi="Calibri"/>
      <w:szCs w:val="21"/>
      <w:lang w:val="en-GB"/>
    </w:rPr>
  </w:style>
  <w:style w:type="paragraph" w:styleId="ListParagraph">
    <w:name w:val="List Paragraph"/>
    <w:basedOn w:val="Normal"/>
    <w:uiPriority w:val="34"/>
    <w:qFormat/>
    <w:rsid w:val="00333AE9"/>
    <w:pPr>
      <w:spacing w:before="0" w:after="200" w:line="276" w:lineRule="auto"/>
      <w:ind w:left="720"/>
      <w:contextualSpacing/>
      <w:jc w:val="left"/>
    </w:pPr>
    <w:rPr>
      <w:rFonts w:asciiTheme="minorHAnsi" w:hAnsiTheme="minorHAnsi" w:cstheme="minorBidi"/>
      <w:noProof/>
      <w:sz w:val="22"/>
    </w:rPr>
  </w:style>
  <w:style w:type="character" w:customStyle="1" w:styleId="Bodytext2">
    <w:name w:val="Body text (2)"/>
    <w:basedOn w:val="DefaultParagraphFont"/>
    <w:rsid w:val="00333AE9"/>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n-US" w:eastAsia="en-US" w:bidi="en-US"/>
    </w:rPr>
  </w:style>
  <w:style w:type="paragraph" w:styleId="NormalWeb">
    <w:name w:val="Normal (Web)"/>
    <w:basedOn w:val="Normal"/>
    <w:uiPriority w:val="99"/>
    <w:semiHidden/>
    <w:unhideWhenUsed/>
    <w:rsid w:val="00333AE9"/>
    <w:pPr>
      <w:spacing w:before="100" w:beforeAutospacing="1" w:after="100" w:afterAutospacing="1"/>
      <w:jc w:val="left"/>
    </w:pPr>
    <w:rPr>
      <w:szCs w:val="24"/>
      <w:lang w:eastAsia="en-GB"/>
    </w:rPr>
  </w:style>
  <w:style w:type="paragraph" w:customStyle="1" w:styleId="ListDash">
    <w:name w:val="List Dash"/>
    <w:basedOn w:val="Normal"/>
    <w:rsid w:val="005823AD"/>
    <w:pPr>
      <w:numPr>
        <w:numId w:val="16"/>
      </w:numPr>
    </w:pPr>
    <w:rPr>
      <w:rFonts w:eastAsia="Times New Roman"/>
      <w:lang w:eastAsia="en-GB"/>
    </w:rPr>
  </w:style>
  <w:style w:type="character" w:styleId="CommentReference">
    <w:name w:val="annotation reference"/>
    <w:rsid w:val="005823AD"/>
    <w:rPr>
      <w:rFonts w:cs="Times New Roman"/>
      <w:sz w:val="16"/>
      <w:szCs w:val="16"/>
      <w:lang w:val="en-GB" w:eastAsia="en-GB"/>
    </w:rPr>
  </w:style>
  <w:style w:type="paragraph" w:styleId="CommentText">
    <w:name w:val="annotation text"/>
    <w:basedOn w:val="Normal"/>
    <w:link w:val="CommentTextChar"/>
    <w:rsid w:val="005823AD"/>
    <w:rPr>
      <w:rFonts w:eastAsia="Times New Roman"/>
      <w:sz w:val="20"/>
      <w:lang w:eastAsia="en-GB"/>
    </w:rPr>
  </w:style>
  <w:style w:type="character" w:customStyle="1" w:styleId="CommentTextChar">
    <w:name w:val="Comment Text Char"/>
    <w:basedOn w:val="DefaultParagraphFont"/>
    <w:link w:val="CommentText"/>
    <w:rsid w:val="005823AD"/>
    <w:rPr>
      <w:rFonts w:ascii="Times New Roman" w:eastAsia="Times New Roman" w:hAnsi="Times New Roman" w:cs="Times New Roman"/>
      <w:sz w:val="20"/>
      <w:lang w:val="en-GB" w:eastAsia="en-GB"/>
    </w:rPr>
  </w:style>
  <w:style w:type="paragraph" w:styleId="BalloonText">
    <w:name w:val="Balloon Text"/>
    <w:basedOn w:val="Normal"/>
    <w:link w:val="BalloonTextChar"/>
    <w:rsid w:val="005823AD"/>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5823AD"/>
    <w:rPr>
      <w:rFonts w:ascii="Tahoma" w:eastAsia="Times New Roman" w:hAnsi="Tahoma" w:cs="Tahoma"/>
      <w:sz w:val="16"/>
      <w:szCs w:val="16"/>
      <w:lang w:val="en-GB" w:eastAsia="en-GB"/>
    </w:rPr>
  </w:style>
  <w:style w:type="paragraph" w:styleId="Caption">
    <w:name w:val="caption"/>
    <w:basedOn w:val="Normal"/>
    <w:next w:val="Normal"/>
    <w:qFormat/>
    <w:rsid w:val="005823AD"/>
    <w:rPr>
      <w:rFonts w:eastAsia="Times New Roman"/>
      <w:b/>
      <w:bCs/>
      <w:sz w:val="20"/>
      <w:lang w:eastAsia="en-GB"/>
    </w:rPr>
  </w:style>
  <w:style w:type="paragraph" w:styleId="TableofFigures">
    <w:name w:val="table of figures"/>
    <w:basedOn w:val="Normal"/>
    <w:next w:val="Normal"/>
    <w:rsid w:val="005823AD"/>
    <w:rPr>
      <w:rFonts w:eastAsia="Times New Roman"/>
      <w:lang w:eastAsia="en-GB"/>
    </w:rPr>
  </w:style>
  <w:style w:type="paragraph" w:styleId="ListBullet3">
    <w:name w:val="List Bullet 3"/>
    <w:basedOn w:val="Normal"/>
    <w:rsid w:val="005823AD"/>
    <w:pPr>
      <w:numPr>
        <w:numId w:val="17"/>
      </w:numPr>
      <w:contextualSpacing/>
    </w:pPr>
    <w:rPr>
      <w:rFonts w:eastAsia="Times New Roman"/>
      <w:lang w:eastAsia="en-GB"/>
    </w:rPr>
  </w:style>
  <w:style w:type="paragraph" w:styleId="ListBullet4">
    <w:name w:val="List Bullet 4"/>
    <w:basedOn w:val="Normal"/>
    <w:rsid w:val="005823AD"/>
    <w:pPr>
      <w:numPr>
        <w:numId w:val="18"/>
      </w:numPr>
      <w:contextualSpacing/>
    </w:pPr>
    <w:rPr>
      <w:rFonts w:eastAsia="Times New Roman"/>
      <w:lang w:eastAsia="en-GB"/>
    </w:rPr>
  </w:style>
  <w:style w:type="paragraph" w:styleId="ListNumber2">
    <w:name w:val="List Number 2"/>
    <w:basedOn w:val="Normal"/>
    <w:rsid w:val="005823AD"/>
    <w:pPr>
      <w:numPr>
        <w:numId w:val="19"/>
      </w:numPr>
      <w:contextualSpacing/>
    </w:pPr>
    <w:rPr>
      <w:rFonts w:eastAsia="Times New Roman"/>
      <w:lang w:eastAsia="en-GB"/>
    </w:rPr>
  </w:style>
  <w:style w:type="paragraph" w:styleId="ListNumber3">
    <w:name w:val="List Number 3"/>
    <w:basedOn w:val="Normal"/>
    <w:rsid w:val="005823AD"/>
    <w:pPr>
      <w:numPr>
        <w:numId w:val="20"/>
      </w:numPr>
      <w:contextualSpacing/>
    </w:pPr>
    <w:rPr>
      <w:rFonts w:eastAsia="Times New Roman"/>
      <w:lang w:eastAsia="en-GB"/>
    </w:rPr>
  </w:style>
  <w:style w:type="paragraph" w:styleId="ListNumber4">
    <w:name w:val="List Number 4"/>
    <w:basedOn w:val="Normal"/>
    <w:rsid w:val="005823AD"/>
    <w:pPr>
      <w:numPr>
        <w:numId w:val="21"/>
      </w:numPr>
      <w:contextualSpacing/>
    </w:pPr>
    <w:rPr>
      <w:rFonts w:eastAsia="Times New Roman"/>
      <w:lang w:eastAsia="en-GB"/>
    </w:rPr>
  </w:style>
  <w:style w:type="paragraph" w:styleId="CommentSubject">
    <w:name w:val="annotation subject"/>
    <w:basedOn w:val="CommentText"/>
    <w:next w:val="CommentText"/>
    <w:link w:val="CommentSubjectChar"/>
    <w:rsid w:val="005823AD"/>
    <w:rPr>
      <w:b/>
      <w:bCs/>
    </w:rPr>
  </w:style>
  <w:style w:type="character" w:customStyle="1" w:styleId="CommentSubjectChar">
    <w:name w:val="Comment Subject Char"/>
    <w:basedOn w:val="CommentTextChar"/>
    <w:link w:val="CommentSubject"/>
    <w:rsid w:val="005823AD"/>
    <w:rPr>
      <w:rFonts w:ascii="Times New Roman" w:eastAsia="Times New Roman" w:hAnsi="Times New Roman" w:cs="Times New Roman"/>
      <w:b/>
      <w:bCs/>
      <w:sz w:val="20"/>
      <w:lang w:val="en-GB" w:eastAsia="en-GB"/>
    </w:rPr>
  </w:style>
  <w:style w:type="character" w:styleId="FollowedHyperlink">
    <w:name w:val="FollowedHyperlink"/>
    <w:rsid w:val="005823AD"/>
    <w:rPr>
      <w:color w:val="800080"/>
      <w:u w:val="single"/>
    </w:rPr>
  </w:style>
  <w:style w:type="paragraph" w:customStyle="1" w:styleId="Default">
    <w:name w:val="Default"/>
    <w:rsid w:val="005823A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Revision">
    <w:name w:val="Revision"/>
    <w:hidden/>
    <w:uiPriority w:val="99"/>
    <w:semiHidden/>
    <w:rsid w:val="005823AD"/>
    <w:pPr>
      <w:spacing w:after="0" w:line="240" w:lineRule="auto"/>
    </w:pPr>
    <w:rPr>
      <w:rFonts w:ascii="Times New Roman" w:eastAsia="Times New Roman" w:hAnsi="Times New Roman" w:cs="Times New Roman"/>
      <w:sz w:val="24"/>
      <w:lang w:val="en-GB" w:eastAsia="en-GB"/>
    </w:rPr>
  </w:style>
  <w:style w:type="paragraph" w:styleId="NoSpacing">
    <w:name w:val="No Spacing"/>
    <w:basedOn w:val="Normal"/>
    <w:qFormat/>
    <w:rsid w:val="005823AD"/>
    <w:pPr>
      <w:spacing w:before="0" w:after="0"/>
      <w:jc w:val="left"/>
    </w:pPr>
    <w:rPr>
      <w:rFonts w:asciiTheme="minorHAnsi" w:hAnsiTheme="minorHAnsi" w:cstheme="minorBidi"/>
      <w:sz w:val="22"/>
    </w:rPr>
  </w:style>
  <w:style w:type="paragraph" w:styleId="Header">
    <w:name w:val="header"/>
    <w:basedOn w:val="Normal"/>
    <w:link w:val="HeaderChar"/>
    <w:uiPriority w:val="99"/>
    <w:unhideWhenUsed/>
    <w:rsid w:val="00772B42"/>
    <w:pPr>
      <w:tabs>
        <w:tab w:val="center" w:pos="4535"/>
        <w:tab w:val="right" w:pos="9071"/>
      </w:tabs>
      <w:spacing w:before="0"/>
    </w:pPr>
  </w:style>
  <w:style w:type="character" w:customStyle="1" w:styleId="HeaderChar">
    <w:name w:val="Header Char"/>
    <w:basedOn w:val="DefaultParagraphFont"/>
    <w:link w:val="Header"/>
    <w:uiPriority w:val="99"/>
    <w:rsid w:val="00772B42"/>
    <w:rPr>
      <w:rFonts w:ascii="Times New Roman" w:hAnsi="Times New Roman" w:cs="Times New Roman"/>
      <w:sz w:val="24"/>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72B42"/>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6"/>
      </w:numPr>
    </w:pPr>
  </w:style>
  <w:style w:type="paragraph" w:customStyle="1" w:styleId="Tiret1">
    <w:name w:val="Tiret 1"/>
    <w:basedOn w:val="Point1"/>
    <w:rsid w:val="007D53B6"/>
    <w:pPr>
      <w:numPr>
        <w:numId w:val="27"/>
      </w:numPr>
    </w:pPr>
  </w:style>
  <w:style w:type="paragraph" w:customStyle="1" w:styleId="Tiret2">
    <w:name w:val="Tiret 2"/>
    <w:basedOn w:val="Point2"/>
    <w:rsid w:val="007D53B6"/>
    <w:pPr>
      <w:numPr>
        <w:numId w:val="28"/>
      </w:numPr>
    </w:pPr>
  </w:style>
  <w:style w:type="paragraph" w:customStyle="1" w:styleId="Tiret3">
    <w:name w:val="Tiret 3"/>
    <w:basedOn w:val="Point3"/>
    <w:rsid w:val="007D53B6"/>
    <w:pPr>
      <w:numPr>
        <w:numId w:val="29"/>
      </w:numPr>
    </w:pPr>
  </w:style>
  <w:style w:type="paragraph" w:customStyle="1" w:styleId="Tiret4">
    <w:name w:val="Tiret 4"/>
    <w:basedOn w:val="Point4"/>
    <w:rsid w:val="007D53B6"/>
    <w:pPr>
      <w:numPr>
        <w:numId w:val="30"/>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1"/>
      </w:numPr>
    </w:pPr>
  </w:style>
  <w:style w:type="paragraph" w:customStyle="1" w:styleId="NumPar2">
    <w:name w:val="NumPar 2"/>
    <w:basedOn w:val="Normal"/>
    <w:next w:val="Text1"/>
    <w:rsid w:val="007D53B6"/>
    <w:pPr>
      <w:numPr>
        <w:ilvl w:val="1"/>
        <w:numId w:val="31"/>
      </w:numPr>
    </w:pPr>
  </w:style>
  <w:style w:type="paragraph" w:customStyle="1" w:styleId="NumPar3">
    <w:name w:val="NumPar 3"/>
    <w:basedOn w:val="Normal"/>
    <w:next w:val="Text1"/>
    <w:rsid w:val="007D53B6"/>
    <w:pPr>
      <w:numPr>
        <w:ilvl w:val="2"/>
        <w:numId w:val="31"/>
      </w:numPr>
    </w:pPr>
  </w:style>
  <w:style w:type="paragraph" w:customStyle="1" w:styleId="NumPar4">
    <w:name w:val="NumPar 4"/>
    <w:basedOn w:val="Normal"/>
    <w:next w:val="Text1"/>
    <w:rsid w:val="007D53B6"/>
    <w:pPr>
      <w:numPr>
        <w:ilvl w:val="3"/>
        <w:numId w:val="31"/>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3"/>
      </w:numPr>
    </w:pPr>
  </w:style>
  <w:style w:type="paragraph" w:customStyle="1" w:styleId="Point1number">
    <w:name w:val="Point 1 (number)"/>
    <w:basedOn w:val="Normal"/>
    <w:rsid w:val="007D53B6"/>
    <w:pPr>
      <w:numPr>
        <w:ilvl w:val="2"/>
        <w:numId w:val="33"/>
      </w:numPr>
    </w:pPr>
  </w:style>
  <w:style w:type="paragraph" w:customStyle="1" w:styleId="Point2number">
    <w:name w:val="Point 2 (number)"/>
    <w:basedOn w:val="Normal"/>
    <w:rsid w:val="007D53B6"/>
    <w:pPr>
      <w:numPr>
        <w:ilvl w:val="4"/>
        <w:numId w:val="33"/>
      </w:numPr>
    </w:pPr>
  </w:style>
  <w:style w:type="paragraph" w:customStyle="1" w:styleId="Point3number">
    <w:name w:val="Point 3 (number)"/>
    <w:basedOn w:val="Normal"/>
    <w:rsid w:val="007D53B6"/>
    <w:pPr>
      <w:numPr>
        <w:ilvl w:val="6"/>
        <w:numId w:val="33"/>
      </w:numPr>
    </w:pPr>
  </w:style>
  <w:style w:type="paragraph" w:customStyle="1" w:styleId="Point0letter">
    <w:name w:val="Point 0 (letter)"/>
    <w:basedOn w:val="Normal"/>
    <w:rsid w:val="007D53B6"/>
    <w:pPr>
      <w:numPr>
        <w:ilvl w:val="1"/>
        <w:numId w:val="33"/>
      </w:numPr>
    </w:pPr>
  </w:style>
  <w:style w:type="paragraph" w:customStyle="1" w:styleId="Point1letter">
    <w:name w:val="Point 1 (letter)"/>
    <w:basedOn w:val="Normal"/>
    <w:rsid w:val="007D53B6"/>
    <w:pPr>
      <w:numPr>
        <w:ilvl w:val="3"/>
        <w:numId w:val="33"/>
      </w:numPr>
    </w:pPr>
  </w:style>
  <w:style w:type="paragraph" w:customStyle="1" w:styleId="Point2letter">
    <w:name w:val="Point 2 (letter)"/>
    <w:basedOn w:val="Normal"/>
    <w:rsid w:val="007D53B6"/>
    <w:pPr>
      <w:numPr>
        <w:ilvl w:val="5"/>
        <w:numId w:val="33"/>
      </w:numPr>
    </w:pPr>
  </w:style>
  <w:style w:type="paragraph" w:customStyle="1" w:styleId="Point3letter">
    <w:name w:val="Point 3 (letter)"/>
    <w:basedOn w:val="Normal"/>
    <w:rsid w:val="007D53B6"/>
    <w:pPr>
      <w:numPr>
        <w:ilvl w:val="7"/>
        <w:numId w:val="33"/>
      </w:numPr>
    </w:pPr>
  </w:style>
  <w:style w:type="paragraph" w:customStyle="1" w:styleId="Point4letter">
    <w:name w:val="Point 4 (letter)"/>
    <w:basedOn w:val="Normal"/>
    <w:rsid w:val="007D53B6"/>
    <w:pPr>
      <w:numPr>
        <w:ilvl w:val="8"/>
        <w:numId w:val="33"/>
      </w:numPr>
    </w:pPr>
  </w:style>
  <w:style w:type="paragraph" w:customStyle="1" w:styleId="Bullet0">
    <w:name w:val="Bullet 0"/>
    <w:basedOn w:val="Normal"/>
    <w:rsid w:val="007D53B6"/>
    <w:pPr>
      <w:numPr>
        <w:numId w:val="34"/>
      </w:numPr>
    </w:pPr>
  </w:style>
  <w:style w:type="paragraph" w:customStyle="1" w:styleId="Bullet1">
    <w:name w:val="Bullet 1"/>
    <w:basedOn w:val="Normal"/>
    <w:rsid w:val="007D53B6"/>
    <w:pPr>
      <w:numPr>
        <w:numId w:val="35"/>
      </w:numPr>
    </w:pPr>
  </w:style>
  <w:style w:type="paragraph" w:customStyle="1" w:styleId="Bullet2">
    <w:name w:val="Bullet 2"/>
    <w:basedOn w:val="Normal"/>
    <w:rsid w:val="007D53B6"/>
    <w:pPr>
      <w:numPr>
        <w:numId w:val="36"/>
      </w:numPr>
    </w:pPr>
  </w:style>
  <w:style w:type="paragraph" w:customStyle="1" w:styleId="Bullet3">
    <w:name w:val="Bullet 3"/>
    <w:basedOn w:val="Normal"/>
    <w:rsid w:val="007D53B6"/>
    <w:pPr>
      <w:numPr>
        <w:numId w:val="37"/>
      </w:numPr>
    </w:pPr>
  </w:style>
  <w:style w:type="paragraph" w:customStyle="1" w:styleId="Bullet4">
    <w:name w:val="Bullet 4"/>
    <w:basedOn w:val="Normal"/>
    <w:rsid w:val="007D53B6"/>
    <w:pPr>
      <w:numPr>
        <w:numId w:val="38"/>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9"/>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0344">
      <w:bodyDiv w:val="1"/>
      <w:marLeft w:val="0"/>
      <w:marRight w:val="0"/>
      <w:marTop w:val="0"/>
      <w:marBottom w:val="0"/>
      <w:divBdr>
        <w:top w:val="none" w:sz="0" w:space="0" w:color="auto"/>
        <w:left w:val="none" w:sz="0" w:space="0" w:color="auto"/>
        <w:bottom w:val="none" w:sz="0" w:space="0" w:color="auto"/>
        <w:right w:val="none" w:sz="0" w:space="0" w:color="auto"/>
      </w:divBdr>
    </w:div>
    <w:div w:id="210508265">
      <w:bodyDiv w:val="1"/>
      <w:marLeft w:val="0"/>
      <w:marRight w:val="0"/>
      <w:marTop w:val="0"/>
      <w:marBottom w:val="0"/>
      <w:divBdr>
        <w:top w:val="none" w:sz="0" w:space="0" w:color="auto"/>
        <w:left w:val="none" w:sz="0" w:space="0" w:color="auto"/>
        <w:bottom w:val="none" w:sz="0" w:space="0" w:color="auto"/>
        <w:right w:val="none" w:sz="0" w:space="0" w:color="auto"/>
      </w:divBdr>
    </w:div>
    <w:div w:id="253366761">
      <w:bodyDiv w:val="1"/>
      <w:marLeft w:val="0"/>
      <w:marRight w:val="0"/>
      <w:marTop w:val="0"/>
      <w:marBottom w:val="0"/>
      <w:divBdr>
        <w:top w:val="none" w:sz="0" w:space="0" w:color="auto"/>
        <w:left w:val="none" w:sz="0" w:space="0" w:color="auto"/>
        <w:bottom w:val="none" w:sz="0" w:space="0" w:color="auto"/>
        <w:right w:val="none" w:sz="0" w:space="0" w:color="auto"/>
      </w:divBdr>
    </w:div>
    <w:div w:id="544873760">
      <w:bodyDiv w:val="1"/>
      <w:marLeft w:val="0"/>
      <w:marRight w:val="0"/>
      <w:marTop w:val="0"/>
      <w:marBottom w:val="0"/>
      <w:divBdr>
        <w:top w:val="none" w:sz="0" w:space="0" w:color="auto"/>
        <w:left w:val="none" w:sz="0" w:space="0" w:color="auto"/>
        <w:bottom w:val="none" w:sz="0" w:space="0" w:color="auto"/>
        <w:right w:val="none" w:sz="0" w:space="0" w:color="auto"/>
      </w:divBdr>
    </w:div>
    <w:div w:id="582102276">
      <w:bodyDiv w:val="1"/>
      <w:marLeft w:val="0"/>
      <w:marRight w:val="0"/>
      <w:marTop w:val="0"/>
      <w:marBottom w:val="0"/>
      <w:divBdr>
        <w:top w:val="none" w:sz="0" w:space="0" w:color="auto"/>
        <w:left w:val="none" w:sz="0" w:space="0" w:color="auto"/>
        <w:bottom w:val="none" w:sz="0" w:space="0" w:color="auto"/>
        <w:right w:val="none" w:sz="0" w:space="0" w:color="auto"/>
      </w:divBdr>
    </w:div>
    <w:div w:id="719280468">
      <w:bodyDiv w:val="1"/>
      <w:marLeft w:val="0"/>
      <w:marRight w:val="0"/>
      <w:marTop w:val="0"/>
      <w:marBottom w:val="0"/>
      <w:divBdr>
        <w:top w:val="none" w:sz="0" w:space="0" w:color="auto"/>
        <w:left w:val="none" w:sz="0" w:space="0" w:color="auto"/>
        <w:bottom w:val="none" w:sz="0" w:space="0" w:color="auto"/>
        <w:right w:val="none" w:sz="0" w:space="0" w:color="auto"/>
      </w:divBdr>
    </w:div>
    <w:div w:id="873999098">
      <w:bodyDiv w:val="1"/>
      <w:marLeft w:val="0"/>
      <w:marRight w:val="0"/>
      <w:marTop w:val="0"/>
      <w:marBottom w:val="0"/>
      <w:divBdr>
        <w:top w:val="none" w:sz="0" w:space="0" w:color="auto"/>
        <w:left w:val="none" w:sz="0" w:space="0" w:color="auto"/>
        <w:bottom w:val="none" w:sz="0" w:space="0" w:color="auto"/>
        <w:right w:val="none" w:sz="0" w:space="0" w:color="auto"/>
      </w:divBdr>
    </w:div>
    <w:div w:id="1103497219">
      <w:bodyDiv w:val="1"/>
      <w:marLeft w:val="0"/>
      <w:marRight w:val="0"/>
      <w:marTop w:val="0"/>
      <w:marBottom w:val="0"/>
      <w:divBdr>
        <w:top w:val="none" w:sz="0" w:space="0" w:color="auto"/>
        <w:left w:val="none" w:sz="0" w:space="0" w:color="auto"/>
        <w:bottom w:val="none" w:sz="0" w:space="0" w:color="auto"/>
        <w:right w:val="none" w:sz="0" w:space="0" w:color="auto"/>
      </w:divBdr>
    </w:div>
    <w:div w:id="1256326847">
      <w:bodyDiv w:val="1"/>
      <w:marLeft w:val="0"/>
      <w:marRight w:val="0"/>
      <w:marTop w:val="0"/>
      <w:marBottom w:val="0"/>
      <w:divBdr>
        <w:top w:val="none" w:sz="0" w:space="0" w:color="auto"/>
        <w:left w:val="none" w:sz="0" w:space="0" w:color="auto"/>
        <w:bottom w:val="none" w:sz="0" w:space="0" w:color="auto"/>
        <w:right w:val="none" w:sz="0" w:space="0" w:color="auto"/>
      </w:divBdr>
    </w:div>
    <w:div w:id="1295678419">
      <w:bodyDiv w:val="1"/>
      <w:marLeft w:val="0"/>
      <w:marRight w:val="0"/>
      <w:marTop w:val="0"/>
      <w:marBottom w:val="0"/>
      <w:divBdr>
        <w:top w:val="none" w:sz="0" w:space="0" w:color="auto"/>
        <w:left w:val="none" w:sz="0" w:space="0" w:color="auto"/>
        <w:bottom w:val="none" w:sz="0" w:space="0" w:color="auto"/>
        <w:right w:val="none" w:sz="0" w:space="0" w:color="auto"/>
      </w:divBdr>
    </w:div>
    <w:div w:id="1349258625">
      <w:bodyDiv w:val="1"/>
      <w:marLeft w:val="0"/>
      <w:marRight w:val="0"/>
      <w:marTop w:val="0"/>
      <w:marBottom w:val="0"/>
      <w:divBdr>
        <w:top w:val="none" w:sz="0" w:space="0" w:color="auto"/>
        <w:left w:val="none" w:sz="0" w:space="0" w:color="auto"/>
        <w:bottom w:val="none" w:sz="0" w:space="0" w:color="auto"/>
        <w:right w:val="none" w:sz="0" w:space="0" w:color="auto"/>
      </w:divBdr>
    </w:div>
    <w:div w:id="1522431773">
      <w:bodyDiv w:val="1"/>
      <w:marLeft w:val="0"/>
      <w:marRight w:val="0"/>
      <w:marTop w:val="0"/>
      <w:marBottom w:val="0"/>
      <w:divBdr>
        <w:top w:val="none" w:sz="0" w:space="0" w:color="auto"/>
        <w:left w:val="none" w:sz="0" w:space="0" w:color="auto"/>
        <w:bottom w:val="none" w:sz="0" w:space="0" w:color="auto"/>
        <w:right w:val="none" w:sz="0" w:space="0" w:color="auto"/>
      </w:divBdr>
      <w:divsChild>
        <w:div w:id="206647398">
          <w:marLeft w:val="0"/>
          <w:marRight w:val="0"/>
          <w:marTop w:val="0"/>
          <w:marBottom w:val="0"/>
          <w:divBdr>
            <w:top w:val="none" w:sz="0" w:space="0" w:color="auto"/>
            <w:left w:val="none" w:sz="0" w:space="0" w:color="auto"/>
            <w:bottom w:val="none" w:sz="0" w:space="0" w:color="auto"/>
            <w:right w:val="none" w:sz="0" w:space="0" w:color="auto"/>
          </w:divBdr>
          <w:divsChild>
            <w:div w:id="1250887524">
              <w:marLeft w:val="0"/>
              <w:marRight w:val="0"/>
              <w:marTop w:val="0"/>
              <w:marBottom w:val="0"/>
              <w:divBdr>
                <w:top w:val="none" w:sz="0" w:space="0" w:color="auto"/>
                <w:left w:val="none" w:sz="0" w:space="0" w:color="auto"/>
                <w:bottom w:val="none" w:sz="0" w:space="0" w:color="auto"/>
                <w:right w:val="none" w:sz="0" w:space="0" w:color="auto"/>
              </w:divBdr>
              <w:divsChild>
                <w:div w:id="342519207">
                  <w:marLeft w:val="0"/>
                  <w:marRight w:val="0"/>
                  <w:marTop w:val="0"/>
                  <w:marBottom w:val="0"/>
                  <w:divBdr>
                    <w:top w:val="none" w:sz="0" w:space="0" w:color="auto"/>
                    <w:left w:val="none" w:sz="0" w:space="0" w:color="auto"/>
                    <w:bottom w:val="none" w:sz="0" w:space="0" w:color="auto"/>
                    <w:right w:val="none" w:sz="0" w:space="0" w:color="auto"/>
                  </w:divBdr>
                  <w:divsChild>
                    <w:div w:id="1957979027">
                      <w:marLeft w:val="1"/>
                      <w:marRight w:val="1"/>
                      <w:marTop w:val="0"/>
                      <w:marBottom w:val="0"/>
                      <w:divBdr>
                        <w:top w:val="none" w:sz="0" w:space="0" w:color="auto"/>
                        <w:left w:val="none" w:sz="0" w:space="0" w:color="auto"/>
                        <w:bottom w:val="none" w:sz="0" w:space="0" w:color="auto"/>
                        <w:right w:val="none" w:sz="0" w:space="0" w:color="auto"/>
                      </w:divBdr>
                      <w:divsChild>
                        <w:div w:id="449397798">
                          <w:marLeft w:val="0"/>
                          <w:marRight w:val="0"/>
                          <w:marTop w:val="0"/>
                          <w:marBottom w:val="0"/>
                          <w:divBdr>
                            <w:top w:val="none" w:sz="0" w:space="0" w:color="auto"/>
                            <w:left w:val="none" w:sz="0" w:space="0" w:color="auto"/>
                            <w:bottom w:val="none" w:sz="0" w:space="0" w:color="auto"/>
                            <w:right w:val="none" w:sz="0" w:space="0" w:color="auto"/>
                          </w:divBdr>
                          <w:divsChild>
                            <w:div w:id="1188831839">
                              <w:marLeft w:val="0"/>
                              <w:marRight w:val="0"/>
                              <w:marTop w:val="0"/>
                              <w:marBottom w:val="360"/>
                              <w:divBdr>
                                <w:top w:val="none" w:sz="0" w:space="0" w:color="auto"/>
                                <w:left w:val="none" w:sz="0" w:space="0" w:color="auto"/>
                                <w:bottom w:val="none" w:sz="0" w:space="0" w:color="auto"/>
                                <w:right w:val="none" w:sz="0" w:space="0" w:color="auto"/>
                              </w:divBdr>
                              <w:divsChild>
                                <w:div w:id="313994051">
                                  <w:marLeft w:val="0"/>
                                  <w:marRight w:val="0"/>
                                  <w:marTop w:val="0"/>
                                  <w:marBottom w:val="0"/>
                                  <w:divBdr>
                                    <w:top w:val="none" w:sz="0" w:space="0" w:color="auto"/>
                                    <w:left w:val="none" w:sz="0" w:space="0" w:color="auto"/>
                                    <w:bottom w:val="none" w:sz="0" w:space="0" w:color="auto"/>
                                    <w:right w:val="none" w:sz="0" w:space="0" w:color="auto"/>
                                  </w:divBdr>
                                  <w:divsChild>
                                    <w:div w:id="14542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519776">
      <w:bodyDiv w:val="1"/>
      <w:marLeft w:val="0"/>
      <w:marRight w:val="0"/>
      <w:marTop w:val="0"/>
      <w:marBottom w:val="0"/>
      <w:divBdr>
        <w:top w:val="none" w:sz="0" w:space="0" w:color="auto"/>
        <w:left w:val="none" w:sz="0" w:space="0" w:color="auto"/>
        <w:bottom w:val="none" w:sz="0" w:space="0" w:color="auto"/>
        <w:right w:val="none" w:sz="0" w:space="0" w:color="auto"/>
      </w:divBdr>
    </w:div>
    <w:div w:id="20771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EFCD-2543-474F-9A09-943D1F21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39</Pages>
  <Words>13332</Words>
  <Characters>74973</Characters>
  <Application>Microsoft Office Word</Application>
  <DocSecurity>4</DocSecurity>
  <Lines>2173</Lines>
  <Paragraphs>811</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87774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LADAGE Thomas</dc:creator>
  <cp:lastModifiedBy>ANDRIKAKIS Nikolaos (SG)</cp:lastModifiedBy>
  <cp:revision>2</cp:revision>
  <cp:lastPrinted>2016-09-10T14:00:00Z</cp:lastPrinted>
  <dcterms:created xsi:type="dcterms:W3CDTF">2016-09-13T17:23:00Z</dcterms:created>
  <dcterms:modified xsi:type="dcterms:W3CDTF">2016-09-13T17:23:00Z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