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9E" w:rsidRDefault="000B0985" w:rsidP="000B0985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alt="DD058D2A142D436889B858E2C8679BCA" style="width:450.5pt;height:452.25pt">
            <v:imagedata r:id="rId9" o:title=""/>
          </v:shape>
        </w:pict>
      </w:r>
    </w:p>
    <w:p w:rsidR="00914F9E" w:rsidRDefault="00914F9E">
      <w:pPr>
        <w:rPr>
          <w:noProof/>
        </w:rPr>
        <w:sectPr w:rsidR="00914F9E" w:rsidSect="000B098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914F9E" w:rsidRDefault="000B0985" w:rsidP="000B0985">
      <w:pPr>
        <w:pStyle w:val="Typedudocument"/>
        <w:rPr>
          <w:noProof/>
        </w:rPr>
      </w:pPr>
      <w:bookmarkStart w:id="0" w:name="_GoBack"/>
      <w:bookmarkEnd w:id="0"/>
      <w:r w:rsidRPr="000B0985">
        <w:lastRenderedPageBreak/>
        <w:t>ZAŁĄCZNIK</w:t>
      </w:r>
    </w:p>
    <w:p w:rsidR="00914F9E" w:rsidRDefault="000B0985" w:rsidP="000B0985">
      <w:pPr>
        <w:pStyle w:val="Accompagnant"/>
        <w:rPr>
          <w:noProof/>
        </w:rPr>
      </w:pPr>
      <w:r w:rsidRPr="000B0985">
        <w:t>do</w:t>
      </w:r>
    </w:p>
    <w:p w:rsidR="00914F9E" w:rsidRDefault="000B0985" w:rsidP="000B0985">
      <w:pPr>
        <w:pStyle w:val="Typeacteprincipal"/>
        <w:rPr>
          <w:noProof/>
        </w:rPr>
      </w:pPr>
      <w:r w:rsidRPr="000B0985">
        <w:t>wniosku dotyczącego ROZPORZĄDZENIA PARLAMENTU EUROPEJSKIEGO I RADY</w:t>
      </w:r>
    </w:p>
    <w:p w:rsidR="00914F9E" w:rsidRDefault="000B0985" w:rsidP="000B0985">
      <w:pPr>
        <w:pStyle w:val="Objetacteprincipal"/>
        <w:rPr>
          <w:noProof/>
        </w:rPr>
      </w:pPr>
      <w:r w:rsidRPr="000B0985">
        <w:t>zmieniającego rozporządzenia (UE) nr 1316/2013 oraz (UE) 2015/1017 w odniesieniu do przedłużenia okresu obowiązywania Europejskiego Funduszu na rzecz Inwestycji Strategicznych oraz wprowadzenia usprawnień technicznych dla tego Funduszu oraz Europejskiego Centrum Doradztwa Inwestycyjnego</w:t>
      </w:r>
    </w:p>
    <w:p w:rsidR="00914F9E" w:rsidRDefault="000B0985">
      <w:pPr>
        <w:jc w:val="center"/>
        <w:rPr>
          <w:noProof/>
        </w:rPr>
      </w:pPr>
      <w:r>
        <w:rPr>
          <w:noProof/>
        </w:rPr>
        <w:t>Załącznik</w:t>
      </w:r>
    </w:p>
    <w:p w:rsidR="00914F9E" w:rsidRDefault="000B0985">
      <w:pPr>
        <w:pStyle w:val="Point0"/>
        <w:rPr>
          <w:noProof/>
        </w:rPr>
      </w:pPr>
      <w:r>
        <w:rPr>
          <w:noProof/>
        </w:rPr>
        <w:t>1)</w:t>
      </w:r>
      <w:r>
        <w:rPr>
          <w:noProof/>
        </w:rPr>
        <w:tab/>
        <w:t>W sekcji 2 wprowadza się następujące zmiany:</w:t>
      </w:r>
    </w:p>
    <w:p w:rsidR="00914F9E" w:rsidRDefault="000B0985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w lit. b) dodaje się akapit drugi w brzmieniu:</w:t>
      </w:r>
    </w:p>
    <w:p w:rsidR="00914F9E" w:rsidRDefault="000B0985">
      <w:pPr>
        <w:pStyle w:val="Text2"/>
        <w:rPr>
          <w:noProof/>
        </w:rPr>
      </w:pPr>
      <w:r>
        <w:rPr>
          <w:noProof/>
        </w:rPr>
        <w:t>„Unika się udzielania z EFSI wsparcia dla autostrad, chyba że jest ono konieczne dla wsparcia prywatnych inwestycji w sektorze tra</w:t>
      </w:r>
      <w:r>
        <w:rPr>
          <w:noProof/>
        </w:rPr>
        <w:t>nsportu w krajach objętych polityką spójności lub inwestycji w projekty transgraniczne w sektorze transportu, w których udział bierze co najmniej jeden kraj objęty polityką spójności.”;</w:t>
      </w:r>
    </w:p>
    <w:p w:rsidR="00914F9E" w:rsidRDefault="000B0985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w lit. c) zdanie drugie otrzymuje brzmienie:</w:t>
      </w:r>
    </w:p>
    <w:p w:rsidR="00914F9E" w:rsidRDefault="000B0985">
      <w:pPr>
        <w:pStyle w:val="Text2"/>
        <w:rPr>
          <w:noProof/>
        </w:rPr>
      </w:pPr>
      <w:r>
        <w:rPr>
          <w:noProof/>
        </w:rPr>
        <w:t xml:space="preserve">„W związku z tym </w:t>
      </w:r>
      <w:r>
        <w:rPr>
          <w:noProof/>
        </w:rPr>
        <w:t>oczekuje się, że EBI zapewni finansowanie w ramach EFIS, tak aby udostępnić łączną kwotę docelową inwestycji publicznych bądź prywatnych w wysokości co najmniej 500 000 000 000 EUR, co obejmuje także środki finansowe uruchomione za pośrednictwem EFI w rama</w:t>
      </w:r>
      <w:r>
        <w:rPr>
          <w:noProof/>
        </w:rPr>
        <w:t>ch działań EFIS związane z instrumentami, o których mowa w art. 10 ust. 2 lit. b), krajowych banków lub instytucji prorozwojowych oraz zwiększonego dostępu do finansowania dla podmiotów zatrudniających nie więcej niż 3 000 pracowników.”;</w:t>
      </w:r>
    </w:p>
    <w:p w:rsidR="00914F9E" w:rsidRDefault="000B0985">
      <w:pPr>
        <w:pStyle w:val="Point0"/>
        <w:rPr>
          <w:noProof/>
        </w:rPr>
      </w:pPr>
      <w:r>
        <w:rPr>
          <w:noProof/>
        </w:rPr>
        <w:t>2)</w:t>
      </w:r>
      <w:r>
        <w:rPr>
          <w:noProof/>
        </w:rPr>
        <w:tab/>
        <w:t>w sekcji 3 doda</w:t>
      </w:r>
      <w:r>
        <w:rPr>
          <w:noProof/>
        </w:rPr>
        <w:t>je się lit. d) w brzmieniu:</w:t>
      </w:r>
    </w:p>
    <w:p w:rsidR="00914F9E" w:rsidRDefault="000B0985">
      <w:pPr>
        <w:pStyle w:val="Point0"/>
        <w:ind w:left="1417" w:hanging="567"/>
        <w:rPr>
          <w:noProof/>
        </w:rPr>
      </w:pPr>
      <w:r>
        <w:rPr>
          <w:noProof/>
        </w:rPr>
        <w:t xml:space="preserve">„d) </w:t>
      </w:r>
      <w:r>
        <w:rPr>
          <w:noProof/>
        </w:rPr>
        <w:tab/>
        <w:t>występowanie jednej lub kilku następujących cech zazwyczaj pozwala sklasyfikować dane działanie jako działania specjalne:</w:t>
      </w:r>
    </w:p>
    <w:p w:rsidR="00914F9E" w:rsidRDefault="000B0985">
      <w:pPr>
        <w:pStyle w:val="Tiret2"/>
        <w:numPr>
          <w:ilvl w:val="0"/>
          <w:numId w:val="10"/>
        </w:numPr>
        <w:rPr>
          <w:noProof/>
        </w:rPr>
      </w:pPr>
      <w:r>
        <w:rPr>
          <w:noProof/>
        </w:rPr>
        <w:t>podporządkowanie w stosunku do innych pożyczkodawców, w tym krajowych banków prorozwojowych i prywatn</w:t>
      </w:r>
      <w:r>
        <w:rPr>
          <w:noProof/>
        </w:rPr>
        <w:t>ych pożyczkodawców;</w:t>
      </w:r>
    </w:p>
    <w:p w:rsidR="00914F9E" w:rsidRDefault="000B0985">
      <w:pPr>
        <w:pStyle w:val="Tiret2"/>
        <w:numPr>
          <w:ilvl w:val="0"/>
          <w:numId w:val="1"/>
        </w:numPr>
        <w:rPr>
          <w:noProof/>
        </w:rPr>
      </w:pPr>
      <w:r>
        <w:rPr>
          <w:noProof/>
        </w:rPr>
        <w:t>udział w instrumentach podziału ryzyka, w których zaangażowanie naraża EBI na wysoki poziom ryzyka;</w:t>
      </w:r>
    </w:p>
    <w:p w:rsidR="00914F9E" w:rsidRDefault="000B0985">
      <w:pPr>
        <w:pStyle w:val="Tiret2"/>
        <w:numPr>
          <w:ilvl w:val="0"/>
          <w:numId w:val="1"/>
        </w:numPr>
        <w:rPr>
          <w:noProof/>
        </w:rPr>
      </w:pPr>
      <w:r>
        <w:rPr>
          <w:noProof/>
        </w:rPr>
        <w:t xml:space="preserve">ekspozycja na szczególne rodzaje ryzyka, takie jak niesprawdzona technologia, zależność od nowych, niedoświadczonych lub prezentujących </w:t>
      </w:r>
      <w:r>
        <w:rPr>
          <w:noProof/>
        </w:rPr>
        <w:t xml:space="preserve">wysokie ryzyko kontrahentów, nowe struktury finansowe lub ryzyko dla EBI, danego sektora lub obszaru geograficznego; </w:t>
      </w:r>
    </w:p>
    <w:p w:rsidR="00914F9E" w:rsidRDefault="000B0985">
      <w:pPr>
        <w:pStyle w:val="Tiret2"/>
        <w:numPr>
          <w:ilvl w:val="0"/>
          <w:numId w:val="1"/>
        </w:numPr>
        <w:rPr>
          <w:noProof/>
        </w:rPr>
      </w:pPr>
      <w:r>
        <w:rPr>
          <w:noProof/>
        </w:rPr>
        <w:t xml:space="preserve">cechy kapitałowe, takie jak płatności zależne od skuteczności; lub </w:t>
      </w:r>
    </w:p>
    <w:p w:rsidR="00914F9E" w:rsidRDefault="000B0985">
      <w:pPr>
        <w:pStyle w:val="Tiret2"/>
        <w:numPr>
          <w:ilvl w:val="0"/>
          <w:numId w:val="1"/>
        </w:numPr>
        <w:rPr>
          <w:noProof/>
        </w:rPr>
      </w:pPr>
      <w:r>
        <w:rPr>
          <w:noProof/>
        </w:rPr>
        <w:t>inne identyfikowalne aspekty powodujące wyższe ryzyko ekspozycji zgodn</w:t>
      </w:r>
      <w:r>
        <w:rPr>
          <w:noProof/>
        </w:rPr>
        <w:t xml:space="preserve">ie z wytycznymi polityki ryzyka kredytowego EBI;”; </w:t>
      </w:r>
    </w:p>
    <w:p w:rsidR="00914F9E" w:rsidRDefault="00914F9E">
      <w:pPr>
        <w:rPr>
          <w:noProof/>
        </w:rPr>
      </w:pPr>
    </w:p>
    <w:p w:rsidR="00914F9E" w:rsidRDefault="000B0985">
      <w:pPr>
        <w:pStyle w:val="Point0"/>
        <w:rPr>
          <w:noProof/>
        </w:rPr>
      </w:pPr>
      <w:r>
        <w:rPr>
          <w:noProof/>
        </w:rPr>
        <w:lastRenderedPageBreak/>
        <w:t>3)</w:t>
      </w:r>
      <w:r>
        <w:rPr>
          <w:noProof/>
        </w:rPr>
        <w:tab/>
        <w:t>w sekcji 5 dodaje się zdanie w brzmieniu:</w:t>
      </w:r>
    </w:p>
    <w:p w:rsidR="00914F9E" w:rsidRDefault="000B0985">
      <w:pPr>
        <w:pStyle w:val="Text2"/>
        <w:rPr>
          <w:noProof/>
        </w:rPr>
      </w:pPr>
      <w:r>
        <w:rPr>
          <w:noProof/>
        </w:rPr>
        <w:t>„Tabela wskaźników podawana jest do wiadomości publicznej bezpośrednio po podpisaniu działania w ramach gwarancji UE, z wyłączeniem szczególnie chronionych in</w:t>
      </w:r>
      <w:r>
        <w:rPr>
          <w:noProof/>
        </w:rPr>
        <w:t>formacji handlowych.”;</w:t>
      </w:r>
    </w:p>
    <w:p w:rsidR="00914F9E" w:rsidRDefault="00914F9E">
      <w:pPr>
        <w:pStyle w:val="Text2"/>
        <w:rPr>
          <w:noProof/>
        </w:rPr>
      </w:pPr>
    </w:p>
    <w:p w:rsidR="00914F9E" w:rsidRDefault="000B0985">
      <w:pPr>
        <w:pStyle w:val="Point0"/>
        <w:rPr>
          <w:noProof/>
        </w:rPr>
      </w:pPr>
      <w:r>
        <w:rPr>
          <w:noProof/>
        </w:rPr>
        <w:t>4)</w:t>
      </w:r>
      <w:r>
        <w:rPr>
          <w:noProof/>
        </w:rPr>
        <w:tab/>
        <w:t>w sekcji 6 wprowadza się następujące zmiany:</w:t>
      </w:r>
    </w:p>
    <w:p w:rsidR="00914F9E" w:rsidRDefault="000B0985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w lit. b) wprowadza się następujące zmiany:</w:t>
      </w:r>
    </w:p>
    <w:p w:rsidR="00914F9E" w:rsidRDefault="000B0985">
      <w:pPr>
        <w:pStyle w:val="Point3"/>
        <w:rPr>
          <w:noProof/>
        </w:rPr>
      </w:pPr>
      <w:r>
        <w:rPr>
          <w:noProof/>
        </w:rPr>
        <w:t>(i)</w:t>
      </w:r>
      <w:r>
        <w:rPr>
          <w:noProof/>
        </w:rPr>
        <w:tab/>
        <w:t xml:space="preserve">w tiret pierwszym zdanie pierwsze i drugie otrzymują brzmienie: </w:t>
      </w:r>
    </w:p>
    <w:p w:rsidR="00914F9E" w:rsidRDefault="000B0985">
      <w:pPr>
        <w:pStyle w:val="Point2"/>
        <w:ind w:left="2551" w:firstLine="0"/>
        <w:rPr>
          <w:noProof/>
        </w:rPr>
      </w:pPr>
      <w:r>
        <w:rPr>
          <w:noProof/>
        </w:rPr>
        <w:t>„W przypadku działań typu dłużnego EBI lub EFI przeprowadzają standa</w:t>
      </w:r>
      <w:r>
        <w:rPr>
          <w:noProof/>
        </w:rPr>
        <w:t>rdową ocenę ryzyka obejmującą obliczenie współczynnika prawdopodobieństwa niewypłacalności i stopy odzysku. W oparciu o te parametry EBI lub EFI oblicza ryzyko dla każdego działania.”;</w:t>
      </w:r>
    </w:p>
    <w:p w:rsidR="00914F9E" w:rsidRDefault="000B0985">
      <w:pPr>
        <w:pStyle w:val="Point3"/>
        <w:rPr>
          <w:noProof/>
        </w:rPr>
      </w:pPr>
      <w:r>
        <w:rPr>
          <w:noProof/>
        </w:rPr>
        <w:t>(ii)</w:t>
      </w:r>
      <w:r>
        <w:rPr>
          <w:noProof/>
        </w:rPr>
        <w:tab/>
        <w:t xml:space="preserve">w tiret drugim zdanie pierwsze otrzymuje brzmienie: </w:t>
      </w:r>
    </w:p>
    <w:p w:rsidR="00914F9E" w:rsidRDefault="000B0985">
      <w:pPr>
        <w:pStyle w:val="Point2"/>
        <w:ind w:left="2551" w:firstLine="0"/>
        <w:rPr>
          <w:noProof/>
        </w:rPr>
      </w:pPr>
      <w:r>
        <w:rPr>
          <w:noProof/>
        </w:rPr>
        <w:t>„Każde działa</w:t>
      </w:r>
      <w:r>
        <w:rPr>
          <w:noProof/>
        </w:rPr>
        <w:t>nie typu dłużnego otrzymuje klasyfikację ryzyka (klasyfikację pożyczek transakcyjnych) zgodnie z systemem klasyfikacji pożyczek EBI lub EFI.”;</w:t>
      </w:r>
    </w:p>
    <w:p w:rsidR="00914F9E" w:rsidRDefault="000B0985">
      <w:pPr>
        <w:pStyle w:val="Point3"/>
        <w:rPr>
          <w:noProof/>
        </w:rPr>
      </w:pPr>
      <w:r>
        <w:rPr>
          <w:noProof/>
        </w:rPr>
        <w:t>(iii)</w:t>
      </w:r>
      <w:r>
        <w:rPr>
          <w:noProof/>
        </w:rPr>
        <w:tab/>
        <w:t xml:space="preserve">w tiret trzecim zdanie pierwsze otrzymuje brzmienie: </w:t>
      </w:r>
    </w:p>
    <w:p w:rsidR="00914F9E" w:rsidRDefault="000B0985">
      <w:pPr>
        <w:pStyle w:val="Point3"/>
        <w:ind w:firstLine="0"/>
        <w:rPr>
          <w:noProof/>
        </w:rPr>
      </w:pPr>
      <w:r>
        <w:rPr>
          <w:noProof/>
        </w:rPr>
        <w:t>„Projekty muszą być rentowne i technicznie wykonalne,</w:t>
      </w:r>
      <w:r>
        <w:rPr>
          <w:noProof/>
        </w:rPr>
        <w:t xml:space="preserve"> a finansowanie EBI musi być skonstruowane zgodnie z rzetelnymi zasadami bankowości oraz z zasadami zarządzania wysokim ryzykiem określonymi przez EBI lub EFI w ich wewnętrznych wytycznych.”;</w:t>
      </w:r>
    </w:p>
    <w:p w:rsidR="00914F9E" w:rsidRDefault="000B0985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w lit. c) wprowadza się następujące zmiany:</w:t>
      </w:r>
    </w:p>
    <w:p w:rsidR="00914F9E" w:rsidRDefault="000B0985">
      <w:pPr>
        <w:pStyle w:val="Point3"/>
        <w:rPr>
          <w:noProof/>
        </w:rPr>
      </w:pPr>
      <w:r>
        <w:rPr>
          <w:noProof/>
        </w:rPr>
        <w:t>(i)</w:t>
      </w:r>
      <w:r>
        <w:rPr>
          <w:noProof/>
        </w:rPr>
        <w:tab/>
        <w:t>w tiret pierw</w:t>
      </w:r>
      <w:r>
        <w:rPr>
          <w:noProof/>
        </w:rPr>
        <w:t xml:space="preserve">szym zdanie drugie otrzymuje brzmienie: </w:t>
      </w:r>
    </w:p>
    <w:p w:rsidR="00914F9E" w:rsidRDefault="000B0985">
      <w:pPr>
        <w:pStyle w:val="Text4"/>
        <w:rPr>
          <w:noProof/>
        </w:rPr>
      </w:pPr>
      <w:r>
        <w:rPr>
          <w:noProof/>
        </w:rPr>
        <w:t>„Ustalenie, czy dane działanie jest obarczone ryzykiem typu kapitałowego niezależnie od jego formy prawnej i nomenklatury, opiera się na standardowej ocenie EBI lub EFI.”;</w:t>
      </w:r>
    </w:p>
    <w:p w:rsidR="00914F9E" w:rsidRDefault="000B0985">
      <w:pPr>
        <w:pStyle w:val="Point3"/>
        <w:rPr>
          <w:noProof/>
        </w:rPr>
      </w:pPr>
      <w:r>
        <w:rPr>
          <w:noProof/>
        </w:rPr>
        <w:t>(ii)</w:t>
      </w:r>
      <w:r>
        <w:rPr>
          <w:noProof/>
        </w:rPr>
        <w:tab/>
        <w:t>w tiret drugim zdanie pierwsze otrzymu</w:t>
      </w:r>
      <w:r>
        <w:rPr>
          <w:noProof/>
        </w:rPr>
        <w:t xml:space="preserve">je brzmienie: </w:t>
      </w:r>
    </w:p>
    <w:p w:rsidR="00914F9E" w:rsidRDefault="000B0985">
      <w:pPr>
        <w:pStyle w:val="Point0"/>
        <w:ind w:left="2551" w:firstLine="0"/>
        <w:rPr>
          <w:noProof/>
        </w:rPr>
      </w:pPr>
      <w:r>
        <w:rPr>
          <w:noProof/>
        </w:rPr>
        <w:t>„Działania EBI typu kapitałowego wykonuje się zgodnie z wewnętrznymi zasadami i procedurami EBI lub EFI.”;</w:t>
      </w:r>
    </w:p>
    <w:p w:rsidR="00914F9E" w:rsidRDefault="00914F9E">
      <w:pPr>
        <w:pStyle w:val="Point0"/>
        <w:ind w:left="2551" w:firstLine="0"/>
        <w:rPr>
          <w:noProof/>
        </w:rPr>
      </w:pPr>
    </w:p>
    <w:p w:rsidR="00914F9E" w:rsidRDefault="000B0985">
      <w:pPr>
        <w:pStyle w:val="Point0"/>
        <w:rPr>
          <w:noProof/>
        </w:rPr>
      </w:pPr>
      <w:r>
        <w:rPr>
          <w:noProof/>
        </w:rPr>
        <w:t>5)</w:t>
      </w:r>
      <w:r>
        <w:rPr>
          <w:noProof/>
        </w:rPr>
        <w:tab/>
        <w:t>w sekcji 7 lit. c) skreśla się słowo „początkowego”;</w:t>
      </w:r>
    </w:p>
    <w:p w:rsidR="00914F9E" w:rsidRDefault="00914F9E">
      <w:pPr>
        <w:rPr>
          <w:noProof/>
        </w:rPr>
      </w:pPr>
    </w:p>
    <w:p w:rsidR="00914F9E" w:rsidRDefault="000B0985">
      <w:pPr>
        <w:pStyle w:val="Point0"/>
        <w:rPr>
          <w:noProof/>
        </w:rPr>
      </w:pPr>
      <w:r>
        <w:rPr>
          <w:noProof/>
        </w:rPr>
        <w:t>6)</w:t>
      </w:r>
      <w:r>
        <w:rPr>
          <w:noProof/>
        </w:rPr>
        <w:tab/>
        <w:t>w sekcji 8 wprowadza się następujące zmiany:</w:t>
      </w:r>
    </w:p>
    <w:p w:rsidR="00914F9E" w:rsidRDefault="000B0985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 xml:space="preserve">w akapicie pierwszym </w:t>
      </w:r>
      <w:r>
        <w:rPr>
          <w:noProof/>
        </w:rPr>
        <w:t>zdanie drugie skreśla się słowo „początkowego”;</w:t>
      </w:r>
    </w:p>
    <w:p w:rsidR="00914F9E" w:rsidRDefault="000B0985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w lit. a) akapit pierwszy zdanie pierwsze skreśla się słowo „początkowego”;</w:t>
      </w:r>
    </w:p>
    <w:p w:rsidR="00914F9E" w:rsidRDefault="000B0985"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w lit. b) zdanie pierwsze skreśla się słowo „początkowego”.</w:t>
      </w:r>
    </w:p>
    <w:p w:rsidR="00914F9E" w:rsidRDefault="00914F9E">
      <w:pPr>
        <w:rPr>
          <w:noProof/>
        </w:rPr>
      </w:pPr>
    </w:p>
    <w:sectPr w:rsidR="00914F9E" w:rsidSect="000B0985"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F9E" w:rsidRDefault="000B0985">
      <w:pPr>
        <w:spacing w:before="0" w:after="0"/>
      </w:pPr>
      <w:r>
        <w:separator/>
      </w:r>
    </w:p>
  </w:endnote>
  <w:endnote w:type="continuationSeparator" w:id="0">
    <w:p w:rsidR="00914F9E" w:rsidRDefault="000B098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85" w:rsidRPr="000B0985" w:rsidRDefault="000B0985" w:rsidP="000B09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85" w:rsidRPr="000B0985" w:rsidRDefault="000B0985" w:rsidP="000B0985">
    <w:pPr>
      <w:pStyle w:val="Footer"/>
      <w:rPr>
        <w:rFonts w:ascii="Arial" w:hAnsi="Arial" w:cs="Arial"/>
        <w:b/>
        <w:sz w:val="48"/>
      </w:rPr>
    </w:pPr>
    <w:r w:rsidRPr="000B0985">
      <w:rPr>
        <w:rFonts w:ascii="Arial" w:hAnsi="Arial" w:cs="Arial"/>
        <w:b/>
        <w:sz w:val="48"/>
      </w:rPr>
      <w:t>PL</w:t>
    </w:r>
    <w:r w:rsidRPr="000B0985">
      <w:rPr>
        <w:rFonts w:ascii="Arial" w:hAnsi="Arial" w:cs="Arial"/>
        <w:b/>
        <w:sz w:val="48"/>
      </w:rPr>
      <w:tab/>
    </w:r>
    <w:r w:rsidRPr="000B0985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0B0985">
      <w:tab/>
    </w:r>
    <w:proofErr w:type="spellStart"/>
    <w:r w:rsidRPr="000B0985">
      <w:rPr>
        <w:rFonts w:ascii="Arial" w:hAnsi="Arial" w:cs="Arial"/>
        <w:b/>
        <w:sz w:val="48"/>
      </w:rPr>
      <w:t>PL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85" w:rsidRPr="000B0985" w:rsidRDefault="000B0985" w:rsidP="000B098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85" w:rsidRPr="000B0985" w:rsidRDefault="000B0985" w:rsidP="000B0985">
    <w:pPr>
      <w:pStyle w:val="Footer"/>
      <w:rPr>
        <w:rFonts w:ascii="Arial" w:hAnsi="Arial" w:cs="Arial"/>
        <w:b/>
        <w:sz w:val="48"/>
      </w:rPr>
    </w:pPr>
    <w:r w:rsidRPr="000B0985">
      <w:rPr>
        <w:rFonts w:ascii="Arial" w:hAnsi="Arial" w:cs="Arial"/>
        <w:b/>
        <w:sz w:val="48"/>
      </w:rPr>
      <w:t>PL</w:t>
    </w:r>
    <w:r w:rsidRPr="000B0985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0B0985">
      <w:tab/>
    </w:r>
    <w:r w:rsidRPr="000B0985"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85" w:rsidRPr="000B0985" w:rsidRDefault="000B0985" w:rsidP="000B09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F9E" w:rsidRDefault="000B0985">
      <w:pPr>
        <w:spacing w:before="0" w:after="0"/>
      </w:pPr>
      <w:r>
        <w:separator/>
      </w:r>
    </w:p>
  </w:footnote>
  <w:footnote w:type="continuationSeparator" w:id="0">
    <w:p w:rsidR="00914F9E" w:rsidRDefault="000B098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85" w:rsidRPr="000B0985" w:rsidRDefault="000B0985" w:rsidP="000B09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85" w:rsidRPr="000B0985" w:rsidRDefault="000B0985" w:rsidP="000B09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85" w:rsidRPr="000B0985" w:rsidRDefault="000B0985" w:rsidP="000B09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EF0070D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C1F432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E6D06D8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FA4B4A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980A8E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FEA6E44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749D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82A1F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20"/>
    <w:lvlOverride w:ilvl="0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75"/>
  <w:hideSpellingErrors/>
  <w:hideGrammaticalErrors/>
  <w:proofState w:spelling="clean"/>
  <w:attachedTemplate r:id="rId1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9-14 13:59:5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6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6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.CP" w:val="do"/>
    <w:docVar w:name="LW_ANNEX_NBR_FIRST" w:val="1"/>
    <w:docVar w:name="LW_ANNEX_NBR_LAST" w:val="1"/>
    <w:docVar w:name="LW_CONFIDENCE" w:val=" "/>
    <w:docVar w:name="LW_CONST_RESTREINT_UE" w:val="RESTREINT UE/EU RESTRICTED"/>
    <w:docVar w:name="LW_CORRIGENDUM" w:val="&lt;UNUSED&gt;"/>
    <w:docVar w:name="LW_COVERPAGE_GUID" w:val="DD058D2A142D436889B858E2C8679BCA"/>
    <w:docVar w:name="LW_CROSSREFERENCE" w:val="{SWD(2016) 297 final}_x000b_{SWD(2016) 298 final}"/>
    <w:docVar w:name="LW_DocType" w:val="ANNEX"/>
    <w:docVar w:name="LW_EMISSION" w:val="14.9.2016"/>
    <w:docVar w:name="LW_EMISSION_ISODATE" w:val="2016-09-14"/>
    <w:docVar w:name="LW_EMISSION_LOCATION" w:val="BRX"/>
    <w:docVar w:name="LW_EMISSION_PREFIX" w:val="Bruksela, dnia "/>
    <w:docVar w:name="LW_EMISSION_SUFFIX" w:val=" r."/>
    <w:docVar w:name="LW_ID_DOCSTRUCTURE" w:val="COM/ANNEX"/>
    <w:docVar w:name="LW_ID_DOCTYPE" w:val="SG-017"/>
    <w:docVar w:name="LW_LANGUE" w:val="PL"/>
    <w:docVar w:name="LW_MARKING" w:val="&lt;UNUSED&gt;"/>
    <w:docVar w:name="LW_NOM.INST" w:val="KOMISJA EUROPEJSKA"/>
    <w:docVar w:name="LW_NOM.INST_JOINTDOC" w:val="&lt;EMPTY&gt;"/>
    <w:docVar w:name="LW_OBJETACTEPRINCIPAL.CP" w:val="zmieniaj\u261?cego rozporz\u261?dzenia (UE) nr 1316/2013 oraz (UE) 2015/1017 w odniesieniu do przed\u322?u\u380?enia okresu obowi\u261?zywania Europejskiego Funduszu na rzecz Inwestycji Strategicznych oraz wprowadzenia usprawnie\u324? technicznych dla tego Funduszu oraz Europejskiego Centrum Doradztwa Inwestycyjnego"/>
    <w:docVar w:name="LW_PART_NBR" w:val="1"/>
    <w:docVar w:name="LW_PART_NBR_TOTAL" w:val="1"/>
    <w:docVar w:name="LW_REF.INST.NEW" w:val="COM"/>
    <w:docVar w:name="LW_REF.INST.NEW_ADOPTED" w:val="final"/>
    <w:docVar w:name="LW_REF.INST.NEW_TEXT" w:val="(2016) 597"/>
    <w:docVar w:name="LW_REF.INTERNE" w:val="&lt;UNUSED&gt;"/>
    <w:docVar w:name="LW_SUPERTITRE" w:val="&lt;UNUSED&gt;"/>
    <w:docVar w:name="LW_TITRE.OBJ.CP" w:val="&lt;UNUSED&gt;"/>
    <w:docVar w:name="LW_TYPE.DOC.CP" w:val="ZA\u321?\u260?CZNIK"/>
    <w:docVar w:name="LW_TYPEACTEPRINCIPAL.CP" w:val="wniosku dotycz\u261?cego ROZPORZ\u260?DZENIA PARLAMENTU EUROPEJSKIEGO I RADY"/>
  </w:docVars>
  <w:rsids>
    <w:rsidRoot w:val="00914F9E"/>
    <w:rsid w:val="000B0985"/>
    <w:rsid w:val="0091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0985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0B0985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0B0985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0985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0B0985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0B0985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6431A-1451-4278-B452-580C5DD49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3</Pages>
  <Words>564</Words>
  <Characters>3543</Characters>
  <Application>Microsoft Office Word</Application>
  <DocSecurity>0</DocSecurity>
  <Lines>79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PARMENTIER Paola</dc:creator>
  <cp:lastModifiedBy>KITRIMI Efstathia (SG)</cp:lastModifiedBy>
  <cp:revision>9</cp:revision>
  <dcterms:created xsi:type="dcterms:W3CDTF">2016-09-14T09:15:00Z</dcterms:created>
  <dcterms:modified xsi:type="dcterms:W3CDTF">2016-09-14T13:01:00Z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Yellow (DQC version 03)</vt:lpwstr>
  </property>
</Properties>
</file>