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75" w:rsidRDefault="00046F9B" w:rsidP="00046F9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419253C575444579B599D1E833B46A9" style="width:450.5pt;height:438.5pt">
            <v:imagedata r:id="rId8" o:title=""/>
          </v:shape>
        </w:pict>
      </w:r>
    </w:p>
    <w:p w:rsidR="00EA3D75" w:rsidRDefault="00EA3D75">
      <w:pPr>
        <w:rPr>
          <w:noProof/>
        </w:rPr>
        <w:sectPr w:rsidR="00EA3D75" w:rsidSect="00046F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EA3D75" w:rsidRDefault="00046F9B" w:rsidP="00046F9B">
      <w:pPr>
        <w:pStyle w:val="Typedudocument"/>
        <w:rPr>
          <w:noProof/>
        </w:rPr>
      </w:pPr>
      <w:bookmarkStart w:id="0" w:name="_GoBack"/>
      <w:bookmarkEnd w:id="0"/>
      <w:r w:rsidRPr="00046F9B">
        <w:lastRenderedPageBreak/>
        <w:t>ANEXO</w:t>
      </w:r>
    </w:p>
    <w:p w:rsidR="00EA3D75" w:rsidRDefault="00046F9B" w:rsidP="00046F9B">
      <w:pPr>
        <w:pStyle w:val="Accompagnant"/>
        <w:rPr>
          <w:noProof/>
        </w:rPr>
      </w:pPr>
      <w:r w:rsidRPr="00046F9B">
        <w:t>à</w:t>
      </w:r>
    </w:p>
    <w:p w:rsidR="00EA3D75" w:rsidRDefault="00046F9B" w:rsidP="00046F9B">
      <w:pPr>
        <w:pStyle w:val="Typeacteprincipal"/>
        <w:rPr>
          <w:noProof/>
        </w:rPr>
      </w:pPr>
      <w:r w:rsidRPr="00046F9B">
        <w:t>Proposta de REGULAMENTO DO PARLAMENTO EUROPEU E DO CONSELHO</w:t>
      </w:r>
    </w:p>
    <w:p w:rsidR="00EA3D75" w:rsidRDefault="00046F9B" w:rsidP="00046F9B">
      <w:pPr>
        <w:pStyle w:val="Objetacteprincipal"/>
        <w:rPr>
          <w:noProof/>
        </w:rPr>
      </w:pPr>
      <w:r w:rsidRPr="00046F9B">
        <w:t>que altera os Regulamentos (UE) n.º</w:t>
      </w:r>
      <w:r>
        <w:t> </w:t>
      </w:r>
      <w:r w:rsidRPr="00046F9B">
        <w:t>1316/2013 e (UE) n.º</w:t>
      </w:r>
      <w:r>
        <w:t> </w:t>
      </w:r>
      <w:r w:rsidRPr="00046F9B">
        <w:t>2015/1017 no que se refere ao prolongamento da vigência do Fundo Europeu para Investimentos Estratégicos e à introdução de melhorias técnicas nesse Fundo e na Plataforma Europeia de Aconselhamento ao Investimento</w:t>
      </w:r>
    </w:p>
    <w:p w:rsidR="00EA3D75" w:rsidRDefault="00046F9B">
      <w:pPr>
        <w:jc w:val="center"/>
        <w:rPr>
          <w:noProof/>
        </w:rPr>
      </w:pPr>
      <w:r>
        <w:rPr>
          <w:noProof/>
        </w:rPr>
        <w:t>Anexo</w:t>
      </w:r>
    </w:p>
    <w:p w:rsidR="00EA3D75" w:rsidRDefault="00046F9B">
      <w:pPr>
        <w:pStyle w:val="Point0number"/>
        <w:numPr>
          <w:ilvl w:val="0"/>
          <w:numId w:val="2"/>
        </w:numPr>
        <w:rPr>
          <w:noProof/>
        </w:rPr>
      </w:pPr>
      <w:r>
        <w:rPr>
          <w:noProof/>
        </w:rPr>
        <w:t>O ponto 2 é</w:t>
      </w:r>
      <w:r>
        <w:rPr>
          <w:noProof/>
        </w:rPr>
        <w:t xml:space="preserve"> alterado do seguinte modo:</w:t>
      </w:r>
    </w:p>
    <w:p w:rsidR="00EA3D75" w:rsidRDefault="00046F9B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Na alínea b), é aditado o segundo parágrafo seguinte:</w:t>
      </w:r>
    </w:p>
    <w:p w:rsidR="00EA3D75" w:rsidRDefault="00046F9B">
      <w:pPr>
        <w:pStyle w:val="Text2"/>
        <w:rPr>
          <w:noProof/>
        </w:rPr>
      </w:pPr>
      <w:r>
        <w:rPr>
          <w:noProof/>
        </w:rPr>
        <w:t>«É de evitar a concessão de qualquer apoio do FEIE a favor de projetos de autoestradas, a não ser que tal seja necessário para apoiar o investimento privado no domínio dos</w:t>
      </w:r>
      <w:r>
        <w:rPr>
          <w:noProof/>
        </w:rPr>
        <w:t xml:space="preserve"> transportes nos países beneficiários do Fundo de Coesão ou no caso de projetos de transportes transfronteiras que envolvam pelo menos um país beneficiário do Fundo de Coesão.»;</w:t>
      </w:r>
    </w:p>
    <w:p w:rsidR="00EA3D75" w:rsidRDefault="00046F9B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Na alínea c), o segundo período passa a ter a seguinte redação:</w:t>
      </w:r>
    </w:p>
    <w:p w:rsidR="00EA3D75" w:rsidRDefault="00046F9B">
      <w:pPr>
        <w:pStyle w:val="Text2"/>
        <w:rPr>
          <w:noProof/>
        </w:rPr>
      </w:pPr>
      <w:r>
        <w:rPr>
          <w:noProof/>
        </w:rPr>
        <w:t xml:space="preserve">«Neste </w:t>
      </w:r>
      <w:r>
        <w:rPr>
          <w:noProof/>
        </w:rPr>
        <w:t>contexto, é de prever que o BEI irá disponibilizar financiamentos ao abrigo do FEIE, a fim de atingir um objetivo global de pelo menos 500 000 000 000 milhões de EUR de investimentos públicos ou privados, incluindo o financiamento mobilizado por intermédio</w:t>
      </w:r>
      <w:r>
        <w:rPr>
          <w:noProof/>
        </w:rPr>
        <w:t xml:space="preserve"> do FEI ao abrigo de operações do FEIE relacionadas com os instrumentos referidos no artigo 10.º, n.º 2, alínea b), e dos bancos ou instituições de fomento nacionais, bem como para facultar um melhor acesso ao financiamento para as entidades com 3 000 trab</w:t>
      </w:r>
      <w:r>
        <w:rPr>
          <w:noProof/>
        </w:rPr>
        <w:t>alhadores, no máximo.»;</w:t>
      </w:r>
    </w:p>
    <w:p w:rsidR="00EA3D75" w:rsidRDefault="00046F9B">
      <w:pPr>
        <w:pStyle w:val="Point0number"/>
        <w:numPr>
          <w:ilvl w:val="0"/>
          <w:numId w:val="2"/>
        </w:numPr>
        <w:rPr>
          <w:noProof/>
        </w:rPr>
      </w:pPr>
      <w:r>
        <w:rPr>
          <w:noProof/>
        </w:rPr>
        <w:t>No ponto 3, é aditada a seguinte alínea d):</w:t>
      </w:r>
    </w:p>
    <w:p w:rsidR="00EA3D75" w:rsidRDefault="00046F9B">
      <w:pPr>
        <w:pStyle w:val="Point0"/>
        <w:ind w:left="1417" w:hanging="567"/>
        <w:rPr>
          <w:noProof/>
        </w:rPr>
      </w:pPr>
      <w:r>
        <w:rPr>
          <w:noProof/>
        </w:rPr>
        <w:t xml:space="preserve">«d) </w:t>
      </w:r>
      <w:r>
        <w:rPr>
          <w:noProof/>
        </w:rPr>
        <w:tab/>
      </w:r>
      <w:r>
        <w:rPr>
          <w:noProof/>
        </w:rPr>
        <w:tab/>
        <w:t>A existência de uma ou mais das seguintes características conduzirá normalmente à classificação de uma operação na categoria de atividades especiais:</w:t>
      </w:r>
    </w:p>
    <w:p w:rsidR="00EA3D75" w:rsidRDefault="00046F9B">
      <w:pPr>
        <w:pStyle w:val="Tiret2"/>
        <w:numPr>
          <w:ilvl w:val="0"/>
          <w:numId w:val="11"/>
        </w:numPr>
        <w:rPr>
          <w:noProof/>
        </w:rPr>
      </w:pPr>
      <w:r>
        <w:rPr>
          <w:noProof/>
        </w:rPr>
        <w:t>subordinação em relação a outros</w:t>
      </w:r>
      <w:r>
        <w:rPr>
          <w:noProof/>
        </w:rPr>
        <w:t xml:space="preserve"> mutuantes, nomeadamente bancos de fomento nacionais e mutuantes privados;</w:t>
      </w:r>
    </w:p>
    <w:p w:rsidR="00EA3D75" w:rsidRDefault="00046F9B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>participação em instrumentos de partilha de riscos quando a posição tomada expõe o BEI a riscos elevados;</w:t>
      </w:r>
    </w:p>
    <w:p w:rsidR="00EA3D75" w:rsidRDefault="00046F9B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>exposição a riscos específicos, por exemplo, face a novas tecnologias não c</w:t>
      </w:r>
      <w:r>
        <w:rPr>
          <w:noProof/>
        </w:rPr>
        <w:t xml:space="preserve">omprovadas, dependência em relação a contrapartes novas, inexperientes ou de elevado risco, estruturas financeiras inovadoras ou risco para o BEI, no setor ou zona geográfica em causa; </w:t>
      </w:r>
    </w:p>
    <w:p w:rsidR="00EA3D75" w:rsidRDefault="00046F9B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>características do tipo fundos próprios, tais como pagamentos associad</w:t>
      </w:r>
      <w:r>
        <w:rPr>
          <w:noProof/>
        </w:rPr>
        <w:t xml:space="preserve">os aos resultados; ou </w:t>
      </w:r>
    </w:p>
    <w:p w:rsidR="00EA3D75" w:rsidRDefault="00046F9B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 xml:space="preserve">outros aspetos identificáveis que conduzam a uma maior exposição ao risco, de acordo com as orientações da política em matéria de risco de crédito do BEI;»; </w:t>
      </w:r>
    </w:p>
    <w:p w:rsidR="00EA3D75" w:rsidRDefault="00EA3D75">
      <w:pPr>
        <w:rPr>
          <w:noProof/>
        </w:rPr>
      </w:pPr>
    </w:p>
    <w:p w:rsidR="00EA3D75" w:rsidRDefault="00046F9B">
      <w:pPr>
        <w:pStyle w:val="Point0number"/>
        <w:numPr>
          <w:ilvl w:val="0"/>
          <w:numId w:val="2"/>
        </w:numPr>
        <w:rPr>
          <w:noProof/>
        </w:rPr>
      </w:pPr>
      <w:r>
        <w:rPr>
          <w:noProof/>
        </w:rPr>
        <w:t>No ponto 5, é aditado o período seguinte:</w:t>
      </w:r>
    </w:p>
    <w:p w:rsidR="00EA3D75" w:rsidRDefault="00046F9B">
      <w:pPr>
        <w:pStyle w:val="Text2"/>
        <w:rPr>
          <w:noProof/>
        </w:rPr>
      </w:pPr>
      <w:r>
        <w:rPr>
          <w:noProof/>
        </w:rPr>
        <w:t xml:space="preserve">«O painel de avaliação deve ser </w:t>
      </w:r>
      <w:r>
        <w:rPr>
          <w:noProof/>
        </w:rPr>
        <w:t>divulgado ao público logo que uma operação que beneficie de uma garantia da UE for assinada, excluindo as informações comercialmente sensíveis.»;</w:t>
      </w:r>
    </w:p>
    <w:p w:rsidR="00EA3D75" w:rsidRDefault="00EA3D75">
      <w:pPr>
        <w:pStyle w:val="Text2"/>
        <w:rPr>
          <w:noProof/>
        </w:rPr>
      </w:pPr>
    </w:p>
    <w:p w:rsidR="00EA3D75" w:rsidRDefault="00046F9B">
      <w:pPr>
        <w:pStyle w:val="Point0number"/>
        <w:numPr>
          <w:ilvl w:val="0"/>
          <w:numId w:val="2"/>
        </w:numPr>
        <w:rPr>
          <w:noProof/>
        </w:rPr>
      </w:pPr>
      <w:r>
        <w:rPr>
          <w:noProof/>
        </w:rPr>
        <w:t>O ponto 6 é alterado do seguinte modo:</w:t>
      </w:r>
    </w:p>
    <w:p w:rsidR="00EA3D75" w:rsidRDefault="00046F9B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>A alínea b) é alterada do seguinte modo:</w:t>
      </w:r>
    </w:p>
    <w:p w:rsidR="00EA3D75" w:rsidRDefault="00046F9B">
      <w:pPr>
        <w:pStyle w:val="Point3"/>
        <w:rPr>
          <w:noProof/>
        </w:rPr>
      </w:pPr>
      <w:r>
        <w:rPr>
          <w:noProof/>
        </w:rPr>
        <w:t>i)</w:t>
      </w:r>
      <w:r>
        <w:rPr>
          <w:noProof/>
        </w:rPr>
        <w:tab/>
        <w:t>No primeiro travessão, o p</w:t>
      </w:r>
      <w:r>
        <w:rPr>
          <w:noProof/>
        </w:rPr>
        <w:t xml:space="preserve">rimeiro e segundo períodos passam a ter a seguinte redação: </w:t>
      </w:r>
    </w:p>
    <w:p w:rsidR="00EA3D75" w:rsidRDefault="00046F9B">
      <w:pPr>
        <w:pStyle w:val="Point2"/>
        <w:ind w:left="2551" w:firstLine="0"/>
        <w:rPr>
          <w:noProof/>
        </w:rPr>
      </w:pPr>
      <w:r>
        <w:rPr>
          <w:noProof/>
        </w:rPr>
        <w:t>«No caso de operações classificáveis como sendo de dívida, o BEI ou o FEI efetuam a sua avaliação normalizada de risco, que envolve o cálculo da probabilidade de incumprimento e da taxa de recupe</w:t>
      </w:r>
      <w:r>
        <w:rPr>
          <w:noProof/>
        </w:rPr>
        <w:t>ração. Com base nestes parâmetros, o BEI ou o FEI quantificam o risco de cada operação.»;</w:t>
      </w:r>
    </w:p>
    <w:p w:rsidR="00EA3D75" w:rsidRDefault="00046F9B">
      <w:pPr>
        <w:pStyle w:val="Point3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No segundo travessão, o primeiro período passa a ter a seguinte redação: </w:t>
      </w:r>
    </w:p>
    <w:p w:rsidR="00EA3D75" w:rsidRDefault="00046F9B">
      <w:pPr>
        <w:pStyle w:val="Point2"/>
        <w:ind w:left="2551" w:firstLine="0"/>
        <w:rPr>
          <w:noProof/>
        </w:rPr>
      </w:pPr>
      <w:r>
        <w:rPr>
          <w:noProof/>
        </w:rPr>
        <w:t>«Cada operação classificável como sendo de dívida recebe uma classificação de risco (a c</w:t>
      </w:r>
      <w:r>
        <w:rPr>
          <w:noProof/>
        </w:rPr>
        <w:t>lassificação de empréstimo da operação), de acordo com o sistema de classificação de empréstimos do BEI ou do FEI.»;.</w:t>
      </w:r>
    </w:p>
    <w:p w:rsidR="00EA3D75" w:rsidRDefault="00046F9B">
      <w:pPr>
        <w:pStyle w:val="Point3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No terceiro travessão, o primeiro período passa a ter a seguinte redação: </w:t>
      </w:r>
    </w:p>
    <w:p w:rsidR="00EA3D75" w:rsidRDefault="00046F9B">
      <w:pPr>
        <w:pStyle w:val="Point3"/>
        <w:ind w:firstLine="0"/>
        <w:rPr>
          <w:noProof/>
        </w:rPr>
      </w:pPr>
      <w:r>
        <w:rPr>
          <w:noProof/>
        </w:rPr>
        <w:t xml:space="preserve">«Os projetos devem ser económica e tecnicamente viáveis e </w:t>
      </w:r>
      <w:r>
        <w:rPr>
          <w:noProof/>
        </w:rPr>
        <w:t>o financiamento do BEI deve ser organizado de acordo com princípios bancários sólidos e deve respeitar os princípios de elevado nível de gestão de risco estabelecidos pelo BEI ou pelo FEI nas suas orientações internas.»;</w:t>
      </w:r>
    </w:p>
    <w:p w:rsidR="00EA3D75" w:rsidRDefault="00046F9B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 xml:space="preserve">A alínea c) é alterada do seguinte </w:t>
      </w:r>
      <w:r>
        <w:rPr>
          <w:noProof/>
        </w:rPr>
        <w:t>modo:</w:t>
      </w:r>
    </w:p>
    <w:p w:rsidR="00EA3D75" w:rsidRDefault="00046F9B">
      <w:pPr>
        <w:pStyle w:val="Point3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No primeiro travessão, o segundo período passa a ter a seguinte redação: </w:t>
      </w:r>
    </w:p>
    <w:p w:rsidR="00EA3D75" w:rsidRDefault="00046F9B">
      <w:pPr>
        <w:pStyle w:val="Text4"/>
        <w:rPr>
          <w:noProof/>
        </w:rPr>
      </w:pPr>
      <w:r>
        <w:rPr>
          <w:noProof/>
        </w:rPr>
        <w:t>«A determinação de que uma operação envolve ou não envolve riscos de capital próprio, independentemente da sua forma jurídica e da sua nomenclatura, baseia-se na avaliação n</w:t>
      </w:r>
      <w:r>
        <w:rPr>
          <w:noProof/>
        </w:rPr>
        <w:t>ormalizada do BEI ou do FEI.»;</w:t>
      </w:r>
    </w:p>
    <w:p w:rsidR="00EA3D75" w:rsidRDefault="00046F9B">
      <w:pPr>
        <w:pStyle w:val="Point3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No segundo travessão, o primeiro período passa a ter a seguinte redação: </w:t>
      </w:r>
    </w:p>
    <w:p w:rsidR="00EA3D75" w:rsidRDefault="00046F9B">
      <w:pPr>
        <w:pStyle w:val="Point0"/>
        <w:ind w:left="2551" w:firstLine="0"/>
        <w:rPr>
          <w:noProof/>
        </w:rPr>
      </w:pPr>
      <w:r>
        <w:rPr>
          <w:noProof/>
        </w:rPr>
        <w:t xml:space="preserve">«As operações com instrumentos de capital próprio realizadas pelo BEI são efetuadas em conformidade com as normas e os procedimentos internos do </w:t>
      </w:r>
      <w:r>
        <w:rPr>
          <w:noProof/>
        </w:rPr>
        <w:t>BEI ou do FEI.»;</w:t>
      </w:r>
    </w:p>
    <w:p w:rsidR="00EA3D75" w:rsidRDefault="00EA3D75">
      <w:pPr>
        <w:pStyle w:val="Point0"/>
        <w:ind w:left="2551" w:firstLine="0"/>
        <w:rPr>
          <w:noProof/>
        </w:rPr>
      </w:pPr>
    </w:p>
    <w:p w:rsidR="00EA3D75" w:rsidRDefault="00046F9B">
      <w:pPr>
        <w:pStyle w:val="Point0number"/>
        <w:numPr>
          <w:ilvl w:val="0"/>
          <w:numId w:val="2"/>
        </w:numPr>
        <w:rPr>
          <w:noProof/>
        </w:rPr>
      </w:pPr>
      <w:r>
        <w:rPr>
          <w:noProof/>
        </w:rPr>
        <w:t>No ponto 7, alínea c), o termo «inicial» é suprimido;</w:t>
      </w:r>
    </w:p>
    <w:p w:rsidR="00EA3D75" w:rsidRDefault="00EA3D75">
      <w:pPr>
        <w:rPr>
          <w:noProof/>
        </w:rPr>
      </w:pPr>
    </w:p>
    <w:p w:rsidR="00EA3D75" w:rsidRDefault="00046F9B">
      <w:pPr>
        <w:pStyle w:val="Point0number"/>
        <w:numPr>
          <w:ilvl w:val="0"/>
          <w:numId w:val="2"/>
        </w:numPr>
        <w:rPr>
          <w:noProof/>
        </w:rPr>
      </w:pPr>
      <w:r>
        <w:rPr>
          <w:noProof/>
        </w:rPr>
        <w:t>O ponto 8 é alterado do seguinte modo:</w:t>
      </w:r>
    </w:p>
    <w:p w:rsidR="00EA3D75" w:rsidRDefault="00046F9B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>No primeiro parágrafo, segundo período, o termo «inicial» é suprimido;</w:t>
      </w:r>
    </w:p>
    <w:p w:rsidR="00EA3D75" w:rsidRDefault="00046F9B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 xml:space="preserve">Na alínea a), primeiro parágrafo, primeiro período, o termo «inicial» é </w:t>
      </w:r>
      <w:r>
        <w:rPr>
          <w:noProof/>
        </w:rPr>
        <w:t>suprimido;</w:t>
      </w:r>
    </w:p>
    <w:p w:rsidR="00EA3D75" w:rsidRDefault="00046F9B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>Na alínea b), primeiro período, o termo «inicial» é suprimido.</w:t>
      </w:r>
    </w:p>
    <w:p w:rsidR="00EA3D75" w:rsidRDefault="00EA3D75">
      <w:pPr>
        <w:rPr>
          <w:noProof/>
        </w:rPr>
      </w:pPr>
    </w:p>
    <w:sectPr w:rsidR="00EA3D75" w:rsidSect="00046F9B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75" w:rsidRDefault="00046F9B">
      <w:pPr>
        <w:spacing w:before="0" w:after="0"/>
      </w:pPr>
      <w:r>
        <w:separator/>
      </w:r>
    </w:p>
  </w:endnote>
  <w:endnote w:type="continuationSeparator" w:id="0">
    <w:p w:rsidR="00EA3D75" w:rsidRDefault="00046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B" w:rsidRPr="00046F9B" w:rsidRDefault="00046F9B" w:rsidP="00046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5" w:rsidRPr="00046F9B" w:rsidRDefault="00046F9B" w:rsidP="00046F9B">
    <w:pPr>
      <w:pStyle w:val="Footer"/>
      <w:rPr>
        <w:rFonts w:ascii="Arial" w:hAnsi="Arial" w:cs="Arial"/>
        <w:b/>
        <w:sz w:val="48"/>
      </w:rPr>
    </w:pPr>
    <w:r w:rsidRPr="00046F9B">
      <w:rPr>
        <w:rFonts w:ascii="Arial" w:hAnsi="Arial" w:cs="Arial"/>
        <w:b/>
        <w:sz w:val="48"/>
      </w:rPr>
      <w:t>PT</w:t>
    </w:r>
    <w:r w:rsidRPr="00046F9B">
      <w:rPr>
        <w:rFonts w:ascii="Arial" w:hAnsi="Arial" w:cs="Arial"/>
        <w:b/>
        <w:sz w:val="48"/>
      </w:rPr>
      <w:tab/>
    </w:r>
    <w:r w:rsidRPr="00046F9B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046F9B">
      <w:tab/>
    </w:r>
    <w:proofErr w:type="spellStart"/>
    <w:r w:rsidRPr="00046F9B">
      <w:rPr>
        <w:rFonts w:ascii="Arial" w:hAnsi="Arial" w:cs="Arial"/>
        <w:b/>
        <w:sz w:val="48"/>
      </w:rPr>
      <w:t>PT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B" w:rsidRPr="00046F9B" w:rsidRDefault="00046F9B" w:rsidP="00046F9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B" w:rsidRPr="00046F9B" w:rsidRDefault="00046F9B" w:rsidP="00046F9B">
    <w:pPr>
      <w:pStyle w:val="Footer"/>
      <w:rPr>
        <w:rFonts w:ascii="Arial" w:hAnsi="Arial" w:cs="Arial"/>
        <w:b/>
        <w:sz w:val="48"/>
      </w:rPr>
    </w:pPr>
    <w:r w:rsidRPr="00046F9B">
      <w:rPr>
        <w:rFonts w:ascii="Arial" w:hAnsi="Arial" w:cs="Arial"/>
        <w:b/>
        <w:sz w:val="48"/>
      </w:rPr>
      <w:t>PT</w:t>
    </w:r>
    <w:r w:rsidRPr="00046F9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046F9B">
      <w:tab/>
    </w:r>
    <w:r w:rsidRPr="00046F9B"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B" w:rsidRPr="00046F9B" w:rsidRDefault="00046F9B" w:rsidP="00046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75" w:rsidRDefault="00046F9B">
      <w:pPr>
        <w:spacing w:before="0" w:after="0"/>
      </w:pPr>
      <w:r>
        <w:separator/>
      </w:r>
    </w:p>
  </w:footnote>
  <w:footnote w:type="continuationSeparator" w:id="0">
    <w:p w:rsidR="00EA3D75" w:rsidRDefault="00046F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B" w:rsidRPr="00046F9B" w:rsidRDefault="00046F9B" w:rsidP="00046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B" w:rsidRPr="00046F9B" w:rsidRDefault="00046F9B" w:rsidP="00046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B" w:rsidRPr="00046F9B" w:rsidRDefault="00046F9B" w:rsidP="00046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007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1F432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6D06D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A4B4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980A8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A6E4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749D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82A1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14 13:57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à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7419253C575444579B599D1E833B46A9"/>
    <w:docVar w:name="LW_CROSSREFERENCE" w:val="{SWD(2016) 297 final}_x000b_{SWD(2016) 298 final}"/>
    <w:docVar w:name="LW_DocType" w:val="ANNEX"/>
    <w:docVar w:name="LW_EMISSION" w:val="14.9.2016"/>
    <w:docVar w:name="LW_EMISSION_ISODATE" w:val="2016-09-14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que altera os Regulamentos (UE) n.º 1316/2013 e (UE) n.º 2015/1017 no que se refere ao prolongamento da vigência do Fundo Europeu para Investimentos Estratégicos e à introdução de melhorias técnicas nesse Fundo e na Plataforma Europeia de Aconselhamento ao Investimento"/>
    <w:docVar w:name="LW_PART_NBR" w:val="1"/>
    <w:docVar w:name="LW_PART_NBR_TOTAL" w:val="1"/>
    <w:docVar w:name="LW_REF.INST.NEW" w:val="COM"/>
    <w:docVar w:name="LW_REF.INST.NEW_ADOPTED" w:val="final"/>
    <w:docVar w:name="LW_REF.INST.NEW_TEXT" w:val="(2016) 597"/>
    <w:docVar w:name="LW_REF.INTERNE" w:val="&lt;UNUSED&gt;"/>
    <w:docVar w:name="LW_SUPERTITRE" w:val="&lt;UNUSED&gt;"/>
    <w:docVar w:name="LW_TITRE.OBJ.CP" w:val="&lt;UNUSED&gt;"/>
    <w:docVar w:name="LW_TYPE.DOC.CP" w:val="ANEXO"/>
    <w:docVar w:name="LW_TYPEACTEPRINCIPAL.CP" w:val="Proposta de REGULAMENTO DO PARLAMENTO EUROPEU E DO CONSELHO"/>
  </w:docVars>
  <w:rsids>
    <w:rsidRoot w:val="00EA3D75"/>
    <w:rsid w:val="00046F9B"/>
    <w:rsid w:val="00E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F9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46F9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46F9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F9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46F9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46F9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739</Words>
  <Characters>3814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PARMENTIER Paola</dc:creator>
  <cp:lastModifiedBy>KITRIMI Efstathia (SG)</cp:lastModifiedBy>
  <cp:revision>9</cp:revision>
  <dcterms:created xsi:type="dcterms:W3CDTF">2016-09-14T10:33:00Z</dcterms:created>
  <dcterms:modified xsi:type="dcterms:W3CDTF">2016-09-14T13:02:00Z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