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BB53EB795C4673A60BF3E3D55934A8"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2"/>
        </w:numPr>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Ievads</w:t>
      </w:r>
    </w:p>
    <w:p>
      <w:pPr>
        <w:jc w:val="both"/>
        <w:rPr>
          <w:rFonts w:ascii="Times New Roman" w:hAnsi="Times New Roman" w:cs="Times New Roman"/>
          <w:noProof/>
          <w:sz w:val="24"/>
          <w:szCs w:val="24"/>
        </w:rPr>
      </w:pPr>
      <w:r>
        <w:rPr>
          <w:rFonts w:ascii="Times New Roman" w:hAnsi="Times New Roman"/>
          <w:noProof/>
          <w:sz w:val="24"/>
        </w:rPr>
        <w:t xml:space="preserve">Šis ir Komisijas vienpadsmitais ziņojums par alternatīvu metožu izstrādi, validāciju un tiesisko akceptēšanu attiecībā uz pārbaudēm izmēģinājumos ar dzīvniekiem kosmētikas nozarē. </w:t>
      </w:r>
    </w:p>
    <w:p>
      <w:pPr>
        <w:jc w:val="both"/>
        <w:rPr>
          <w:rFonts w:ascii="Times New Roman" w:hAnsi="Times New Roman" w:cs="Times New Roman"/>
          <w:noProof/>
          <w:sz w:val="24"/>
          <w:szCs w:val="24"/>
        </w:rPr>
      </w:pPr>
      <w:r>
        <w:rPr>
          <w:rFonts w:ascii="Times New Roman" w:hAnsi="Times New Roman"/>
          <w:noProof/>
          <w:sz w:val="24"/>
        </w:rPr>
        <w:t>Saskaņā ar Eiropas Parlamenta un Padomes 2009. gada 30. novembra Regulas (EK) Nr. 1223/2009 par kosmētikas līdzekļiem</w:t>
      </w:r>
      <w:r>
        <w:rPr>
          <w:rStyle w:val="FootnoteReference"/>
          <w:rFonts w:ascii="Times New Roman" w:hAnsi="Times New Roman"/>
          <w:noProof/>
          <w:sz w:val="24"/>
        </w:rPr>
        <w:footnoteReference w:id="1"/>
      </w:r>
      <w:r>
        <w:rPr>
          <w:rFonts w:ascii="Times New Roman" w:hAnsi="Times New Roman"/>
          <w:noProof/>
          <w:sz w:val="24"/>
        </w:rPr>
        <w:t xml:space="preserve"> (“Kosmētikas regula”) 35. pantu katrā ziņojumā ir jāietver informācija par:</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tādu metožu izstrādes, validēšanas un tiesiskās akceptēšanas gaitu, kas paredzētas kā alternatīvas izmēģinājumu veikšanai ar dzīvniekiem;</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Komisijas panākumiem darbā, kas vērsts uz to, lai saņemtu ESAO akceptu alternatīvajām metodēm, kuras validētas ES līmenī;</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Komisijas panākumiem darbā, kas vērsts uz to, lai trešās valstis atzītu to drošuma testu rezultātus, kas ES izdarīti ar alternatīvām metodēm;</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noProof/>
          <w:sz w:val="24"/>
        </w:rPr>
        <w:t>mazo un vidējo uzņēmumu (MVU) īpašajām vajadzībām.</w:t>
      </w:r>
    </w:p>
    <w:p>
      <w:pPr>
        <w:jc w:val="both"/>
        <w:rPr>
          <w:rFonts w:ascii="Times New Roman" w:hAnsi="Times New Roman" w:cs="Times New Roman"/>
          <w:bCs/>
          <w:noProof/>
          <w:sz w:val="24"/>
          <w:szCs w:val="24"/>
        </w:rPr>
      </w:pPr>
      <w:r>
        <w:rPr>
          <w:rFonts w:ascii="Times New Roman" w:hAnsi="Times New Roman"/>
          <w:noProof/>
          <w:sz w:val="24"/>
        </w:rPr>
        <w:t>Ar šo ziņojumu Eiropas Parlaments un Padome arī tiek informēti par Kosmētikas regulas 18. panta 1. punktā noteikto aizliegumu termiņu ievērošanu un par saistītajām tehniskajām grūtībām, kā noteikts Kosmētikas regulas 18. panta 2. punktā.</w:t>
      </w:r>
    </w:p>
    <w:p>
      <w:pPr>
        <w:jc w:val="both"/>
        <w:rPr>
          <w:rFonts w:ascii="Times New Roman" w:hAnsi="Times New Roman"/>
          <w:noProof/>
          <w:sz w:val="24"/>
        </w:rPr>
      </w:pPr>
      <w:r>
        <w:rPr>
          <w:rFonts w:ascii="Times New Roman" w:hAnsi="Times New Roman"/>
          <w:noProof/>
          <w:sz w:val="24"/>
        </w:rPr>
        <w:t>Saskaņā ar Kosmētikas regulas 18. panta 2. punktu ziņojumā ir jāietver informācija arī par atkāpēm no 18. panta 1. punkta, kas piešķirtas saskaņā ar Kosmētikas regulas 18. panta 2. punktu. Taču līdz šim neviena atkāpe saskaņā ar šo noteikumu nav piešķirta.</w:t>
      </w:r>
    </w:p>
    <w:p>
      <w:pPr>
        <w:jc w:val="both"/>
        <w:rPr>
          <w:rFonts w:ascii="Times New Roman" w:hAnsi="Times New Roman" w:cs="Times New Roman"/>
          <w:noProof/>
          <w:sz w:val="24"/>
          <w:szCs w:val="24"/>
        </w:rPr>
      </w:pPr>
      <w:r>
        <w:rPr>
          <w:rFonts w:ascii="Times New Roman" w:hAnsi="Times New Roman"/>
          <w:noProof/>
          <w:sz w:val="24"/>
        </w:rPr>
        <w:t xml:space="preserve">Kopš 2013. gada 11. martā pārbaudes izmēģinājumos ar dzīvniekiem pilnīgi aizliegtas, ziņojums vairs neietver statistikas datus par to, cik daudz un kāda testēšana ar dzīvniekiem Eiropas Savienībā veikta attiecībā uz kosmētikas līdzekļiem (kā noteikts </w:t>
      </w:r>
      <w:r>
        <w:rPr>
          <w:rFonts w:ascii="Times New Roman" w:hAnsi="Times New Roman"/>
          <w:i/>
          <w:noProof/>
          <w:sz w:val="24"/>
        </w:rPr>
        <w:t>Komisijas 2013. gada 11. marta paziņojumā Eiropas Parlamentam un Padomei par izmēģinājumu ar dzīvniekiem un tirdzniecības aizliegumu un par pašreizējo situāciju attiecībā uz alternatīvām testēšanas metodēm kosmētikas līdzekļu jomā</w:t>
      </w:r>
      <w:r>
        <w:rPr>
          <w:rStyle w:val="FootnoteReference"/>
          <w:rFonts w:ascii="Times New Roman" w:hAnsi="Times New Roman"/>
          <w:noProof/>
          <w:sz w:val="24"/>
        </w:rPr>
        <w:footnoteReference w:id="2"/>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Testēšanas un tirdzniecības aizliegumu ievērošanai un aizliegumu ietekmei veltītā ziņojuma daļa balstās uz </w:t>
      </w:r>
      <w:r>
        <w:rPr>
          <w:rFonts w:ascii="Times New Roman" w:hAnsi="Times New Roman"/>
          <w:noProof/>
          <w:sz w:val="24"/>
        </w:rPr>
        <w:t>dalībvalstu iesniegto informāciju par 2013. gadu vai 2013.–2014. gadu (atkarībā no dalībvalsts). Alternatīvu metožu izstrādē, validēšanā un juridiskajā pieņemamībā gūtajiem panākumiem veltītā ziņojuma daļa lielākoties balstās uz jaunāko ES Alternatīvo metožu validēšanas centra (</w:t>
      </w:r>
      <w:r>
        <w:rPr>
          <w:rFonts w:ascii="Times New Roman" w:hAnsi="Times New Roman"/>
          <w:i/>
          <w:noProof/>
          <w:sz w:val="24"/>
        </w:rPr>
        <w:t>EURL ECVAM</w:t>
      </w:r>
      <w:r>
        <w:rPr>
          <w:rFonts w:ascii="Times New Roman" w:hAnsi="Times New Roman"/>
          <w:noProof/>
          <w:sz w:val="24"/>
        </w:rPr>
        <w:t>)</w:t>
      </w:r>
      <w:r>
        <w:rPr>
          <w:rStyle w:val="FootnoteReference"/>
          <w:rFonts w:ascii="Times New Roman" w:hAnsi="Times New Roman"/>
          <w:i/>
          <w:noProof/>
          <w:sz w:val="24"/>
        </w:rPr>
        <w:footnoteReference w:id="3"/>
      </w:r>
      <w:r>
        <w:rPr>
          <w:rFonts w:ascii="Times New Roman" w:hAnsi="Times New Roman"/>
          <w:noProof/>
          <w:sz w:val="24"/>
        </w:rPr>
        <w:t xml:space="preserve"> </w:t>
      </w:r>
      <w:r>
        <w:rPr>
          <w:rFonts w:ascii="Times New Roman" w:hAnsi="Times New Roman" w:cs="Times New Roman"/>
          <w:bCs/>
          <w:i/>
          <w:noProof/>
          <w:sz w:val="24"/>
          <w:szCs w:val="24"/>
        </w:rPr>
        <w:t xml:space="preserve">Status Report on the Development, Validation and Regulatory Acceptance of Alternative Methods and Approaches </w:t>
      </w:r>
      <w:r>
        <w:rPr>
          <w:rFonts w:ascii="Times New Roman" w:hAnsi="Times New Roman" w:cs="Times New Roman"/>
          <w:bCs/>
          <w:noProof/>
          <w:sz w:val="24"/>
          <w:szCs w:val="24"/>
          <w:u w:val="single"/>
        </w:rPr>
        <w:t>(</w:t>
      </w:r>
      <w:r>
        <w:rPr>
          <w:rFonts w:ascii="Times New Roman" w:hAnsi="Times New Roman"/>
          <w:noProof/>
          <w:sz w:val="24"/>
        </w:rPr>
        <w:t xml:space="preserve">"Statusa pārskata ziņojums par alternatīvu testēšanas metožu un pieejas izstrādi, validāciju un tiesisko akceptēšanu") </w:t>
      </w:r>
      <w:r>
        <w:rPr>
          <w:rFonts w:ascii="Times New Roman" w:hAnsi="Times New Roman"/>
          <w:i/>
          <w:noProof/>
          <w:sz w:val="24"/>
        </w:rPr>
        <w:t>(2015. gads)</w:t>
      </w:r>
      <w:r>
        <w:rPr>
          <w:rStyle w:val="FootnoteReference"/>
          <w:rFonts w:ascii="Times New Roman" w:hAnsi="Times New Roman"/>
          <w:i/>
          <w:noProof/>
          <w:sz w:val="24"/>
        </w:rPr>
        <w:footnoteReference w:id="4"/>
      </w:r>
      <w:r>
        <w:rPr>
          <w:rFonts w:ascii="Times New Roman" w:hAnsi="Times New Roman"/>
          <w:noProof/>
          <w:sz w:val="24"/>
        </w:rPr>
        <w:t xml:space="preserve"> (</w:t>
      </w:r>
      <w:r>
        <w:rPr>
          <w:rFonts w:ascii="Times New Roman" w:hAnsi="Times New Roman"/>
          <w:i/>
          <w:noProof/>
          <w:sz w:val="24"/>
        </w:rPr>
        <w:t>EURL ECVAM</w:t>
      </w:r>
      <w:r>
        <w:rPr>
          <w:rFonts w:ascii="Times New Roman" w:hAnsi="Times New Roman"/>
          <w:noProof/>
          <w:sz w:val="24"/>
        </w:rPr>
        <w:t xml:space="preserve"> 2015. gada statusa pārskata ziņojums) par laikposmu no 2014. gada maija līdz 2015. gada septembrim. Ziņojums šādu laikposmu aptver tāpēc, ka dažu dalībvalstu pienesums tika saņemts vēlu.</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Konteksts</w:t>
      </w:r>
    </w:p>
    <w:p>
      <w:pPr>
        <w:pStyle w:val="ListParagraph"/>
        <w:ind w:left="0"/>
        <w:contextualSpacing w:val="0"/>
        <w:jc w:val="both"/>
        <w:rPr>
          <w:noProof/>
        </w:rPr>
      </w:pPr>
      <w:r>
        <w:rPr>
          <w:rFonts w:ascii="Times New Roman" w:hAnsi="Times New Roman"/>
          <w:noProof/>
          <w:sz w:val="24"/>
        </w:rPr>
        <w:t>Aizliegums gatavus kosmētikas līdzekļus pārbaudīt izmēģinājumos ar dzīvniekiem Eiropas Savienībā ir spēkā kopš 2004. gada, un kopš 2009. gada marta šāds aizliegums attiecas arī uz kosmētikas līdzekļu sastāvdaļu testēšanu (“testēšanas aizliegums”). Kopš 2009. gada 11. marta ir spēkā arī aizliegums Eiropas Savienībā tirgot (“2009. gada tirdzniecības aizliegums”) kosmētikas līdzekļus un to sastāvdaļas, kas testētas ar dzīvniekiem, lai izpildītu Direktīvas 76/768/EEK</w:t>
      </w:r>
      <w:r>
        <w:rPr>
          <w:rStyle w:val="FootnoteReference"/>
          <w:rFonts w:ascii="Times New Roman" w:hAnsi="Times New Roman"/>
          <w:noProof/>
          <w:sz w:val="24"/>
        </w:rPr>
        <w:footnoteReference w:id="5"/>
      </w:r>
      <w:r>
        <w:rPr>
          <w:rFonts w:ascii="Times New Roman" w:hAnsi="Times New Roman"/>
          <w:noProof/>
          <w:sz w:val="24"/>
        </w:rPr>
        <w:t xml:space="preserve"> prasības. Šis tirdzniecības aizliegums neskar vienīgi tādu ļoti komplicēta veida ietekmi uz cilvēka veselību (“beigupunktus”), kas jāpārbauda, lai pierādītu kosmētikas līdzekļu drošumu, ja nav alternatīvu testu (par atkārtotas devas toksicitāti, reproduktīvo toksicitāti un toksikokinētiku) bez dzīvnieku izmantošanas; Eiropas Parlaments un Padome lēma, ka šāds aizliegums stāsies spēkā 2013. gada 11. martā (“2013. gada tirdzniecības aizliegums”). Komisija 2013. gada 11. martā pieņēma </w:t>
      </w:r>
      <w:hyperlink r:id="rId16">
        <w:r>
          <w:rPr>
            <w:rFonts w:ascii="Times New Roman" w:hAnsi="Times New Roman"/>
            <w:noProof/>
            <w:sz w:val="24"/>
          </w:rPr>
          <w:t>Paziņojumu par izmēģinājumu ar dzīvniekiem un tirdzniecības aizliegumu un par pašreizējo situāciju attiecībā uz alternatīvām testēšanas metodēm kosmētikas līdzekļu jomā</w:t>
        </w:r>
      </w:hyperlink>
      <w:r>
        <w:rPr>
          <w:rFonts w:ascii="Times New Roman" w:hAnsi="Times New Roman"/>
          <w:noProof/>
          <w:sz w:val="24"/>
        </w:rPr>
        <w:t>. Šajā paziņojumā tika apstiprināta Komisijas apņemšanās saglabāt 2013. gada termiņu. Tāpēc tirdzniecības aizliegums pilnīgi stājās spēkā no 2013. gada 11. marta neatkarīgi no tā, vai ir pieejamas alternatīvas testēšanas metodes, kurās neizmanto dzīvniekus.</w:t>
      </w:r>
      <w:r>
        <w:rPr>
          <w:rStyle w:val="FootnoteReference"/>
          <w:rFonts w:ascii="Times New Roman" w:hAnsi="Times New Roman"/>
          <w:noProof/>
          <w:sz w:val="24"/>
        </w:rPr>
        <w:footnoteReference w:id="6"/>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Testēšanas un tirdzniecības aizliegumu ievērošana un ietekme</w:t>
      </w:r>
    </w:p>
    <w:p>
      <w:pPr>
        <w:jc w:val="both"/>
        <w:rPr>
          <w:rFonts w:ascii="Times New Roman" w:hAnsi="Times New Roman" w:cs="Times New Roman"/>
          <w:noProof/>
          <w:sz w:val="24"/>
          <w:szCs w:val="24"/>
        </w:rPr>
      </w:pPr>
      <w:r>
        <w:rPr>
          <w:rFonts w:ascii="Times New Roman" w:hAnsi="Times New Roman"/>
          <w:noProof/>
          <w:sz w:val="24"/>
        </w:rPr>
        <w:t>Ka testēšanas un tirdzniecības aizliegumi tiek ievēroti, praksē galvenokārt pierāda ar kosmētikas līdzekļa lietā sniegto informāciju. Saskaņā ar Kosmētikas regulas 11. panta 1. punktu pēc kosmētikas līdzekļa laišanas ES tirgū atbildīgā persona</w:t>
      </w:r>
      <w:r>
        <w:rPr>
          <w:rStyle w:val="FootnoteReference"/>
          <w:rFonts w:ascii="Times New Roman" w:hAnsi="Times New Roman"/>
          <w:noProof/>
          <w:sz w:val="24"/>
        </w:rPr>
        <w:footnoteReference w:id="7"/>
      </w:r>
      <w:r>
        <w:rPr>
          <w:rFonts w:ascii="Times New Roman" w:hAnsi="Times New Roman"/>
          <w:noProof/>
          <w:sz w:val="24"/>
        </w:rPr>
        <w:t xml:space="preserve"> glabā šā kosmētikas līdzekļa lietu. </w:t>
      </w:r>
    </w:p>
    <w:p>
      <w:pPr>
        <w:jc w:val="both"/>
        <w:rPr>
          <w:rFonts w:ascii="Times New Roman" w:hAnsi="Times New Roman" w:cs="Times New Roman"/>
          <w:bCs/>
          <w:noProof/>
          <w:sz w:val="24"/>
          <w:szCs w:val="24"/>
        </w:rPr>
      </w:pPr>
      <w:r>
        <w:rPr>
          <w:rFonts w:ascii="Times New Roman" w:hAnsi="Times New Roman"/>
          <w:noProof/>
          <w:sz w:val="24"/>
        </w:rPr>
        <w:t xml:space="preserve">Kosmētikas līdzekļa lietā jāietver šāda informācija: </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noProof/>
          <w:sz w:val="24"/>
        </w:rPr>
        <w:t>kosmētikas līdzekļa drošuma ziņojums, kas minēts 10. panta 1. punktā;</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noProof/>
          <w:sz w:val="24"/>
        </w:rPr>
        <w:t>dati par jebkādām pārbaudēm izmēģinājumos ar dzīvniekiem, ko veikuši ražotājs, tā pārstāvji vai piegādātāji un kas attiecas uz kosmētikas līdzekļa vai tā sastāvdaļu drošuma novērtējuma izstrādi, arī uz jebkādām pārbaudēm izmēģinājumos ar dzīvniekiem, ar kurām nodrošina atbilstību trešo valstu normatīvajām vai administratīvajām prasībām</w:t>
      </w:r>
      <w:r>
        <w:rPr>
          <w:rStyle w:val="FootnoteReference"/>
          <w:rFonts w:ascii="Times New Roman" w:hAnsi="Times New Roman"/>
          <w:noProof/>
          <w:sz w:val="24"/>
        </w:rPr>
        <w:footnoteReference w:id="8"/>
      </w:r>
      <w:r>
        <w:rPr>
          <w:rFonts w:ascii="Times New Roman" w:hAnsi="Times New Roman"/>
          <w:noProof/>
          <w:sz w:val="24"/>
        </w:rPr>
        <w:t>.</w:t>
      </w:r>
    </w:p>
    <w:p>
      <w:pPr>
        <w:jc w:val="both"/>
        <w:rPr>
          <w:rFonts w:ascii="Times New Roman" w:hAnsi="Times New Roman" w:cs="Times New Roman"/>
          <w:bCs/>
          <w:noProof/>
          <w:sz w:val="24"/>
          <w:szCs w:val="24"/>
        </w:rPr>
      </w:pPr>
      <w:r>
        <w:rPr>
          <w:rFonts w:ascii="Times New Roman" w:hAnsi="Times New Roman"/>
          <w:noProof/>
          <w:sz w:val="24"/>
        </w:rPr>
        <w:t>Komisija 2013. gada 11. marta paziņojumā sniedza norādes par informāciju, kas būtu jāietver kosmētikas līdzekļa lietā, lai varētu pārbaudīt, vai testēšana ar dzīvniekiem veikta Kosmētikas regulas prasību izpildes vai citā nolūkā.</w:t>
      </w:r>
      <w:r>
        <w:rPr>
          <w:rFonts w:ascii="Times New Roman" w:hAnsi="Times New Roman"/>
          <w:i/>
          <w:noProof/>
          <w:sz w:val="24"/>
        </w:rPr>
        <w:t xml:space="preserve"> </w:t>
      </w:r>
      <w:r>
        <w:rPr>
          <w:rFonts w:ascii="Times New Roman" w:hAnsi="Times New Roman"/>
          <w:noProof/>
          <w:sz w:val="24"/>
        </w:rPr>
        <w:t xml:space="preserve">Kosmētikas līdzekļa lietā būtu jāiekļauj dokumentācija par jebkādu vielas izmantošanu ražojumos, kas nav kosmētikas līdzekļi, piemēram, produktu paraugos, vai tirgus dati un dokumentācija par atbilstību citam tiesiskajam regulējumam (piem., </w:t>
      </w:r>
      <w:r>
        <w:rPr>
          <w:rFonts w:ascii="Times New Roman" w:hAnsi="Times New Roman"/>
          <w:i/>
          <w:noProof/>
          <w:sz w:val="24"/>
        </w:rPr>
        <w:t>REACH</w:t>
      </w:r>
      <w:r>
        <w:rPr>
          <w:rFonts w:ascii="Times New Roman" w:hAnsi="Times New Roman"/>
          <w:noProof/>
          <w:sz w:val="24"/>
        </w:rPr>
        <w:t xml:space="preserve"> regulai</w:t>
      </w:r>
      <w:r>
        <w:rPr>
          <w:rStyle w:val="FootnoteReference"/>
          <w:rFonts w:ascii="Times New Roman" w:hAnsi="Times New Roman"/>
          <w:noProof/>
          <w:sz w:val="24"/>
        </w:rPr>
        <w:footnoteReference w:id="9"/>
      </w:r>
      <w:r>
        <w:rPr>
          <w:rFonts w:ascii="Times New Roman" w:hAnsi="Times New Roman"/>
          <w:noProof/>
          <w:sz w:val="24"/>
        </w:rPr>
        <w:t>), kā arī pamatojums, kāpēc saskaņā ar šo regulējumu ir vajadzīga testēšana ar dzīvniekiem</w:t>
      </w:r>
      <w:r>
        <w:rPr>
          <w:rFonts w:ascii="Times New Roman" w:hAnsi="Times New Roman"/>
          <w:i/>
          <w:noProof/>
          <w:sz w:val="24"/>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Inspekcijas un atbilstība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Pārraudzības darbības un pārbaudes saistībā ar testēšanas un tirdzniecības aizliegumu ievērošanu galvenokārt tika veiktas, attiecībā uz kosmētikas līdzekļiem veicot regulāras inspekcijas vai tādu vispārīgu inspekciju vai inspekciju programmu ietvaros, kuru mērķis ir izvērtēt konkrētus tematus vai riskus. Neviena inspekciju programma netika īstenota </w:t>
      </w:r>
      <w:r>
        <w:rPr>
          <w:rFonts w:ascii="Times New Roman" w:hAnsi="Times New Roman"/>
          <w:i/>
          <w:noProof/>
          <w:sz w:val="24"/>
        </w:rPr>
        <w:t>īpaši</w:t>
      </w:r>
      <w:r>
        <w:rPr>
          <w:rFonts w:ascii="Times New Roman" w:hAnsi="Times New Roman"/>
          <w:noProof/>
          <w:sz w:val="24"/>
        </w:rPr>
        <w:t xml:space="preserve"> tādēļ, lai pārraudzītu testēšanas un tirdzniecības aizliegumu ievērošanu. Parasti atbilstība tika pārbaudīta, kompetentajām nacionālajām iestādēm pārbaudot kosmētikas līdzekļu lietas.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Četras dalībvalstis ziņoja, ka aizliegumu ievērošanu nav uzraudzījušas. Šādi gadījumi galvenokārt bija saistīti ar tirgus specifiku, proti, kosmētisko līdzekļu izcelsmes valsts lielākoties bija kāda cita ES dalībvalsts un vietējā ražošana bija ļoti ierobežota.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Tirgus uzraudzības iestāžu veiktajās inspekcijās gandrīz neviena dalībvalsts neatklāja nekādus testēšanas un tirdzniecības aizliegumu pārkāpumus.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Tika ziņots par vienu gadījumu, kad bija konstatēta neatbilstība aizliegumiem, un minētais pārkāpums attiecās uz kosmētikas līdzekli, kas bija ievests no trešās valsts. Importētājam bija jāizņem kosmētikas līdzeklis no tirgus, un pret viņu tika ierosināta lieta, kurā viņam tika piespriests naudas sods.</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Ar aizlieguma pārraudzību saistītās grūtības un ieteikumi situācijas uzlabošanai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No 23 dalībvalstīm, kas pārraudzīja kosmētikas līdzekļu atbilstību testēšanas un tirdzniecības aizliegumiem, divpadsmit valstis par grūtībām pārbaužu veikšanā nav ziņojušas.</w:t>
      </w:r>
    </w:p>
    <w:p>
      <w:pPr>
        <w:pStyle w:val="ListParagraph"/>
        <w:ind w:left="0"/>
        <w:contextualSpacing w:val="0"/>
        <w:jc w:val="both"/>
        <w:rPr>
          <w:rFonts w:ascii="Times New Roman" w:hAnsi="Times New Roman"/>
          <w:noProof/>
          <w:sz w:val="24"/>
        </w:rPr>
      </w:pPr>
      <w:r>
        <w:rPr>
          <w:rFonts w:ascii="Times New Roman" w:hAnsi="Times New Roman"/>
          <w:noProof/>
          <w:sz w:val="24"/>
        </w:rPr>
        <w:t xml:space="preserve">Lielākā daļa pārējo dalībvalstu kā galvenās grūtības minēja, ka attiecībā uz pārbaudēm izmēģinājumos ar dzīvniekiem kosmētikas līdzekļu lietās pieejamie dati nebija pilnīgi, kaut arī šāda informācija ir vajadzīga, lai verificētu, ka aizliegumi tiek ievēroti. </w:t>
      </w:r>
    </w:p>
    <w:p>
      <w:pPr>
        <w:pStyle w:val="ListParagraph"/>
        <w:ind w:left="0"/>
        <w:contextualSpacing w:val="0"/>
        <w:jc w:val="both"/>
        <w:rPr>
          <w:rFonts w:ascii="Times New Roman" w:hAnsi="Times New Roman"/>
          <w:noProof/>
          <w:sz w:val="24"/>
        </w:rPr>
      </w:pPr>
      <w:r>
        <w:rPr>
          <w:rFonts w:ascii="Times New Roman" w:hAnsi="Times New Roman"/>
          <w:noProof/>
          <w:sz w:val="24"/>
        </w:rPr>
        <w:t xml:space="preserve">Konkrētāk, nebija norādīti pietiekami toksikoloģiskie dati par sastāvdaļām (tostarp dati par pārbaudēm izmēģinājumos ar dzīvniekiem). Turklāt ne vienmēr kosmētikas līdzekļu lietās bija doti pilnīgi dati par atbilstību citam tiesiskajam regulējumam, kas nav Kosmētikas regula (piem., </w:t>
      </w:r>
      <w:r>
        <w:rPr>
          <w:rFonts w:ascii="Times New Roman" w:hAnsi="Times New Roman"/>
          <w:i/>
          <w:noProof/>
          <w:sz w:val="24"/>
        </w:rPr>
        <w:t>REACH</w:t>
      </w:r>
      <w:r>
        <w:rPr>
          <w:rFonts w:ascii="Times New Roman" w:hAnsi="Times New Roman"/>
          <w:noProof/>
          <w:sz w:val="24"/>
        </w:rPr>
        <w:t xml:space="preserve"> regulai). Dažos gadījumos informācija par pārbaudēm izmēģinājumos ar dzīvniekiem bija tikai atbildīgās personas deklarācija, ka galaprodukts izmēģinājumos ar dzīvniekiem nav pārbaudīts. Turklāt tika konstatēts, ka dažos mazajos uzņēmumos ir nepietiekama izpratne par aizliegumiem vai pat aizliegumu prasības ir interpretētas nepareizi.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Dažos gadījumos nepilnīgos datus par pārbaudēm izmēģinājumos ar dzīvniekiem var izskaidrot ar to, ka kosmētikas līdzekļu ražotājam vai atbildīgajai personai pietiekamus toksikoloģiskos datus un datus par pārbaudēm izmēģinājumos ar dzīvniekiem netika snieguši kosmētikas līdzekļu sastāvdaļu piegādātāji. Sakarā ar to, ka testēšanu pasūta tieši sastāvdaļu piegādātāji, neinformēšana nozīmē, ka informācija ne vienmēr kļūs pieejama atbildīgajām personām.Nacionālajām kompetentajām iestādēm turpmākos ziņojumos tādam aspektam kā nepilnīgi kosmētikas līdzekļa lietas dati attiecībā uz pārbaudēm izmēģinājumos ar dzīvniekiem ir jāveltī vairāk uzmanības, lai būtu skaidra tālākā attīstība.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Kā ziņoja četras dalībvalstis, īpašas grūtības bija ar kosmētikas līdzekļiem, kas Eiropas Savienībā bija ievesti no trešām valstīm, kur pārbaudes izmēģinājumos ar dzīvniekiem joprojām vēl jāveic. Dažos no šiem gadījumiem informācija par pārbaudēm izmēģinājumos ar dzīvniekiem gluži vienkārši nebija iekļauta kosmētikas līdzekļa lietā. Divas no šīm dalībvalstīm apšaubīja saņemtās informācijas ticamību attiecībā uz pārbaudēm izmēģinājumos ar dzīvniekiem (jo īpaši deklarācijas, ka pārbaudes izmēģinājumos ar dzīvniekiem nav veiktas).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Pārējās divas dalībvalstis pauda šaubas par Kosmētikas regulas un </w:t>
      </w:r>
      <w:r>
        <w:rPr>
          <w:rFonts w:ascii="Times New Roman" w:hAnsi="Times New Roman"/>
          <w:i/>
          <w:noProof/>
          <w:sz w:val="24"/>
        </w:rPr>
        <w:t>REACH</w:t>
      </w:r>
      <w:r>
        <w:rPr>
          <w:rFonts w:ascii="Times New Roman" w:hAnsi="Times New Roman"/>
          <w:noProof/>
          <w:sz w:val="24"/>
        </w:rPr>
        <w:t xml:space="preserve"> regulas kopīgu piemērošanu. Konkrētāk, nebija skaidrs, vai dati par pārbaudēm izmēģinājumos dzīvniekiem būtu jāsaglabā attiecībā uz sastāvdaļām, kam ir arī citi lietojumi, attiecībā uz kuriem saskaņā ar </w:t>
      </w:r>
      <w:r>
        <w:rPr>
          <w:rFonts w:ascii="Times New Roman" w:hAnsi="Times New Roman"/>
          <w:i/>
          <w:noProof/>
          <w:sz w:val="24"/>
        </w:rPr>
        <w:t>REACH</w:t>
      </w:r>
      <w:r>
        <w:rPr>
          <w:rFonts w:ascii="Times New Roman" w:hAnsi="Times New Roman"/>
          <w:noProof/>
          <w:sz w:val="24"/>
        </w:rPr>
        <w:t xml:space="preserve"> regulu testēšana ar dzīvniekiem ir jāveic.</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Viena dalībvalsts ziņoja, ka kosmētikas līdzekļu lietu palielā apjoma dēļ un tādēļ, ka atbildīgās personas šādos gadījumos ne vienmēr vēlējās lietas iesniegt nacionālajai iestādei, kosmētikas līdzekļu lietas ne vienmēr bija iespējams pārbaudīt uz vietas. Divas dalībvalstis ierosināja pievērsties tam, kā kosmētikas līdzekļa tirgus uzraudzību veikt, ja atbildīgā persona veic uzņēmējdarbību citā dalībvalstī un tātad iestāde nevar tieši piekļūt kosmētikas līdzekļa lietai.</w:t>
      </w:r>
      <w:r>
        <w:rPr>
          <w:rStyle w:val="FootnoteReference"/>
          <w:rFonts w:ascii="Times New Roman" w:hAnsi="Times New Roman"/>
          <w:noProof/>
          <w:sz w:val="24"/>
        </w:rPr>
        <w:footnoteReference w:id="10"/>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Vairākas dalībvalstis pacentās komersantiem labāk izskaidrot aizlieguma prasības, par tām komunicējot ar nozares pārstāvjiem. Informāciju par aizliegumiem minētās dalībvalstis komersantiem izplatīja dažādos plašsaziņas līdzekļos.</w:t>
      </w:r>
      <w:r>
        <w:rPr>
          <w:rStyle w:val="FootnoteReference"/>
          <w:rFonts w:ascii="Times New Roman" w:hAnsi="Times New Roman"/>
          <w:noProof/>
          <w:sz w:val="24"/>
        </w:rPr>
        <w:footnoteReference w:id="11"/>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Ar aizliegumiem saistītās problēmas, ar kurām saskaras ražotāji, jo īpaši MVU, un aizliegumu ietekme uz inovativitāti kosmētikas nozarē</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Lielākā daļa dalībvalstu neziņoja</w:t>
      </w:r>
      <w:r>
        <w:rPr>
          <w:rStyle w:val="FootnoteReference"/>
          <w:rFonts w:ascii="Times New Roman" w:hAnsi="Times New Roman"/>
          <w:noProof/>
          <w:sz w:val="24"/>
        </w:rPr>
        <w:footnoteReference w:id="12"/>
      </w:r>
      <w:r>
        <w:rPr>
          <w:rFonts w:ascii="Times New Roman" w:hAnsi="Times New Roman"/>
          <w:noProof/>
          <w:sz w:val="24"/>
        </w:rPr>
        <w:t xml:space="preserve"> par gadījumiem, kur ražotājs, jo īpaši MVU, nav varējis laist tirgū kosmētikas līdzekli tāpēc, ka kosmētikas līdzekļa vai tā sastāvdaļas drošuma novērtējums nav pārliecinošs, jo pārbaudēm izmēģinājumos ar dzīvniekiem nav alternatīvu.</w:t>
      </w:r>
      <w:r>
        <w:rPr>
          <w:rStyle w:val="FootnoteReference"/>
          <w:rFonts w:ascii="Times New Roman" w:hAnsi="Times New Roman"/>
          <w:noProof/>
          <w:sz w:val="24"/>
        </w:rPr>
        <w:footnoteReference w:id="13"/>
      </w:r>
      <w:r>
        <w:rPr>
          <w:rFonts w:ascii="Times New Roman" w:hAnsi="Times New Roman"/>
          <w:noProof/>
          <w:sz w:val="24"/>
        </w:rPr>
        <w:t xml:space="preserve"> Tomēr viena dalībvalsts norādīja, ka MVU nav vajadzīgo finansiālo līdzekļu, lai jauniem kosmētikas līdzekļiem veiktu dārgas toksikoloģiskas pārbaudes.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Atbildot uz jautājumu par to, kā testēšanas un tirdzniecības aizliegumi ir ietekmējuši inovativitāti kosmētikas nozarē, vairums dalībvalstu vai nu nesniedza informāciju vispār, vai arī ziņoja, ka šāda informācija tām nav pieejama. Pārējo deviņu dalībvalstu viedokļi bija atšķirīgi.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Četras dalībvalstis uzskatīja, ka aizliegumi negatīvi neietekmē inovativitāti. Galvenais minētais iemesls bija, ka par pārbaudēm izmēģinājumos ar dzīvniekiem jau pieejams krietni daudz informācijas, arī tādi dati par pārbaudēm izmēģinājumos ar dzīvniekiem, kas iegūti sakarā ar citu tiesisko regulējumu par ķimikālijām. Ne vienmēr šie viedokļi bija pamatoti ar datiem un tirgus informāciju.</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Pārējās piecas dalībvalstis apgalvoja, ka aizliegumi inovativitāti var zināmā mērā ietekmēt negatīvi, jo dzīvniektestēšanas vietā izmantoto alternatīvo metožu pašreizējais līmenis ir tāds, ka visu toksikoloģisko beigupunktu </w:t>
      </w:r>
      <w:r>
        <w:rPr>
          <w:rFonts w:ascii="Times New Roman" w:hAnsi="Times New Roman"/>
          <w:i/>
          <w:noProof/>
          <w:sz w:val="24"/>
        </w:rPr>
        <w:t xml:space="preserve">in vivo </w:t>
      </w:r>
      <w:r>
        <w:rPr>
          <w:rFonts w:ascii="Times New Roman" w:hAnsi="Times New Roman"/>
          <w:noProof/>
          <w:sz w:val="24"/>
        </w:rPr>
        <w:t>pārbaudes nav aizstājamas, un aizliegumi var ierobežot kosmētikas līdzekļu drošuma pārbaudei pieejamos datus vai apgrūtināt jaunu kosmētikas līdzekļu sastāvdaļu laišanu tirgū.</w:t>
      </w:r>
      <w:r>
        <w:rPr>
          <w:noProof/>
        </w:rPr>
        <w:t xml:space="preserve"> </w:t>
      </w:r>
      <w:r>
        <w:rPr>
          <w:rFonts w:ascii="Times New Roman" w:hAnsi="Times New Roman"/>
          <w:noProof/>
          <w:sz w:val="24"/>
        </w:rPr>
        <w:t>Ne vienmēr šie viedokļi bija pamatoti ar datiem un tirgus informāciju.</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Alternatīvo metožu izstrādes, validēšanas un tiesiskās akceptēšanas gaita</w:t>
      </w:r>
    </w:p>
    <w:p>
      <w:pPr>
        <w:jc w:val="both"/>
        <w:rPr>
          <w:rFonts w:ascii="Times New Roman" w:hAnsi="Times New Roman"/>
          <w:noProof/>
          <w:sz w:val="24"/>
        </w:rPr>
      </w:pPr>
      <w:r>
        <w:rPr>
          <w:rFonts w:ascii="Times New Roman" w:hAnsi="Times New Roman"/>
          <w:noProof/>
          <w:sz w:val="24"/>
        </w:rPr>
        <w:t>Pēdējos gados ir notikusi ievērojama virzība tādu alternatīvo metožu izstrādē, validēšanā un tiesiskajā akceptēšanā jomā, kas paredzētas testēšanai attiecībā uz ādas kairinājumu / kodīgumu ādai, nopietnus acu bojājumus / acu kairinājumi un ādas sensibilizāciju.</w:t>
      </w:r>
    </w:p>
    <w:p>
      <w:pPr>
        <w:jc w:val="both"/>
        <w:rPr>
          <w:rFonts w:ascii="Times New Roman" w:hAnsi="Times New Roman" w:cs="Times New Roman"/>
          <w:noProof/>
          <w:sz w:val="24"/>
          <w:szCs w:val="24"/>
        </w:rPr>
      </w:pPr>
      <w:r>
        <w:rPr>
          <w:rFonts w:ascii="Times New Roman" w:hAnsi="Times New Roman"/>
          <w:noProof/>
          <w:sz w:val="24"/>
        </w:rPr>
        <w:t xml:space="preserve">Attiecībā uz ādas kairinājumu / kodīgumu ādai tagad tiesiski akceptētās alternatīvās metodes ļauj ģenerēt datus, ar kuriem vielu klasificēšanai un to riska novērtēšanai pietiek lielākajā daļā gadījumu. Attiecībā uz nopietniem acu bojājumiem / acu kairinājumu arī ir pieejams tādu tiesiski akceptētu alternatīvu metožu kopums, ar kurām vairumā gadījumu pietiks, lai iegūtu klasificēšanai un riska novērtēšanai piemērotu informāciju. Attiecībā uz ādas sensibilizāciju ir validētas vairākas </w:t>
      </w:r>
      <w:r>
        <w:rPr>
          <w:rFonts w:ascii="Times New Roman" w:hAnsi="Times New Roman"/>
          <w:i/>
          <w:noProof/>
          <w:sz w:val="24"/>
        </w:rPr>
        <w:t>in vitro / in chemico</w:t>
      </w:r>
      <w:r>
        <w:rPr>
          <w:rFonts w:ascii="Times New Roman" w:hAnsi="Times New Roman"/>
          <w:noProof/>
          <w:sz w:val="24"/>
        </w:rPr>
        <w:t xml:space="preserve"> testēšanas metodes, un dažas no tām jau ir tiesiski akceptētas.</w:t>
      </w:r>
      <w:r>
        <w:rPr>
          <w:rStyle w:val="FootnoteReference"/>
          <w:rFonts w:ascii="Times New Roman" w:hAnsi="Times New Roman"/>
          <w:noProof/>
          <w:sz w:val="24"/>
        </w:rPr>
        <w:footnoteReference w:id="14"/>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Lai arī ir notikusi ievērojama virzība alternatīvo metožu izstrādē, vēl aizvien pastāv būtiskas zinātniskas problēmas attiecībā uz sarežģītākajiem beigupunktiem, par kuriem vajadzīgi tālāki pētījumi.</w:t>
      </w:r>
    </w:p>
    <w:p>
      <w:pPr>
        <w:jc w:val="both"/>
        <w:rPr>
          <w:rFonts w:ascii="Times New Roman" w:hAnsi="Times New Roman" w:cs="Times New Roman"/>
          <w:noProof/>
          <w:sz w:val="24"/>
          <w:szCs w:val="24"/>
        </w:rPr>
      </w:pPr>
      <w:r>
        <w:rPr>
          <w:rFonts w:ascii="Times New Roman" w:hAnsi="Times New Roman"/>
          <w:noProof/>
          <w:sz w:val="24"/>
        </w:rPr>
        <w:t>Turklāt Direktīvā 2010/63/ES par zinātniskiem mērķiem izmantojamo dzīvnieku aizsardzību</w:t>
      </w:r>
      <w:r>
        <w:rPr>
          <w:rFonts w:ascii="Times New Roman" w:hAnsi="Times New Roman"/>
          <w:noProof/>
          <w:sz w:val="24"/>
          <w:vertAlign w:val="superscript"/>
        </w:rPr>
        <w:footnoteReference w:id="15"/>
      </w:r>
      <w:r>
        <w:rPr>
          <w:rFonts w:ascii="Times New Roman" w:hAnsi="Times New Roman"/>
          <w:noProof/>
          <w:sz w:val="24"/>
        </w:rPr>
        <w:t>, kas stājās spēkā 2013. gadā, ir noteikts, ka Komisijai un dalībvalstīm ir jāveicina alternatīvu pieeju izstrāde un validācija, savukārt Direktīvā 86/609/EEK ir teikts tikai par šo pieeju atbalstīšanu</w:t>
      </w:r>
      <w:r>
        <w:rPr>
          <w:rStyle w:val="FootnoteReference"/>
          <w:rFonts w:ascii="Times New Roman" w:hAnsi="Times New Roman"/>
          <w:noProof/>
          <w:sz w:val="24"/>
        </w:rPr>
        <w:footnoteReference w:id="16"/>
      </w:r>
      <w:r>
        <w:rPr>
          <w:rFonts w:ascii="Times New Roman" w:hAnsi="Times New Roman"/>
          <w:noProof/>
          <w:sz w:val="24"/>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Virzība ES</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Pētniecības un attīstības darbības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ES daudz dara tādu alternatīvo metožu pētniecībā un izstrādē, ko varētu izmantot ar dzīvniekiem veiktas testēšanas vietā. Alternatīvu pētīšanai Septītajā pamatprogrammā (7. PP 2007.–2013. gadam) tika piešķirti vairāk nekā EUR 250 miljoni, arī no Kopīgās tehnoloģiju ierosmes novatorisku zāļu jomā (</w:t>
      </w:r>
      <w:r>
        <w:rPr>
          <w:rFonts w:ascii="Times New Roman" w:hAnsi="Times New Roman"/>
          <w:i/>
          <w:noProof/>
          <w:sz w:val="24"/>
        </w:rPr>
        <w:t>IMI</w:t>
      </w:r>
      <w:r>
        <w:rPr>
          <w:rFonts w:ascii="Times New Roman" w:hAnsi="Times New Roman"/>
          <w:noProof/>
          <w:sz w:val="24"/>
        </w:rPr>
        <w:t xml:space="preserve">) līdzekļiem. Pētniecības iniciatīva </w:t>
      </w:r>
      <w:r>
        <w:rPr>
          <w:rFonts w:ascii="Times New Roman" w:hAnsi="Times New Roman"/>
          <w:i/>
          <w:noProof/>
          <w:sz w:val="24"/>
        </w:rPr>
        <w:t>SEURAT</w:t>
      </w:r>
      <w:r>
        <w:rPr>
          <w:rFonts w:ascii="Times New Roman" w:hAnsi="Times New Roman"/>
          <w:noProof/>
          <w:sz w:val="24"/>
        </w:rPr>
        <w:t>-1, kas ilga piecus gadus un tika pabeigta 2015. gadā, bija vienreizēja publiskā un privātā partnerība, kuras ietvaros piešķirti līdzekļi EUR 50 miljonu apmērā un kuru līdzfinansēja Komisijas 7. PP (Veselības programma) un Eiropas kosmētikas ražotāju asociācija “</w:t>
      </w:r>
      <w:r>
        <w:rPr>
          <w:rFonts w:ascii="Times New Roman" w:hAnsi="Times New Roman"/>
          <w:i/>
          <w:noProof/>
          <w:sz w:val="24"/>
        </w:rPr>
        <w:t>Cosmetics Europe</w:t>
      </w:r>
      <w:r>
        <w:rPr>
          <w:rFonts w:ascii="Times New Roman" w:hAnsi="Times New Roman"/>
          <w:noProof/>
          <w:sz w:val="24"/>
        </w:rPr>
        <w:t xml:space="preserve">”. To veidoja seši atsevišķi pētniecības projekti un viena koordinācijas darbība, kas apvienoja pētniecības darbu, ko veica vairāk nekā 70 Eiropas universitātes, valsts pētniecības institūti un uzņēmumi. Projekta sasniegumi tika prezentēti pēdējā </w:t>
      </w:r>
      <w:r>
        <w:rPr>
          <w:rFonts w:ascii="Times New Roman" w:hAnsi="Times New Roman"/>
          <w:i/>
          <w:noProof/>
          <w:sz w:val="24"/>
        </w:rPr>
        <w:t>SEURAT</w:t>
      </w:r>
      <w:r>
        <w:rPr>
          <w:rFonts w:ascii="Times New Roman" w:hAnsi="Times New Roman"/>
          <w:noProof/>
          <w:sz w:val="24"/>
        </w:rPr>
        <w:t>-1 simpozijā 2015. gada 4. decembrī Briselē</w:t>
      </w:r>
      <w:r>
        <w:rPr>
          <w:rStyle w:val="FootnoteReference"/>
          <w:rFonts w:ascii="Times New Roman" w:hAnsi="Times New Roman"/>
          <w:noProof/>
          <w:sz w:val="24"/>
        </w:rPr>
        <w:footnoteReference w:id="17"/>
      </w:r>
      <w:r>
        <w:rPr>
          <w:rFonts w:ascii="Times New Roman" w:hAnsi="Times New Roman"/>
          <w:noProof/>
          <w:sz w:val="24"/>
        </w:rPr>
        <w:t>.</w:t>
      </w:r>
    </w:p>
    <w:p>
      <w:pPr>
        <w:pStyle w:val="ListParagraph"/>
        <w:ind w:left="0"/>
        <w:contextualSpacing w:val="0"/>
        <w:jc w:val="both"/>
        <w:rPr>
          <w:rFonts w:ascii="Times New Roman" w:hAnsi="Times New Roman" w:cs="Times New Roman"/>
          <w:iCs/>
          <w:noProof/>
          <w:sz w:val="24"/>
          <w:szCs w:val="24"/>
        </w:rPr>
      </w:pPr>
      <w:r>
        <w:rPr>
          <w:rFonts w:ascii="Times New Roman" w:hAnsi="Times New Roman"/>
          <w:noProof/>
          <w:sz w:val="24"/>
        </w:rPr>
        <w:t xml:space="preserve">Kā </w:t>
      </w:r>
      <w:r>
        <w:rPr>
          <w:rFonts w:ascii="Times New Roman" w:hAnsi="Times New Roman"/>
          <w:i/>
          <w:noProof/>
          <w:sz w:val="24"/>
        </w:rPr>
        <w:t>SEURAT</w:t>
      </w:r>
      <w:r>
        <w:rPr>
          <w:rFonts w:ascii="Times New Roman" w:hAnsi="Times New Roman"/>
          <w:noProof/>
          <w:sz w:val="24"/>
        </w:rPr>
        <w:t>-1 iniciatīvas turpinājums 2016. gada janvārī tika uzsākts projekts ES-</w:t>
      </w:r>
      <w:r>
        <w:rPr>
          <w:rFonts w:ascii="Times New Roman" w:hAnsi="Times New Roman"/>
          <w:i/>
          <w:noProof/>
          <w:sz w:val="24"/>
        </w:rPr>
        <w:t>ToxRisk</w:t>
      </w:r>
      <w:r>
        <w:rPr>
          <w:rStyle w:val="FootnoteReference"/>
          <w:noProof/>
        </w:rPr>
        <w:footnoteReference w:id="18"/>
      </w:r>
      <w:r>
        <w:rPr>
          <w:rFonts w:ascii="Times New Roman" w:hAnsi="Times New Roman"/>
          <w:noProof/>
          <w:sz w:val="24"/>
        </w:rPr>
        <w:t> — “</w:t>
      </w:r>
      <w:r>
        <w:rPr>
          <w:rFonts w:ascii="Times New Roman" w:hAnsi="Times New Roman"/>
          <w:i/>
          <w:noProof/>
          <w:sz w:val="24"/>
        </w:rPr>
        <w:t>Integrēta Eiropas pamatprogramma, kas vērsta uz toksicitātes testēšanu un riska novērtēšanu ar mehānismiem 21. gadsimtā”</w:t>
      </w:r>
      <w:r>
        <w:rPr>
          <w:rFonts w:ascii="Times New Roman" w:hAnsi="Times New Roman"/>
          <w:noProof/>
          <w:sz w:val="24"/>
        </w:rPr>
        <w:t>. Tas ir liels sadarbības projekts, kurā programmas “Apvārsnis 2020” ietvaros tiek piešķirti līdzekļi EUR 30 miljonu apmērā, un tajā ir iesaistītas akadēmiskās aprindas, MVU, kā arī lielu nozares struktūru un regulatīvo struktūru pārstāvji. Tā mērķis ir toksikoloģijā mainīt paradigmu, virzoties uz efektīvāku ķīmiskā drošuma novērtēšanu, kurā neizmanto dzīvniekus, jo īpaši atkārtotas devas un attīstības/reproduktīvās toksicitātes testēšanā</w:t>
      </w:r>
      <w:r>
        <w:rPr>
          <w:rStyle w:val="FootnoteReference"/>
          <w:rFonts w:ascii="Times New Roman" w:hAnsi="Times New Roman"/>
          <w:noProof/>
          <w:sz w:val="24"/>
        </w:rPr>
        <w:footnoteReference w:id="19"/>
      </w:r>
      <w:r>
        <w:rPr>
          <w:rFonts w:ascii="Times New Roman" w:hAnsi="Times New Roman"/>
          <w:noProof/>
          <w:sz w:val="24"/>
        </w:rPr>
        <w:t>.</w:t>
      </w:r>
    </w:p>
    <w:p>
      <w:pPr>
        <w:pStyle w:val="ListParagraph"/>
        <w:ind w:left="0"/>
        <w:contextualSpacing w:val="0"/>
        <w:jc w:val="both"/>
        <w:rPr>
          <w:rFonts w:ascii="Times New Roman" w:hAnsi="Times New Roman" w:cs="Times New Roman"/>
          <w:bCs/>
          <w:noProof/>
          <w:sz w:val="24"/>
          <w:szCs w:val="24"/>
        </w:rPr>
      </w:pPr>
      <w:r>
        <w:rPr>
          <w:rFonts w:ascii="Times New Roman" w:hAnsi="Times New Roman"/>
          <w:noProof/>
          <w:sz w:val="24"/>
        </w:rPr>
        <w:t xml:space="preserve">Eiropas līmenī ir bijuši arī citi projekti, arī projekts </w:t>
      </w:r>
      <w:r>
        <w:rPr>
          <w:rFonts w:ascii="Times New Roman" w:hAnsi="Times New Roman"/>
          <w:i/>
          <w:noProof/>
          <w:sz w:val="24"/>
        </w:rPr>
        <w:t>CALEIDOS</w:t>
      </w:r>
      <w:r>
        <w:rPr>
          <w:rStyle w:val="FootnoteReference"/>
          <w:rFonts w:ascii="Times New Roman" w:hAnsi="Times New Roman"/>
          <w:noProof/>
          <w:sz w:val="24"/>
        </w:rPr>
        <w:footnoteReference w:id="20"/>
      </w:r>
      <w:r>
        <w:rPr>
          <w:rFonts w:ascii="Times New Roman" w:hAnsi="Times New Roman"/>
          <w:noProof/>
          <w:sz w:val="24"/>
        </w:rPr>
        <w:t>, kas programmā “</w:t>
      </w:r>
      <w:r>
        <w:rPr>
          <w:rFonts w:ascii="Times New Roman" w:hAnsi="Times New Roman"/>
          <w:i/>
          <w:noProof/>
          <w:sz w:val="24"/>
        </w:rPr>
        <w:t>Life</w:t>
      </w:r>
      <w:r>
        <w:rPr>
          <w:rFonts w:ascii="Times New Roman" w:hAnsi="Times New Roman"/>
          <w:noProof/>
          <w:sz w:val="24"/>
        </w:rPr>
        <w:t>+” ietvaros finansēts no 2013. gada janvāra līdz 2015. gada jūnijam</w:t>
      </w:r>
      <w:r>
        <w:rPr>
          <w:rStyle w:val="FootnoteReference"/>
          <w:rFonts w:ascii="Times New Roman" w:hAnsi="Times New Roman"/>
          <w:noProof/>
          <w:sz w:val="24"/>
        </w:rPr>
        <w:footnoteReference w:id="21"/>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Alternatīvo metožu validācija un tiesiskā akceptēšana</w:t>
      </w:r>
    </w:p>
    <w:p>
      <w:pPr>
        <w:jc w:val="both"/>
        <w:rPr>
          <w:rFonts w:ascii="Times New Roman" w:hAnsi="Times New Roman" w:cs="Times New Roman"/>
          <w:noProof/>
          <w:sz w:val="24"/>
          <w:szCs w:val="24"/>
        </w:rPr>
      </w:pPr>
      <w:r>
        <w:rPr>
          <w:rFonts w:ascii="Times New Roman" w:hAnsi="Times New Roman"/>
          <w:noProof/>
          <w:sz w:val="24"/>
        </w:rPr>
        <w:t>Pārskats par alternatīvo metožu virzību no validācijas priekšlikuma līdz galīgajai apstiprināšanai un iekļaušanai tiesiskajā regulējumā būs pieejams pārskatītajā Sistēmā alternatīvo testēšanas metožu izsekojamībai līdz tiesiskajai akceptēšanai (</w:t>
      </w:r>
      <w:r>
        <w:rPr>
          <w:rFonts w:ascii="Times New Roman" w:hAnsi="Times New Roman"/>
          <w:i/>
          <w:noProof/>
          <w:sz w:val="24"/>
        </w:rPr>
        <w:t>TSAR</w:t>
      </w:r>
      <w:r>
        <w:rPr>
          <w:rFonts w:ascii="Times New Roman" w:hAnsi="Times New Roman"/>
          <w:noProof/>
          <w:sz w:val="24"/>
        </w:rPr>
        <w:t>)</w:t>
      </w:r>
      <w:r>
        <w:rPr>
          <w:rStyle w:val="FootnoteReference"/>
          <w:rFonts w:ascii="Times New Roman" w:hAnsi="Times New Roman"/>
          <w:noProof/>
          <w:sz w:val="24"/>
        </w:rPr>
        <w:footnoteReference w:id="22"/>
      </w:r>
      <w:r>
        <w:rPr>
          <w:rFonts w:ascii="Times New Roman" w:hAnsi="Times New Roman"/>
          <w:noProof/>
          <w:sz w:val="24"/>
        </w:rPr>
        <w:t xml:space="preserve">. </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i/>
          <w:noProof/>
          <w:sz w:val="24"/>
        </w:rPr>
        <w:t>EURL ECVAM</w:t>
      </w:r>
      <w:r>
        <w:rPr>
          <w:rStyle w:val="FootnoteReference"/>
          <w:rFonts w:ascii="Times New Roman" w:hAnsi="Times New Roman"/>
          <w:noProof/>
          <w:sz w:val="24"/>
        </w:rPr>
        <w:footnoteReference w:id="23"/>
      </w:r>
      <w:r>
        <w:rPr>
          <w:rFonts w:ascii="Times New Roman" w:hAnsi="Times New Roman"/>
          <w:noProof/>
          <w:sz w:val="24"/>
        </w:rPr>
        <w:t xml:space="preserve"> pasākumi</w:t>
      </w:r>
      <w:r>
        <w:rPr>
          <w:rStyle w:val="FootnoteReference"/>
          <w:rFonts w:ascii="Times New Roman" w:hAnsi="Times New Roman"/>
          <w:noProof/>
          <w:sz w:val="24"/>
        </w:rPr>
        <w:footnoteReference w:id="24"/>
      </w:r>
    </w:p>
    <w:p>
      <w:pPr>
        <w:pStyle w:val="ListParagraph"/>
        <w:ind w:left="0"/>
        <w:contextualSpacing w:val="0"/>
        <w:jc w:val="both"/>
        <w:rPr>
          <w:rFonts w:ascii="Times New Roman" w:hAnsi="Times New Roman" w:cs="Times New Roman"/>
          <w:noProof/>
          <w:sz w:val="24"/>
          <w:szCs w:val="24"/>
        </w:rPr>
      </w:pPr>
      <w:r>
        <w:rPr>
          <w:rFonts w:ascii="Times New Roman" w:hAnsi="Times New Roman"/>
          <w:i/>
          <w:noProof/>
          <w:sz w:val="24"/>
        </w:rPr>
        <w:t>EURL ECVAM</w:t>
      </w:r>
      <w:r>
        <w:rPr>
          <w:rFonts w:ascii="Times New Roman" w:hAnsi="Times New Roman"/>
          <w:noProof/>
          <w:sz w:val="24"/>
        </w:rPr>
        <w:t xml:space="preserve"> turpināja pildīt savu pilnvarojumu, kas noteikts Direktīvas 2010/63/ES 48. pantā un VII pielikumā, arī validēt alternatīvās testēšanas metodes ES līmenī un veicināt to tiesisko akceptēšanu.</w:t>
      </w:r>
    </w:p>
    <w:p>
      <w:pPr>
        <w:jc w:val="both"/>
        <w:rPr>
          <w:rFonts w:ascii="Times New Roman" w:hAnsi="Times New Roman" w:cs="Times New Roman"/>
          <w:noProof/>
          <w:sz w:val="24"/>
          <w:szCs w:val="24"/>
        </w:rPr>
      </w:pPr>
      <w:r>
        <w:rPr>
          <w:rFonts w:ascii="Times New Roman" w:hAnsi="Times New Roman"/>
          <w:noProof/>
          <w:sz w:val="24"/>
        </w:rPr>
        <w:t xml:space="preserve">Laikā, ko aptver </w:t>
      </w:r>
      <w:r>
        <w:rPr>
          <w:rFonts w:ascii="Times New Roman" w:hAnsi="Times New Roman"/>
          <w:i/>
          <w:noProof/>
          <w:sz w:val="24"/>
        </w:rPr>
        <w:t>EURL ECVAM</w:t>
      </w:r>
      <w:r>
        <w:rPr>
          <w:rFonts w:ascii="Times New Roman" w:hAnsi="Times New Roman"/>
          <w:noProof/>
          <w:sz w:val="24"/>
        </w:rPr>
        <w:t xml:space="preserve"> 2015. gada stāvokļa pārskata ziņojums (no 2014. gada maija līdz 2015. gada septembrim), </w:t>
      </w:r>
      <w:r>
        <w:rPr>
          <w:rFonts w:ascii="Times New Roman" w:hAnsi="Times New Roman"/>
          <w:i/>
          <w:noProof/>
          <w:sz w:val="24"/>
        </w:rPr>
        <w:t>EURL ECVAM</w:t>
      </w:r>
      <w:r>
        <w:rPr>
          <w:rFonts w:ascii="Times New Roman" w:hAnsi="Times New Roman"/>
          <w:noProof/>
          <w:sz w:val="24"/>
        </w:rPr>
        <w:t xml:space="preserve"> izvērtēja iesniegtos materiālus attiecībā uz trīsdesmit testiem</w:t>
      </w:r>
      <w:r>
        <w:rPr>
          <w:rStyle w:val="FootnoteReference"/>
          <w:noProof/>
        </w:rPr>
        <w:footnoteReference w:id="25"/>
      </w:r>
      <w:r>
        <w:rPr>
          <w:rFonts w:ascii="Times New Roman" w:hAnsi="Times New Roman"/>
          <w:noProof/>
          <w:sz w:val="24"/>
        </w:rPr>
        <w:t xml:space="preserve"> un veiksmīgi veica vairākus validācijas pētījumus. Turklāt </w:t>
      </w:r>
      <w:r>
        <w:rPr>
          <w:rFonts w:ascii="Times New Roman" w:hAnsi="Times New Roman"/>
          <w:i/>
          <w:noProof/>
          <w:sz w:val="24"/>
        </w:rPr>
        <w:t>EURL ECVAM</w:t>
      </w:r>
      <w:r>
        <w:rPr>
          <w:rFonts w:ascii="Times New Roman" w:hAnsi="Times New Roman"/>
          <w:noProof/>
          <w:sz w:val="24"/>
        </w:rPr>
        <w:t xml:space="preserve"> Zinātniski konsultatīvā komiteja zinātniski recenzēja validācijas pētījumus un sniedza atzinumus par testēšanas metodēm ādas sensibilizācijas, acu un ādas kairinājuma un toksikokinētikas jomā.</w:t>
      </w:r>
    </w:p>
    <w:p>
      <w:pPr>
        <w:pStyle w:val="ListParagraph"/>
        <w:ind w:left="0"/>
        <w:contextualSpacing w:val="0"/>
        <w:jc w:val="both"/>
        <w:rPr>
          <w:rFonts w:ascii="Times New Roman" w:hAnsi="Times New Roman" w:cs="Times New Roman"/>
          <w:noProof/>
          <w:sz w:val="24"/>
          <w:szCs w:val="24"/>
        </w:rPr>
      </w:pPr>
      <w:r>
        <w:rPr>
          <w:rFonts w:ascii="Times New Roman" w:hAnsi="Times New Roman"/>
          <w:i/>
          <w:noProof/>
          <w:sz w:val="24"/>
        </w:rPr>
        <w:t>EURL ECVAM</w:t>
      </w:r>
      <w:r>
        <w:rPr>
          <w:rFonts w:ascii="Times New Roman" w:hAnsi="Times New Roman"/>
          <w:noProof/>
          <w:sz w:val="24"/>
        </w:rPr>
        <w:t xml:space="preserve"> publicēja ieteikumu par veiksmīgi validētu ādas sensibilizācijas testu un sagatavoja ziņojumu ESAO par testēšanas vadlīniju izstrādi attiecībā uz šīs metodes izmantošanu</w:t>
      </w:r>
      <w:r>
        <w:rPr>
          <w:rStyle w:val="FootnoteReference"/>
          <w:rFonts w:ascii="Times New Roman" w:hAnsi="Times New Roman"/>
          <w:noProof/>
          <w:sz w:val="24"/>
        </w:rPr>
        <w:footnoteReference w:id="26"/>
      </w:r>
      <w:r>
        <w:rPr>
          <w:rFonts w:ascii="Times New Roman" w:hAnsi="Times New Roman"/>
          <w:noProof/>
          <w:sz w:val="24"/>
        </w:rPr>
        <w:t>. Pašlaik tiek gatavoti divi papildu ieteikumi.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Sīkāka informācija par šiem pasākumiem ir pieejama </w:t>
      </w:r>
      <w:r>
        <w:rPr>
          <w:rFonts w:ascii="Times New Roman" w:hAnsi="Times New Roman"/>
          <w:i/>
          <w:noProof/>
          <w:sz w:val="24"/>
        </w:rPr>
        <w:t xml:space="preserve">EURL ECVAM </w:t>
      </w:r>
      <w:r>
        <w:rPr>
          <w:rFonts w:ascii="Times New Roman" w:hAnsi="Times New Roman"/>
          <w:noProof/>
          <w:sz w:val="24"/>
        </w:rPr>
        <w:t>2015. gada stāvokļa pārskata ziņojumā.</w:t>
      </w:r>
    </w:p>
    <w:p>
      <w:pPr>
        <w:jc w:val="both"/>
        <w:rPr>
          <w:rFonts w:ascii="Times New Roman" w:hAnsi="Times New Roman" w:cs="Times New Roman"/>
          <w:i/>
          <w:noProof/>
          <w:sz w:val="24"/>
          <w:szCs w:val="24"/>
        </w:rPr>
      </w:pPr>
      <w:r>
        <w:rPr>
          <w:rFonts w:ascii="Times New Roman" w:hAnsi="Times New Roman"/>
          <w:i/>
          <w:noProof/>
          <w:sz w:val="24"/>
        </w:rPr>
        <w:t>ES-NETVAL izveide</w:t>
      </w:r>
    </w:p>
    <w:p>
      <w:pPr>
        <w:jc w:val="both"/>
        <w:rPr>
          <w:rFonts w:ascii="Times New Roman" w:hAnsi="Times New Roman" w:cs="Times New Roman"/>
          <w:noProof/>
          <w:sz w:val="24"/>
          <w:szCs w:val="24"/>
        </w:rPr>
      </w:pPr>
      <w:r>
        <w:rPr>
          <w:rFonts w:ascii="Times New Roman" w:hAnsi="Times New Roman"/>
          <w:i/>
          <w:noProof/>
          <w:sz w:val="24"/>
        </w:rPr>
        <w:t>EURL ECVAM</w:t>
      </w:r>
      <w:r>
        <w:rPr>
          <w:rFonts w:ascii="Times New Roman" w:hAnsi="Times New Roman"/>
          <w:noProof/>
          <w:sz w:val="24"/>
        </w:rPr>
        <w:t>, pamatojoties uz Direktīvas 2010/63/ES 47. panta 2. punktu, 2013. gadā izveidoja Eiropas Savienības Alternatīvo testēšanas metožu validācijas laboratoriju tīklu ES-</w:t>
      </w:r>
      <w:r>
        <w:rPr>
          <w:rFonts w:ascii="Times New Roman" w:hAnsi="Times New Roman"/>
          <w:i/>
          <w:noProof/>
          <w:sz w:val="24"/>
        </w:rPr>
        <w:t>NETVAL</w:t>
      </w:r>
      <w:r>
        <w:rPr>
          <w:rStyle w:val="FootnoteReference"/>
          <w:rFonts w:ascii="Times New Roman" w:hAnsi="Times New Roman"/>
          <w:noProof/>
          <w:sz w:val="24"/>
        </w:rPr>
        <w:footnoteReference w:id="27"/>
      </w:r>
      <w:r>
        <w:rPr>
          <w:rFonts w:ascii="Times New Roman" w:hAnsi="Times New Roman"/>
          <w:noProof/>
          <w:sz w:val="24"/>
        </w:rPr>
        <w:t>. ES-</w:t>
      </w:r>
      <w:r>
        <w:rPr>
          <w:rFonts w:ascii="Times New Roman" w:hAnsi="Times New Roman"/>
          <w:i/>
          <w:noProof/>
          <w:sz w:val="24"/>
        </w:rPr>
        <w:t>NETVAL</w:t>
      </w:r>
      <w:r>
        <w:rPr>
          <w:rFonts w:ascii="Times New Roman" w:hAnsi="Times New Roman"/>
          <w:noProof/>
          <w:sz w:val="24"/>
        </w:rPr>
        <w:t xml:space="preserve"> uzdevums ir sniegt atbalstu galvenokārt attiecībā uz </w:t>
      </w:r>
      <w:r>
        <w:rPr>
          <w:rFonts w:ascii="Times New Roman" w:hAnsi="Times New Roman"/>
          <w:i/>
          <w:noProof/>
          <w:sz w:val="24"/>
        </w:rPr>
        <w:t>EURL ECVAM</w:t>
      </w:r>
      <w:r>
        <w:rPr>
          <w:rFonts w:ascii="Times New Roman" w:hAnsi="Times New Roman"/>
          <w:noProof/>
          <w:sz w:val="24"/>
        </w:rPr>
        <w:t xml:space="preserve"> validācijas pētījumiem. Pēc 2015. gadā publiskotā uzaicinājuma piedalīties tīkls aptver vairāk nekā trīsdesmit piecas testēšanas laboratorijas.</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Regulējuma atjaunināšana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Komisijas Regula (EK) Nr. 440/2008</w:t>
      </w:r>
      <w:r>
        <w:rPr>
          <w:rStyle w:val="FootnoteReference"/>
          <w:rFonts w:ascii="Times New Roman" w:hAnsi="Times New Roman"/>
          <w:noProof/>
          <w:sz w:val="24"/>
        </w:rPr>
        <w:footnoteReference w:id="28"/>
      </w:r>
      <w:r>
        <w:rPr>
          <w:rFonts w:ascii="Times New Roman" w:hAnsi="Times New Roman"/>
          <w:noProof/>
          <w:sz w:val="24"/>
        </w:rPr>
        <w:t>, kurā apvienotas visas ES līmeņa tiesiski akceptētās testēšanas metodes</w:t>
      </w:r>
      <w:r>
        <w:rPr>
          <w:rStyle w:val="FootnoteReference"/>
          <w:rFonts w:ascii="Times New Roman" w:hAnsi="Times New Roman"/>
          <w:noProof/>
          <w:sz w:val="24"/>
        </w:rPr>
        <w:footnoteReference w:id="29"/>
      </w:r>
      <w:r>
        <w:rPr>
          <w:rFonts w:ascii="Times New Roman" w:hAnsi="Times New Roman"/>
          <w:noProof/>
          <w:sz w:val="24"/>
        </w:rPr>
        <w:t xml:space="preserve">, kopš 2013. gada ir atjaunināta trīs reizes. Pašlaik tiek veikta vēl viena atjaunināšana.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Ādas kairinājuma / kodīguma ādai, nopietnu acu bojājumu / acu kairinājuma un ādas sensibilizācijas </w:t>
      </w:r>
      <w:r>
        <w:rPr>
          <w:rFonts w:ascii="Times New Roman" w:hAnsi="Times New Roman"/>
          <w:i/>
          <w:noProof/>
          <w:sz w:val="24"/>
        </w:rPr>
        <w:t>in vivo</w:t>
      </w:r>
      <w:r>
        <w:rPr>
          <w:rFonts w:ascii="Times New Roman" w:hAnsi="Times New Roman"/>
          <w:noProof/>
          <w:sz w:val="24"/>
        </w:rPr>
        <w:t xml:space="preserve"> pārbaudes, kas jāveic saskaņā ar </w:t>
      </w:r>
      <w:r>
        <w:rPr>
          <w:rFonts w:ascii="Times New Roman" w:hAnsi="Times New Roman"/>
          <w:i/>
          <w:noProof/>
          <w:sz w:val="24"/>
        </w:rPr>
        <w:t>REACH</w:t>
      </w:r>
      <w:r>
        <w:rPr>
          <w:rFonts w:ascii="Times New Roman" w:hAnsi="Times New Roman"/>
          <w:noProof/>
          <w:sz w:val="24"/>
        </w:rPr>
        <w:t xml:space="preserve"> regulu, vairs neatbilst zinātnes atziņām. Tāpēc Komisija 2014. gada beigās ierosināja grozīt </w:t>
      </w:r>
      <w:r>
        <w:rPr>
          <w:rFonts w:ascii="Times New Roman" w:hAnsi="Times New Roman"/>
          <w:i/>
          <w:noProof/>
          <w:sz w:val="24"/>
        </w:rPr>
        <w:t>REACH</w:t>
      </w:r>
      <w:r>
        <w:rPr>
          <w:rFonts w:ascii="Times New Roman" w:hAnsi="Times New Roman"/>
          <w:noProof/>
          <w:sz w:val="24"/>
        </w:rPr>
        <w:t xml:space="preserve"> regulas VIII pielikumu, lai pieejamo </w:t>
      </w:r>
      <w:r>
        <w:rPr>
          <w:rFonts w:ascii="Times New Roman" w:hAnsi="Times New Roman"/>
          <w:i/>
          <w:noProof/>
          <w:sz w:val="24"/>
        </w:rPr>
        <w:t>in vitro</w:t>
      </w:r>
      <w:r>
        <w:rPr>
          <w:rFonts w:ascii="Times New Roman" w:hAnsi="Times New Roman"/>
          <w:noProof/>
          <w:sz w:val="24"/>
        </w:rPr>
        <w:t xml:space="preserve"> pārbaužu tvērumā attiecībā uz vielas raksturojošiem beigupunktiem </w:t>
      </w:r>
      <w:r>
        <w:rPr>
          <w:rFonts w:ascii="Times New Roman" w:hAnsi="Times New Roman"/>
          <w:i/>
          <w:noProof/>
          <w:sz w:val="24"/>
        </w:rPr>
        <w:t>in vivo</w:t>
      </w:r>
      <w:r>
        <w:rPr>
          <w:rFonts w:ascii="Times New Roman" w:hAnsi="Times New Roman"/>
          <w:noProof/>
          <w:sz w:val="24"/>
        </w:rPr>
        <w:t xml:space="preserve"> pārbaudes pilnīgi aizstātu ar </w:t>
      </w:r>
      <w:r>
        <w:rPr>
          <w:rFonts w:ascii="Times New Roman" w:hAnsi="Times New Roman"/>
          <w:i/>
          <w:noProof/>
          <w:sz w:val="24"/>
        </w:rPr>
        <w:t>in vitro</w:t>
      </w:r>
      <w:r>
        <w:rPr>
          <w:rFonts w:ascii="Times New Roman" w:hAnsi="Times New Roman"/>
          <w:noProof/>
          <w:sz w:val="24"/>
        </w:rPr>
        <w:t xml:space="preserve"> pārbaudēm. Grozījumi pielikumā attiecībā uz ādas kairinājumu / kodīgumu ādai un nopietniem acu bojājumiem / acu kairinājumu tika pieņemti 2016. gada 31. maijā</w:t>
      </w:r>
      <w:r>
        <w:rPr>
          <w:rStyle w:val="FootnoteReference"/>
          <w:rFonts w:ascii="Times New Roman" w:hAnsi="Times New Roman"/>
          <w:noProof/>
          <w:sz w:val="24"/>
        </w:rPr>
        <w:footnoteReference w:id="30"/>
      </w:r>
      <w:r>
        <w:rPr>
          <w:rFonts w:ascii="Times New Roman" w:hAnsi="Times New Roman"/>
          <w:noProof/>
          <w:sz w:val="24"/>
        </w:rPr>
        <w:t xml:space="preserve">. Komisijas priekšlikums par ādas sensibilizāciju saņēma pozitīvu balsojumu </w:t>
      </w:r>
      <w:r>
        <w:rPr>
          <w:rFonts w:ascii="Times New Roman" w:hAnsi="Times New Roman"/>
          <w:i/>
          <w:noProof/>
          <w:sz w:val="24"/>
        </w:rPr>
        <w:t>REACH</w:t>
      </w:r>
      <w:r>
        <w:rPr>
          <w:rFonts w:ascii="Times New Roman" w:hAnsi="Times New Roman"/>
          <w:noProof/>
          <w:sz w:val="24"/>
        </w:rPr>
        <w:t xml:space="preserve"> komitejā 2016. gada aprīlī.</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Eiropas Partnerība alternatīvu pieeju izstrādei attiecībā uz testēšanu ar dzīvniekiem</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Eiropas Partnerības alternatīvu pieeju izstrādei attiecībā uz testēšanu ar dzīvniekiem (</w:t>
      </w:r>
      <w:r>
        <w:rPr>
          <w:rFonts w:ascii="Times New Roman" w:hAnsi="Times New Roman"/>
          <w:i/>
          <w:noProof/>
          <w:sz w:val="24"/>
        </w:rPr>
        <w:t>EPAA</w:t>
      </w:r>
      <w:r>
        <w:rPr>
          <w:rFonts w:ascii="Times New Roman" w:hAnsi="Times New Roman"/>
          <w:noProof/>
          <w:sz w:val="24"/>
        </w:rPr>
        <w:t>) ietvaros Komisija kopā ar nozares pārstāvjiem veicina alternatīvu metožu un pieeju tiesisko akceptēšanu. Tas notiek, īstenojot projektus un organizējot un finansiāli atbalstot seminārus un konferences.</w:t>
      </w:r>
      <w:r>
        <w:rPr>
          <w:rStyle w:val="FootnoteReference"/>
          <w:noProof/>
        </w:rPr>
        <w:footnoteReference w:id="31"/>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Kosmētikas līdzekļu sastāvdaļu drošuma novērtēšanas alternatīvās metodes</w:t>
      </w:r>
    </w:p>
    <w:p>
      <w:pPr>
        <w:jc w:val="both"/>
        <w:rPr>
          <w:rFonts w:ascii="Times New Roman" w:hAnsi="Times New Roman" w:cs="Times New Roman"/>
          <w:noProof/>
          <w:sz w:val="24"/>
          <w:szCs w:val="24"/>
        </w:rPr>
      </w:pPr>
      <w:r>
        <w:rPr>
          <w:rFonts w:ascii="Times New Roman" w:hAnsi="Times New Roman"/>
          <w:noProof/>
          <w:sz w:val="24"/>
        </w:rPr>
        <w:t>Par kosmētikas līdzekļu sastāvdaļu drošuma novērtēšanu atbildīgā Patērētāju drošības zinātniskā komiteja (PDZK) nesen publicēja savu “Norādījumu” 9. pārstrādāto izdevumu, kurā īpaša uzmanība pievērsta jaunākajām norisēm alternatīvo metožu jomā un to piemērotībai attiecībā uz katru drošuma novērtējuma beigupunktu</w:t>
      </w:r>
      <w:r>
        <w:rPr>
          <w:rStyle w:val="FootnoteReference"/>
          <w:noProof/>
        </w:rPr>
        <w:footnoteReference w:id="32"/>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Citi pasākumi attiecībā uz alternatīvām pieejām testēšanai ar dzīvniekiem</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Tādiem tematiem kā dzīvniektestēšanas alternatīvas un vispārīgāk dzīvnieku labturību Eiropas Savienībā nesen tika pievērsta liela uzmanība — 1,17 miljoni iedzīvotāju parakstīja iedzīvotāju 2015. gada iniciatīvu “</w:t>
      </w:r>
      <w:r>
        <w:rPr>
          <w:rFonts w:ascii="Times New Roman" w:hAnsi="Times New Roman"/>
          <w:i/>
          <w:noProof/>
          <w:sz w:val="24"/>
        </w:rPr>
        <w:t>Stop vivisection</w:t>
      </w:r>
      <w:r>
        <w:rPr>
          <w:rFonts w:ascii="Times New Roman" w:hAnsi="Times New Roman"/>
          <w:noProof/>
          <w:sz w:val="24"/>
        </w:rPr>
        <w:t>” (“Izbeigt vivisekciju”)</w:t>
      </w:r>
      <w:r>
        <w:rPr>
          <w:rStyle w:val="FootnoteReference"/>
          <w:rFonts w:ascii="Times New Roman" w:hAnsi="Times New Roman"/>
          <w:noProof/>
          <w:sz w:val="24"/>
        </w:rPr>
        <w:footnoteReference w:id="33"/>
      </w:r>
      <w:r>
        <w:rPr>
          <w:rFonts w:ascii="Times New Roman" w:hAnsi="Times New Roman"/>
          <w:noProof/>
          <w:sz w:val="24"/>
        </w:rPr>
        <w:t>, pieprasot izbeigt jebkādus eksperimentus ar dzīvniekiem. Atbildot uz šo iniciatīvu, Komisija savā 2015. gada 3. jūnija paziņojumā</w:t>
      </w:r>
      <w:r>
        <w:rPr>
          <w:rStyle w:val="FootnoteReference"/>
          <w:rFonts w:ascii="Times New Roman" w:hAnsi="Times New Roman"/>
          <w:noProof/>
          <w:sz w:val="24"/>
        </w:rPr>
        <w:footnoteReference w:id="34"/>
      </w:r>
      <w:r>
        <w:rPr>
          <w:rFonts w:ascii="Times New Roman" w:hAnsi="Times New Roman"/>
          <w:noProof/>
          <w:sz w:val="24"/>
        </w:rPr>
        <w:t xml:space="preserve"> apņēmās veikt vairākus pasākumus, lai paātrinātu tādu pētniecības un testēšanas pieeju izstrādi un apguvi, kurās neizmanto dzīvniekus. Viens no tiem ir līdz 2016. gada beigām organizēt konferenci</w:t>
      </w:r>
      <w:r>
        <w:rPr>
          <w:rStyle w:val="FootnoteReference"/>
          <w:rFonts w:ascii="Times New Roman" w:hAnsi="Times New Roman"/>
          <w:noProof/>
          <w:sz w:val="24"/>
        </w:rPr>
        <w:footnoteReference w:id="35"/>
      </w:r>
      <w:r>
        <w:rPr>
          <w:rFonts w:ascii="Times New Roman" w:hAnsi="Times New Roman"/>
          <w:noProof/>
          <w:sz w:val="24"/>
        </w:rPr>
        <w:t>, kas zinātnieku kopienu un attiecīgās ieinteresētās personas iesaistīs diskusijās, kā, balstoties uz zinātnes sasniegumiem, izstrādāt zinātniski derīgu pieeju, kurā neizmanto dzīvniekus, un virzīties uz mērķi pilnīgi atteikties no testēšanas ar dzīvniekiem, neapdraudot cilvēka drošību.</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Virzība starptautiskā līmenī</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Pasākumi ESAO līmenī</w:t>
      </w:r>
    </w:p>
    <w:p>
      <w:pPr>
        <w:jc w:val="both"/>
        <w:rPr>
          <w:rFonts w:ascii="Times New Roman" w:hAnsi="Times New Roman" w:cs="Times New Roman"/>
          <w:noProof/>
          <w:sz w:val="24"/>
          <w:szCs w:val="24"/>
        </w:rPr>
      </w:pPr>
      <w:r>
        <w:rPr>
          <w:rFonts w:ascii="Times New Roman" w:hAnsi="Times New Roman"/>
          <w:noProof/>
          <w:sz w:val="24"/>
        </w:rPr>
        <w:t>Metodes, attiecībā uz kurām ir pieņemtas ESAO testēšanas vadlīnijas, ES līmenī ir juridiski īstenotas ar Komisijas Regulu (EK) Nr. 440/2008.</w:t>
      </w:r>
      <w:r>
        <w:rPr>
          <w:rStyle w:val="FootnoteReference"/>
          <w:rFonts w:ascii="Times New Roman" w:hAnsi="Times New Roman"/>
          <w:noProof/>
          <w:sz w:val="24"/>
        </w:rPr>
        <w:footnoteReference w:id="36"/>
      </w:r>
      <w:r>
        <w:rPr>
          <w:rFonts w:ascii="Times New Roman" w:hAnsi="Times New Roman"/>
          <w:noProof/>
          <w:sz w:val="24"/>
        </w:rPr>
        <w:t xml:space="preserve"> Turklāt ESAO apstiprinātās metodes Eiropas Savienībā regulatīvi izmantot var arī pirms to oficiālās iekļaušanas Komisijas Regulā (EK) Nr. 440/2008.</w:t>
      </w:r>
    </w:p>
    <w:p>
      <w:pPr>
        <w:jc w:val="both"/>
        <w:rPr>
          <w:rFonts w:ascii="Times New Roman" w:hAnsi="Times New Roman" w:cs="Times New Roman"/>
          <w:noProof/>
          <w:sz w:val="24"/>
          <w:szCs w:val="24"/>
        </w:rPr>
      </w:pPr>
      <w:r>
        <w:rPr>
          <w:rFonts w:ascii="Times New Roman" w:hAnsi="Times New Roman"/>
          <w:noProof/>
          <w:sz w:val="24"/>
        </w:rPr>
        <w:t>ESAO Testēšanas vadlīniju programmas (</w:t>
      </w:r>
      <w:r>
        <w:rPr>
          <w:rFonts w:ascii="Times New Roman" w:hAnsi="Times New Roman"/>
          <w:i/>
          <w:noProof/>
          <w:sz w:val="24"/>
        </w:rPr>
        <w:t>TGP</w:t>
      </w:r>
      <w:r>
        <w:rPr>
          <w:rFonts w:ascii="Times New Roman" w:hAnsi="Times New Roman"/>
          <w:noProof/>
          <w:sz w:val="24"/>
        </w:rPr>
        <w:t xml:space="preserve">) nacionālo koordinatoru darba grupa 2015. gadā apstiprināja sešas jaunas testēšanas vadlīnijas, no tām četru testu pamatā bija </w:t>
      </w:r>
      <w:r>
        <w:rPr>
          <w:rFonts w:ascii="Times New Roman" w:hAnsi="Times New Roman"/>
          <w:i/>
          <w:noProof/>
          <w:sz w:val="24"/>
        </w:rPr>
        <w:t>in vitro</w:t>
      </w:r>
      <w:r>
        <w:rPr>
          <w:rFonts w:ascii="Times New Roman" w:hAnsi="Times New Roman"/>
          <w:noProof/>
          <w:sz w:val="24"/>
        </w:rPr>
        <w:t xml:space="preserve"> metodes (attiecībā uz nopietniem acu bojājumiem / acu kairinājumu un endokrīnās sistēmas darbības traucējumiem). Turklāt desmit līdzšinējās testēšanas vadlīnijas tika atjauninātas.</w:t>
      </w:r>
    </w:p>
    <w:p>
      <w:pPr>
        <w:jc w:val="both"/>
        <w:rPr>
          <w:rFonts w:ascii="Times New Roman" w:hAnsi="Times New Roman" w:cs="Times New Roman"/>
          <w:noProof/>
          <w:sz w:val="24"/>
          <w:szCs w:val="24"/>
        </w:rPr>
      </w:pPr>
      <w:r>
        <w:rPr>
          <w:rFonts w:ascii="Times New Roman" w:hAnsi="Times New Roman"/>
          <w:i/>
          <w:noProof/>
          <w:sz w:val="24"/>
        </w:rPr>
        <w:t>EURL ECVAM</w:t>
      </w:r>
      <w:r>
        <w:rPr>
          <w:rFonts w:ascii="Times New Roman" w:hAnsi="Times New Roman"/>
          <w:noProof/>
          <w:sz w:val="24"/>
        </w:rPr>
        <w:t xml:space="preserve"> 2015. gada stāvokļa pārskata ziņojuma I pielikumā ir pieejams kopsavilkums par to testēšanas vadlīniju pieņemšanas statusu ESAO </w:t>
      </w:r>
      <w:r>
        <w:rPr>
          <w:rFonts w:ascii="Times New Roman" w:hAnsi="Times New Roman"/>
          <w:i/>
          <w:noProof/>
          <w:sz w:val="24"/>
        </w:rPr>
        <w:t>TGP</w:t>
      </w:r>
      <w:r>
        <w:rPr>
          <w:rFonts w:ascii="Times New Roman" w:hAnsi="Times New Roman"/>
          <w:noProof/>
          <w:sz w:val="24"/>
        </w:rPr>
        <w:t xml:space="preserve"> (2012.–2015. gadā), kuru pamatā ir alternatīvas metodes. </w:t>
      </w:r>
    </w:p>
    <w:p>
      <w:pPr>
        <w:jc w:val="both"/>
        <w:rPr>
          <w:rFonts w:ascii="Times New Roman" w:hAnsi="Times New Roman" w:cs="Times New Roman"/>
          <w:noProof/>
          <w:sz w:val="24"/>
          <w:szCs w:val="24"/>
        </w:rPr>
      </w:pPr>
      <w:r>
        <w:rPr>
          <w:rFonts w:ascii="Times New Roman" w:hAnsi="Times New Roman"/>
          <w:noProof/>
          <w:sz w:val="24"/>
        </w:rPr>
        <w:t xml:space="preserve">Komisija ar </w:t>
      </w:r>
      <w:r>
        <w:rPr>
          <w:rFonts w:ascii="Times New Roman" w:hAnsi="Times New Roman"/>
          <w:i/>
          <w:noProof/>
          <w:sz w:val="24"/>
        </w:rPr>
        <w:t>EURL ECVAM</w:t>
      </w:r>
      <w:r>
        <w:rPr>
          <w:rFonts w:ascii="Times New Roman" w:hAnsi="Times New Roman"/>
          <w:noProof/>
          <w:sz w:val="24"/>
        </w:rPr>
        <w:t xml:space="preserve"> starpniecību aktīvi piedalās pasākumos ESAO līmenī. ESAO </w:t>
      </w:r>
      <w:r>
        <w:rPr>
          <w:rFonts w:ascii="Times New Roman" w:hAnsi="Times New Roman"/>
          <w:i/>
          <w:noProof/>
          <w:sz w:val="24"/>
        </w:rPr>
        <w:t>TGP</w:t>
      </w:r>
      <w:r>
        <w:rPr>
          <w:rFonts w:ascii="Times New Roman" w:hAnsi="Times New Roman"/>
          <w:noProof/>
          <w:sz w:val="24"/>
        </w:rPr>
        <w:t xml:space="preserve"> ietvaros </w:t>
      </w:r>
      <w:r>
        <w:rPr>
          <w:rFonts w:ascii="Times New Roman" w:hAnsi="Times New Roman"/>
          <w:i/>
          <w:noProof/>
          <w:sz w:val="24"/>
        </w:rPr>
        <w:t>EURL ECVAM</w:t>
      </w:r>
      <w:r>
        <w:rPr>
          <w:rFonts w:ascii="Times New Roman" w:hAnsi="Times New Roman"/>
          <w:noProof/>
          <w:sz w:val="24"/>
        </w:rPr>
        <w:t xml:space="preserve"> vada vai ir viena no vadītājām desmit projektos, kuros tiek izstrādāts jaunas testēšanas vadlīnijas vai norādījumi.</w:t>
      </w:r>
    </w:p>
    <w:p>
      <w:pPr>
        <w:jc w:val="both"/>
        <w:rPr>
          <w:rFonts w:ascii="Times New Roman" w:hAnsi="Times New Roman" w:cs="Times New Roman"/>
          <w:noProof/>
          <w:sz w:val="24"/>
          <w:szCs w:val="24"/>
        </w:rPr>
      </w:pPr>
      <w:r>
        <w:rPr>
          <w:rFonts w:ascii="Times New Roman" w:hAnsi="Times New Roman"/>
          <w:noProof/>
          <w:sz w:val="24"/>
        </w:rPr>
        <w:t xml:space="preserve">Turklāt ESAO Apdraudējuma novērtēšanas darba grupā </w:t>
      </w:r>
      <w:r>
        <w:rPr>
          <w:rFonts w:ascii="Times New Roman" w:hAnsi="Times New Roman"/>
          <w:i/>
          <w:noProof/>
          <w:sz w:val="24"/>
        </w:rPr>
        <w:t>EURL ECVAM</w:t>
      </w:r>
      <w:r>
        <w:rPr>
          <w:rFonts w:ascii="Times New Roman" w:hAnsi="Times New Roman"/>
          <w:noProof/>
          <w:sz w:val="24"/>
        </w:rPr>
        <w:t xml:space="preserve"> vada projektus, kuri ir saistīti ar integrētu testēšanas un novērtēšanas pieeju (</w:t>
      </w:r>
      <w:r>
        <w:rPr>
          <w:rFonts w:ascii="Times New Roman" w:hAnsi="Times New Roman"/>
          <w:i/>
          <w:noProof/>
          <w:sz w:val="24"/>
        </w:rPr>
        <w:t>IATA</w:t>
      </w:r>
      <w:r>
        <w:rPr>
          <w:rFonts w:ascii="Times New Roman" w:hAnsi="Times New Roman"/>
          <w:noProof/>
          <w:sz w:val="24"/>
        </w:rPr>
        <w:t xml:space="preserve">), kas kā testēšanai ar dzīvniekiem alternatīvs risinājums pēdējos gados ir kļuvusi par prioritāti. </w:t>
      </w:r>
      <w:r>
        <w:rPr>
          <w:rFonts w:ascii="Times New Roman" w:hAnsi="Times New Roman"/>
          <w:i/>
          <w:noProof/>
          <w:sz w:val="24"/>
        </w:rPr>
        <w:t>EURL ECVAM</w:t>
      </w:r>
      <w:r>
        <w:rPr>
          <w:rFonts w:ascii="Times New Roman" w:hAnsi="Times New Roman"/>
          <w:noProof/>
          <w:sz w:val="24"/>
        </w:rPr>
        <w:t xml:space="preserve"> kopā ar ASV Vides aizsardzības aģentūru ir arī grupas līdzpriekšsēdētāja</w:t>
      </w:r>
      <w:r>
        <w:rPr>
          <w:rStyle w:val="FootnoteReference"/>
          <w:rFonts w:ascii="Times New Roman" w:hAnsi="Times New Roman"/>
          <w:noProof/>
          <w:sz w:val="24"/>
        </w:rPr>
        <w:footnoteReference w:id="37"/>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Cita sadarbība ar trešām valstīm</w:t>
      </w:r>
    </w:p>
    <w:p>
      <w:pPr>
        <w:jc w:val="both"/>
        <w:rPr>
          <w:rFonts w:ascii="Times New Roman" w:hAnsi="Times New Roman" w:cs="Times New Roman"/>
          <w:noProof/>
          <w:sz w:val="24"/>
          <w:szCs w:val="24"/>
        </w:rPr>
      </w:pPr>
      <w:r>
        <w:rPr>
          <w:rFonts w:ascii="Times New Roman" w:hAnsi="Times New Roman"/>
          <w:noProof/>
          <w:sz w:val="24"/>
        </w:rPr>
        <w:t xml:space="preserve">Starptautiskā līmenī Komisija ir iesaistīta dažādos sadarbības projektos, galvenokārt ar </w:t>
      </w:r>
      <w:r>
        <w:rPr>
          <w:rFonts w:ascii="Times New Roman" w:hAnsi="Times New Roman"/>
          <w:i/>
          <w:noProof/>
          <w:sz w:val="24"/>
        </w:rPr>
        <w:t>EURL ECVAM</w:t>
      </w:r>
      <w:r>
        <w:rPr>
          <w:rFonts w:ascii="Times New Roman" w:hAnsi="Times New Roman"/>
          <w:noProof/>
          <w:sz w:val="24"/>
        </w:rPr>
        <w:t xml:space="preserve"> starpniecību, arī Starptautiskajā konferencē par tehnisko prasību saskaņošanu cilvēkiem paredzēto farmaceitisko produktu reģistrācijai (</w:t>
      </w:r>
      <w:r>
        <w:rPr>
          <w:rFonts w:ascii="Times New Roman" w:hAnsi="Times New Roman"/>
          <w:i/>
          <w:noProof/>
          <w:sz w:val="24"/>
        </w:rPr>
        <w:t>ICH</w:t>
      </w:r>
      <w:r>
        <w:rPr>
          <w:rFonts w:ascii="Times New Roman" w:hAnsi="Times New Roman"/>
          <w:noProof/>
          <w:sz w:val="24"/>
        </w:rPr>
        <w:t>), Pasaules Veselības organizācijas Starptautiskajā Ķimikāliju drošuma programmā (</w:t>
      </w:r>
      <w:r>
        <w:rPr>
          <w:rFonts w:ascii="Times New Roman" w:hAnsi="Times New Roman"/>
          <w:i/>
          <w:noProof/>
          <w:sz w:val="24"/>
        </w:rPr>
        <w:t>IPCS</w:t>
      </w:r>
      <w:r>
        <w:rPr>
          <w:rFonts w:ascii="Times New Roman" w:hAnsi="Times New Roman"/>
          <w:noProof/>
          <w:sz w:val="24"/>
        </w:rPr>
        <w:t>) un Starptautiskajā sadarbībā alternatīvu testēšanas metožu jomā (</w:t>
      </w:r>
      <w:r>
        <w:rPr>
          <w:rFonts w:ascii="Times New Roman" w:hAnsi="Times New Roman"/>
          <w:i/>
          <w:noProof/>
          <w:sz w:val="24"/>
        </w:rPr>
        <w:t>ICATM</w:t>
      </w:r>
      <w:r>
        <w:rPr>
          <w:rFonts w:ascii="Times New Roman" w:hAnsi="Times New Roman"/>
          <w:noProof/>
          <w:sz w:val="24"/>
        </w:rPr>
        <w:t>)</w:t>
      </w:r>
      <w:r>
        <w:rPr>
          <w:rStyle w:val="FootnoteReference"/>
          <w:rFonts w:ascii="Times New Roman" w:hAnsi="Times New Roman"/>
          <w:noProof/>
          <w:sz w:val="24"/>
        </w:rPr>
        <w:footnoteReference w:id="38"/>
      </w:r>
      <w:r>
        <w:rPr>
          <w:rFonts w:ascii="Times New Roman" w:hAnsi="Times New Roman"/>
          <w:noProof/>
          <w:sz w:val="24"/>
        </w:rPr>
        <w:t>, ko 2009. gadā izveidoja Starptautiskā sadarbība kosmētikas līdzekļu regulējuma jomā (</w:t>
      </w:r>
      <w:r>
        <w:rPr>
          <w:rFonts w:ascii="Times New Roman" w:hAnsi="Times New Roman"/>
          <w:i/>
          <w:noProof/>
          <w:sz w:val="24"/>
        </w:rPr>
        <w:t>ICCR</w:t>
      </w:r>
      <w:r>
        <w:rPr>
          <w:rFonts w:ascii="Times New Roman" w:hAnsi="Times New Roman"/>
          <w:noProof/>
          <w:sz w:val="24"/>
        </w:rPr>
        <w:t>)</w:t>
      </w:r>
      <w:r>
        <w:rPr>
          <w:rStyle w:val="FootnoteReference"/>
          <w:rFonts w:ascii="Times New Roman" w:hAnsi="Times New Roman"/>
          <w:noProof/>
          <w:sz w:val="24"/>
        </w:rPr>
        <w:footnoteReference w:id="39"/>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i/>
          <w:noProof/>
          <w:sz w:val="24"/>
        </w:rPr>
        <w:t>ICATM</w:t>
      </w:r>
      <w:r>
        <w:rPr>
          <w:rFonts w:ascii="Times New Roman" w:hAnsi="Times New Roman"/>
          <w:noProof/>
          <w:sz w:val="24"/>
        </w:rPr>
        <w:t xml:space="preserve"> locekļi vienojās pastiprināt sadarbību, brīvprātīgi veicot testēšanas metožu validācijas pētījumus, un sagatavot norādes par to, kā būtu veicami validācijas pētījumi. Pārskats par alternatīvo testēšanas metožu validācijas statusu un </w:t>
      </w:r>
      <w:r>
        <w:rPr>
          <w:rFonts w:ascii="Times New Roman" w:hAnsi="Times New Roman"/>
          <w:i/>
          <w:noProof/>
          <w:sz w:val="24"/>
        </w:rPr>
        <w:t>ICATM</w:t>
      </w:r>
      <w:r>
        <w:rPr>
          <w:rFonts w:ascii="Times New Roman" w:hAnsi="Times New Roman"/>
          <w:noProof/>
          <w:sz w:val="24"/>
        </w:rPr>
        <w:t xml:space="preserve"> locekļu tiesiski akceptētajām alternatīvajām testēšanas metodēm ir pieejams </w:t>
      </w:r>
      <w:r>
        <w:rPr>
          <w:rFonts w:ascii="Times New Roman" w:hAnsi="Times New Roman"/>
          <w:i/>
          <w:noProof/>
          <w:sz w:val="24"/>
        </w:rPr>
        <w:t>EURL ECVAM</w:t>
      </w:r>
      <w:r>
        <w:rPr>
          <w:rFonts w:ascii="Times New Roman" w:hAnsi="Times New Roman"/>
          <w:noProof/>
          <w:sz w:val="24"/>
        </w:rPr>
        <w:t xml:space="preserve"> 2015. gada stāvokļa pārskata ziņojuma II pielikumā.</w:t>
      </w:r>
    </w:p>
    <w:p>
      <w:pPr>
        <w:jc w:val="both"/>
        <w:rPr>
          <w:rFonts w:ascii="Times New Roman" w:hAnsi="Times New Roman" w:cs="Times New Roman"/>
          <w:noProof/>
          <w:sz w:val="24"/>
          <w:szCs w:val="24"/>
        </w:rPr>
      </w:pPr>
      <w:r>
        <w:rPr>
          <w:rFonts w:ascii="Times New Roman" w:hAnsi="Times New Roman"/>
          <w:i/>
          <w:noProof/>
          <w:sz w:val="24"/>
        </w:rPr>
        <w:t>ICCR</w:t>
      </w:r>
      <w:r>
        <w:rPr>
          <w:rFonts w:ascii="Times New Roman" w:hAnsi="Times New Roman"/>
          <w:noProof/>
          <w:sz w:val="24"/>
        </w:rPr>
        <w:t xml:space="preserve"> ietilpst dažādi ar dzīvniektestēšanas</w:t>
      </w:r>
      <w:r>
        <w:rPr>
          <w:rStyle w:val="FootnoteReference"/>
          <w:rFonts w:ascii="Times New Roman" w:hAnsi="Times New Roman"/>
          <w:noProof/>
          <w:sz w:val="24"/>
        </w:rPr>
        <w:footnoteReference w:id="40"/>
      </w:r>
      <w:r>
        <w:rPr>
          <w:rFonts w:ascii="Times New Roman" w:hAnsi="Times New Roman"/>
          <w:noProof/>
          <w:sz w:val="24"/>
        </w:rPr>
        <w:t xml:space="preserve"> alternatīvām saistīti projekti. </w:t>
      </w:r>
      <w:r>
        <w:rPr>
          <w:rFonts w:ascii="Times New Roman" w:hAnsi="Times New Roman"/>
          <w:i/>
          <w:noProof/>
          <w:sz w:val="24"/>
        </w:rPr>
        <w:t>ICCR</w:t>
      </w:r>
      <w:r>
        <w:rPr>
          <w:rFonts w:ascii="Times New Roman" w:hAnsi="Times New Roman"/>
          <w:noProof/>
          <w:sz w:val="24"/>
        </w:rPr>
        <w:t xml:space="preserve"> devītajā ikgadējā sanāksmē, kas notika Briselē (Beļģijā) 2015. gada 4., 5. un 6. novembrī, </w:t>
      </w:r>
      <w:r>
        <w:rPr>
          <w:rFonts w:ascii="Times New Roman" w:hAnsi="Times New Roman"/>
          <w:i/>
          <w:noProof/>
          <w:sz w:val="24"/>
        </w:rPr>
        <w:t>ICCR</w:t>
      </w:r>
      <w:r>
        <w:rPr>
          <w:rFonts w:ascii="Times New Roman" w:hAnsi="Times New Roman"/>
          <w:noProof/>
          <w:sz w:val="24"/>
        </w:rPr>
        <w:t xml:space="preserve"> locekļi nolēma apvienot dažādas grupas, kas nodarbojas ar alternatīvām testēšanas metodēm, vienā drošuma novērtēšanas metožu darba grupā. Šīs grupas darbības mērķis ir plašāk pievērsties integrētām metodēm un pieejām attiecībā uz kosmētikas līdzekļos izmantoto sastāvdaļu drošuma novērtēšanu.</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Secinājums</w:t>
      </w:r>
    </w:p>
    <w:p>
      <w:pPr>
        <w:jc w:val="both"/>
        <w:rPr>
          <w:rFonts w:ascii="Times New Roman" w:hAnsi="Times New Roman"/>
          <w:noProof/>
          <w:sz w:val="24"/>
        </w:rPr>
      </w:pPr>
      <w:r>
        <w:rPr>
          <w:rFonts w:ascii="Times New Roman" w:hAnsi="Times New Roman"/>
          <w:noProof/>
          <w:sz w:val="24"/>
        </w:rPr>
        <w:t xml:space="preserve">Šo ziņojumu ir bijis iespējams sagatavot tikai 2016. gadā, jo tā pamatā ir dalībvalstu pienesums laikposmā no 2014. gada līdz 2015. gada beigām. </w:t>
      </w:r>
    </w:p>
    <w:p>
      <w:pPr>
        <w:jc w:val="both"/>
        <w:rPr>
          <w:rFonts w:ascii="Times New Roman" w:hAnsi="Times New Roman" w:cs="Times New Roman"/>
          <w:noProof/>
          <w:sz w:val="24"/>
          <w:szCs w:val="24"/>
        </w:rPr>
      </w:pPr>
      <w:r>
        <w:rPr>
          <w:rFonts w:ascii="Times New Roman" w:hAnsi="Times New Roman"/>
          <w:noProof/>
          <w:sz w:val="24"/>
        </w:rPr>
        <w:t>Dalībvalstis nav ziņojušas burtiski ne par vienu gadījumu, kad nebūtu ievēroti testēšanas un tirdzniecības aizliegumi. Tirgus uzraudzības pasākumos attiecībā uz aizliegumiem valstu konstatētā galvenā problēma ir, ka kosmētikas līdzekļu lietu dati par pārbaudēm izmēģinājumos ar dzīvniekiem nav pilnīgi.</w:t>
      </w:r>
    </w:p>
    <w:p>
      <w:pPr>
        <w:jc w:val="both"/>
        <w:rPr>
          <w:rFonts w:ascii="Times New Roman" w:hAnsi="Times New Roman" w:cs="Times New Roman"/>
          <w:noProof/>
          <w:sz w:val="24"/>
          <w:szCs w:val="24"/>
        </w:rPr>
      </w:pPr>
      <w:r>
        <w:rPr>
          <w:rFonts w:ascii="Times New Roman" w:hAnsi="Times New Roman"/>
          <w:noProof/>
          <w:sz w:val="24"/>
        </w:rPr>
        <w:t>Tomēr šis ziņojums aptver salīdzinoši agru posmu attiecībā uz 2013. gada tirdzniecības aizlieguma īstenošanu. Būs interesanti sekot tam, kas šajā jomā notiks turpmāk, kad komersanti un tirgus uzraudzības iestādes attiecībā uz tirdzniecības aizlieguma īstenošanu pilnā apmērā iegūs lielāku pieredzi. Konkrētāk, nacionālajām kompetentajām iestādēm būtu jāpārrauga jautājums par gadījumiem, kur kosmētikas līdzekļa lietā nav pilnīgu datu par pārbaudēm izmēģinājumos ar dzīvniekiem, jo kosmētikas līdzekļa lieta ir galvenais līdzeklis, kā verificēt testēšanas un tirdzniecības aizliegumu ievērošanu.</w:t>
      </w:r>
    </w:p>
    <w:p>
      <w:pPr>
        <w:jc w:val="both"/>
        <w:rPr>
          <w:rFonts w:ascii="Times New Roman" w:hAnsi="Times New Roman" w:cs="Times New Roman"/>
          <w:noProof/>
          <w:sz w:val="24"/>
          <w:szCs w:val="24"/>
        </w:rPr>
      </w:pPr>
      <w:r>
        <w:rPr>
          <w:rFonts w:ascii="Times New Roman" w:hAnsi="Times New Roman"/>
          <w:noProof/>
          <w:sz w:val="24"/>
        </w:rPr>
        <w:t xml:space="preserve">Ir panākts daudz attiecībā uz tādu metožu izstrādi, validēšanu un tiesisko akceptēšanu, kas paredzētas kā alternatīvas pārbaudēm izmēģinājumos ar dzīvniekiem. Tomēr vēl aizvien ir dažas problēmas attiecībā sarežģītākajiem beigupunktiem, kuru gadījumā jāturpina pētniecība. Pašreizējais alternatīvo testēšanas metožu līmenis neļauj pilnībā aizstāt </w:t>
      </w:r>
      <w:r>
        <w:rPr>
          <w:rFonts w:ascii="Times New Roman" w:hAnsi="Times New Roman"/>
          <w:i/>
          <w:noProof/>
          <w:sz w:val="24"/>
        </w:rPr>
        <w:t>in vivo</w:t>
      </w:r>
      <w:r>
        <w:rPr>
          <w:rFonts w:ascii="Times New Roman" w:hAnsi="Times New Roman"/>
          <w:noProof/>
          <w:sz w:val="24"/>
        </w:rPr>
        <w:t xml:space="preserve"> pārbaudes attiecībā uz visiem toksikoloģiskajiem beigupunktiem.</w:t>
      </w:r>
    </w:p>
    <w:p>
      <w:pPr>
        <w:jc w:val="both"/>
        <w:rPr>
          <w:rFonts w:ascii="Times New Roman" w:hAnsi="Times New Roman" w:cs="Times New Roman"/>
          <w:noProof/>
          <w:sz w:val="24"/>
          <w:szCs w:val="24"/>
        </w:rPr>
      </w:pPr>
      <w:r>
        <w:rPr>
          <w:rFonts w:ascii="Times New Roman" w:hAnsi="Times New Roman"/>
          <w:noProof/>
          <w:sz w:val="24"/>
        </w:rPr>
        <w:t xml:space="preserve">Alternatīvo testēšanas metožu izstrādē ES veikusi lielu ieguldījumu, galvenokārt ar tādu vērienīgu pētniecisku iniciatīvu starpniecību, kurās kopīgi darbojas valsts un privātās struktūras. Eiropas Komisija vēl aizvien ir iesaistīta alternatīvo metožu validācijā ar </w:t>
      </w:r>
      <w:r>
        <w:rPr>
          <w:rFonts w:ascii="Times New Roman" w:hAnsi="Times New Roman"/>
          <w:i/>
          <w:noProof/>
          <w:sz w:val="24"/>
        </w:rPr>
        <w:t>EURL ECVAM</w:t>
      </w:r>
      <w:r>
        <w:rPr>
          <w:rFonts w:ascii="Times New Roman" w:hAnsi="Times New Roman"/>
          <w:noProof/>
          <w:sz w:val="24"/>
        </w:rPr>
        <w:t xml:space="preserve"> starpniecību, kā arī veicina alternatīvo testēšanas metožu tiesisko akceptēšanu ESAO un starptautiskā līmenī.</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7246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OV L 342, 22.12.2009., 59. lpp.</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135 </w:t>
      </w:r>
      <w:r>
        <w:rPr>
          <w:rFonts w:ascii="Times New Roman" w:hAnsi="Times New Roman"/>
          <w:i/>
        </w:rPr>
        <w:t>final.</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Savienības Kopīgās pētniecības centra ģenerāldirektorāta Eiropas Savienības References laboratorija Dzīvnieku testēšanas alternatīvām, agrāk Veselības un patērētāju aizsardzības institūts, patlaban F Direktorāts — Veselība, patērētāji un references materiāli.</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http://bookshop.europa.eu/en/eurl-ecvam-status-report-on-the-development-validation-and-regulatory-acceptance-of-alternative-methods-and-approaches-2015--pbLBNA27474/</w:t>
        </w:r>
      </w:hyperlink>
      <w:r>
        <w:rPr>
          <w:rStyle w:val="Hyperlink"/>
          <w:rFonts w:ascii="Times New Roman" w:hAnsi="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Padomes 1976. gada 27. jūlija Direktīva 76/768/EEK par dalībvalstu tiesību aktu tuvināšanu attiecībā uz kosmētikas līdzekļiem</w:t>
      </w:r>
      <w:r>
        <w:t xml:space="preserve"> (</w:t>
      </w:r>
      <w:r>
        <w:rPr>
          <w:rFonts w:ascii="Times New Roman" w:hAnsi="Times New Roman"/>
        </w:rPr>
        <w:t>OV L 262, 27.9.1976., 169. lpp.), kas atcelta ar Kosmētikas regulu.</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Savienības Tiesā pašlaik tiek izskatīta lieta (C-592/14) par Kosmētikas regulas 18. panta 1. punkta b) apakšpunktā noteiktā tirdzniecības aizlieguma interpretāciju.</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Atbilstoši Kosmētikas regulas 4. pantā dotajai definīcijai.</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Kosmētikas regulas 11. panta 2. punkta b) un e) apakšpunkts.</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Parlamenta un Padomes 2006. gada 18. decembra Regula (EK) Nr. 1907/2006, kas attiecas uz ķimikāliju reģistrēšanu, vērtēšanu, licencēšanu un ierobežošanu (</w:t>
      </w:r>
      <w:r>
        <w:rPr>
          <w:rFonts w:ascii="Times New Roman" w:hAnsi="Times New Roman"/>
          <w:i/>
        </w:rPr>
        <w:t>REACH</w:t>
      </w:r>
      <w:r>
        <w:rPr>
          <w:rFonts w:ascii="Times New Roman" w:hAnsi="Times New Roman"/>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OV L 396, 30.12.2006., 1. lpp.</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Tomēr Kosmētikas regulas 30. pants kompetentajai iestādei dalībvalstī, kurā darīts pieejams kosmētikas līdzeklis, dod iespēju pieprasīt kompetentajai iestādei dalībvalstī, kurā kosmētikas līdzekļa lieta ir viegli pieejama, pārbaudīt, vai kosmētikas līdzekļa lieta atbilst 11. panta 2. punktā minētajām prasībām un vai tajā iekļautā informācija apliecina kosmētikas līdzekļa drošumu.</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Lai palīdzētu risināt dažus no iepriekš minētajiem jautājumiem, viena no šīm dalībvalstīm ieteica izstrādāt kopēju platformu informācijas apmaiņai Eiropas Tirgus uzraudzības iestāžu sadarbības platformas kosmētikas jomā (</w:t>
      </w:r>
      <w:r>
        <w:rPr>
          <w:rFonts w:ascii="Times New Roman" w:hAnsi="Times New Roman"/>
          <w:i/>
        </w:rPr>
        <w:t>PEMSAC</w:t>
      </w:r>
      <w:r>
        <w:rPr>
          <w:rFonts w:ascii="Times New Roman" w:hAnsi="Times New Roman"/>
        </w:rPr>
        <w:t xml:space="preserve">) ietvaros. Tomēr neviena dalībvalsts neierosināja iekļaut šo tematu </w:t>
      </w:r>
      <w:r>
        <w:rPr>
          <w:rFonts w:ascii="Times New Roman" w:hAnsi="Times New Roman"/>
          <w:i/>
        </w:rPr>
        <w:t>PEMSAC</w:t>
      </w:r>
      <w:r>
        <w:rPr>
          <w:rFonts w:ascii="Times New Roman" w:hAnsi="Times New Roman"/>
        </w:rPr>
        <w:t xml:space="preserve"> darba programmā 2016.–2017. gadam.</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Dažas no šīm dalībvalstīm skaidri norādīja, ka nav konstatēts neviens šāds gadījums; citas šim jautājumam atsevišķi nepievērsās.</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Tomēr viena dalībvalsts šo jautājumu ierosināja. Saskaņā ar informāciju, ko šī dalībvalsts saņēma no nozares apvienībām, ir kļuvis neiespējami laist tirgū konkrētus kosmētikas līdzekļus, jo kosmētikas līdzekļa vai kādas tā sastāvdaļas drošuma novērtējums nav pārliecinošs. Tomēr ne vienmēr bija iespējams pārliecinoši pateikt, vai tas noticis tieši testēšanas un tirdzniecības aizliegumu dēļ.</w:t>
      </w:r>
    </w:p>
  </w:footnote>
  <w:footnote w:id="14">
    <w:p>
      <w:pPr>
        <w:pStyle w:val="FootnoteText"/>
        <w:jc w:val="both"/>
        <w:rPr>
          <w:rFonts w:ascii="Times New Roman" w:hAnsi="Times New Roman" w:cs="Times New Roman"/>
        </w:rPr>
      </w:pPr>
    </w:p>
  </w:footnote>
  <w:footnote w:id="15">
    <w:p>
      <w:pPr>
        <w:pStyle w:val="FootnoteText"/>
        <w:rPr>
          <w:rFonts w:ascii="Times New Roman" w:hAnsi="Times New Roman" w:cs="Times New Roman"/>
        </w:rPr>
      </w:pPr>
      <w:r>
        <w:rPr>
          <w:rStyle w:val="FootnoteReference"/>
          <w:rFonts w:ascii="Times New Roman" w:hAnsi="Times New Roman"/>
        </w:rPr>
        <w:t>1</w:t>
      </w:r>
      <w:r>
        <w:rPr>
          <w:rStyle w:val="FootnoteReference"/>
        </w:rPr>
        <w:t>4</w:t>
      </w:r>
      <w:r>
        <w:rPr>
          <w:rFonts w:ascii="Times New Roman" w:hAnsi="Times New Roman"/>
        </w:rPr>
        <w:t xml:space="preserve"> Eiropas Parlamenta un Padomes 2010. gada 22. septembra Direktīva 2010/63/ES par zinātniskiem mērķiem izmantojamo dzīvnieku aizsardzību, OV L 276, 20.10.2010., 33. lpp.</w:t>
      </w:r>
    </w:p>
  </w:footnote>
  <w:footnote w:id="16">
    <w:p>
      <w:pPr>
        <w:pStyle w:val="FootnoteText"/>
        <w:rPr>
          <w:rFonts w:ascii="Times New Roman" w:hAnsi="Times New Roman" w:cs="Times New Roman"/>
        </w:rPr>
      </w:pPr>
      <w:r>
        <w:rPr>
          <w:rStyle w:val="FootnoteReference"/>
          <w:rFonts w:ascii="Times New Roman" w:hAnsi="Times New Roman"/>
        </w:rPr>
        <w:t>1</w:t>
      </w:r>
      <w:r>
        <w:rPr>
          <w:rStyle w:val="FootnoteReference"/>
        </w:rPr>
        <w:t>5</w:t>
      </w:r>
      <w:r>
        <w:rPr>
          <w:rFonts w:ascii="Times New Roman" w:hAnsi="Times New Roman"/>
        </w:rPr>
        <w:t xml:space="preserve"> Padomes 1986. gada 24. novembra Direktīva 86/609/EEK par dalībvalstu normatīvo un administratīvo aktu tuvināšanu attiecībā uz to dzīvnieku aizsardzību, kurus izmanto izmēģinājumos un citiem zinātniskiem mērķiem,</w:t>
      </w:r>
      <w:r>
        <w:t xml:space="preserve"> </w:t>
      </w:r>
      <w:r>
        <w:rPr>
          <w:rFonts w:ascii="Times New Roman" w:hAnsi="Times New Roman"/>
        </w:rPr>
        <w:t>OV L 358, 18.12.1986., 1. lpp.</w:t>
      </w:r>
    </w:p>
  </w:footnote>
  <w:footnote w:id="17">
    <w:p>
      <w:pPr>
        <w:pStyle w:val="FootnoteText"/>
        <w:jc w:val="both"/>
        <w:rPr>
          <w:rFonts w:ascii="Times New Roman" w:hAnsi="Times New Roman" w:cs="Times New Roman"/>
        </w:rPr>
      </w:pPr>
      <w:r>
        <w:rPr>
          <w:rStyle w:val="FootnoteReference"/>
          <w:rFonts w:ascii="Times New Roman" w:hAnsi="Times New Roman"/>
        </w:rPr>
        <w:t>1</w:t>
      </w:r>
      <w:r>
        <w:rPr>
          <w:rStyle w:val="FootnoteReference"/>
        </w:rPr>
        <w:t>6</w:t>
      </w:r>
      <w:r>
        <w:rPr>
          <w:rFonts w:ascii="Times New Roman" w:hAnsi="Times New Roman"/>
        </w:rPr>
        <w:t xml:space="preserve"> </w:t>
      </w:r>
      <w:hyperlink r:id="rId2">
        <w:r>
          <w:rPr>
            <w:rStyle w:val="Hyperlink"/>
            <w:rFonts w:ascii="Times New Roman" w:hAnsi="Times New Roman"/>
          </w:rPr>
          <w:t>http://www.seurat-1.eu/</w:t>
        </w:r>
      </w:hyperlink>
      <w:r>
        <w:rPr>
          <w:rFonts w:ascii="Times New Roman" w:hAnsi="Times New Roman"/>
        </w:rPr>
        <w:t>.</w:t>
      </w:r>
    </w:p>
  </w:footnote>
  <w:footnote w:id="18">
    <w:p>
      <w:pPr>
        <w:pStyle w:val="FootnoteText"/>
        <w:jc w:val="both"/>
        <w:rPr>
          <w:rFonts w:ascii="Times New Roman" w:hAnsi="Times New Roman" w:cs="Times New Roman"/>
        </w:rPr>
      </w:pPr>
      <w:r>
        <w:rPr>
          <w:rStyle w:val="FootnoteReference"/>
          <w:rFonts w:ascii="Times New Roman" w:hAnsi="Times New Roman"/>
        </w:rPr>
        <w:t>1</w:t>
      </w:r>
      <w:r>
        <w:rPr>
          <w:rStyle w:val="FootnoteReference"/>
        </w:rPr>
        <w:t>7</w:t>
      </w:r>
      <w:r>
        <w:rPr>
          <w:rFonts w:ascii="Times New Roman" w:hAnsi="Times New Roman"/>
        </w:rPr>
        <w:t xml:space="preserve"> </w:t>
      </w:r>
      <w:hyperlink r:id="rId3">
        <w:r>
          <w:rPr>
            <w:rStyle w:val="Hyperlink"/>
            <w:rFonts w:ascii="Times New Roman" w:hAnsi="Times New Roman"/>
          </w:rPr>
          <w:t>http://www.eu-toxrisk.eu/</w:t>
        </w:r>
      </w:hyperlink>
      <w:r>
        <w:rPr>
          <w:rFonts w:ascii="Times New Roman" w:hAnsi="Times New Roman"/>
        </w:rPr>
        <w:t>.</w:t>
      </w:r>
    </w:p>
  </w:footnote>
  <w:footnote w:id="19">
    <w:p>
      <w:pPr>
        <w:pStyle w:val="FootnoteText"/>
        <w:jc w:val="both"/>
        <w:rPr>
          <w:rFonts w:ascii="Times New Roman" w:hAnsi="Times New Roman" w:cs="Times New Roman"/>
        </w:rPr>
      </w:pPr>
    </w:p>
  </w:footnote>
  <w:footnote w:id="20">
    <w:p>
      <w:pPr>
        <w:pStyle w:val="FootnoteText"/>
        <w:jc w:val="both"/>
        <w:rPr>
          <w:rFonts w:ascii="Times New Roman" w:hAnsi="Times New Roman" w:cs="Times New Roman"/>
        </w:rPr>
      </w:pPr>
      <w:r>
        <w:rPr>
          <w:rStyle w:val="FootnoteReference"/>
        </w:rPr>
        <w:t xml:space="preserve">18 </w:t>
      </w:r>
      <w:r>
        <w:rPr>
          <w:rFonts w:ascii="Times New Roman" w:hAnsi="Times New Roman"/>
        </w:rPr>
        <w:t xml:space="preserve">Ķimikāliju novērtējums atbilstoši tiesību aktiem, kas veicina </w:t>
      </w:r>
      <w:r>
        <w:rPr>
          <w:rFonts w:ascii="Times New Roman" w:hAnsi="Times New Roman"/>
          <w:i/>
        </w:rPr>
        <w:t xml:space="preserve">In silico </w:t>
      </w:r>
      <w:r>
        <w:rPr>
          <w:rFonts w:ascii="Times New Roman" w:hAnsi="Times New Roman"/>
        </w:rPr>
        <w:t xml:space="preserve">dokumentēšanu un drošu izmantošanu, </w:t>
      </w:r>
      <w:hyperlink r:id="rId4">
        <w:r>
          <w:rPr>
            <w:rStyle w:val="Hyperlink"/>
            <w:rFonts w:ascii="Times New Roman" w:hAnsi="Times New Roman"/>
          </w:rPr>
          <w:t>http://www.caleidos-life.eu/</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Pr>
        <w:t>19</w:t>
      </w:r>
      <w:r>
        <w:rPr>
          <w:rFonts w:ascii="Times New Roman" w:hAnsi="Times New Roman"/>
        </w:rPr>
        <w:t xml:space="preserve"> Projektā tika noskaidrota tā dēvēto metožu bez izmēģinājumiem (kvantitatīvais struktūras aktivitātes attiecības modelis (</w:t>
      </w:r>
      <w:r>
        <w:rPr>
          <w:rFonts w:ascii="Times New Roman" w:hAnsi="Times New Roman"/>
          <w:i/>
        </w:rPr>
        <w:t>QSAR</w:t>
      </w:r>
      <w:r>
        <w:rPr>
          <w:rFonts w:ascii="Times New Roman" w:hAnsi="Times New Roman"/>
        </w:rPr>
        <w:t xml:space="preserve">) un analoģijas modelis) tiesiskā piemērojamība vielām, kas reģistrētas saskaņā ar </w:t>
      </w:r>
      <w:r>
        <w:rPr>
          <w:rFonts w:ascii="Times New Roman" w:hAnsi="Times New Roman"/>
          <w:i/>
        </w:rPr>
        <w:t>REACH</w:t>
      </w:r>
      <w:r>
        <w:rPr>
          <w:rFonts w:ascii="Times New Roman" w:hAnsi="Times New Roman"/>
        </w:rPr>
        <w:t xml:space="preserve"> regulu.</w:t>
      </w:r>
    </w:p>
  </w:footnote>
  <w:footnote w:id="22">
    <w:p>
      <w:pPr>
        <w:pStyle w:val="FootnoteText"/>
        <w:rPr>
          <w:rFonts w:ascii="Times New Roman" w:hAnsi="Times New Roman" w:cs="Times New Roman"/>
        </w:rPr>
      </w:pPr>
      <w:r>
        <w:rPr>
          <w:rStyle w:val="FootnoteReference"/>
        </w:rPr>
        <w:t>20</w:t>
      </w:r>
      <w:r>
        <w:rPr>
          <w:rFonts w:ascii="Times New Roman" w:hAnsi="Times New Roman"/>
        </w:rPr>
        <w:t xml:space="preserve"> Pārskatītā </w:t>
      </w:r>
      <w:r>
        <w:rPr>
          <w:rFonts w:ascii="Times New Roman" w:hAnsi="Times New Roman"/>
          <w:i/>
        </w:rPr>
        <w:t>TSAR</w:t>
      </w:r>
      <w:r>
        <w:rPr>
          <w:rFonts w:ascii="Times New Roman" w:hAnsi="Times New Roman"/>
        </w:rPr>
        <w:t xml:space="preserve"> aptvers arī to </w:t>
      </w:r>
      <w:r>
        <w:rPr>
          <w:rFonts w:ascii="Times New Roman" w:hAnsi="Times New Roman"/>
          <w:i/>
        </w:rPr>
        <w:t>EURL ECVAM</w:t>
      </w:r>
      <w:r>
        <w:rPr>
          <w:rFonts w:ascii="Times New Roman" w:hAnsi="Times New Roman"/>
        </w:rPr>
        <w:t xml:space="preserve"> atsevišķo partneru vajadzības, kuri piedalās starptautiskajā sadarbībā alternatīvu testēšanas metožu jomā (</w:t>
      </w:r>
      <w:r>
        <w:rPr>
          <w:rFonts w:ascii="Times New Roman" w:hAnsi="Times New Roman"/>
          <w:i/>
        </w:rPr>
        <w:t>ICATM</w:t>
      </w:r>
      <w:r>
        <w:rPr>
          <w:rFonts w:ascii="Times New Roman" w:hAnsi="Times New Roman"/>
        </w:rPr>
        <w:t>); skatīt 4.2.2. sadaļu.</w:t>
      </w:r>
    </w:p>
  </w:footnote>
  <w:footnote w:id="23">
    <w:p>
      <w:pPr>
        <w:pStyle w:val="FootnoteText"/>
        <w:rPr>
          <w:rFonts w:ascii="Times New Roman" w:hAnsi="Times New Roman" w:cs="Times New Roman"/>
        </w:rPr>
      </w:pPr>
      <w:r>
        <w:rPr>
          <w:rStyle w:val="FootnoteReference"/>
        </w:rPr>
        <w:t xml:space="preserve">21 </w:t>
      </w:r>
      <w:r>
        <w:rPr>
          <w:rFonts w:ascii="Times New Roman" w:hAnsi="Times New Roman"/>
        </w:rPr>
        <w:t>Eiropas Komisijas Kopīgā pētniecības centra (</w:t>
      </w:r>
      <w:r>
        <w:rPr>
          <w:rFonts w:ascii="Times New Roman" w:hAnsi="Times New Roman"/>
          <w:i/>
        </w:rPr>
        <w:t>JRC</w:t>
      </w:r>
      <w:r>
        <w:rPr>
          <w:rFonts w:ascii="Times New Roman" w:hAnsi="Times New Roman"/>
        </w:rPr>
        <w:t>) Eiropas Savienības Alternatīvo metožu validēšanas centrs.</w:t>
      </w:r>
    </w:p>
  </w:footnote>
  <w:footnote w:id="24">
    <w:p>
      <w:pPr>
        <w:pStyle w:val="FootnoteText"/>
        <w:jc w:val="both"/>
        <w:rPr>
          <w:rFonts w:ascii="Times New Roman" w:hAnsi="Times New Roman" w:cs="Times New Roman"/>
        </w:rPr>
      </w:pPr>
      <w:r>
        <w:rPr>
          <w:rStyle w:val="FootnoteReference"/>
        </w:rPr>
        <w:t>22</w:t>
      </w:r>
      <w:r>
        <w:rPr>
          <w:rFonts w:ascii="Times New Roman" w:hAnsi="Times New Roman"/>
        </w:rPr>
        <w:t xml:space="preserve"> </w:t>
      </w:r>
      <w:hyperlink r:id="rId5">
        <w:r>
          <w:rPr>
            <w:rStyle w:val="Hyperlink"/>
            <w:rFonts w:ascii="Times New Roman" w:hAnsi="Times New Roman"/>
          </w:rPr>
          <w:t>https://eurl-ecvam.jrc.ec.europa.eu/</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Pr>
        <w:t>23</w:t>
      </w:r>
      <w:r>
        <w:rPr>
          <w:rFonts w:ascii="Times New Roman" w:hAnsi="Times New Roman"/>
        </w:rPr>
        <w:t xml:space="preserve"> Ne visām testēšanas metodēm, par kurām iesniegti materiāli, ir svarīga nozīme attiecībā uz kosmētikas līdzekļu drošuma novērtējumu veikšanu.</w:t>
      </w:r>
    </w:p>
  </w:footnote>
  <w:footnote w:id="26">
    <w:p>
      <w:pPr>
        <w:pStyle w:val="FootnoteText"/>
        <w:jc w:val="both"/>
      </w:pPr>
      <w:r>
        <w:rPr>
          <w:rStyle w:val="FootnoteReference"/>
        </w:rPr>
        <w:t>24</w:t>
      </w:r>
      <w:r>
        <w:rPr>
          <w:rFonts w:ascii="Times New Roman" w:hAnsi="Times New Roman"/>
        </w:rPr>
        <w:t xml:space="preserve"> Par ESAO līmeņa pasākumiem sk. šā ziņojuma 4.2.1. sadaļu.</w:t>
      </w:r>
    </w:p>
  </w:footnote>
  <w:footnote w:id="27">
    <w:p>
      <w:pPr>
        <w:pStyle w:val="FootnoteText"/>
        <w:jc w:val="both"/>
        <w:rPr>
          <w:rFonts w:ascii="Times New Roman" w:hAnsi="Times New Roman" w:cs="Times New Roman"/>
        </w:rPr>
      </w:pPr>
      <w:r>
        <w:rPr>
          <w:rStyle w:val="FootnoteReference"/>
        </w:rPr>
        <w:t>25</w:t>
      </w:r>
      <w:r>
        <w:rPr>
          <w:rFonts w:ascii="Times New Roman" w:hAnsi="Times New Roman"/>
        </w:rPr>
        <w:t xml:space="preserve"> </w:t>
      </w:r>
      <w:hyperlink r:id="rId6">
        <w:r>
          <w:rPr>
            <w:rStyle w:val="Hyperlink"/>
            <w:rFonts w:ascii="Times New Roman" w:hAnsi="Times New Roman"/>
          </w:rPr>
          <w:t>https://eurl-ecvam.jrc.ec.europa.eu/eu-netval</w:t>
        </w:r>
      </w:hyperlink>
      <w:r>
        <w:rPr>
          <w:rFonts w:ascii="Times New Roman" w:hAnsi="Times New Roman"/>
        </w:rPr>
        <w:t>.</w:t>
      </w:r>
    </w:p>
  </w:footnote>
  <w:footnote w:id="28">
    <w:p>
      <w:pPr>
        <w:pStyle w:val="FootnoteText"/>
        <w:jc w:val="both"/>
        <w:rPr>
          <w:rFonts w:ascii="Times New Roman" w:hAnsi="Times New Roman" w:cs="Times New Roman"/>
        </w:rPr>
      </w:pPr>
      <w:r>
        <w:rPr>
          <w:rStyle w:val="FootnoteReference"/>
          <w:rFonts w:ascii="Times New Roman" w:hAnsi="Times New Roman"/>
        </w:rPr>
        <w:t>2</w:t>
      </w:r>
      <w:r>
        <w:rPr>
          <w:rStyle w:val="FootnoteReference"/>
        </w:rPr>
        <w:t>6</w:t>
      </w:r>
      <w:r>
        <w:rPr>
          <w:rFonts w:ascii="Times New Roman" w:hAnsi="Times New Roman"/>
        </w:rPr>
        <w:t xml:space="preserve"> Komisijas 2008. gada 30. maija Regula (EK) Nr. 440/2008 par testēšanas metožu noteikšanu saskaņā ar Eiropas Parlamenta un Padomes Regulu (EK) Nr. 1907/2006, kas attiecas uz ķimikāliju reģistrēšanu, vērtēšanu, licencēšanu un ierobežošanu (</w:t>
      </w:r>
      <w:r>
        <w:rPr>
          <w:rFonts w:ascii="Times New Roman" w:hAnsi="Times New Roman"/>
          <w:i/>
        </w:rPr>
        <w:t>REACH</w:t>
      </w:r>
      <w:r>
        <w:rPr>
          <w:rFonts w:ascii="Times New Roman" w:hAnsi="Times New Roman"/>
        </w:rPr>
        <w:t>), OV L 142, 31.5.2008., 1. lpp.</w:t>
      </w:r>
    </w:p>
  </w:footnote>
  <w:footnote w:id="29">
    <w:p>
      <w:pPr>
        <w:pStyle w:val="FootnoteText"/>
        <w:jc w:val="both"/>
        <w:rPr>
          <w:rFonts w:ascii="Times New Roman" w:hAnsi="Times New Roman" w:cs="Times New Roman"/>
        </w:rPr>
      </w:pPr>
      <w:r>
        <w:rPr>
          <w:rStyle w:val="FootnoteReference"/>
          <w:rFonts w:ascii="Times New Roman" w:hAnsi="Times New Roman"/>
        </w:rPr>
        <w:t>2</w:t>
      </w:r>
      <w:r>
        <w:rPr>
          <w:rStyle w:val="FootnoteReference"/>
        </w:rPr>
        <w:t>7</w:t>
      </w:r>
      <w:r>
        <w:rPr>
          <w:rFonts w:ascii="Times New Roman" w:hAnsi="Times New Roman"/>
        </w:rPr>
        <w:t xml:space="preserve"> Kosmētikas regulas VIII pielikums (Izmēģinājumiem ar dzīvniekiem validēto alternatīvo metožu saraksts) ir jāatjaunina, iekļaujot </w:t>
      </w:r>
      <w:r>
        <w:rPr>
          <w:rFonts w:ascii="Times New Roman" w:hAnsi="Times New Roman"/>
          <w:i/>
        </w:rPr>
        <w:t>ECVAM</w:t>
      </w:r>
      <w:r>
        <w:rPr>
          <w:rFonts w:ascii="Times New Roman" w:hAnsi="Times New Roman"/>
        </w:rPr>
        <w:t xml:space="preserve"> apstiprinātās alternatīvās metodes, kas nav minētas sarakstā Komisijas Regulā (EK) Nr. 440/2008.</w:t>
      </w:r>
    </w:p>
  </w:footnote>
  <w:footnote w:id="30">
    <w:p>
      <w:pPr>
        <w:pStyle w:val="FootnoteText"/>
        <w:rPr>
          <w:rFonts w:ascii="Times New Roman" w:hAnsi="Times New Roman" w:cs="Times New Roman"/>
        </w:rPr>
      </w:pPr>
      <w:r>
        <w:rPr>
          <w:rStyle w:val="FootnoteReference"/>
          <w:rFonts w:ascii="Times New Roman" w:hAnsi="Times New Roman"/>
        </w:rPr>
        <w:t>2</w:t>
      </w:r>
      <w:r>
        <w:rPr>
          <w:rStyle w:val="FootnoteReference"/>
        </w:rPr>
        <w:t>8</w:t>
      </w:r>
      <w:r>
        <w:rPr>
          <w:rFonts w:ascii="Times New Roman" w:hAnsi="Times New Roman"/>
        </w:rPr>
        <w:t xml:space="preserve"> Komisijas 2016. gada 31. maija Regula (ES) Nr. 2016/863, ar ko attiecībā uz kodīgumu ādai / ādas kairinājumu, nopietniem acu bojājumiem / acu kairinājumu un akūtu toksicitāti groza VII un VIII pielikumu Eiropas Parlamenta un Padomes Regulai (EK) Nr. 1907/2006, kas attiecas uz ķimikāliju reģistrēšanu, vērtēšanu, licencēšanu un ierobežošanu (</w:t>
      </w:r>
      <w:r>
        <w:rPr>
          <w:rFonts w:ascii="Times New Roman" w:hAnsi="Times New Roman"/>
          <w:i/>
        </w:rPr>
        <w:t>REACH</w:t>
      </w:r>
      <w:r>
        <w:rPr>
          <w:rFonts w:ascii="Times New Roman" w:hAnsi="Times New Roman"/>
        </w:rPr>
        <w:t>),</w:t>
      </w:r>
      <w:r>
        <w:t xml:space="preserve"> </w:t>
      </w:r>
      <w:r>
        <w:rPr>
          <w:rFonts w:ascii="Times New Roman" w:hAnsi="Times New Roman"/>
        </w:rPr>
        <w:t>OV L 144, 1.6.2016., 27. lpp.</w:t>
      </w:r>
    </w:p>
  </w:footnote>
  <w:footnote w:id="31">
    <w:p>
      <w:pPr>
        <w:pStyle w:val="FootnoteText"/>
        <w:jc w:val="both"/>
        <w:rPr>
          <w:rFonts w:ascii="Times New Roman" w:hAnsi="Times New Roman" w:cs="Times New Roman"/>
        </w:rPr>
      </w:pPr>
      <w:r>
        <w:rPr>
          <w:rStyle w:val="FootnoteReference"/>
        </w:rPr>
        <w:t>29</w:t>
      </w:r>
      <w:r>
        <w:rPr>
          <w:rFonts w:ascii="Times New Roman" w:hAnsi="Times New Roman"/>
        </w:rPr>
        <w:t xml:space="preserve"> </w:t>
      </w:r>
      <w:r>
        <w:rPr>
          <w:rFonts w:ascii="Times New Roman" w:hAnsi="Times New Roman"/>
          <w:i/>
        </w:rPr>
        <w:t>EPAA</w:t>
      </w:r>
      <w:r>
        <w:rPr>
          <w:rFonts w:ascii="Times New Roman" w:hAnsi="Times New Roman"/>
        </w:rPr>
        <w:t xml:space="preserve"> 2015. gada ziņojums, sk. </w:t>
      </w:r>
      <w:hyperlink r:id="rId7">
        <w:r>
          <w:rPr>
            <w:rStyle w:val="Hyperlink"/>
            <w:rFonts w:ascii="Times New Roman" w:hAnsi="Times New Roman"/>
          </w:rPr>
          <w:t>https://circabc.europa.eu/sd/a/54e9ad8e-0f49-4ed0-b581-36fe6e136ce4/ar-2015.pdf</w:t>
        </w:r>
      </w:hyperlink>
      <w:r>
        <w:rPr>
          <w:rFonts w:ascii="Times New Roman" w:hAnsi="Times New Roman"/>
        </w:rPr>
        <w:t>.</w:t>
      </w:r>
    </w:p>
  </w:footnote>
  <w:footnote w:id="32">
    <w:p>
      <w:pPr>
        <w:pStyle w:val="FootnoteText"/>
        <w:jc w:val="both"/>
        <w:rPr>
          <w:rFonts w:ascii="Times New Roman" w:hAnsi="Times New Roman" w:cs="Times New Roman"/>
        </w:rPr>
      </w:pPr>
      <w:r>
        <w:rPr>
          <w:rStyle w:val="FootnoteReference"/>
        </w:rPr>
        <w:t>30</w:t>
      </w:r>
      <w:r>
        <w:t xml:space="preserve"> </w:t>
      </w:r>
      <w:hyperlink r:id="rId8">
        <w:r>
          <w:rPr>
            <w:rStyle w:val="Hyperlink"/>
            <w:rFonts w:ascii="Times New Roman" w:hAnsi="Times New Roman"/>
          </w:rPr>
          <w:t>http://ec.europa.eu/health/scientific_committees/consumer_safety/docs/sccs_o_190.pdf</w:t>
        </w:r>
      </w:hyperlink>
      <w:r>
        <w:rPr>
          <w:rFonts w:ascii="Times New Roman" w:hAnsi="Times New Roman"/>
        </w:rPr>
        <w:t>.</w:t>
      </w:r>
    </w:p>
  </w:footnote>
  <w:footnote w:id="33">
    <w:p>
      <w:pPr>
        <w:pStyle w:val="FootnoteText"/>
        <w:rPr>
          <w:rFonts w:ascii="Times New Roman" w:hAnsi="Times New Roman" w:cs="Times New Roman"/>
        </w:rPr>
      </w:pPr>
      <w:r>
        <w:rPr>
          <w:rStyle w:val="FootnoteReference"/>
        </w:rPr>
        <w:t>31</w:t>
      </w:r>
      <w:r>
        <w:rPr>
          <w:rFonts w:ascii="Times New Roman" w:hAnsi="Times New Roman"/>
        </w:rPr>
        <w:t xml:space="preserve"> </w:t>
      </w:r>
      <w:hyperlink r:id="rId9">
        <w:r>
          <w:rPr>
            <w:rStyle w:val="Hyperlink"/>
            <w:rFonts w:ascii="Times New Roman" w:hAnsi="Times New Roman"/>
          </w:rPr>
          <w:t>http://ec.europa.eu/citizens-initiative/public/initiatives/successful/details/2012/000007</w:t>
        </w:r>
      </w:hyperlink>
      <w:r>
        <w:rPr>
          <w:rFonts w:ascii="Times New Roman" w:hAnsi="Times New Roman"/>
        </w:rPr>
        <w:t>.</w:t>
      </w:r>
    </w:p>
  </w:footnote>
  <w:footnote w:id="34">
    <w:p>
      <w:pPr>
        <w:pStyle w:val="FootnoteText"/>
        <w:rPr>
          <w:rFonts w:ascii="Times New Roman" w:hAnsi="Times New Roman" w:cs="Times New Roman"/>
        </w:rPr>
      </w:pPr>
      <w:r>
        <w:rPr>
          <w:rStyle w:val="FootnoteReference"/>
          <w:rFonts w:ascii="Times New Roman" w:hAnsi="Times New Roman"/>
        </w:rPr>
        <w:t>3</w:t>
      </w:r>
      <w:r>
        <w:rPr>
          <w:rStyle w:val="FootnoteReference"/>
        </w:rPr>
        <w:t>2</w:t>
      </w:r>
      <w:r>
        <w:rPr>
          <w:rFonts w:ascii="Times New Roman" w:hAnsi="Times New Roman"/>
        </w:rPr>
        <w:t xml:space="preserve"> C(2015) 3773 </w:t>
      </w:r>
      <w:r>
        <w:rPr>
          <w:rFonts w:ascii="Times New Roman" w:hAnsi="Times New Roman"/>
          <w:i/>
        </w:rPr>
        <w:t>final.</w:t>
      </w:r>
    </w:p>
  </w:footnote>
  <w:footnote w:id="35">
    <w:p>
      <w:pPr>
        <w:pStyle w:val="FootnoteText"/>
        <w:rPr>
          <w:rFonts w:ascii="Times New Roman" w:hAnsi="Times New Roman" w:cs="Times New Roman"/>
        </w:rPr>
      </w:pPr>
      <w:r>
        <w:rPr>
          <w:rStyle w:val="FootnoteReference"/>
        </w:rPr>
        <w:t>33</w:t>
      </w:r>
      <w:r>
        <w:rPr>
          <w:rFonts w:ascii="Times New Roman" w:hAnsi="Times New Roman"/>
        </w:rPr>
        <w:t xml:space="preserve"> Konference paredzēta 2016. gada decembrī.</w:t>
      </w:r>
    </w:p>
  </w:footnote>
  <w:footnote w:id="36">
    <w:p>
      <w:pPr>
        <w:pStyle w:val="FootnoteText"/>
        <w:rPr>
          <w:rFonts w:ascii="Times New Roman" w:hAnsi="Times New Roman" w:cs="Times New Roman"/>
        </w:rPr>
      </w:pPr>
      <w:r>
        <w:rPr>
          <w:rStyle w:val="FootnoteReference"/>
        </w:rPr>
        <w:t>34</w:t>
      </w:r>
      <w:r>
        <w:rPr>
          <w:rFonts w:ascii="Times New Roman" w:hAnsi="Times New Roman"/>
        </w:rPr>
        <w:t xml:space="preserve"> Sk. šā ziņojuma 4.1.2.2. sadaļu.</w:t>
      </w:r>
    </w:p>
  </w:footnote>
  <w:footnote w:id="37">
    <w:p>
      <w:pPr>
        <w:pStyle w:val="FootnoteText"/>
        <w:rPr>
          <w:rFonts w:ascii="Times New Roman" w:hAnsi="Times New Roman" w:cs="Times New Roman"/>
        </w:rPr>
      </w:pPr>
      <w:r>
        <w:rPr>
          <w:rStyle w:val="FootnoteReference"/>
        </w:rPr>
        <w:t>35</w:t>
      </w:r>
      <w:r>
        <w:rPr>
          <w:rFonts w:ascii="Times New Roman" w:hAnsi="Times New Roman"/>
        </w:rPr>
        <w:t xml:space="preserve"> ESAO Molekulārā skrīninga un toksikogenomikas jautājumu paplašinātā konsultatīvā grupa un tās Negatīva iznākuma ceļu izstrādes programma.</w:t>
      </w:r>
    </w:p>
  </w:footnote>
  <w:footnote w:id="38">
    <w:p>
      <w:pPr>
        <w:pStyle w:val="FootnoteText"/>
        <w:jc w:val="both"/>
        <w:rPr>
          <w:rFonts w:ascii="Times New Roman" w:hAnsi="Times New Roman" w:cs="Times New Roman"/>
        </w:rPr>
      </w:pPr>
      <w:r>
        <w:rPr>
          <w:rStyle w:val="FootnoteReference"/>
          <w:rFonts w:ascii="Times New Roman" w:hAnsi="Times New Roman"/>
        </w:rPr>
        <w:t>3</w:t>
      </w:r>
      <w:r>
        <w:rPr>
          <w:rStyle w:val="FootnoteReference"/>
        </w:rPr>
        <w:t xml:space="preserve">6 </w:t>
      </w:r>
      <w:r>
        <w:rPr>
          <w:rFonts w:ascii="Times New Roman" w:hAnsi="Times New Roman"/>
          <w:i/>
        </w:rPr>
        <w:t>ICATM</w:t>
      </w:r>
      <w:r>
        <w:rPr>
          <w:rFonts w:ascii="Times New Roman" w:hAnsi="Times New Roman"/>
        </w:rPr>
        <w:t xml:space="preserve"> locekļi ir ES, ASV, Japānas, Kanādas un Dienvidkorejas aģentūras.</w:t>
      </w:r>
    </w:p>
  </w:footnote>
  <w:footnote w:id="39">
    <w:p>
      <w:pPr>
        <w:pStyle w:val="FootnoteText"/>
        <w:jc w:val="both"/>
        <w:rPr>
          <w:rFonts w:ascii="Times New Roman" w:hAnsi="Times New Roman" w:cs="Times New Roman"/>
        </w:rPr>
      </w:pPr>
      <w:r>
        <w:rPr>
          <w:rStyle w:val="FootnoteReference"/>
          <w:rFonts w:ascii="Times New Roman" w:hAnsi="Times New Roman"/>
        </w:rPr>
        <w:t>3</w:t>
      </w:r>
      <w:r>
        <w:rPr>
          <w:rStyle w:val="FootnoteReference"/>
        </w:rPr>
        <w:t>7</w:t>
      </w:r>
      <w:r>
        <w:rPr>
          <w:rFonts w:ascii="Times New Roman" w:hAnsi="Times New Roman"/>
        </w:rPr>
        <w:t xml:space="preserve"> </w:t>
      </w:r>
      <w:r>
        <w:rPr>
          <w:rFonts w:ascii="Times New Roman" w:hAnsi="Times New Roman"/>
          <w:i/>
        </w:rPr>
        <w:t>ICCR</w:t>
      </w:r>
      <w:r>
        <w:rPr>
          <w:rFonts w:ascii="Times New Roman" w:hAnsi="Times New Roman"/>
        </w:rPr>
        <w:t xml:space="preserve"> ir brīvprātīga starptautiska grupa, kurā piedalās kosmētikas nozares regulatīvās iestādes no Brazīlijas, Kanādas, ES, Japānas un ASV.</w:t>
      </w:r>
    </w:p>
  </w:footnote>
  <w:footnote w:id="40">
    <w:p>
      <w:pPr>
        <w:pStyle w:val="FootnoteText"/>
        <w:jc w:val="both"/>
        <w:rPr>
          <w:rFonts w:ascii="Times New Roman" w:hAnsi="Times New Roman" w:cs="Times New Roman"/>
        </w:rPr>
      </w:pPr>
      <w:r>
        <w:rPr>
          <w:rStyle w:val="FootnoteReference"/>
        </w:rPr>
        <w:t>38</w:t>
      </w:r>
      <w:r>
        <w:rPr>
          <w:rFonts w:ascii="Times New Roman" w:hAnsi="Times New Roman"/>
        </w:rPr>
        <w:t xml:space="preserve"> </w:t>
      </w:r>
      <w:r>
        <w:rPr>
          <w:rFonts w:ascii="Times New Roman" w:hAnsi="Times New Roman"/>
          <w:i/>
        </w:rPr>
        <w:t>ICCR</w:t>
      </w:r>
      <w:r>
        <w:rPr>
          <w:rFonts w:ascii="Times New Roman" w:hAnsi="Times New Roman"/>
        </w:rPr>
        <w:t xml:space="preserve"> darba grupa par </w:t>
      </w:r>
      <w:r>
        <w:rPr>
          <w:rFonts w:ascii="Times New Roman" w:hAnsi="Times New Roman"/>
          <w:i/>
        </w:rPr>
        <w:t>In silico </w:t>
      </w:r>
      <w:r>
        <w:rPr>
          <w:rFonts w:ascii="Times New Roman" w:hAnsi="Times New Roman"/>
        </w:rPr>
        <w:t xml:space="preserve">/ </w:t>
      </w:r>
      <w:r>
        <w:rPr>
          <w:rFonts w:ascii="Times New Roman" w:hAnsi="Times New Roman"/>
          <w:i/>
        </w:rPr>
        <w:t>QSAR</w:t>
      </w:r>
      <w:r>
        <w:rPr>
          <w:rFonts w:ascii="Times New Roman" w:hAnsi="Times New Roman"/>
        </w:rPr>
        <w:t xml:space="preserve"> modeļiem 2014. gada jūlijā sagatavoja ziņojumu par </w:t>
      </w:r>
      <w:r>
        <w:rPr>
          <w:rFonts w:ascii="Times New Roman" w:hAnsi="Times New Roman"/>
          <w:i/>
        </w:rPr>
        <w:t>In Silico</w:t>
      </w:r>
      <w:r>
        <w:rPr>
          <w:rFonts w:ascii="Times New Roman" w:hAnsi="Times New Roman"/>
        </w:rPr>
        <w:t xml:space="preserve"> pieeju kosmētikas līdzekļu sastāvdaļu drošuma novērtēšanā. </w:t>
      </w:r>
      <w:hyperlink r:id="rId10">
        <w:r>
          <w:rPr>
            <w:rStyle w:val="Hyperlink"/>
            <w:rFonts w:ascii="Times New Roman" w:hAnsi="Times New Roman"/>
          </w:rPr>
          <w:t>http://www.iccrnet.org/files/5314/1407/7607/2014-07_In-silico_Approaches_for_Cosmetic_Product_Safety_Assessments.pdf</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B0457B"/>
    <w:multiLevelType w:val="hybridMultilevel"/>
    <w:tmpl w:val="A40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A7E40"/>
    <w:multiLevelType w:val="hybridMultilevel"/>
    <w:tmpl w:val="866C813A"/>
    <w:lvl w:ilvl="0" w:tplc="04D006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D5961"/>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5A01F0"/>
    <w:multiLevelType w:val="hybridMultilevel"/>
    <w:tmpl w:val="08A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2BBB53EB795C4673A60BF3E3D55934A8"/>
    <w:docVar w:name="LW_CROSSREFERENCE" w:val="&lt;UNUSED&gt;"/>
    <w:docVar w:name="LW_DocType" w:val="NORMAL"/>
    <w:docVar w:name="LW_EMISSION" w:val="19.9.2016"/>
    <w:docVar w:name="LW_EMISSION_ISODATE" w:val="2016-09-19"/>
    <w:docVar w:name="LW_EMISSION_LOCATION" w:val="BRX"/>
    <w:docVar w:name="LW_EMISSION_PREFIX" w:val="Briselē, "/>
    <w:docVar w:name="LW_EMISSION_SUFFIX" w:val="."/>
    <w:docVar w:name="LW_ID_DOCTYPE_NONLW" w:val="CP-006"/>
    <w:docVar w:name="LW_LANGUE" w:val="LV"/>
    <w:docVar w:name="LW_MARKING" w:val="&lt;UNUSED&g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6) 599"/>
    <w:docVar w:name="LW_REF.INTERNE" w:val="&lt;UNUSED&gt;"/>
    <w:docVar w:name="LW_SOUS.TITRE.OBJ.CP" w:val="&lt;UNUSED&gt;"/>
    <w:docVar w:name="LW_SUPERTITRE" w:val="&lt;UNUSED&gt;"/>
    <w:docVar w:name="LW_TITRE.OBJ.CP" w:val="par alternat\u299?vu meto\u382?u izstr\u257?di, valid\u257?ciju un tiesisko akcept\u275?\u353?anu attiec\u299?b\u257? uz kosm\u275?tikas nozar\u275? veikt\u257?m p\u257?rbaud\u275?m izm\u275?\u291?in\u257?jumos ar dz\u299?vniekiem (2013\u8211?2015)"/>
    <w:docVar w:name="LW_TYPE.DOC.CP" w:val="KOMISIJAS ZI\u325?OJUMS EIROPAS PARLAMENTAM UN PADOMEI"/>
    <w:docVar w:name="Stamp" w:val="\\dossiers.dgt.cec.eu.int\dossiers\GROW\GROW-2016-00994\GROW-2016-00994-00-00-EN-REV-0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N/TXT/?uri=CELEX:52013DC0135&amp;locale=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scientific_committees/consumer_safety/docs/sccs_o_190.pdf" TargetMode="External"/><Relationship Id="rId3" Type="http://schemas.openxmlformats.org/officeDocument/2006/relationships/hyperlink" Target="http://www.eu-toxrisk.eu/" TargetMode="External"/><Relationship Id="rId7" Type="http://schemas.openxmlformats.org/officeDocument/2006/relationships/hyperlink" Target="https://circabc.europa.eu/sd/a/54e9ad8e-0f49-4ed0-b581-36fe6e136ce4/ar-2015.pdf" TargetMode="External"/><Relationship Id="rId2" Type="http://schemas.openxmlformats.org/officeDocument/2006/relationships/hyperlink" Target="http://www.seurat-1.eu/" TargetMode="External"/><Relationship Id="rId1" Type="http://schemas.openxmlformats.org/officeDocument/2006/relationships/hyperlink" Target="http://bookshop.europa.eu/en/eurl-ecvam-status-report-on-the-development-validation-and-regulatory-acceptance-of-alternative-methods-and-approaches-2015--pbLBNA27474/" TargetMode="External"/><Relationship Id="rId6" Type="http://schemas.openxmlformats.org/officeDocument/2006/relationships/hyperlink" Target="https://eurl-ecvam.jrc.ec.europa.eu/eu-netval" TargetMode="External"/><Relationship Id="rId5" Type="http://schemas.openxmlformats.org/officeDocument/2006/relationships/hyperlink" Target="https://eurl-ecvam.jrc.ec.europa.eu/" TargetMode="External"/><Relationship Id="rId10" Type="http://schemas.openxmlformats.org/officeDocument/2006/relationships/hyperlink" Target="http://www.iccrnet.org/files/5314/1407/7607/2014-07_In-silico_Approaches_for_Cosmetic_Product_Safety_Assessments.pdf" TargetMode="External"/><Relationship Id="rId4" Type="http://schemas.openxmlformats.org/officeDocument/2006/relationships/hyperlink" Target="http://www.caleidos-life.eu/" TargetMode="External"/><Relationship Id="rId9" Type="http://schemas.openxmlformats.org/officeDocument/2006/relationships/hyperlink" Target="http://ec.europa.eu/citizens-initiative/public/initiatives/successful/details/2012/0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9B08-FD3F-47AB-AAC0-82396185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11</Pages>
  <Words>3091</Words>
  <Characters>21053</Characters>
  <Application>Microsoft Office Word</Application>
  <DocSecurity>0</DocSecurity>
  <Lines>318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513</cp:revision>
  <cp:lastPrinted>2016-09-05T14:42:00Z</cp:lastPrinted>
  <dcterms:created xsi:type="dcterms:W3CDTF">2016-06-24T12:32:00Z</dcterms:created>
  <dcterms:modified xsi:type="dcterms:W3CDTF">2016-09-16T13:07:00Z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