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371D6D99FA84E8B9E08A0371CFD68CE" style="width:450.75pt;height:351.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UZASADNIENIE</w:t>
      </w:r>
    </w:p>
    <w:p>
      <w:pPr>
        <w:pStyle w:val="ManualHeading1"/>
        <w:rPr>
          <w:noProof/>
        </w:rPr>
      </w:pPr>
      <w:r>
        <w:rPr>
          <w:noProof/>
        </w:rPr>
        <w:t>1.</w:t>
      </w:r>
      <w:r>
        <w:rPr>
          <w:noProof/>
        </w:rPr>
        <w:tab/>
        <w:t>KONTEKST WNIOSKU</w:t>
      </w:r>
    </w:p>
    <w:p>
      <w:pPr>
        <w:pStyle w:val="ManualHeading2"/>
        <w:rPr>
          <w:rFonts w:eastAsia="Arial Unicode MS"/>
          <w:noProof/>
        </w:rPr>
      </w:pPr>
      <w:r>
        <w:rPr>
          <w:noProof/>
          <w:color w:val="000000"/>
          <w:u w:color="000000"/>
          <w:bdr w:val="nil"/>
        </w:rPr>
        <w:t>•</w:t>
      </w:r>
      <w:r>
        <w:rPr>
          <w:noProof/>
        </w:rPr>
        <w:tab/>
        <w:t>Przyczyny i cele wniosku</w:t>
      </w:r>
    </w:p>
    <w:p>
      <w:pPr>
        <w:spacing w:line="276" w:lineRule="auto"/>
        <w:rPr>
          <w:noProof/>
        </w:rPr>
      </w:pPr>
      <w:r>
        <w:rPr>
          <w:noProof/>
        </w:rPr>
        <w:t>Niniejszy wniosek stanowi element ambitnego planu inwestycji zewnętrznych („EIP”), który Komisja zapowiedziała dnia 7 czerwca 2016 r w swoim komunikacie w sprawie ustanowienia nowych ram partnerstwa z krajami trzecimi w ramach Europejskiego programu w zakresie migracji</w:t>
      </w:r>
      <w:r>
        <w:rPr>
          <w:rStyle w:val="FootnoteReference"/>
          <w:noProof/>
        </w:rPr>
        <w:footnoteReference w:id="1"/>
      </w:r>
      <w:r>
        <w:rPr>
          <w:noProof/>
        </w:rPr>
        <w:t xml:space="preserve">. Inicjatywa EPI została następnie zatwierdzona przez Radę Europejską w dniu 28 czerwca 2016 r. i ma na celu zajęcie się pierwotnymi przyczynami migracji, przy jednoczesnym przyczynianiu się do osiągania celów zrównoważonego rozwoju. Niniejszy wniosek wprowadza dwie zmiany do rozporządzenia Rady (WE, Euratom) nr 480/2009 z dnia 25 maja 2009 r. Wraz z odrębnym wnioskiem ustawodawczym mającym na celu zmianę decyzji Parlamentu Europejskiego i Rady 466/2014/UE z dnia 16 kwietnia 2014 r. w sprawie udzielenia gwarancji UE dla Europejskiego Banku Inwestycyjnego („EBI”) na pokrycie strat poniesionych w związku z działaniami z zakresu finansowania wspierającymi projekty inwestycyjne poza granicami Unii, wniosek umożliwi EBI wspieranie EIP poprzez rozszerzenie, zarówno ilościowe, jak i jakościowe, upoważnienia EBI do udzielania pożyczek na rzecz państw trzecich („ELM”). Dzięki temu EBI będzie mógł szybko przyczyniać się do osiągania zakładanych celów EIP, w szczególności poprzez udostępnianie dodatkowego finansowania beneficjentom z sektora prywatnego. </w:t>
      </w:r>
    </w:p>
    <w:p>
      <w:pPr>
        <w:spacing w:before="0" w:after="240" w:line="276" w:lineRule="auto"/>
        <w:rPr>
          <w:noProof/>
        </w:rPr>
      </w:pPr>
      <w:r>
        <w:rPr>
          <w:noProof/>
        </w:rPr>
        <w:t>W ramach działań Komisji na rzecz zwalczania pierwotnych przyczyn migracji proponuje się przyznanie EBI nowego upoważnienia do udzielania pożyczek sektorowi prywatnemu. Zgodnie ze wspomnianym upoważnieniem Unia będzie uprawniona do przychodów z premii z tytułu ryzyka uzyskanych w związku z działaniami EBI z zakresu finansowania. Przychody te powinny być przekazywane na Fundusz Gwarancyjny dla działań zewnętrznych („Fundusz Gwarancyjny”) regulowany rozporządzeniem Rady (WE, Euratom) nr 480/2009 z dnia 25 maja 2009 r.</w:t>
      </w:r>
    </w:p>
    <w:p>
      <w:pPr>
        <w:spacing w:before="0" w:after="240" w:line="276" w:lineRule="auto"/>
        <w:rPr>
          <w:noProof/>
        </w:rPr>
      </w:pPr>
      <w:r>
        <w:rPr>
          <w:noProof/>
        </w:rPr>
        <w:t>Nadwyżka środków Funduszu Gwarancyjnego przekraczająca 10 % łącznej kwoty niespłaconych pożyczek będzie wpłacana z powrotem do budżetu. To dostosowanie ma na celu lepszą ochronę budżetu przed potencjalnym dodatkowym ryzykiem niewykonania zobowiązań związanym z działaniami EBI podejmowanymi w odniesieniu do kryzysu migracyjnego.</w:t>
      </w:r>
    </w:p>
    <w:p>
      <w:pPr>
        <w:spacing w:before="0" w:after="240" w:line="276" w:lineRule="auto"/>
        <w:rPr>
          <w:noProof/>
        </w:rPr>
      </w:pPr>
      <w:r>
        <w:rPr>
          <w:noProof/>
        </w:rPr>
        <w:t>Dotychczas aktywami Funduszu Gwarancyjnego zarządzał EBI. Komisja ma duże doświadczenie w zarządzaniu podobnymi operacjami finansowymi. Jest dobrze przygotowana do niezależnego zarządzania Funduszem Gwarancyjnym, które stanowiłoby próbę usprawnienia i skonsolidowania jej działań w zakresie zarządzania aktywami w oparciu o istniejące struktury i dotychczasowe osiągnięcia. Powierzono jej już zarządzanie Funduszem Gwarancyjnym Europejskiego Funduszu na rzecz Inwestycji Strategicznych („EFIS”). W związku z tym zarządzanie aktywami Funduszu Gwarancyjnego powinno zostać przekazane Komisji Europejskiej.</w:t>
      </w:r>
    </w:p>
    <w:p>
      <w:pPr>
        <w:pStyle w:val="ManualHeading2"/>
        <w:rPr>
          <w:rFonts w:eastAsia="Arial Unicode MS"/>
          <w:noProof/>
          <w:color w:val="000000"/>
          <w:u w:color="000000"/>
          <w:bdr w:val="nil"/>
        </w:rPr>
      </w:pPr>
      <w:r>
        <w:rPr>
          <w:noProof/>
          <w:color w:val="000000"/>
          <w:u w:color="000000"/>
          <w:bdr w:val="nil"/>
        </w:rPr>
        <w:t>•</w:t>
      </w:r>
      <w:r>
        <w:rPr>
          <w:noProof/>
        </w:rPr>
        <w:tab/>
        <w:t>Spójność z przepisami obowiązującymi w tej i w innych dziedzinach polityki Unii</w:t>
      </w:r>
    </w:p>
    <w:p>
      <w:pPr>
        <w:pBdr>
          <w:top w:val="nil"/>
          <w:left w:val="nil"/>
          <w:bottom w:val="nil"/>
          <w:right w:val="nil"/>
          <w:between w:val="nil"/>
          <w:bar w:val="nil"/>
        </w:pBdr>
        <w:spacing w:before="0" w:after="240" w:line="276" w:lineRule="auto"/>
        <w:rPr>
          <w:noProof/>
        </w:rPr>
      </w:pPr>
      <w:r>
        <w:rPr>
          <w:noProof/>
        </w:rPr>
        <w:t>Niniejszy wniosek stanowi integralną część EIP, który jest kluczową inicjatywą polityczną Unii. Zawiera przepisy pomocnicze niezbędne dla funkcjonowania EIP, w szczególności przepisy dotyczące nowego upoważnienia EBI do udzielania pożyczek sektorowi prywatnemu.</w:t>
      </w:r>
    </w:p>
    <w:p>
      <w:pPr>
        <w:pBdr>
          <w:top w:val="nil"/>
          <w:left w:val="nil"/>
          <w:bottom w:val="nil"/>
          <w:right w:val="nil"/>
          <w:between w:val="nil"/>
          <w:bar w:val="nil"/>
        </w:pBdr>
        <w:spacing w:before="0" w:after="240" w:line="276" w:lineRule="auto"/>
        <w:rPr>
          <w:rFonts w:eastAsia="Arial Unicode MS"/>
          <w:noProof/>
        </w:rPr>
      </w:pPr>
      <w:r>
        <w:rPr>
          <w:noProof/>
        </w:rPr>
        <w:t>Komisja proponuje równocześnie przegląd rozporządzenia Parlamentu Europejskiego i Rady (UE, Euratom) nr 966/2012 („rozporządzenie finansowe”), w którym zaproponowała nową sekcję dotyczącą gwarancji z budżetu, mającą zapewnić wspólne ramy regulacyjne gwarancji unijnych na zobowiązania warunkowe, jak również wspólne finansowanie Funduszy zarządzanych przez Komisję. Przepisy przewidziane w niniejszym wniosku są zgodne z przepisami ujętymi we wniosku dotyczącym zmiany rozporządzenia finansowego.</w:t>
      </w:r>
    </w:p>
    <w:p>
      <w:pPr>
        <w:pStyle w:val="ManualHeading1"/>
        <w:rPr>
          <w:noProof/>
        </w:rPr>
      </w:pPr>
      <w:r>
        <w:rPr>
          <w:noProof/>
        </w:rPr>
        <w:t>2.</w:t>
      </w:r>
      <w:r>
        <w:rPr>
          <w:noProof/>
        </w:rPr>
        <w:tab/>
        <w:t>PODSTAWA PRAWNA, POMOCNICZOŚĆ I PROPORCJONALNOŚĆ</w:t>
      </w:r>
    </w:p>
    <w:p>
      <w:pPr>
        <w:pStyle w:val="ManualHeading2"/>
        <w:rPr>
          <w:rFonts w:eastAsia="Arial Unicode MS"/>
          <w:noProof/>
          <w:u w:color="000000"/>
          <w:bdr w:val="nil"/>
        </w:rPr>
      </w:pPr>
      <w:r>
        <w:rPr>
          <w:noProof/>
        </w:rPr>
        <w:t>•</w:t>
      </w:r>
      <w:r>
        <w:rPr>
          <w:noProof/>
        </w:rPr>
        <w:tab/>
        <w:t>Podstawa prawna</w:t>
      </w:r>
    </w:p>
    <w:p>
      <w:pPr>
        <w:spacing w:line="276" w:lineRule="auto"/>
        <w:rPr>
          <w:rFonts w:eastAsia="Arial Unicode MS"/>
          <w:noProof/>
        </w:rPr>
      </w:pPr>
      <w:r>
        <w:rPr>
          <w:noProof/>
        </w:rPr>
        <w:t xml:space="preserve">Artykuły 209 i 212 Traktatu o funkcjonowaniu Unii Europejskiej. </w:t>
      </w:r>
    </w:p>
    <w:p>
      <w:pPr>
        <w:pStyle w:val="ManualHeading2"/>
        <w:rPr>
          <w:rFonts w:eastAsia="Arial Unicode MS"/>
          <w:noProof/>
          <w:u w:color="000000"/>
          <w:bdr w:val="nil"/>
        </w:rPr>
      </w:pPr>
      <w:r>
        <w:rPr>
          <w:noProof/>
        </w:rPr>
        <w:t>•</w:t>
      </w:r>
      <w:r>
        <w:rPr>
          <w:noProof/>
        </w:rPr>
        <w:tab/>
        <w:t>Proporcjonalność</w:t>
      </w:r>
    </w:p>
    <w:p>
      <w:pPr>
        <w:pBdr>
          <w:top w:val="nil"/>
          <w:left w:val="nil"/>
          <w:bottom w:val="nil"/>
          <w:right w:val="nil"/>
          <w:between w:val="nil"/>
          <w:bar w:val="nil"/>
        </w:pBdr>
        <w:spacing w:before="0" w:after="240"/>
        <w:rPr>
          <w:noProof/>
        </w:rPr>
      </w:pPr>
      <w:r>
        <w:rPr>
          <w:noProof/>
        </w:rPr>
        <w:t>Niniejszy wniosek zawiera przepisy pomocnicze niezbędne dla funkcjonowania EIP, w szczególności przepisy dotyczące nowego upoważnienia EBI do udzielania pożyczek sektorowi prywatnemu.</w:t>
      </w:r>
    </w:p>
    <w:p>
      <w:pPr>
        <w:pStyle w:val="ManualHeading2"/>
        <w:rPr>
          <w:rFonts w:eastAsia="Arial Unicode MS"/>
          <w:noProof/>
          <w:u w:color="000000"/>
          <w:bdr w:val="nil"/>
        </w:rPr>
      </w:pPr>
      <w:r>
        <w:rPr>
          <w:noProof/>
        </w:rPr>
        <w:t>•</w:t>
      </w:r>
      <w:r>
        <w:rPr>
          <w:noProof/>
        </w:rPr>
        <w:tab/>
        <w:t>Pomocniczość (w przypadku kompetencji niewyłącznych)</w:t>
      </w:r>
    </w:p>
    <w:p>
      <w:pPr>
        <w:pBdr>
          <w:top w:val="nil"/>
          <w:left w:val="nil"/>
          <w:bottom w:val="nil"/>
          <w:right w:val="nil"/>
          <w:between w:val="nil"/>
          <w:bar w:val="nil"/>
        </w:pBdr>
        <w:spacing w:before="0" w:after="240"/>
        <w:rPr>
          <w:rFonts w:eastAsia="Arial Unicode MS"/>
          <w:noProof/>
        </w:rPr>
      </w:pPr>
      <w:r>
        <w:rPr>
          <w:noProof/>
        </w:rPr>
        <w:t>Zgodnie z zasadą pomocniczości oraz zasadą proporcjonalności, określonymi w art. 5 TUE, cele niniejszej dyrektywy nie mogą zostać osiągnięte w wystarczającym stopniu przez państwa członkowskie, a zatem mogą zostać lepiej osiągnięte na poziomie UE. Ze względu na różnice w zdolności działania pomiędzy instytucjami finansowymi poszczególnych państw członkowskich wyznaczone cele mogą zostać lepiej osiągnięte poprzez działanie na poziomie Unii, z uwagi na jego skalę i skutki.</w:t>
      </w:r>
    </w:p>
    <w:p>
      <w:pPr>
        <w:pStyle w:val="ManualHeading1"/>
        <w:rPr>
          <w:noProof/>
        </w:rPr>
      </w:pPr>
      <w:r>
        <w:rPr>
          <w:noProof/>
        </w:rPr>
        <w:t>3.</w:t>
      </w:r>
      <w:r>
        <w:rPr>
          <w:noProof/>
        </w:rPr>
        <w:tab/>
        <w:t>WYNIKI OCEN EX POST, KONSULTACJI Z ZAINTERESOWANYMI STRONAMI I OCEN SKUTKÓW</w:t>
      </w:r>
    </w:p>
    <w:p>
      <w:pPr>
        <w:pBdr>
          <w:top w:val="nil"/>
          <w:left w:val="nil"/>
          <w:bottom w:val="nil"/>
          <w:right w:val="nil"/>
          <w:between w:val="nil"/>
          <w:bar w:val="nil"/>
        </w:pBdr>
        <w:spacing w:before="0" w:after="240"/>
        <w:rPr>
          <w:rFonts w:eastAsia="Arial Unicode MS"/>
          <w:noProof/>
        </w:rPr>
      </w:pPr>
      <w:r>
        <w:rPr>
          <w:noProof/>
        </w:rPr>
        <w:t xml:space="preserve">W 2016 r. konsultant zewnętrzny przeprowadził badania mające za główny cel ocenę najważniejszych parametrów Funduszu Gwarancyjnego. W sprawozdaniu stwierdzono, że kwotę docelową w wysokości 9 %, określoną w rozporządzeniu (WE, Euratom) nr 480/2009, uważa się nadal za odpowiednią do poziomu ryzyka obecnego portfela pożyczek. Kolejny przegląd zewnętrzny kwoty docelowej odbędzie się najprawdopodobniej w 2019 r. Ponadto mechanizmy Funduszu Gwarancyjnego okazały się skuteczne pod względem ochrony budżetu UE oraz wspierania realizacji interwencji zewnętrznych UE. </w:t>
      </w:r>
    </w:p>
    <w:p>
      <w:pPr>
        <w:pStyle w:val="ManualHeading2"/>
        <w:rPr>
          <w:noProof/>
        </w:rPr>
      </w:pPr>
      <w:r>
        <w:rPr>
          <w:noProof/>
        </w:rPr>
        <w:t>4.</w:t>
      </w:r>
      <w:r>
        <w:rPr>
          <w:noProof/>
        </w:rPr>
        <w:tab/>
        <w:t>WPŁYW NA BUDŻET</w:t>
      </w:r>
    </w:p>
    <w:p>
      <w:pPr>
        <w:pBdr>
          <w:top w:val="nil"/>
          <w:left w:val="nil"/>
          <w:bottom w:val="nil"/>
          <w:right w:val="nil"/>
          <w:between w:val="nil"/>
          <w:bar w:val="nil"/>
        </w:pBdr>
        <w:spacing w:before="0" w:after="240"/>
        <w:rPr>
          <w:noProof/>
        </w:rPr>
      </w:pPr>
      <w:r>
        <w:rPr>
          <w:noProof/>
        </w:rPr>
        <w:t xml:space="preserve">Zgodnie z nowym upoważnieniem do udzielania pożyczek sektorowi prywatnemu, określonym w odrębnym akcie ustawodawczym, Unia będzie uprawniona do przychodów z premii z tytułu ryzyka uzyskanych w związku z działaniami EBI z zakresu finansowania. Przychody z premii będą stanowić wynagrodzenie z tytułu podwyższonego ryzyka i przez cały okres życia instrumentu będą przyczyniać się do pokrycia zapotrzebowania Funduszu Gwarancyjnego na dodatkowe środki finansowe. Nie oczekuje się, by wniosek miał jakikolwiek wpływ na budżet netto, premie z tytułu ryzyka stanowią bowiem wpływy do Funduszu Gwarancyjnego. Premie te będą wypłacane przez EBI w zamian za ryzyko ponoszone przez budżet Unii. </w:t>
      </w:r>
    </w:p>
    <w:p>
      <w:pPr>
        <w:pBdr>
          <w:top w:val="nil"/>
          <w:left w:val="nil"/>
          <w:bottom w:val="nil"/>
          <w:right w:val="nil"/>
          <w:between w:val="nil"/>
          <w:bar w:val="nil"/>
        </w:pBdr>
        <w:spacing w:before="0" w:after="240"/>
        <w:rPr>
          <w:rFonts w:eastAsia="Arial Unicode MS"/>
          <w:noProof/>
        </w:rPr>
      </w:pPr>
      <w:r>
        <w:rPr>
          <w:noProof/>
        </w:rPr>
        <w:t>Aby lepiej chronić budżet przed ewentualnym dodatkowym ryzykiem niewykonania zobowiązań, jakie wiąże się z działaniami EBI w zakresie finansowania dotyczącymi kryzysu migracyjnego, nadwyżka środków Funduszu Gwarancyjnego przekraczająca 10 % (zamiast 9 %) łącznej kwoty niespłaconych pożyczek będzie wpłacana z powrotem do budżetu.</w:t>
      </w:r>
    </w:p>
    <w:p>
      <w:pPr>
        <w:pStyle w:val="ManualHeading1"/>
        <w:rPr>
          <w:noProof/>
        </w:rPr>
      </w:pPr>
      <w:r>
        <w:rPr>
          <w:noProof/>
        </w:rPr>
        <w:t>5.</w:t>
      </w:r>
      <w:r>
        <w:rPr>
          <w:noProof/>
        </w:rPr>
        <w:tab/>
        <w:t>ELEMENTY FAKULTATYWNE</w:t>
      </w:r>
    </w:p>
    <w:p>
      <w:pPr>
        <w:pStyle w:val="ManualHeading2"/>
        <w:rPr>
          <w:rFonts w:eastAsia="Arial Unicode MS"/>
          <w:noProof/>
          <w:u w:color="000000"/>
          <w:bdr w:val="nil"/>
        </w:rPr>
      </w:pPr>
      <w:r>
        <w:rPr>
          <w:noProof/>
        </w:rPr>
        <w:t>•</w:t>
      </w:r>
      <w:r>
        <w:rPr>
          <w:noProof/>
        </w:rPr>
        <w:tab/>
        <w:t>Plany wdrożenia i monitorowanie, ocena i sprawozdania</w:t>
      </w:r>
    </w:p>
    <w:p>
      <w:pPr>
        <w:pBdr>
          <w:top w:val="nil"/>
          <w:left w:val="nil"/>
          <w:bottom w:val="nil"/>
          <w:right w:val="nil"/>
          <w:between w:val="nil"/>
          <w:bar w:val="nil"/>
        </w:pBdr>
        <w:spacing w:after="240"/>
        <w:rPr>
          <w:rFonts w:eastAsia="Arial Unicode MS"/>
          <w:noProof/>
        </w:rPr>
      </w:pPr>
      <w:r>
        <w:rPr>
          <w:noProof/>
        </w:rPr>
        <w:t>Zgodnie z rozporządzeniem (WE, Euratom) nr 480/2009 do dnia 31 maja każdego roku Komisja przesyła Parlamentowi Europejskiemu, Radzie oraz Trybunałowi Obrachunkowemu roczne sprawozdanie w sprawie sytuacji Funduszu Gwarancyjnego oraz jego zarządzania. Zgodnie z nową propozycją Komisja będzie przedkładać sprawozdania w sprawie sytuacji Funduszu Gwarancyjnego do dnia 31 marca, w kontekście swojego sprawozdania finansowego. Sprawozdania dotyczące zarządzania Funduszem Gwarancyjnym będzie przedkładać Parlamentowi Europejskiemu, Radzie i Trybunałowi Obrachunkowemu do dnia 31 maja każdego roku.</w:t>
      </w:r>
    </w:p>
    <w:p>
      <w:pPr>
        <w:pBdr>
          <w:top w:val="nil"/>
          <w:left w:val="nil"/>
          <w:bottom w:val="nil"/>
          <w:right w:val="nil"/>
          <w:between w:val="nil"/>
          <w:bar w:val="nil"/>
        </w:pBdr>
        <w:spacing w:after="240"/>
        <w:rPr>
          <w:rFonts w:eastAsia="Arial Unicode MS"/>
          <w:noProof/>
        </w:rPr>
      </w:pPr>
      <w:r>
        <w:rPr>
          <w:noProof/>
        </w:rPr>
        <w:t xml:space="preserve"> Działaniami z zakresu finansowania w ramach gwarancji UE EBI będzie zarządzać zgodnie z własnymi zasadami i procedurami, w tym stosując odpowiednie środki audytu, kontroli i monitorowania. Ponadto Rada Dyrektorów EBI, w której Komisja ma swoich przedstawicieli w osobach dyrektora i zastępcy dyrektora, zatwierdza każde działanie EBI z zakresu finansowania i monitoruje, czy bank jest zarządzany zgodnie ze swoim statutem i ogólnymi wytycznymi Rady Gubernatorów.</w:t>
      </w:r>
    </w:p>
    <w:p>
      <w:pPr>
        <w:spacing w:after="240"/>
        <w:rPr>
          <w:rFonts w:eastAsia="Arial Unicode MS"/>
          <w:noProof/>
        </w:rPr>
      </w:pPr>
      <w:r>
        <w:rPr>
          <w:noProof/>
        </w:rPr>
        <w:t>Porozumienie trójstronne między Komisją, Trybunałem Obrachunkowym i EBI określa zasady przeprowadzania przez Trybunał Obrachunkowy audytów działań EBI z zakresu finansowania objętych gwarancją UE.</w:t>
      </w:r>
    </w:p>
    <w:p>
      <w:pPr>
        <w:spacing w:after="240"/>
        <w:rPr>
          <w:rFonts w:eastAsia="Arial Unicode MS"/>
          <w:noProof/>
        </w:rPr>
      </w:pPr>
      <w:r>
        <w:rPr>
          <w:noProof/>
        </w:rPr>
        <w:t>Regularne sprawozdania sporządza się zgodnie z decyzją 466/2014/UE. Komisja składa co roku Parlamentowi Europejskiemu i Radzie sprawozdania z wykonania upoważnienia przez EBI.</w:t>
      </w:r>
    </w:p>
    <w:p>
      <w:pPr>
        <w:spacing w:after="240"/>
        <w:rPr>
          <w:rFonts w:eastAsia="Arial Unicode MS"/>
          <w:noProof/>
        </w:rPr>
      </w:pPr>
      <w:r>
        <w:rPr>
          <w:noProof/>
        </w:rPr>
        <w:t xml:space="preserve">Podstawą sprawozdań z osiągniętych wyników będą odpowiednio zagregowane wskaźniki – tam gdzie to możliwe, dla całego portfela lub dla danego sektora. W kontekście ram pomiaru wyników pomiar wielkości tych wskaźników prowadzony będzie przez cały cykl projektu w ramach oceny oraz procesu monitorowania do czasu pełnego wdrożenia projektu. Wskaźniki te zaczną być mierzone, jak tylko będą dostępne pierwsze wyniki w zakresie rozwoju – zazwyczaj najpóźniej w przeciągu trzech lat od ukończenia projektu. Wskaźniki te będą również w miarę możliwości stosowane na potrzeby końcowego sprawozdania przewidzianego w decyzji 466/2014/UE. </w:t>
      </w:r>
    </w:p>
    <w:p>
      <w:pPr>
        <w:spacing w:after="240"/>
        <w:rPr>
          <w:rFonts w:eastAsia="Arial Unicode MS"/>
          <w:noProof/>
        </w:rPr>
      </w:pPr>
      <w:r>
        <w:rPr>
          <w:noProof/>
        </w:rPr>
        <w:t xml:space="preserve">Ponadto EBI przedstawia Komisji dane statystyczne, finansowe i księgowe dotyczące każdego działania z zakresu finansowania objętego gwarancją UE, które są niezbędne do realizacji obowiązków Komisji w zakresie sprawozdawczości lub których zażąda Trybunał Obrachunkowy, a także zaświadczenie audytora dotyczące </w:t>
      </w:r>
      <w:r>
        <w:rPr>
          <w:noProof/>
          <w:szCs w:val="24"/>
        </w:rPr>
        <w:t xml:space="preserve">wymagalnych zobowiązań kapitałowych </w:t>
      </w:r>
      <w:r>
        <w:rPr>
          <w:noProof/>
        </w:rPr>
        <w:t>z tytułu działań z zakresu finansowania objętych gwarancją UE.</w:t>
      </w:r>
    </w:p>
    <w:p>
      <w:pPr>
        <w:pStyle w:val="ManualHeading2"/>
        <w:spacing w:line="276" w:lineRule="auto"/>
        <w:rPr>
          <w:rFonts w:eastAsia="Arial Unicode MS"/>
          <w:noProof/>
          <w:u w:color="000000"/>
        </w:rPr>
      </w:pPr>
      <w:r>
        <w:rPr>
          <w:noProof/>
        </w:rPr>
        <w:t>•</w:t>
      </w:r>
      <w:r>
        <w:rPr>
          <w:noProof/>
        </w:rPr>
        <w:tab/>
        <w:t>Szczegółowe objaśnienia poszczególnych przepisów wniosku</w:t>
      </w:r>
    </w:p>
    <w:p>
      <w:pPr>
        <w:spacing w:before="0" w:after="240"/>
        <w:rPr>
          <w:noProof/>
        </w:rPr>
      </w:pPr>
      <w:r>
        <w:rPr>
          <w:noProof/>
        </w:rPr>
        <w:t xml:space="preserve">Obecnie środki Funduszu Gwarancyjnego pochodzą z: (1) jednej rocznej wpłaty z budżetu ogólnego Unii, (2) z odsetek z zainwestowanych środków Funduszu Gwarancyjnego oraz (3) z kwot odzyskanych od zalegających ze spłatą dłużników. Czwarte źródło dochodów Funduszu Gwarancyjnego będą stanowić przychody z premii z tytułu ryzyka uzyskane w związku nowym upoważnieniem EBI do udzielania pożyczek sektorowi prywatnemu. Proponuje się zatem wprowadzenie odpowiednich zmian w art. 2 rozporządzenia (WE, Euratom) nr 480/2009. </w:t>
      </w:r>
    </w:p>
    <w:p>
      <w:pPr>
        <w:spacing w:before="0" w:after="240"/>
        <w:rPr>
          <w:noProof/>
        </w:rPr>
      </w:pPr>
      <w:r>
        <w:rPr>
          <w:noProof/>
        </w:rPr>
        <w:t>Dotychczas aktywami Funduszu Gwarancyjnego zarządzał EBI. Komisja ma duże doświadczenie w zarządzaniu podobnymi operacjami finansowymi. Jest dobrze przygotowana do niezależnego zarządzania Funduszem Gwarancyjnym, które stanowiłoby próbę usprawnienia i skonsolidowania jej działań w zakresie zarządzania aktywami w oparciu o istniejące struktury i dotychczasowe osiągnięcia. Powierzono jej już zarządzanie Funduszem Gwarancyjnym EFIS. W związku z tym zarządzanie aktywami Funduszu Gwarancyjnego powinno zostać przekazane Komisji Europejskiej.</w:t>
      </w:r>
    </w:p>
    <w:p>
      <w:pPr>
        <w:spacing w:before="0" w:after="240"/>
        <w:rPr>
          <w:noProof/>
        </w:rPr>
      </w:pPr>
      <w:r>
        <w:rPr>
          <w:noProof/>
        </w:rPr>
        <w:t>Proponuje się zatem wprowadzenie odpowiednich zmian w art. 7 rozporządzenia (WE, Euratom) nr 480/2009.</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2016/0274 (COD)</w:t>
      </w:r>
    </w:p>
    <w:p>
      <w:pPr>
        <w:pStyle w:val="Statut"/>
        <w:rPr>
          <w:noProof/>
        </w:rPr>
      </w:pPr>
      <w:r>
        <w:rPr>
          <w:noProof/>
        </w:rPr>
        <w:t>Wniosek</w:t>
      </w:r>
    </w:p>
    <w:p>
      <w:pPr>
        <w:pStyle w:val="Typedudocument"/>
        <w:rPr>
          <w:noProof/>
        </w:rPr>
      </w:pPr>
      <w:r>
        <w:rPr>
          <w:noProof/>
        </w:rPr>
        <w:t>ROZPORZĄDZENIE PARLAMENTU EUROPEJSKIEGO I RADY</w:t>
      </w:r>
    </w:p>
    <w:p>
      <w:pPr>
        <w:pStyle w:val="Titreobjet"/>
        <w:rPr>
          <w:noProof/>
        </w:rPr>
      </w:pPr>
      <w:r>
        <w:rPr>
          <w:noProof/>
        </w:rPr>
        <w:t>zmieniające rozporządzenie (WE, Euratom) nr 480/2009 ustanawiające Fundusz Gwarancyjny dla działań zewnętrznych</w:t>
      </w:r>
    </w:p>
    <w:p>
      <w:pPr>
        <w:pStyle w:val="Institutionquiagit"/>
        <w:rPr>
          <w:noProof/>
        </w:rPr>
      </w:pPr>
      <w:r>
        <w:rPr>
          <w:noProof/>
        </w:rPr>
        <w:t>PARLAMENT EUROPEJSKI I RADA UNII EUROPEJSKIEJ,</w:t>
      </w:r>
    </w:p>
    <w:p>
      <w:pPr>
        <w:rPr>
          <w:noProof/>
        </w:rPr>
      </w:pPr>
      <w:r>
        <w:rPr>
          <w:noProof/>
        </w:rPr>
        <w:t>uwzględniając Traktat o funkcjonowaniu Unii Europejskiej, w szczególności jego art. 209 i 212,</w:t>
      </w:r>
    </w:p>
    <w:p>
      <w:pPr>
        <w:rPr>
          <w:noProof/>
        </w:rPr>
      </w:pPr>
      <w:r>
        <w:rPr>
          <w:noProof/>
        </w:rPr>
        <w:t>uwzględniając wniosek Komisji Europejskiej,</w:t>
      </w:r>
    </w:p>
    <w:p>
      <w:pPr>
        <w:rPr>
          <w:noProof/>
        </w:rPr>
      </w:pPr>
      <w:r>
        <w:rPr>
          <w:noProof/>
        </w:rPr>
        <w:t>po przekazaniu projektu aktu ustawodawczego parlamentom narodowym,</w:t>
      </w:r>
    </w:p>
    <w:p>
      <w:pPr>
        <w:rPr>
          <w:noProof/>
        </w:rPr>
      </w:pPr>
      <w:r>
        <w:rPr>
          <w:noProof/>
        </w:rPr>
        <w:t xml:space="preserve">stanowiąc zgodnie ze zwykłą procedurą ustawodawczą, </w:t>
      </w:r>
    </w:p>
    <w:p>
      <w:pPr>
        <w:rPr>
          <w:noProof/>
        </w:rPr>
      </w:pPr>
      <w:r>
        <w:rPr>
          <w:noProof/>
        </w:rPr>
        <w:t>a także mając na uwadze, co następuje:</w:t>
      </w:r>
    </w:p>
    <w:p>
      <w:pPr>
        <w:pStyle w:val="ManualConsidrant"/>
        <w:rPr>
          <w:noProof/>
        </w:rPr>
      </w:pPr>
      <w:r>
        <w:t>(1)</w:t>
      </w:r>
      <w:r>
        <w:tab/>
      </w:r>
      <w:r>
        <w:rPr>
          <w:noProof/>
        </w:rPr>
        <w:t>Fundusz Gwarancyjny dla działań zewnętrznych jest regulowany rozporządzeniem Rady (WE, Euratom) nr 480/2009</w:t>
      </w:r>
      <w:r>
        <w:rPr>
          <w:rStyle w:val="FootnoteReference"/>
          <w:noProof/>
        </w:rPr>
        <w:footnoteReference w:id="2"/>
      </w:r>
      <w:r>
        <w:rPr>
          <w:noProof/>
        </w:rPr>
        <w:t>.</w:t>
      </w:r>
    </w:p>
    <w:p>
      <w:pPr>
        <w:pStyle w:val="ManualConsidrant"/>
        <w:rPr>
          <w:noProof/>
        </w:rPr>
      </w:pPr>
      <w:r>
        <w:t>(2)</w:t>
      </w:r>
      <w:r>
        <w:tab/>
      </w:r>
      <w:r>
        <w:rPr>
          <w:noProof/>
        </w:rPr>
        <w:t>Środki Funduszu Gwarancyjnego pochodzą z jednej rocznej wpłaty z budżetu ogólnego Unii, z odsetek z zainwestowanych środków Funduszu Gwarancyjnego oraz z kwot odzyskanych od zalegających ze spłatą dłużników.</w:t>
      </w:r>
    </w:p>
    <w:p>
      <w:pPr>
        <w:pStyle w:val="ManualConsidrant"/>
        <w:rPr>
          <w:noProof/>
        </w:rPr>
      </w:pPr>
      <w:r>
        <w:t>(3)</w:t>
      </w:r>
      <w:r>
        <w:tab/>
      </w:r>
      <w:r>
        <w:rPr>
          <w:noProof/>
        </w:rPr>
        <w:t>Przychody z premii z tytułu ryzyka uzyskane w związku z działaniami EBI z zakresu finansowania, które korzystają z gwarancji budżetu Unii powinny być wpłacane do Funduszu Gwarancyjnego.</w:t>
      </w:r>
    </w:p>
    <w:p>
      <w:pPr>
        <w:pStyle w:val="ManualConsidrant"/>
        <w:rPr>
          <w:noProof/>
        </w:rPr>
      </w:pPr>
      <w:r>
        <w:t>(4)</w:t>
      </w:r>
      <w:r>
        <w:tab/>
      </w:r>
      <w:r>
        <w:rPr>
          <w:noProof/>
        </w:rPr>
        <w:t xml:space="preserve">Nadwyżka środków Funduszu Gwarancyjnego przekraczająca 10 % łącznej kwoty </w:t>
      </w:r>
      <w:r>
        <w:rPr>
          <w:noProof/>
          <w:szCs w:val="24"/>
        </w:rPr>
        <w:t xml:space="preserve">wymagalnych zobowiązań kapitałowych </w:t>
      </w:r>
      <w:r>
        <w:rPr>
          <w:noProof/>
        </w:rPr>
        <w:t>powinna być wpłacana z powrotem do budżetu ogólnego Unii, aby lepiej chronić budżet przed ewentualnym dodatkowym ryzykiem niewykonania zobowiązań, jakie wiąże się z działaniami EBI w zakresie finansowania dotyczącymi pierwotnych przyczyn migracji.</w:t>
      </w:r>
    </w:p>
    <w:p>
      <w:pPr>
        <w:pStyle w:val="ManualConsidrant"/>
        <w:rPr>
          <w:noProof/>
        </w:rPr>
      </w:pPr>
      <w:r>
        <w:t>(5)</w:t>
      </w:r>
      <w:r>
        <w:tab/>
      </w:r>
      <w:r>
        <w:rPr>
          <w:noProof/>
        </w:rPr>
        <w:t>Zarządzanie finansami Funduszu Gwarancyjnego należy przenieść z EBI do Komisji, która posiada utrwaloną praktykę zarządzania podobnymi inwestycjami. Przejęcie zarządzania aktywami Funduszu Gwarancyjnego, powinno umożliwić Komisji usprawnienie i skonsolidowanie swojej działalności w zakresie zarządzania aktywami, w oparciu o istniejące struktury i dotychczasowe osiągnięcia.</w:t>
      </w:r>
    </w:p>
    <w:p>
      <w:pPr>
        <w:pStyle w:val="ManualConsidrant"/>
        <w:rPr>
          <w:noProof/>
        </w:rPr>
      </w:pPr>
      <w:r>
        <w:t>(6)</w:t>
      </w:r>
      <w:r>
        <w:tab/>
      </w:r>
      <w:r>
        <w:rPr>
          <w:noProof/>
        </w:rPr>
        <w:t>Należy zatem odpowiednio zmienić rozporządzenie (WE, Euratom) nr 480/2009,</w:t>
      </w:r>
    </w:p>
    <w:p>
      <w:pPr>
        <w:rPr>
          <w:noProof/>
        </w:rPr>
      </w:pPr>
    </w:p>
    <w:p>
      <w:pPr>
        <w:pStyle w:val="Formuledadoption"/>
        <w:rPr>
          <w:noProof/>
        </w:rPr>
      </w:pPr>
      <w:r>
        <w:rPr>
          <w:noProof/>
        </w:rPr>
        <w:t>PRZYJMUJĄ NINIEJSZE ROZPORZĄDZENIE:</w:t>
      </w:r>
    </w:p>
    <w:p>
      <w:pPr>
        <w:pStyle w:val="Titrearticle"/>
        <w:rPr>
          <w:noProof/>
        </w:rPr>
      </w:pPr>
      <w:r>
        <w:rPr>
          <w:noProof/>
        </w:rPr>
        <w:t>Artykuł 1</w:t>
      </w:r>
    </w:p>
    <w:p>
      <w:pPr>
        <w:spacing w:before="0" w:after="200" w:line="276" w:lineRule="auto"/>
        <w:rPr>
          <w:noProof/>
          <w:szCs w:val="24"/>
        </w:rPr>
      </w:pPr>
      <w:r>
        <w:rPr>
          <w:noProof/>
        </w:rPr>
        <w:t>W rozporządzeniu (WE, Euratom) nr 480/2009 wprowadza się następujące zmiany:</w:t>
      </w:r>
    </w:p>
    <w:p>
      <w:pPr>
        <w:spacing w:before="0" w:after="200" w:line="276" w:lineRule="auto"/>
        <w:rPr>
          <w:noProof/>
          <w:szCs w:val="24"/>
        </w:rPr>
      </w:pPr>
      <w:r>
        <w:rPr>
          <w:noProof/>
        </w:rPr>
        <w:t>1)</w:t>
      </w:r>
      <w:r>
        <w:rPr>
          <w:noProof/>
        </w:rPr>
        <w:tab/>
        <w:t>w art. 2 dodaje się tiret czwarte w brzmieniu:</w:t>
      </w:r>
    </w:p>
    <w:p>
      <w:pPr>
        <w:rPr>
          <w:noProof/>
        </w:rPr>
      </w:pPr>
      <w:r>
        <w:rPr>
          <w:noProof/>
        </w:rPr>
        <w:t>„— przychodów z premii z tytułu ryzyka uzyskanych w związku z działaniami EBI z zakresu finansowania, które korzystają z gwarancji Unii.”;</w:t>
      </w:r>
    </w:p>
    <w:p>
      <w:pPr>
        <w:rPr>
          <w:noProof/>
        </w:rPr>
      </w:pPr>
    </w:p>
    <w:p>
      <w:pPr>
        <w:rPr>
          <w:noProof/>
        </w:rPr>
      </w:pPr>
      <w:r>
        <w:rPr>
          <w:noProof/>
        </w:rPr>
        <w:t xml:space="preserve">2) </w:t>
      </w:r>
      <w:r>
        <w:rPr>
          <w:noProof/>
        </w:rPr>
        <w:tab/>
        <w:t xml:space="preserve">art. 3 akapit trzeci otrzymuje brzmienie: </w:t>
      </w:r>
    </w:p>
    <w:p>
      <w:pPr>
        <w:rPr>
          <w:noProof/>
        </w:rPr>
      </w:pPr>
      <w:r>
        <w:rPr>
          <w:noProof/>
        </w:rPr>
        <w:t xml:space="preserve">„Jeśli kwota środków Funduszu przekroczy 10 % łącznych </w:t>
      </w:r>
      <w:r>
        <w:rPr>
          <w:noProof/>
          <w:szCs w:val="24"/>
        </w:rPr>
        <w:t>wymagalnych zobowiązań kapitałowych</w:t>
      </w:r>
      <w:r>
        <w:rPr>
          <w:noProof/>
        </w:rPr>
        <w:t xml:space="preserve"> Unii, to nadwyżkę należy zwrócić do budżetu ogólnego Unii Europejskiej. Ta nadwyżka zostaje wpłacona w ramach jednej transakcji i ujęta w specjalnej pozycji w zestawieniu przychodów w budżecie ogólnym Unii Europejskiej za rok n+1 na podstawie istniejącej na koniec roku n–1 różnicy pomiędzy 10 % łącznej kwoty </w:t>
      </w:r>
      <w:r>
        <w:rPr>
          <w:noProof/>
          <w:szCs w:val="24"/>
        </w:rPr>
        <w:t xml:space="preserve">wymagalnych zobowiązań kapitałowych </w:t>
      </w:r>
      <w:r>
        <w:rPr>
          <w:noProof/>
        </w:rPr>
        <w:t>a wartością aktywów netto Funduszu, obliczoną na początku roku n.”;</w:t>
      </w:r>
    </w:p>
    <w:p>
      <w:pPr>
        <w:rPr>
          <w:noProof/>
        </w:rPr>
      </w:pPr>
    </w:p>
    <w:p>
      <w:pPr>
        <w:rPr>
          <w:noProof/>
        </w:rPr>
      </w:pPr>
      <w:r>
        <w:rPr>
          <w:noProof/>
        </w:rPr>
        <w:t>3)</w:t>
      </w:r>
      <w:r>
        <w:rPr>
          <w:noProof/>
        </w:rPr>
        <w:tab/>
        <w:t>art. 7 otrzymuje brzmienie:</w:t>
      </w:r>
    </w:p>
    <w:p>
      <w:pPr>
        <w:jc w:val="center"/>
        <w:rPr>
          <w:noProof/>
        </w:rPr>
      </w:pPr>
      <w:r>
        <w:rPr>
          <w:noProof/>
        </w:rPr>
        <w:t>„</w:t>
      </w:r>
      <w:r>
        <w:rPr>
          <w:i/>
          <w:noProof/>
        </w:rPr>
        <w:t>Artykuł 7</w:t>
      </w:r>
    </w:p>
    <w:p>
      <w:pPr>
        <w:rPr>
          <w:noProof/>
        </w:rPr>
      </w:pPr>
      <w:r>
        <w:rPr>
          <w:noProof/>
        </w:rPr>
        <w:t>Komisja zapewnia zarządzanie finansami Funduszu. Komisja zarządza środkami Funduszu Gwarancyjnego i inwestuje je zgodnie z zasadą należytego zarządzania finansami oraz z zachowaniem właściwych reguł ostrożnościowych.”;</w:t>
      </w:r>
    </w:p>
    <w:p>
      <w:pPr>
        <w:rPr>
          <w:noProof/>
        </w:rPr>
      </w:pPr>
    </w:p>
    <w:p>
      <w:pPr>
        <w:rPr>
          <w:noProof/>
        </w:rPr>
      </w:pPr>
      <w:r>
        <w:rPr>
          <w:noProof/>
        </w:rPr>
        <w:t xml:space="preserve">4) </w:t>
      </w:r>
      <w:r>
        <w:rPr>
          <w:noProof/>
        </w:rPr>
        <w:tab/>
        <w:t>art. 8 otrzymuje brzmienie:</w:t>
      </w:r>
    </w:p>
    <w:p>
      <w:pPr>
        <w:jc w:val="center"/>
        <w:rPr>
          <w:noProof/>
        </w:rPr>
      </w:pPr>
      <w:r>
        <w:rPr>
          <w:noProof/>
        </w:rPr>
        <w:t>„</w:t>
      </w:r>
      <w:r>
        <w:rPr>
          <w:i/>
          <w:noProof/>
        </w:rPr>
        <w:t>Artykuł 8</w:t>
      </w:r>
    </w:p>
    <w:p>
      <w:pPr>
        <w:rPr>
          <w:noProof/>
        </w:rPr>
      </w:pPr>
      <w:r>
        <w:rPr>
          <w:noProof/>
        </w:rPr>
        <w:t xml:space="preserve">Do dnia 31 marca każdego roku Komisja przesyła Parlamentowi Europejskiemu, Radzie oraz Trybunałowi Obrachunkowemu w związku ze sprawozdaniem finansowym Komisji wymagane informacje na temat sytuacji Funduszu Gwarancyjnego. </w:t>
      </w:r>
    </w:p>
    <w:p>
      <w:pPr>
        <w:rPr>
          <w:noProof/>
        </w:rPr>
      </w:pPr>
      <w:r>
        <w:rPr>
          <w:noProof/>
        </w:rPr>
        <w:t>Ponadto, do dnia 31 maja każdego roku, Komisja przedstawia Parlamentowi Europejskiemu, Radzie oraz Trybunałowi Obrachunkowemu sprawozdanie roczne dotyczące zarządzania Funduszem Gwarancyjnym w poprzednim roku kalendarzowym. Sprawozdanie roczne obejmuje prezentację sytuacji finansowej Funduszu Gwarancyjnego na koniec poprzedniego roku kalendarzowego, przepływy finansowe w poprzednim roku kalendarzowym, a także znaczące transakcje i wszelkie stosowne informacje na temat rachunków finansowych. Sprawozdanie to zawiera także informacje na temat zarządzania finansowego, wyników Funduszu oraz ryzyka Funduszu Gwarancyjnego na koniec poprzedniego roku kalendarzowego.”.</w:t>
      </w:r>
    </w:p>
    <w:p>
      <w:pPr>
        <w:rPr>
          <w:noProof/>
        </w:rPr>
      </w:pPr>
    </w:p>
    <w:p>
      <w:pPr>
        <w:pStyle w:val="Titrearticle"/>
        <w:rPr>
          <w:noProof/>
        </w:rPr>
      </w:pPr>
      <w:r>
        <w:rPr>
          <w:noProof/>
        </w:rPr>
        <w:t>Artykuł 2</w:t>
      </w:r>
    </w:p>
    <w:p>
      <w:pPr>
        <w:rPr>
          <w:noProof/>
        </w:rPr>
      </w:pPr>
      <w:r>
        <w:rPr>
          <w:noProof/>
        </w:rPr>
        <w:t xml:space="preserve">Niniejsze rozporządzenie wchodzi w życie dwudziestego dnia po jego opublikowaniu w </w:t>
      </w:r>
      <w:r>
        <w:rPr>
          <w:i/>
          <w:noProof/>
        </w:rPr>
        <w:t>Dzienniku Urzędowym Unii Europejskiej</w:t>
      </w:r>
      <w:r>
        <w:rPr>
          <w:noProof/>
        </w:rPr>
        <w:t>.</w:t>
      </w:r>
    </w:p>
    <w:p>
      <w:pPr>
        <w:pStyle w:val="Applicationdirecte"/>
        <w:rPr>
          <w:noProof/>
        </w:rPr>
      </w:pPr>
      <w:r>
        <w:rPr>
          <w:noProof/>
        </w:rPr>
        <w:t>Niniejsze rozporządzenie wiąże w całości i jest bezpośrednio stosowane we wszystkich państwach członkowskich.</w:t>
      </w:r>
    </w:p>
    <w:p>
      <w:pPr>
        <w:pStyle w:val="Fait"/>
        <w:rPr>
          <w:noProof/>
        </w:rPr>
      </w:pPr>
      <w:r>
        <w:rPr>
          <w:noProof/>
        </w:rPr>
        <w:t>Sporządzono w Brukseli dnia  r.</w:t>
      </w:r>
    </w:p>
    <w:p>
      <w:pPr>
        <w:pStyle w:val="Institutionquisigne"/>
        <w:rPr>
          <w:noProof/>
        </w:rPr>
      </w:pPr>
      <w:r>
        <w:rPr>
          <w:noProof/>
        </w:rPr>
        <w:t>W imieniu Parlamentu Europejskiego</w:t>
      </w:r>
      <w:r>
        <w:rPr>
          <w:noProof/>
        </w:rPr>
        <w:tab/>
        <w:t>W imieniu Rady</w:t>
      </w:r>
    </w:p>
    <w:p>
      <w:pPr>
        <w:pStyle w:val="Personnequisigne"/>
        <w:rPr>
          <w:noProof/>
        </w:rPr>
      </w:pPr>
      <w:r>
        <w:rPr>
          <w:noProof/>
        </w:rPr>
        <w:t>Przewodniczący</w:t>
      </w:r>
      <w:r>
        <w:rPr>
          <w:noProof/>
        </w:rPr>
        <w:tab/>
        <w:t>Przewodniczący</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t>OCENA SKUTKÓW FINANSOWYCH REGULACJI</w:t>
      </w:r>
    </w:p>
    <w:p>
      <w:pPr>
        <w:pStyle w:val="ManualHeading1"/>
        <w:rPr>
          <w:noProof/>
        </w:rPr>
      </w:pPr>
      <w:r>
        <w:rPr>
          <w:noProof/>
        </w:rPr>
        <w:t>1.</w:t>
      </w:r>
      <w:r>
        <w:rPr>
          <w:noProof/>
        </w:rPr>
        <w:tab/>
        <w:t xml:space="preserve">STRUKTURA WNIOSKU/INICJATYWY </w:t>
      </w:r>
    </w:p>
    <w:p>
      <w:pPr>
        <w:pStyle w:val="ManualHeading2"/>
        <w:rPr>
          <w:b w:val="0"/>
          <w:noProof/>
        </w:rPr>
      </w:pPr>
      <w:r>
        <w:rPr>
          <w:noProof/>
        </w:rPr>
        <w:tab/>
      </w:r>
      <w:r>
        <w:rPr>
          <w:b w:val="0"/>
          <w:noProof/>
        </w:rPr>
        <w:t>1.1.</w:t>
      </w:r>
      <w:r>
        <w:rPr>
          <w:noProof/>
        </w:rPr>
        <w:tab/>
      </w:r>
      <w:r>
        <w:rPr>
          <w:b w:val="0"/>
          <w:noProof/>
        </w:rPr>
        <w:t xml:space="preserve">Tytuł wniosku/inicjatywy </w:t>
      </w:r>
    </w:p>
    <w:p>
      <w:pPr>
        <w:pStyle w:val="ManualHeading2"/>
        <w:rPr>
          <w:b w:val="0"/>
          <w:noProof/>
        </w:rPr>
      </w:pPr>
      <w:r>
        <w:rPr>
          <w:noProof/>
        </w:rPr>
        <w:tab/>
      </w:r>
      <w:r>
        <w:rPr>
          <w:b w:val="0"/>
          <w:noProof/>
        </w:rPr>
        <w:t>1.2.</w:t>
      </w:r>
      <w:r>
        <w:rPr>
          <w:noProof/>
        </w:rPr>
        <w:tab/>
      </w:r>
      <w:r>
        <w:rPr>
          <w:b w:val="0"/>
          <w:noProof/>
        </w:rPr>
        <w:t>Dziedziny polityki w strukturze ABM/ABB, których dotyczy wniosek/inicjatywa</w:t>
      </w:r>
    </w:p>
    <w:p>
      <w:pPr>
        <w:pStyle w:val="ManualHeading2"/>
        <w:rPr>
          <w:b w:val="0"/>
          <w:noProof/>
        </w:rPr>
      </w:pPr>
      <w:r>
        <w:rPr>
          <w:noProof/>
        </w:rPr>
        <w:tab/>
      </w:r>
      <w:r>
        <w:rPr>
          <w:b w:val="0"/>
          <w:noProof/>
        </w:rPr>
        <w:t>1.3.</w:t>
      </w:r>
      <w:r>
        <w:rPr>
          <w:noProof/>
        </w:rPr>
        <w:tab/>
      </w:r>
      <w:r>
        <w:rPr>
          <w:b w:val="0"/>
          <w:noProof/>
        </w:rPr>
        <w:t xml:space="preserve">Charakter wniosku/inicjatywy </w:t>
      </w:r>
    </w:p>
    <w:p>
      <w:pPr>
        <w:pStyle w:val="ManualHeading2"/>
        <w:rPr>
          <w:b w:val="0"/>
          <w:noProof/>
        </w:rPr>
      </w:pPr>
      <w:r>
        <w:rPr>
          <w:noProof/>
        </w:rPr>
        <w:tab/>
      </w:r>
      <w:r>
        <w:rPr>
          <w:b w:val="0"/>
          <w:noProof/>
        </w:rPr>
        <w:t>1.4.</w:t>
      </w:r>
      <w:r>
        <w:rPr>
          <w:noProof/>
        </w:rPr>
        <w:tab/>
      </w:r>
      <w:r>
        <w:rPr>
          <w:b w:val="0"/>
          <w:noProof/>
        </w:rPr>
        <w:t xml:space="preserve">Cele </w:t>
      </w:r>
    </w:p>
    <w:p>
      <w:pPr>
        <w:pStyle w:val="ManualHeading2"/>
        <w:rPr>
          <w:b w:val="0"/>
          <w:noProof/>
        </w:rPr>
      </w:pPr>
      <w:r>
        <w:rPr>
          <w:noProof/>
        </w:rPr>
        <w:tab/>
      </w:r>
      <w:r>
        <w:rPr>
          <w:b w:val="0"/>
          <w:noProof/>
        </w:rPr>
        <w:t>1.5.</w:t>
      </w:r>
      <w:r>
        <w:rPr>
          <w:noProof/>
        </w:rPr>
        <w:tab/>
      </w:r>
      <w:r>
        <w:rPr>
          <w:b w:val="0"/>
          <w:noProof/>
        </w:rPr>
        <w:t xml:space="preserve">Uzasadnienie wniosku/inicjatywy </w:t>
      </w:r>
    </w:p>
    <w:p>
      <w:pPr>
        <w:pStyle w:val="ManualHeading2"/>
        <w:rPr>
          <w:b w:val="0"/>
          <w:noProof/>
        </w:rPr>
      </w:pPr>
      <w:r>
        <w:rPr>
          <w:noProof/>
        </w:rPr>
        <w:tab/>
      </w:r>
      <w:r>
        <w:rPr>
          <w:b w:val="0"/>
          <w:noProof/>
        </w:rPr>
        <w:t>1.6.</w:t>
      </w:r>
      <w:r>
        <w:rPr>
          <w:noProof/>
        </w:rPr>
        <w:tab/>
      </w:r>
      <w:r>
        <w:rPr>
          <w:b w:val="0"/>
          <w:noProof/>
        </w:rPr>
        <w:t xml:space="preserve">Okres trwania działania i jego wpływ finansowy </w:t>
      </w:r>
    </w:p>
    <w:p>
      <w:pPr>
        <w:pStyle w:val="ManualHeading2"/>
        <w:rPr>
          <w:b w:val="0"/>
          <w:noProof/>
        </w:rPr>
      </w:pPr>
      <w:r>
        <w:rPr>
          <w:noProof/>
        </w:rPr>
        <w:tab/>
      </w:r>
      <w:r>
        <w:rPr>
          <w:b w:val="0"/>
          <w:noProof/>
        </w:rPr>
        <w:t>1.7.</w:t>
      </w:r>
      <w:r>
        <w:rPr>
          <w:noProof/>
        </w:rPr>
        <w:tab/>
      </w:r>
      <w:r>
        <w:rPr>
          <w:b w:val="0"/>
          <w:noProof/>
        </w:rPr>
        <w:t xml:space="preserve">Przewidywane tryby zarządzania </w:t>
      </w:r>
    </w:p>
    <w:p>
      <w:pPr>
        <w:pStyle w:val="ManualHeading1"/>
        <w:rPr>
          <w:noProof/>
        </w:rPr>
      </w:pPr>
      <w:r>
        <w:rPr>
          <w:noProof/>
        </w:rPr>
        <w:t>2.</w:t>
      </w:r>
      <w:r>
        <w:rPr>
          <w:noProof/>
        </w:rPr>
        <w:tab/>
        <w:t xml:space="preserve">ŚRODKI ZARZĄDZANIA </w:t>
      </w:r>
    </w:p>
    <w:p>
      <w:pPr>
        <w:pStyle w:val="ManualHeading2"/>
        <w:rPr>
          <w:b w:val="0"/>
          <w:noProof/>
        </w:rPr>
      </w:pPr>
      <w:r>
        <w:rPr>
          <w:noProof/>
        </w:rPr>
        <w:tab/>
      </w:r>
      <w:r>
        <w:rPr>
          <w:b w:val="0"/>
          <w:noProof/>
        </w:rPr>
        <w:t>2.1.</w:t>
      </w:r>
      <w:r>
        <w:rPr>
          <w:noProof/>
        </w:rPr>
        <w:tab/>
      </w:r>
      <w:r>
        <w:rPr>
          <w:b w:val="0"/>
          <w:noProof/>
        </w:rPr>
        <w:t xml:space="preserve">Zasady nadzoru i sprawozdawczości </w:t>
      </w:r>
    </w:p>
    <w:p>
      <w:pPr>
        <w:pStyle w:val="ManualHeading2"/>
        <w:rPr>
          <w:b w:val="0"/>
          <w:noProof/>
        </w:rPr>
      </w:pPr>
      <w:r>
        <w:rPr>
          <w:noProof/>
        </w:rPr>
        <w:tab/>
      </w:r>
      <w:r>
        <w:rPr>
          <w:b w:val="0"/>
          <w:noProof/>
        </w:rPr>
        <w:t>2.2.</w:t>
      </w:r>
      <w:r>
        <w:rPr>
          <w:noProof/>
        </w:rPr>
        <w:tab/>
      </w:r>
      <w:r>
        <w:rPr>
          <w:b w:val="0"/>
          <w:noProof/>
        </w:rPr>
        <w:t xml:space="preserve">System zarządzania i kontroli </w:t>
      </w:r>
    </w:p>
    <w:p>
      <w:pPr>
        <w:pStyle w:val="ManualHeading2"/>
        <w:rPr>
          <w:b w:val="0"/>
          <w:noProof/>
        </w:rPr>
      </w:pPr>
      <w:r>
        <w:rPr>
          <w:noProof/>
        </w:rPr>
        <w:tab/>
      </w:r>
      <w:r>
        <w:rPr>
          <w:b w:val="0"/>
          <w:noProof/>
        </w:rPr>
        <w:t>2.3.</w:t>
      </w:r>
      <w:r>
        <w:rPr>
          <w:noProof/>
        </w:rPr>
        <w:tab/>
      </w:r>
      <w:r>
        <w:rPr>
          <w:b w:val="0"/>
          <w:noProof/>
        </w:rPr>
        <w:t xml:space="preserve">Środki zapobiegania nadużyciom finansowym i nieprawidłowościom </w:t>
      </w:r>
    </w:p>
    <w:p>
      <w:pPr>
        <w:pStyle w:val="ManualHeading1"/>
        <w:rPr>
          <w:noProof/>
        </w:rPr>
      </w:pPr>
      <w:r>
        <w:rPr>
          <w:noProof/>
        </w:rPr>
        <w:t>3.</w:t>
      </w:r>
      <w:r>
        <w:rPr>
          <w:noProof/>
        </w:rPr>
        <w:tab/>
        <w:t xml:space="preserve">SZACUNKOWY WPŁYW FINANSOWY WNIOSKU/INICJATYWY </w:t>
      </w:r>
    </w:p>
    <w:p>
      <w:pPr>
        <w:pStyle w:val="ManualHeading2"/>
        <w:rPr>
          <w:b w:val="0"/>
          <w:noProof/>
        </w:rPr>
      </w:pPr>
      <w:r>
        <w:rPr>
          <w:noProof/>
        </w:rPr>
        <w:tab/>
      </w:r>
      <w:r>
        <w:rPr>
          <w:b w:val="0"/>
          <w:noProof/>
        </w:rPr>
        <w:t>3.1.</w:t>
      </w:r>
      <w:r>
        <w:rPr>
          <w:noProof/>
        </w:rPr>
        <w:tab/>
      </w:r>
      <w:r>
        <w:rPr>
          <w:b w:val="0"/>
          <w:noProof/>
        </w:rPr>
        <w:t xml:space="preserve">Działy wieloletnich ram finansowych i linie budżetowe po stronie wydatków, na które wniosek/inicjatywa ma wpływ </w:t>
      </w:r>
    </w:p>
    <w:p>
      <w:pPr>
        <w:pStyle w:val="ManualHeading2"/>
        <w:rPr>
          <w:noProof/>
        </w:rPr>
      </w:pPr>
      <w:r>
        <w:rPr>
          <w:noProof/>
        </w:rPr>
        <w:tab/>
      </w:r>
      <w:r>
        <w:rPr>
          <w:b w:val="0"/>
          <w:noProof/>
        </w:rPr>
        <w:t>3.2.</w:t>
      </w:r>
      <w:r>
        <w:rPr>
          <w:noProof/>
        </w:rPr>
        <w:tab/>
      </w:r>
      <w:r>
        <w:rPr>
          <w:b w:val="0"/>
          <w:noProof/>
        </w:rPr>
        <w:t>Szacunkowy wpływ na wydatki</w:t>
      </w:r>
      <w:r>
        <w:rPr>
          <w:noProof/>
        </w:rPr>
        <w:t xml:space="preserve"> </w:t>
      </w:r>
    </w:p>
    <w:p>
      <w:pPr>
        <w:pStyle w:val="ManualHeading3"/>
        <w:rPr>
          <w:noProof/>
        </w:rPr>
      </w:pPr>
      <w:r>
        <w:rPr>
          <w:noProof/>
        </w:rPr>
        <w:tab/>
        <w:t>3.2.1.</w:t>
      </w:r>
      <w:r>
        <w:rPr>
          <w:noProof/>
        </w:rPr>
        <w:tab/>
        <w:t xml:space="preserve">Synteza szacunkowego wpływu na wydatki </w:t>
      </w:r>
    </w:p>
    <w:p>
      <w:pPr>
        <w:pStyle w:val="ManualHeading3"/>
        <w:rPr>
          <w:noProof/>
        </w:rPr>
      </w:pPr>
      <w:r>
        <w:rPr>
          <w:noProof/>
        </w:rPr>
        <w:tab/>
        <w:t>3.2.2.</w:t>
      </w:r>
      <w:r>
        <w:rPr>
          <w:noProof/>
        </w:rPr>
        <w:tab/>
        <w:t xml:space="preserve">Szacunkowy wpływ na środki operacyjne </w:t>
      </w:r>
    </w:p>
    <w:p>
      <w:pPr>
        <w:pStyle w:val="ManualHeading3"/>
        <w:rPr>
          <w:noProof/>
        </w:rPr>
      </w:pPr>
      <w:r>
        <w:rPr>
          <w:noProof/>
        </w:rPr>
        <w:tab/>
        <w:t>3.2.3.</w:t>
      </w:r>
      <w:r>
        <w:rPr>
          <w:noProof/>
        </w:rPr>
        <w:tab/>
        <w:t>Szacunkowy wpływ na środki administracyjne</w:t>
      </w:r>
    </w:p>
    <w:p>
      <w:pPr>
        <w:pStyle w:val="ManualHeading3"/>
        <w:rPr>
          <w:noProof/>
        </w:rPr>
      </w:pPr>
      <w:r>
        <w:rPr>
          <w:noProof/>
        </w:rPr>
        <w:tab/>
        <w:t>3.2.4.</w:t>
      </w:r>
      <w:r>
        <w:rPr>
          <w:noProof/>
        </w:rPr>
        <w:tab/>
        <w:t>Zgodność z obowiązującymi wieloletnimi ramami finansowymi</w:t>
      </w:r>
    </w:p>
    <w:p>
      <w:pPr>
        <w:pStyle w:val="ManualHeading3"/>
        <w:rPr>
          <w:noProof/>
        </w:rPr>
      </w:pPr>
      <w:r>
        <w:rPr>
          <w:noProof/>
        </w:rPr>
        <w:tab/>
        <w:t>3.2.5.</w:t>
      </w:r>
      <w:r>
        <w:rPr>
          <w:noProof/>
        </w:rPr>
        <w:tab/>
        <w:t xml:space="preserve">Udział osób trzecich w finansowaniu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Szacunkowy wpływ na dochody</w:t>
      </w:r>
    </w:p>
    <w:p>
      <w:pPr>
        <w:jc w:val="center"/>
        <w:rPr>
          <w:noProof/>
        </w:rPr>
      </w:pPr>
      <w:r>
        <w:rPr>
          <w:b/>
          <w:noProof/>
          <w:u w:val="single"/>
        </w:rPr>
        <w:t>OCENA SKUTKÓW FINANSOWYCH REGULACJI</w:t>
      </w:r>
    </w:p>
    <w:p>
      <w:pPr>
        <w:pStyle w:val="ManualHeading1"/>
        <w:rPr>
          <w:noProof/>
        </w:rPr>
      </w:pPr>
      <w:r>
        <w:t>1.</w:t>
      </w:r>
      <w:r>
        <w:tab/>
      </w:r>
      <w:r>
        <w:rPr>
          <w:noProof/>
        </w:rPr>
        <w:t xml:space="preserve">STRUKTURA WNIOSKU/INICJATYWY </w:t>
      </w:r>
    </w:p>
    <w:p>
      <w:pPr>
        <w:pStyle w:val="ManualHeading2"/>
        <w:rPr>
          <w:noProof/>
        </w:rPr>
      </w:pPr>
      <w:r>
        <w:t>1.1.</w:t>
      </w:r>
      <w:r>
        <w:tab/>
      </w:r>
      <w:r>
        <w:rPr>
          <w:noProof/>
        </w:rPr>
        <w:t xml:space="preserve">Tytuł wniosku/inicjatywy </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Rozporządzenie Rady zmieniające rozporządzenie Rady (WE, Euratom) nr 480/2009 z dnia 25 maja 2009 r. ustanawiające Fundusz Gwarancyjny dla działań zewnętrznych</w:t>
      </w:r>
    </w:p>
    <w:p>
      <w:pPr>
        <w:pStyle w:val="ManualHeading2"/>
        <w:rPr>
          <w:noProof/>
          <w:szCs w:val="24"/>
        </w:rPr>
      </w:pPr>
      <w:r>
        <w:t>1.2.</w:t>
      </w:r>
      <w:r>
        <w:tab/>
      </w:r>
      <w:r>
        <w:rPr>
          <w:noProof/>
        </w:rPr>
        <w:t>Dziedziny polityki w strukturze ABM/ABB, których dotyczy wniosek/inicjatywa</w:t>
      </w:r>
      <w:r>
        <w:rPr>
          <w:rStyle w:val="FootnoteReference"/>
          <w:noProof/>
        </w:rPr>
        <w:footnoteReference w:id="3"/>
      </w:r>
      <w:r>
        <w:rPr>
          <w:i/>
          <w:noProof/>
        </w:rPr>
        <w:t xml:space="preserve"> </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Tytuł 01 – Sprawy gospodarcze i finansowe</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Działanie ABB: „Promowanie dobrobytu poza obszarem Unii Europejskiej” oraz</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Działanie ABB: „operacje i instrumenty finansowe”</w:t>
      </w:r>
    </w:p>
    <w:p>
      <w:pPr>
        <w:pStyle w:val="Text1"/>
        <w:pBdr>
          <w:top w:val="single" w:sz="4" w:space="1" w:color="auto"/>
          <w:left w:val="single" w:sz="4" w:space="4" w:color="auto"/>
          <w:bottom w:val="single" w:sz="4" w:space="1" w:color="auto"/>
          <w:right w:val="single" w:sz="4" w:space="4" w:color="auto"/>
        </w:pBdr>
        <w:spacing w:line="276" w:lineRule="auto"/>
        <w:rPr>
          <w:noProof/>
        </w:rPr>
      </w:pPr>
    </w:p>
    <w:p>
      <w:pPr>
        <w:pStyle w:val="ManualHeading2"/>
        <w:rPr>
          <w:bCs/>
          <w:noProof/>
          <w:szCs w:val="24"/>
        </w:rPr>
      </w:pPr>
      <w:r>
        <w:t>1.3.</w:t>
      </w:r>
      <w:r>
        <w:tab/>
      </w:r>
      <w:r>
        <w:rPr>
          <w:noProof/>
        </w:rPr>
        <w:t xml:space="preserve">Charakter wniosku/inicjatywy </w:t>
      </w:r>
    </w:p>
    <w:p>
      <w:pPr>
        <w:pStyle w:val="Text1"/>
        <w:spacing w:line="276" w:lineRule="auto"/>
        <w:rPr>
          <w:b/>
          <w:noProof/>
          <w:sz w:val="22"/>
        </w:rPr>
      </w:pPr>
      <w:r>
        <w:rPr>
          <w:noProof/>
          <w:sz w:val="22"/>
        </w:rPr>
        <w:sym w:font="Wingdings" w:char="F0A8"/>
      </w:r>
      <w:r>
        <w:rPr>
          <w:noProof/>
        </w:rPr>
        <w:t xml:space="preserve">Wniosek/inicjatywa dotyczy </w:t>
      </w:r>
      <w:r>
        <w:rPr>
          <w:b/>
          <w:noProof/>
        </w:rPr>
        <w:t>nowego działania</w:t>
      </w:r>
      <w:r>
        <w:rPr>
          <w:b/>
          <w:noProof/>
          <w:sz w:val="22"/>
        </w:rPr>
        <w:t xml:space="preserve"> </w:t>
      </w:r>
    </w:p>
    <w:p>
      <w:pPr>
        <w:pStyle w:val="Text1"/>
        <w:spacing w:line="276" w:lineRule="auto"/>
        <w:rPr>
          <w:noProof/>
          <w:sz w:val="22"/>
        </w:rPr>
      </w:pPr>
      <w:r>
        <w:rPr>
          <w:noProof/>
          <w:sz w:val="22"/>
        </w:rPr>
        <w:sym w:font="Wingdings" w:char="F0A8"/>
      </w:r>
      <w:r>
        <w:rPr>
          <w:noProof/>
        </w:rPr>
        <w:t xml:space="preserve">Wniosek/inicjatywa dotyczy </w:t>
      </w:r>
      <w:r>
        <w:rPr>
          <w:b/>
          <w:noProof/>
        </w:rPr>
        <w:t>nowego działania będącego następstwem projektu pilotażowego/działania przygotowawczego</w:t>
      </w:r>
      <w:r>
        <w:rPr>
          <w:rStyle w:val="FootnoteReference"/>
          <w:b/>
          <w:noProof/>
        </w:rPr>
        <w:footnoteReference w:id="4"/>
      </w:r>
      <w:r>
        <w:rPr>
          <w:noProof/>
          <w:sz w:val="22"/>
        </w:rPr>
        <w:t xml:space="preserve"> </w:t>
      </w:r>
    </w:p>
    <w:p>
      <w:pPr>
        <w:pStyle w:val="Text1"/>
        <w:spacing w:line="276" w:lineRule="auto"/>
        <w:rPr>
          <w:noProof/>
          <w:sz w:val="22"/>
        </w:rPr>
      </w:pPr>
      <w:r>
        <w:rPr>
          <w:noProof/>
          <w:sz w:val="22"/>
        </w:rPr>
        <w:t>X</w:t>
      </w:r>
      <w:r>
        <w:rPr>
          <w:noProof/>
        </w:rPr>
        <w:t xml:space="preserve"> Wniosek/inicjatywa dotyczy </w:t>
      </w:r>
      <w:r>
        <w:rPr>
          <w:b/>
          <w:noProof/>
        </w:rPr>
        <w:t>przedłużenia bieżącego działania</w:t>
      </w:r>
      <w:r>
        <w:rPr>
          <w:noProof/>
          <w:sz w:val="22"/>
        </w:rPr>
        <w:t xml:space="preserve"> </w:t>
      </w:r>
    </w:p>
    <w:p>
      <w:pPr>
        <w:pStyle w:val="Text1"/>
        <w:spacing w:line="276" w:lineRule="auto"/>
        <w:rPr>
          <w:noProof/>
        </w:rPr>
      </w:pPr>
      <w:r>
        <w:rPr>
          <w:noProof/>
          <w:sz w:val="22"/>
        </w:rPr>
        <w:sym w:font="Wingdings" w:char="F0A8"/>
      </w:r>
      <w:r>
        <w:rPr>
          <w:noProof/>
        </w:rPr>
        <w:t xml:space="preserve">Wniosek/inicjatywa dotyczy </w:t>
      </w:r>
      <w:r>
        <w:rPr>
          <w:b/>
          <w:noProof/>
        </w:rPr>
        <w:t>działania, które zostało przekształcone pod kątem nowego działania</w:t>
      </w:r>
      <w:r>
        <w:rPr>
          <w:noProof/>
        </w:rPr>
        <w:t xml:space="preserve"> </w:t>
      </w:r>
    </w:p>
    <w:p>
      <w:pPr>
        <w:pStyle w:val="ManualHeading2"/>
        <w:rPr>
          <w:bCs/>
          <w:noProof/>
          <w:szCs w:val="24"/>
        </w:rPr>
      </w:pPr>
      <w:r>
        <w:t>1.4.</w:t>
      </w:r>
      <w:r>
        <w:tab/>
      </w:r>
      <w:r>
        <w:rPr>
          <w:noProof/>
        </w:rPr>
        <w:t>Cele</w:t>
      </w:r>
    </w:p>
    <w:p>
      <w:pPr>
        <w:pStyle w:val="ManualHeading3"/>
        <w:rPr>
          <w:noProof/>
        </w:rPr>
      </w:pPr>
      <w:r>
        <w:t>1.4.1.</w:t>
      </w:r>
      <w:r>
        <w:tab/>
      </w:r>
      <w:r>
        <w:rPr>
          <w:noProof/>
        </w:rPr>
        <w:t xml:space="preserve">Wieloletnie cele strategiczne Komisji wskazane we wniosku/inicjatywie </w:t>
      </w:r>
    </w:p>
    <w:p>
      <w:pPr>
        <w:spacing w:before="0" w:after="240" w:line="276" w:lineRule="auto"/>
        <w:ind w:left="840"/>
        <w:rPr>
          <w:rFonts w:eastAsia="Arial Unicode MS"/>
          <w:noProof/>
        </w:rPr>
      </w:pPr>
      <w:r>
        <w:rPr>
          <w:noProof/>
        </w:rPr>
        <w:t>Niniejszy wniosek stanowi element ambitnego planu inwestycji zewnętrznych („EPI”), przedstawionego w komunikacie Komisji z dnia 7 czerwca 2016 r. w sprawie ustanowienia nowych ram partnerstwa z krajami trzecimi w ramach Europejskiego programu w zakresie migracji. Inicjatywa EIP została następnie zatwierdzona przez Radę Europejską w dniu 28 czerwca 2016 r. i ma na celu zajęcie się podstawowymi przyczynami migracji, przy jednoczesnym przyczynianiu się do osiągania innych celów rozwoju. Wniosek ten stanowi integralną część EIP, który jest kluczową inicjatywą polityczną Unii. Zawiera przepisy pomocnicze niezbędne dla funkcjonowania EIP, w szczególności nowego upoważnienia dla EBI do udzielania pożyczek na projekty sektora prywatnego, jak przewidziano we wniosku Komisji dotyczącym decyzji Parlamentu Europejskiego i Rady zmieniającej decyzję 466/2014/UE.</w:t>
      </w:r>
    </w:p>
    <w:p>
      <w:pPr>
        <w:pStyle w:val="ManualHeading3"/>
        <w:rPr>
          <w:bCs/>
          <w:noProof/>
          <w:szCs w:val="24"/>
        </w:rPr>
      </w:pPr>
      <w:r>
        <w:t>1.4.2.</w:t>
      </w:r>
      <w:r>
        <w:tab/>
      </w:r>
      <w:r>
        <w:rPr>
          <w:noProof/>
        </w:rPr>
        <w:t xml:space="preserve">Cele szczegółowe i działania ABM/ABB, których dotyczy wniosek/inicjatywa </w:t>
      </w:r>
    </w:p>
    <w:p>
      <w:pPr>
        <w:pStyle w:val="Text1"/>
        <w:pBdr>
          <w:top w:val="single" w:sz="4" w:space="1" w:color="auto"/>
          <w:left w:val="single" w:sz="4" w:space="4" w:color="auto"/>
          <w:bottom w:val="single" w:sz="4" w:space="1" w:color="auto"/>
          <w:right w:val="single" w:sz="4" w:space="4" w:color="auto"/>
        </w:pBdr>
        <w:spacing w:line="276" w:lineRule="auto"/>
        <w:rPr>
          <w:noProof/>
          <w:u w:val="single"/>
        </w:rPr>
      </w:pPr>
      <w:r>
        <w:rPr>
          <w:noProof/>
          <w:u w:val="single"/>
        </w:rPr>
        <w:t>Cel szczegółowy nr:</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Cel szczegółowy ABM nr 2 „Polepszenie profilu UE, reprezentacji UE na zewnątrz oraz powiązań z EBI, EBOiR i innymi międzynarodowymi instytucjami finansowymi, w tym poprawa reputacji UE w ramach właściwych forów gospodarczych w celu zwiększenia konwergencji między ich strategiami i działaniami a priorytetami polityki zewnętrznej UE”.</w:t>
      </w:r>
    </w:p>
    <w:p>
      <w:pPr>
        <w:pStyle w:val="Text1"/>
        <w:pBdr>
          <w:top w:val="single" w:sz="4" w:space="1" w:color="auto"/>
          <w:left w:val="single" w:sz="4" w:space="4" w:color="auto"/>
          <w:bottom w:val="single" w:sz="4" w:space="1" w:color="auto"/>
          <w:right w:val="single" w:sz="4" w:space="4" w:color="auto"/>
        </w:pBdr>
        <w:spacing w:line="276" w:lineRule="auto"/>
        <w:rPr>
          <w:noProof/>
          <w:u w:val="single"/>
        </w:rPr>
      </w:pPr>
      <w:r>
        <w:rPr>
          <w:noProof/>
          <w:u w:val="single"/>
        </w:rPr>
        <w:t>Działania ABM/ABB, których dotyczy wniosek/inicjatywa</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Tytuł 01 03 – Międzynarodowe sprawy gospodarcze i finansowe</w:t>
      </w:r>
    </w:p>
    <w:p>
      <w:pPr>
        <w:pStyle w:val="ManualHeading3"/>
        <w:rPr>
          <w:bCs/>
          <w:noProof/>
          <w:szCs w:val="24"/>
        </w:rPr>
      </w:pPr>
      <w:r>
        <w:rPr>
          <w:noProof/>
        </w:rPr>
        <w:br w:type="page"/>
      </w:r>
      <w:r>
        <w:t>1.4.3.</w:t>
      </w:r>
      <w:r>
        <w:tab/>
      </w:r>
      <w:r>
        <w:rPr>
          <w:noProof/>
        </w:rPr>
        <w:t>Oczekiwane wyniki i wpływ</w:t>
      </w:r>
    </w:p>
    <w:p>
      <w:pPr>
        <w:pStyle w:val="Text1"/>
        <w:spacing w:line="276" w:lineRule="auto"/>
        <w:rPr>
          <w:i/>
          <w:noProof/>
          <w:sz w:val="20"/>
        </w:rPr>
      </w:pPr>
      <w:r>
        <w:rPr>
          <w:i/>
          <w:noProof/>
          <w:sz w:val="20"/>
        </w:rPr>
        <w:t>Należy wskazać, jakie efekty przyniesie wniosek/inicjatywa beneficjentom/grupie docelowej.</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 xml:space="preserve">Proponowana zmiana rozporządzenia (WE, Euratom) nr 480/2009 ma na celu ustanowienie niezbędnych warunków wstępnych dla Funduszu Gwarancyjnego dla działań Zewnętrznych, by mógł on otrzymywać premie z tytułu ryzyka pochodzące z działań EBI z zakresu finansowania w ramach upoważnienia dotyczącego sektora prywatnego, dotyczących projektów na rzecz wspierania uchodźców lub społeczności ich przyjmujących. Ponadto przejęcie zarządzania aktywami Funduszu Gwarancyjnego dla działań zewnętrznych powinno usprawnić i skonsolidować działalność Komisji w zakresie zarządzania aktywami w oparciu o istniejące struktury i dotychczasowe osiągnięcia. Wpływ na beneficjentów objętych działaniami EBI w sektorze prywatnym zostaną poddane ocenie przez EBI w kontekście ram pomiaru wyników (REM) w odniesieniu do których EBI będzie opracowywać nowe wskaźniki dla projektów stanowiących strategiczną odpowiedź na kryzys migracyjny. </w:t>
      </w:r>
    </w:p>
    <w:p>
      <w:pPr>
        <w:pStyle w:val="Text1"/>
        <w:pBdr>
          <w:top w:val="single" w:sz="4" w:space="1" w:color="auto"/>
          <w:left w:val="single" w:sz="4" w:space="4" w:color="auto"/>
          <w:bottom w:val="single" w:sz="4" w:space="1" w:color="auto"/>
          <w:right w:val="single" w:sz="4" w:space="4" w:color="auto"/>
        </w:pBdr>
        <w:spacing w:line="276" w:lineRule="auto"/>
        <w:rPr>
          <w:noProof/>
        </w:rPr>
      </w:pPr>
    </w:p>
    <w:p>
      <w:pPr>
        <w:pStyle w:val="ManualHeading3"/>
        <w:rPr>
          <w:bCs/>
          <w:noProof/>
          <w:szCs w:val="24"/>
        </w:rPr>
      </w:pPr>
      <w:r>
        <w:t>1.4.4.</w:t>
      </w:r>
      <w:r>
        <w:tab/>
      </w:r>
      <w:r>
        <w:rPr>
          <w:noProof/>
        </w:rPr>
        <w:t xml:space="preserve">Wskaźniki wyników i wpływu </w:t>
      </w:r>
    </w:p>
    <w:p>
      <w:pPr>
        <w:pStyle w:val="Text1"/>
        <w:spacing w:line="276" w:lineRule="auto"/>
        <w:rPr>
          <w:i/>
          <w:noProof/>
          <w:sz w:val="20"/>
        </w:rPr>
      </w:pPr>
      <w:r>
        <w:rPr>
          <w:i/>
          <w:noProof/>
          <w:sz w:val="20"/>
        </w:rPr>
        <w:t>Należy określić wskaźniki, które umożliwią monitorowanie realizacji wniosku/inicjatywy.</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W odniesieniu do premii z tytułu ryzyka, odpowiednim wskaźnikiem byłaby należyta wpłata przychodów do Funduszu Gwarancyjnego.</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 xml:space="preserve">Jeżeli chodzi o przejęcie zarządzania Funduszem Gwarancyjnym, wskaźnikami byłyby: fakt, że przekazanie zarządzania nastąpi w sposób płynny oraz fakt, że Fundusz będzie zarządzany zgodnie z zasadą należytego zarządzania finansami. </w:t>
      </w:r>
    </w:p>
    <w:p>
      <w:pPr>
        <w:pStyle w:val="Text1"/>
        <w:pBdr>
          <w:top w:val="single" w:sz="4" w:space="1" w:color="auto"/>
          <w:left w:val="single" w:sz="4" w:space="4" w:color="auto"/>
          <w:bottom w:val="single" w:sz="4" w:space="1" w:color="auto"/>
          <w:right w:val="single" w:sz="4" w:space="4" w:color="auto"/>
        </w:pBdr>
        <w:spacing w:line="276" w:lineRule="auto"/>
        <w:rPr>
          <w:noProof/>
        </w:rPr>
      </w:pPr>
    </w:p>
    <w:p>
      <w:pPr>
        <w:pStyle w:val="ManualHeading2"/>
        <w:rPr>
          <w:bCs/>
          <w:noProof/>
          <w:szCs w:val="24"/>
        </w:rPr>
      </w:pPr>
      <w:r>
        <w:t>1.5.</w:t>
      </w:r>
      <w:r>
        <w:tab/>
      </w:r>
      <w:r>
        <w:rPr>
          <w:noProof/>
        </w:rPr>
        <w:t xml:space="preserve">Uzasadnienie wniosku/inicjatywy </w:t>
      </w:r>
    </w:p>
    <w:p>
      <w:pPr>
        <w:pStyle w:val="ManualHeading3"/>
        <w:rPr>
          <w:noProof/>
        </w:rPr>
      </w:pPr>
      <w:r>
        <w:t>1.5.1.</w:t>
      </w:r>
      <w:r>
        <w:tab/>
      </w:r>
      <w:r>
        <w:rPr>
          <w:noProof/>
        </w:rPr>
        <w:t xml:space="preserve">Potrzeby, które należy zaspokoić w perspektywie krótko- lub długoterminowej </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Przyjęcie wniosku Komisji dotyczącego decyzji Parlamentu Europejskiego i Rady zmieniającej decyzję nr 466/2014/UE Parlamentu Europejskiego i Rady w sprawie udzielenia gwarancji UE dla Europejskiego Banku Inwestycyjnego na pokrycie strat poniesionych w związku z działaniami z zakresu finansowania wspierającymi projekty inwestycyjne poza granicami Unii.</w:t>
      </w:r>
    </w:p>
    <w:p>
      <w:pPr>
        <w:pStyle w:val="ManualHeading3"/>
        <w:rPr>
          <w:bCs/>
          <w:noProof/>
          <w:szCs w:val="24"/>
        </w:rPr>
      </w:pPr>
      <w:r>
        <w:t>1.5.2.</w:t>
      </w:r>
      <w:r>
        <w:tab/>
      </w:r>
      <w:r>
        <w:rPr>
          <w:noProof/>
        </w:rPr>
        <w:t>Wartość dodana z tytułu zaangażowania Unii Europejskiej</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Wartość dodana gwarancji UE wspieranych przez Fundusz Gwarancyjny została opisana w ocenie skutków finansowych regulacji powiązanej z wnioskiem Komisji w sprawie zmiany decyzji 466/2014/UE. Upoważnienie do udzielania pożyczek na rzecz państw trzecich zapewnia EBI niezbędne wsparcie polityczne i finansowe ze strony UE dla operacji pożyczkowych EBI w poszczególnych państwach i dla projektów inwestycyjnych, które w innym przypadku nie spełniałyby standardowych wytycznych i kryteriów EBI ze względu na wysoki poziom ryzyka.</w:t>
      </w:r>
    </w:p>
    <w:p>
      <w:pPr>
        <w:pStyle w:val="Text1"/>
        <w:pBdr>
          <w:top w:val="single" w:sz="4" w:space="1" w:color="auto"/>
          <w:left w:val="single" w:sz="4" w:space="4" w:color="auto"/>
          <w:bottom w:val="single" w:sz="4" w:space="1" w:color="auto"/>
          <w:right w:val="single" w:sz="4" w:space="4" w:color="auto"/>
        </w:pBdr>
        <w:spacing w:line="276" w:lineRule="auto"/>
        <w:rPr>
          <w:noProof/>
        </w:rPr>
      </w:pPr>
    </w:p>
    <w:p>
      <w:pPr>
        <w:pStyle w:val="ManualHeading3"/>
        <w:rPr>
          <w:bCs/>
          <w:noProof/>
          <w:szCs w:val="24"/>
        </w:rPr>
      </w:pPr>
      <w:r>
        <w:t>1.5.3.</w:t>
      </w:r>
      <w:r>
        <w:tab/>
      </w:r>
      <w:r>
        <w:rPr>
          <w:noProof/>
        </w:rPr>
        <w:t>Główne wnioski wyciągnięte z podobnych działań</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 xml:space="preserve"> nie dotyczy</w:t>
      </w:r>
    </w:p>
    <w:p>
      <w:pPr>
        <w:pStyle w:val="ManualHeading3"/>
        <w:rPr>
          <w:noProof/>
        </w:rPr>
      </w:pPr>
      <w:r>
        <w:t>1.5.4.</w:t>
      </w:r>
      <w:r>
        <w:tab/>
      </w:r>
      <w:r>
        <w:rPr>
          <w:noProof/>
        </w:rPr>
        <w:t>Spójność z innymi właściwymi instrumentami oraz możliwa synergia</w:t>
      </w:r>
    </w:p>
    <w:p>
      <w:pPr>
        <w:pStyle w:val="Text1"/>
        <w:spacing w:line="276" w:lineRule="auto"/>
        <w:rPr>
          <w:noProof/>
        </w:rPr>
      </w:pPr>
      <w:r>
        <w:rPr>
          <w:noProof/>
        </w:rPr>
        <w:t xml:space="preserve">Synergia z wnioskiem Komisji dotyczącym decyzji zmieniającej decyzję Parlamentu Europejskiego i Rady nr 466/2014/UE w sprawie udzielenia gwarancji UE dla Europejskiego Banku Inwestycyjnego na pokrycie strat poniesionych w związku z działaniami z zakresu finansowania wspierającymi projekty inwestycyjne poza granicami Unii. </w:t>
      </w:r>
    </w:p>
    <w:p>
      <w:pPr>
        <w:pStyle w:val="Text1"/>
        <w:spacing w:line="276" w:lineRule="auto"/>
        <w:rPr>
          <w:noProof/>
        </w:rPr>
      </w:pPr>
      <w:r>
        <w:rPr>
          <w:noProof/>
        </w:rPr>
        <w:t>Działania w zakresie finansowania, których ryzyko pokrywa Fundusz Gwarancyjny, są uzupełnieniem działań podejmowanych w ramach instrumentów pomocy zewnętrznej UE.</w:t>
      </w:r>
    </w:p>
    <w:p>
      <w:pPr>
        <w:pStyle w:val="ManualHeading2"/>
        <w:rPr>
          <w:bCs/>
          <w:noProof/>
          <w:szCs w:val="24"/>
        </w:rPr>
      </w:pPr>
      <w:r>
        <w:rPr>
          <w:noProof/>
        </w:rPr>
        <w:br w:type="page"/>
      </w:r>
      <w:r>
        <w:t>1.6.</w:t>
      </w:r>
      <w:r>
        <w:tab/>
      </w:r>
      <w:r>
        <w:rPr>
          <w:noProof/>
        </w:rPr>
        <w:t xml:space="preserve">Okres trwania działania i jego wpływ finansowy </w:t>
      </w:r>
    </w:p>
    <w:p>
      <w:pPr>
        <w:pStyle w:val="Text1"/>
        <w:spacing w:line="276" w:lineRule="auto"/>
        <w:rPr>
          <w:noProof/>
        </w:rPr>
      </w:pPr>
      <w:r>
        <w:rPr>
          <w:noProof/>
          <w:szCs w:val="24"/>
        </w:rPr>
        <w:sym w:font="Wingdings" w:char="F0A8"/>
      </w:r>
      <w:r>
        <w:rPr>
          <w:noProof/>
        </w:rPr>
        <w:t xml:space="preserve">Wniosek/inicjatywa o </w:t>
      </w:r>
      <w:r>
        <w:rPr>
          <w:b/>
          <w:noProof/>
        </w:rPr>
        <w:t xml:space="preserve">ograniczonym okresie trwania </w:t>
      </w:r>
    </w:p>
    <w:p>
      <w:pPr>
        <w:pStyle w:val="ListDash2"/>
        <w:spacing w:line="276" w:lineRule="auto"/>
        <w:rPr>
          <w:noProof/>
        </w:rPr>
      </w:pPr>
      <w:r>
        <w:rPr>
          <w:noProof/>
        </w:rPr>
        <w:sym w:font="Wingdings" w:char="F0A8"/>
      </w:r>
      <w:r>
        <w:rPr>
          <w:noProof/>
        </w:rPr>
        <w:t xml:space="preserve"> </w:t>
      </w:r>
    </w:p>
    <w:p>
      <w:pPr>
        <w:pStyle w:val="ListDash2"/>
        <w:spacing w:line="276" w:lineRule="auto"/>
        <w:rPr>
          <w:noProof/>
        </w:rPr>
      </w:pPr>
      <w:r>
        <w:rPr>
          <w:noProof/>
          <w:szCs w:val="24"/>
        </w:rPr>
        <w:sym w:font="Wingdings" w:char="F0A8"/>
      </w:r>
      <w:r>
        <w:rPr>
          <w:noProof/>
        </w:rPr>
        <w:tab/>
      </w:r>
      <w:r>
        <w:rPr>
          <w:noProof/>
          <w:szCs w:val="24"/>
        </w:rPr>
        <w:sym w:font="Wingdings" w:char="F0A8"/>
      </w:r>
      <w:r>
        <w:rPr>
          <w:noProof/>
        </w:rPr>
        <w:t xml:space="preserve">Okres trwania wpływu finansowego: od RRRR r. do RRRR r. </w:t>
      </w:r>
    </w:p>
    <w:p>
      <w:pPr>
        <w:pStyle w:val="Text1"/>
        <w:spacing w:line="276" w:lineRule="auto"/>
        <w:rPr>
          <w:noProof/>
        </w:rPr>
      </w:pPr>
      <w:r>
        <w:rPr>
          <w:noProof/>
          <w:szCs w:val="24"/>
        </w:rPr>
        <w:sym w:font="Wingdings" w:char="F0A8"/>
      </w:r>
      <w:r>
        <w:rPr>
          <w:noProof/>
        </w:rPr>
        <w:t>X</w:t>
      </w:r>
      <w:r>
        <w:rPr>
          <w:b/>
          <w:i/>
          <w:noProof/>
        </w:rPr>
        <w:t xml:space="preserve"> </w:t>
      </w:r>
      <w:r>
        <w:rPr>
          <w:noProof/>
        </w:rPr>
        <w:t xml:space="preserve">Wniosek/inicjatywa o </w:t>
      </w:r>
      <w:r>
        <w:rPr>
          <w:b/>
          <w:noProof/>
        </w:rPr>
        <w:t>nieograniczonym okresie trwania</w:t>
      </w:r>
    </w:p>
    <w:p>
      <w:pPr>
        <w:pStyle w:val="ListDash1"/>
        <w:spacing w:line="276" w:lineRule="auto"/>
        <w:rPr>
          <w:noProof/>
        </w:rPr>
      </w:pPr>
      <w:r>
        <w:rPr>
          <w:noProof/>
        </w:rPr>
        <w:t>W odniesieniu do przejęcia przez Komisję zarządzania wdrażaniem Funduszu Gwarancyjnego dla działań zewnętrznych z terminem wykonania w 2017/2018 r.,</w:t>
      </w:r>
    </w:p>
    <w:p>
      <w:pPr>
        <w:pStyle w:val="ListDash1"/>
        <w:spacing w:line="276" w:lineRule="auto"/>
        <w:rPr>
          <w:noProof/>
        </w:rPr>
      </w:pPr>
      <w:r>
        <w:rPr>
          <w:noProof/>
        </w:rPr>
        <w:t>po którym następuje faza operacyjna.</w:t>
      </w:r>
    </w:p>
    <w:p>
      <w:pPr>
        <w:pStyle w:val="ManualHeading2"/>
        <w:rPr>
          <w:bCs/>
          <w:noProof/>
          <w:szCs w:val="24"/>
        </w:rPr>
      </w:pPr>
      <w:r>
        <w:t>1.7.</w:t>
      </w:r>
      <w:r>
        <w:tab/>
      </w:r>
      <w:r>
        <w:rPr>
          <w:noProof/>
        </w:rPr>
        <w:t>Przewidywane tryby zarządzania</w:t>
      </w:r>
      <w:r>
        <w:rPr>
          <w:rStyle w:val="FootnoteReference"/>
          <w:noProof/>
        </w:rPr>
        <w:footnoteReference w:id="5"/>
      </w:r>
      <w:r>
        <w:rPr>
          <w:rStyle w:val="FootnoteReference"/>
          <w:noProof/>
        </w:rPr>
        <w:t xml:space="preserve"> </w:t>
      </w:r>
    </w:p>
    <w:p>
      <w:pPr>
        <w:pStyle w:val="Text1"/>
        <w:spacing w:line="276" w:lineRule="auto"/>
        <w:rPr>
          <w:noProof/>
        </w:rPr>
      </w:pPr>
      <w:r>
        <w:rPr>
          <w:noProof/>
          <w:szCs w:val="24"/>
        </w:rPr>
        <w:sym w:font="Wingdings" w:char="F0A8"/>
      </w:r>
      <w:r>
        <w:rPr>
          <w:noProof/>
        </w:rPr>
        <w:t>x</w:t>
      </w:r>
      <w:r>
        <w:rPr>
          <w:i/>
          <w:noProof/>
        </w:rPr>
        <w:t xml:space="preserve"> </w:t>
      </w:r>
      <w:r>
        <w:rPr>
          <w:b/>
          <w:noProof/>
        </w:rPr>
        <w:t>Bezpośrednie zarządzanie</w:t>
      </w:r>
      <w:r>
        <w:rPr>
          <w:noProof/>
        </w:rPr>
        <w:t xml:space="preserve"> przez Komisję</w:t>
      </w:r>
    </w:p>
    <w:p>
      <w:pPr>
        <w:pStyle w:val="ListDash2"/>
        <w:spacing w:line="276" w:lineRule="auto"/>
        <w:rPr>
          <w:rFonts w:cs="EUAlbertina"/>
          <w:noProof/>
        </w:rPr>
      </w:pPr>
      <w:r>
        <w:rPr>
          <w:noProof/>
          <w:szCs w:val="24"/>
        </w:rPr>
        <w:sym w:font="Wingdings" w:char="F0A8"/>
      </w:r>
      <w:r>
        <w:rPr>
          <w:noProof/>
        </w:rPr>
        <w:t xml:space="preserve"> x w ramach jej służb, w tym za pośrednictwem jej pracowników w delegaturach Unii; </w:t>
      </w:r>
    </w:p>
    <w:p>
      <w:pPr>
        <w:pStyle w:val="ListDash2"/>
        <w:spacing w:line="276" w:lineRule="auto"/>
        <w:rPr>
          <w:noProof/>
        </w:rPr>
      </w:pPr>
      <w:r>
        <w:rPr>
          <w:noProof/>
          <w:szCs w:val="24"/>
        </w:rPr>
        <w:sym w:font="Wingdings" w:char="F0A8"/>
      </w:r>
      <w:r>
        <w:rPr>
          <w:noProof/>
        </w:rPr>
        <w:tab/>
        <w:t xml:space="preserve">przez agencje wykonawcze </w:t>
      </w:r>
    </w:p>
    <w:p>
      <w:pPr>
        <w:pStyle w:val="Text1"/>
        <w:spacing w:line="276" w:lineRule="auto"/>
        <w:rPr>
          <w:noProof/>
        </w:rPr>
      </w:pPr>
      <w:r>
        <w:rPr>
          <w:noProof/>
          <w:szCs w:val="24"/>
        </w:rPr>
        <w:sym w:font="Wingdings" w:char="F0A8"/>
      </w:r>
      <w:r>
        <w:rPr>
          <w:b/>
          <w:i/>
          <w:noProof/>
        </w:rPr>
        <w:t xml:space="preserve"> </w:t>
      </w:r>
      <w:r>
        <w:rPr>
          <w:b/>
          <w:noProof/>
        </w:rPr>
        <w:t>Zarządzanie dzielone</w:t>
      </w:r>
      <w:r>
        <w:rPr>
          <w:noProof/>
        </w:rPr>
        <w:t xml:space="preserve"> z państwami członkowskimi </w:t>
      </w:r>
    </w:p>
    <w:p>
      <w:pPr>
        <w:pStyle w:val="Text1"/>
        <w:spacing w:line="276" w:lineRule="auto"/>
        <w:rPr>
          <w:noProof/>
        </w:rPr>
      </w:pPr>
      <w:r>
        <w:rPr>
          <w:noProof/>
          <w:szCs w:val="24"/>
        </w:rPr>
        <w:sym w:font="Wingdings" w:char="F0A8"/>
      </w:r>
      <w:r>
        <w:rPr>
          <w:i/>
          <w:noProof/>
        </w:rPr>
        <w:t xml:space="preserve"> </w:t>
      </w:r>
      <w:r>
        <w:rPr>
          <w:b/>
          <w:noProof/>
        </w:rPr>
        <w:t xml:space="preserve">Zarządzanie pośrednie </w:t>
      </w:r>
      <w:r>
        <w:rPr>
          <w:noProof/>
        </w:rPr>
        <w:t>poprzez przekazanie zadań związanych z wykonaniem budżetu:</w:t>
      </w:r>
    </w:p>
    <w:p>
      <w:pPr>
        <w:pStyle w:val="ListDash2"/>
        <w:spacing w:line="276" w:lineRule="auto"/>
        <w:rPr>
          <w:noProof/>
        </w:rPr>
      </w:pPr>
      <w:r>
        <w:rPr>
          <w:noProof/>
          <w:szCs w:val="24"/>
        </w:rPr>
        <w:sym w:font="Wingdings" w:char="F0A8"/>
      </w:r>
      <w:r>
        <w:rPr>
          <w:noProof/>
        </w:rPr>
        <w:t xml:space="preserve"> państwom trzecim lub organom przez nie wyznaczonym;</w:t>
      </w:r>
    </w:p>
    <w:p>
      <w:pPr>
        <w:pStyle w:val="ListDash2"/>
        <w:spacing w:line="276" w:lineRule="auto"/>
        <w:rPr>
          <w:noProof/>
        </w:rPr>
      </w:pPr>
      <w:r>
        <w:rPr>
          <w:noProof/>
          <w:szCs w:val="24"/>
        </w:rPr>
        <w:sym w:font="Wingdings" w:char="F0A8"/>
      </w:r>
      <w:r>
        <w:rPr>
          <w:noProof/>
        </w:rPr>
        <w:t xml:space="preserve"> organizacjom międzynarodowym i ich agencjom (należy wyszczególnić);</w:t>
      </w:r>
    </w:p>
    <w:p>
      <w:pPr>
        <w:pStyle w:val="ListDash2"/>
        <w:spacing w:line="276" w:lineRule="auto"/>
        <w:rPr>
          <w:noProof/>
        </w:rPr>
      </w:pPr>
      <w:r>
        <w:rPr>
          <w:noProof/>
          <w:szCs w:val="24"/>
        </w:rPr>
        <w:sym w:font="Wingdings" w:char="F0A8"/>
      </w:r>
      <w:r>
        <w:rPr>
          <w:noProof/>
        </w:rPr>
        <w:t xml:space="preserve"> EBI oraz Europejskiemu Funduszowi Inwestycyjnemu;</w:t>
      </w:r>
    </w:p>
    <w:p>
      <w:pPr>
        <w:pStyle w:val="ListDash2"/>
        <w:spacing w:line="276" w:lineRule="auto"/>
        <w:rPr>
          <w:noProof/>
        </w:rPr>
      </w:pPr>
      <w:r>
        <w:rPr>
          <w:noProof/>
          <w:szCs w:val="24"/>
        </w:rPr>
        <w:sym w:font="Wingdings" w:char="F0A8"/>
      </w:r>
      <w:r>
        <w:rPr>
          <w:noProof/>
        </w:rPr>
        <w:t xml:space="preserve"> organom, o których mowa w art. 208 i 209 rozporządzenia finansowego;</w:t>
      </w:r>
    </w:p>
    <w:p>
      <w:pPr>
        <w:pStyle w:val="ListDash2"/>
        <w:spacing w:line="276" w:lineRule="auto"/>
        <w:rPr>
          <w:noProof/>
        </w:rPr>
      </w:pPr>
      <w:r>
        <w:rPr>
          <w:noProof/>
          <w:szCs w:val="24"/>
        </w:rPr>
        <w:sym w:font="Wingdings" w:char="F0A8"/>
      </w:r>
      <w:r>
        <w:rPr>
          <w:noProof/>
        </w:rPr>
        <w:t xml:space="preserve"> organom prawa publicznego;</w:t>
      </w:r>
    </w:p>
    <w:p>
      <w:pPr>
        <w:pStyle w:val="ListDash2"/>
        <w:spacing w:line="276" w:lineRule="auto"/>
        <w:rPr>
          <w:noProof/>
        </w:rPr>
      </w:pPr>
      <w:r>
        <w:rPr>
          <w:noProof/>
          <w:szCs w:val="24"/>
        </w:rPr>
        <w:sym w:font="Wingdings" w:char="F0A8"/>
      </w:r>
      <w:r>
        <w:rPr>
          <w:noProof/>
        </w:rPr>
        <w:t xml:space="preserve"> podmiotom podlegającym prawu prywatnemu, które świadczą usługi użyteczności publicznej, o ile zapewniają one odpowiednie gwarancje finansowe;</w:t>
      </w:r>
    </w:p>
    <w:p>
      <w:pPr>
        <w:pStyle w:val="ListDash2"/>
        <w:spacing w:line="276" w:lineRule="auto"/>
        <w:rPr>
          <w:noProof/>
        </w:rPr>
      </w:pPr>
      <w:r>
        <w:rPr>
          <w:noProof/>
          <w:szCs w:val="24"/>
        </w:rPr>
        <w:sym w:font="Wingdings" w:char="F0A8"/>
      </w:r>
      <w:r>
        <w:rPr>
          <w:noProof/>
        </w:rPr>
        <w:t xml:space="preserve"> podmiotom podlegającym prawu prywatnemu państwa członkowskiego, którym powierzono realizację partnerstwa publiczno-prywatnego oraz które zapewniają odpowiednie gwarancje finansowe;</w:t>
      </w:r>
    </w:p>
    <w:p>
      <w:pPr>
        <w:pStyle w:val="ListDash2"/>
        <w:spacing w:line="276" w:lineRule="auto"/>
        <w:rPr>
          <w:noProof/>
        </w:rPr>
      </w:pPr>
      <w:r>
        <w:rPr>
          <w:noProof/>
          <w:szCs w:val="24"/>
        </w:rPr>
        <w:sym w:font="Wingdings" w:char="F0A8"/>
      </w:r>
      <w:r>
        <w:rPr>
          <w:noProof/>
        </w:rPr>
        <w:t xml:space="preserve"> osobom odpowiedzialnym za wykonanie określonych działań w dziedzinie wspólnej polityki zagranicznej i bezpieczeństwa na mocy tytułu V Traktatu o Unii Europejskiej oraz określonym we właściwym podstawowym akcie prawnym.</w:t>
      </w:r>
    </w:p>
    <w:p>
      <w:pPr>
        <w:pStyle w:val="ListDash2"/>
        <w:spacing w:line="276" w:lineRule="auto"/>
        <w:rPr>
          <w:i/>
          <w:noProof/>
          <w:sz w:val="18"/>
          <w:u w:val="single"/>
        </w:rPr>
      </w:pPr>
      <w:r>
        <w:rPr>
          <w:i/>
          <w:noProof/>
          <w:sz w:val="18"/>
        </w:rPr>
        <w:t>W przypadku wskazania więcej niż jednego trybu należy podać dodatkowe informacje w części „Uwagi”.</w:t>
      </w:r>
    </w:p>
    <w:p>
      <w:pPr>
        <w:spacing w:line="276" w:lineRule="auto"/>
        <w:rPr>
          <w:noProof/>
        </w:rPr>
      </w:pPr>
      <w:r>
        <w:rPr>
          <w:noProof/>
        </w:rPr>
        <w:t xml:space="preserve">Uwagi </w:t>
      </w:r>
    </w:p>
    <w:p>
      <w:pPr>
        <w:spacing w:line="276" w:lineRule="auto"/>
        <w:rPr>
          <w:noProof/>
        </w:rPr>
        <w:sectPr>
          <w:pgSz w:w="11907" w:h="16840" w:code="9"/>
          <w:pgMar w:top="1134" w:right="1418" w:bottom="1134" w:left="1418" w:header="709" w:footer="709" w:gutter="0"/>
          <w:cols w:space="708"/>
          <w:docGrid w:linePitch="360"/>
        </w:sectPr>
      </w:pPr>
      <w:r>
        <w:rPr>
          <w:noProof/>
        </w:rPr>
        <w:t xml:space="preserve"> </w:t>
      </w:r>
    </w:p>
    <w:p>
      <w:pPr>
        <w:pStyle w:val="ManualHeading1"/>
        <w:rPr>
          <w:bCs/>
          <w:noProof/>
          <w:szCs w:val="24"/>
        </w:rPr>
      </w:pPr>
      <w:r>
        <w:t>2.</w:t>
      </w:r>
      <w:r>
        <w:tab/>
      </w:r>
      <w:r>
        <w:rPr>
          <w:noProof/>
        </w:rPr>
        <w:t xml:space="preserve">ŚRODKI ZARZĄDZANIA </w:t>
      </w:r>
    </w:p>
    <w:p>
      <w:pPr>
        <w:pStyle w:val="ManualHeading2"/>
        <w:rPr>
          <w:noProof/>
        </w:rPr>
      </w:pPr>
      <w:r>
        <w:t>2.1.</w:t>
      </w:r>
      <w:r>
        <w:tab/>
      </w:r>
      <w:r>
        <w:rPr>
          <w:noProof/>
        </w:rPr>
        <w:t xml:space="preserve">Zasady nadzoru i sprawozdawczości </w:t>
      </w:r>
    </w:p>
    <w:p>
      <w:pPr>
        <w:pStyle w:val="Text1"/>
        <w:spacing w:line="276" w:lineRule="auto"/>
        <w:rPr>
          <w:i/>
          <w:noProof/>
          <w:sz w:val="20"/>
          <w:u w:val="single"/>
        </w:rPr>
      </w:pPr>
      <w:r>
        <w:rPr>
          <w:i/>
          <w:noProof/>
          <w:sz w:val="20"/>
        </w:rPr>
        <w:t>Należy określić częstotliwość i warunki.</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Zgodnie z art. 8 rozporządzenia Rady (WE, Euratom) nr 480/2009, do dnia 31 maja następnego roku budżetowego, Komisja przesyła Parlamentowi Europejskiemu, Radzie oraz Trybunałowi Obrachunkowemu, roczne sprawozdanie w sprawie sytuacji Funduszu oraz jego zarządzania w roku poprzednim. Artykuł 9 rozporządzenia stanowi, że do rachunku dochodów i wydatków oraz bilansu Wspólnot dołączony zostaje rachunek przychodów i wydatków oraz bilans Funduszu Gwarancyjnego.</w:t>
      </w:r>
    </w:p>
    <w:p>
      <w:pPr>
        <w:pStyle w:val="Text1"/>
        <w:pBdr>
          <w:top w:val="single" w:sz="4" w:space="1" w:color="auto"/>
          <w:left w:val="single" w:sz="4" w:space="4" w:color="auto"/>
          <w:bottom w:val="single" w:sz="4" w:space="1" w:color="auto"/>
          <w:right w:val="single" w:sz="4" w:space="4" w:color="auto"/>
        </w:pBdr>
        <w:spacing w:line="276" w:lineRule="auto"/>
        <w:rPr>
          <w:noProof/>
        </w:rPr>
      </w:pPr>
    </w:p>
    <w:p>
      <w:pPr>
        <w:pStyle w:val="ManualHeading2"/>
        <w:rPr>
          <w:bCs/>
          <w:noProof/>
          <w:szCs w:val="24"/>
        </w:rPr>
      </w:pPr>
      <w:r>
        <w:t>2.2.</w:t>
      </w:r>
      <w:r>
        <w:tab/>
      </w:r>
      <w:r>
        <w:rPr>
          <w:noProof/>
        </w:rPr>
        <w:t xml:space="preserve">System zarządzania i kontroli </w:t>
      </w:r>
    </w:p>
    <w:p>
      <w:pPr>
        <w:pStyle w:val="ManualHeading3"/>
        <w:rPr>
          <w:noProof/>
        </w:rPr>
      </w:pPr>
      <w:r>
        <w:t>2.2.1.</w:t>
      </w:r>
      <w:r>
        <w:tab/>
      </w:r>
      <w:r>
        <w:rPr>
          <w:noProof/>
        </w:rPr>
        <w:t xml:space="preserve">Zidentyfikowane ryzyko </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Zgodnie z art. 1 rozporządzenia 480/2009, środki Funduszu Gwarancyjnego mają być inwestowane. Inwestycje te będą obciążone ryzykiem inwestycyjnym (np. ryzykiem rynkowym i kredytowym) oraz pewnym ryzykiem operacyjnym.</w:t>
      </w:r>
    </w:p>
    <w:p>
      <w:pPr>
        <w:pStyle w:val="Text1"/>
        <w:pBdr>
          <w:top w:val="single" w:sz="4" w:space="1" w:color="auto"/>
          <w:left w:val="single" w:sz="4" w:space="4" w:color="auto"/>
          <w:bottom w:val="single" w:sz="4" w:space="1" w:color="auto"/>
          <w:right w:val="single" w:sz="4" w:space="4" w:color="auto"/>
        </w:pBdr>
        <w:spacing w:line="276" w:lineRule="auto"/>
        <w:rPr>
          <w:noProof/>
        </w:rPr>
      </w:pPr>
    </w:p>
    <w:p>
      <w:pPr>
        <w:pStyle w:val="ManualHeading3"/>
        <w:rPr>
          <w:bCs/>
          <w:noProof/>
          <w:szCs w:val="24"/>
        </w:rPr>
      </w:pPr>
      <w:r>
        <w:t>2.2.2.</w:t>
      </w:r>
      <w:r>
        <w:tab/>
      </w:r>
      <w:r>
        <w:rPr>
          <w:noProof/>
        </w:rPr>
        <w:t>Informacje dotyczące struktury wewnętrznego systemu kontroli</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Komisja będzie zarządzać aktywami Funduszu Gwarancyjnego zgodnie z rozporządzeniem 480/2009 i na podstawie swoich obowiązujących wewnętrznych reguł i procedur. Regularnie przeprowadzane będą audyty zewnętrzne.</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Przychody będą przetwarzane zgodnie z przepisami rozporządzenia finansowego.</w:t>
      </w:r>
    </w:p>
    <w:p>
      <w:pPr>
        <w:pStyle w:val="ManualHeading3"/>
        <w:rPr>
          <w:noProof/>
        </w:rPr>
      </w:pPr>
      <w:r>
        <w:t>2.2.3.</w:t>
      </w:r>
      <w:r>
        <w:tab/>
      </w:r>
      <w:r>
        <w:rPr>
          <w:noProof/>
        </w:rPr>
        <w:t xml:space="preserve">Oszacowanie kosztów i korzyści wynikających z kontroli i ocena prawdopodobnego ryzyka błędu </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Ogólna efektywność kosztowa kontroli w zakresie zarządzania aktywami w 2015 r. – określona na podstawie odsetka ogólnych kosztów kontroli (w oparciu o zaangażowanych pracowników –ekwiwalenty pełnego czasu pracy – w stosunku do całkowitej wartości zarządzanych aktywów ) doprowadziła Komisję do wyciągnięcia wniosku, że kontrole są wystarczająco skuteczne i opłacalne. Te same systemy kontroli będą stosowane wobec dodatkowych zarządzanych aktywów.</w:t>
      </w:r>
    </w:p>
    <w:p>
      <w:pPr>
        <w:pStyle w:val="Text1"/>
        <w:spacing w:line="276" w:lineRule="auto"/>
        <w:ind w:left="0"/>
        <w:rPr>
          <w:noProof/>
        </w:rPr>
      </w:pPr>
    </w:p>
    <w:p>
      <w:pPr>
        <w:pStyle w:val="ManualHeading2"/>
        <w:rPr>
          <w:bCs/>
          <w:noProof/>
          <w:szCs w:val="24"/>
        </w:rPr>
      </w:pPr>
      <w:r>
        <w:t>2.3.</w:t>
      </w:r>
      <w:r>
        <w:tab/>
      </w:r>
      <w:r>
        <w:rPr>
          <w:noProof/>
        </w:rPr>
        <w:t xml:space="preserve">Środki zapobiegania nadużyciom finansowym i nieprawidłowościom </w:t>
      </w:r>
    </w:p>
    <w:p>
      <w:pPr>
        <w:pStyle w:val="Text1"/>
        <w:spacing w:line="276" w:lineRule="auto"/>
        <w:rPr>
          <w:i/>
          <w:noProof/>
          <w:sz w:val="20"/>
        </w:rPr>
      </w:pPr>
      <w:r>
        <w:rPr>
          <w:i/>
          <w:noProof/>
          <w:sz w:val="20"/>
        </w:rPr>
        <w:t>Należy określić istniejące lub przewidywane środki zapobiegania i ochrony.</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 xml:space="preserve">Zasadnicza odpowiedzialność za wprowadzenie środków zapobiegania nadużyciom finansowym spoczywa na EBI; obejmuje ona w szczególności stosowanie w odniesieniu do działań z zakresu finansowania zapisów dokumentu „Polityka EBI w zakresie zapobiegania korupcji, nadużyciom finansowym, zmowom, praniu pieniędzy i finansowaniu terroryzmu w ramach działań Europejskiego Banku Inwestycyjnego”. EBI przyjął politykę w stosunku do jurysdykcji o niskim poziomie regulacji, nieprzejrzystych i unikających współpracy. </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EBI zobowiązał się do prowadzenia rygorystycznej polityki przeciwdziałającej oszustwom podatkowym, uchylaniu się od opodatkowania i szkodliwym praktykom podatkowym w ramach wszystkich swoich działań, w tym również podczas udzielania pożyczek przez pośredników finansowych. EBI stale monitoruje postępy w dziedzinie standardów międzynarodowych, aby utrzymać wiodącą rolę wśród międzynarodowych instytucji finansowych w walce z tymi szkodliwymi praktykami podatkowymi oraz zagwarantować, że jego polityka wobec jurysdykcji o niskim poziomie regulacji, nieprzejrzystych i unikających współpracy uwzględnia wszelkie istotne zmiany sytuacji.</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Ramy grupy EBI dotyczące przeciwdziałania praniu pieniędzy i finansowaniu terroryzmu, zaktualizowane w 2014 r. i opublikowane na stronie internetowej EBI, ustanawiają podstawowe zasady regulujące te kwestie i związane z nimi kwestie etyki zawodowej w ramach działań grupy EBI; mają one na celu zapobieganie sytuacjom, w których grupa EBI, jej organy zarządzające, personel i kontrahenci mieliby związek z praniem pieniędzy, finansowaniem terroryzmu lub inną działalnością przestępczą lub byliby wykorzystani do takich praktyk.</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W odniesieniu do przejęcia przez Komisję zarządzania Funduszem Gwarancyjnym zastosowanie mają przepisy wewnętrzne Komisji w tym szczególne procedury ustanowione w celu zarządzania aktywami finansowymi.</w:t>
      </w:r>
    </w:p>
    <w:p>
      <w:pPr>
        <w:pStyle w:val="Text1"/>
        <w:ind w:left="0"/>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SZACUNKOWY WPŁYW FINANSOWY WNIOSKU/INICJATYWY </w:t>
      </w:r>
    </w:p>
    <w:p>
      <w:pPr>
        <w:pStyle w:val="ManualHeading2"/>
        <w:rPr>
          <w:noProof/>
        </w:rPr>
      </w:pPr>
      <w:r>
        <w:t>3.1.</w:t>
      </w:r>
      <w:r>
        <w:tab/>
      </w:r>
      <w:r>
        <w:rPr>
          <w:noProof/>
        </w:rPr>
        <w:t xml:space="preserve">Działy wieloletnich ram finansowych i linie budżetowe po stronie wydatków, na które wniosek/inicjatywa ma wpływ </w:t>
      </w:r>
    </w:p>
    <w:p>
      <w:pPr>
        <w:pStyle w:val="ListBullet1"/>
        <w:rPr>
          <w:noProof/>
        </w:rPr>
      </w:pPr>
      <w:r>
        <w:rPr>
          <w:noProof/>
        </w:rPr>
        <w:t xml:space="preserve">Istniejące linie budżetowe </w:t>
      </w:r>
    </w:p>
    <w:p>
      <w:pPr>
        <w:pStyle w:val="Text1"/>
        <w:rPr>
          <w:noProof/>
        </w:rPr>
      </w:pPr>
      <w:r>
        <w:rPr>
          <w:noProof/>
          <w:u w:val="single"/>
        </w:rPr>
        <w:t>Według</w:t>
      </w:r>
      <w:r>
        <w:rPr>
          <w:noProof/>
        </w:rPr>
        <w:t xml:space="preserve"> działów wieloletnich ram finansowych i linii budżetowych.</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Dział wieloletnich ram finansowych</w:t>
            </w:r>
          </w:p>
        </w:tc>
        <w:tc>
          <w:tcPr>
            <w:tcW w:w="3960" w:type="dxa"/>
            <w:vAlign w:val="center"/>
          </w:tcPr>
          <w:p>
            <w:pPr>
              <w:spacing w:before="60" w:after="60"/>
              <w:jc w:val="center"/>
              <w:rPr>
                <w:noProof/>
                <w:sz w:val="22"/>
              </w:rPr>
            </w:pPr>
            <w:r>
              <w:rPr>
                <w:noProof/>
                <w:sz w:val="20"/>
              </w:rPr>
              <w:t>Linia budżetowa</w:t>
            </w:r>
          </w:p>
        </w:tc>
        <w:tc>
          <w:tcPr>
            <w:tcW w:w="1080" w:type="dxa"/>
            <w:vAlign w:val="center"/>
          </w:tcPr>
          <w:p>
            <w:pPr>
              <w:spacing w:before="60" w:after="60"/>
              <w:jc w:val="center"/>
              <w:rPr>
                <w:noProof/>
                <w:sz w:val="22"/>
              </w:rPr>
            </w:pPr>
            <w:r>
              <w:rPr>
                <w:noProof/>
              </w:rPr>
              <w:t>Rodzaj</w:t>
            </w:r>
            <w:r>
              <w:rPr>
                <w:noProof/>
                <w:sz w:val="18"/>
              </w:rPr>
              <w:t xml:space="preserve"> środków</w:t>
            </w:r>
          </w:p>
        </w:tc>
        <w:tc>
          <w:tcPr>
            <w:tcW w:w="4440" w:type="dxa"/>
            <w:gridSpan w:val="4"/>
            <w:vAlign w:val="center"/>
          </w:tcPr>
          <w:p>
            <w:pPr>
              <w:spacing w:before="60" w:after="60"/>
              <w:jc w:val="center"/>
              <w:rPr>
                <w:noProof/>
                <w:sz w:val="22"/>
              </w:rPr>
            </w:pPr>
            <w:r>
              <w:rPr>
                <w:noProof/>
                <w:sz w:val="20"/>
              </w:rPr>
              <w:t xml:space="preserve">Wkład </w:t>
            </w:r>
          </w:p>
        </w:tc>
      </w:tr>
      <w:tr>
        <w:tc>
          <w:tcPr>
            <w:tcW w:w="1080" w:type="dxa"/>
            <w:vMerge/>
            <w:vAlign w:val="center"/>
          </w:tcPr>
          <w:p>
            <w:pPr>
              <w:jc w:val="center"/>
              <w:rPr>
                <w:noProof/>
                <w:sz w:val="22"/>
              </w:rPr>
            </w:pPr>
          </w:p>
        </w:tc>
        <w:tc>
          <w:tcPr>
            <w:tcW w:w="3960" w:type="dxa"/>
            <w:vAlign w:val="center"/>
          </w:tcPr>
          <w:p>
            <w:pPr>
              <w:rPr>
                <w:noProof/>
                <w:sz w:val="22"/>
              </w:rPr>
            </w:pPr>
            <w:r>
              <w:rPr>
                <w:noProof/>
              </w:rPr>
              <w:t>Numer[…]</w:t>
            </w:r>
            <w:r>
              <w:rPr>
                <w:noProof/>
                <w:sz w:val="20"/>
              </w:rPr>
              <w:t>[Dział……………...……………]</w:t>
            </w:r>
          </w:p>
        </w:tc>
        <w:tc>
          <w:tcPr>
            <w:tcW w:w="1080" w:type="dxa"/>
            <w:vAlign w:val="center"/>
          </w:tcPr>
          <w:p>
            <w:pPr>
              <w:jc w:val="center"/>
              <w:rPr>
                <w:noProof/>
                <w:sz w:val="22"/>
              </w:rPr>
            </w:pPr>
            <w:r>
              <w:rPr>
                <w:noProof/>
              </w:rPr>
              <w:t>Zróżnicowane /niezróżnicowane</w:t>
            </w:r>
            <w:r>
              <w:rPr>
                <w:rStyle w:val="FootnoteReference"/>
                <w:noProof/>
              </w:rPr>
              <w:footnoteReference w:id="6"/>
            </w:r>
            <w:r>
              <w:rPr>
                <w:noProof/>
              </w:rPr>
              <w:t>.</w:t>
            </w:r>
          </w:p>
        </w:tc>
        <w:tc>
          <w:tcPr>
            <w:tcW w:w="956" w:type="dxa"/>
            <w:vAlign w:val="center"/>
          </w:tcPr>
          <w:p>
            <w:pPr>
              <w:jc w:val="center"/>
              <w:rPr>
                <w:noProof/>
                <w:sz w:val="22"/>
              </w:rPr>
            </w:pPr>
            <w:r>
              <w:rPr>
                <w:noProof/>
                <w:sz w:val="18"/>
              </w:rPr>
              <w:t>państw EFTA</w:t>
            </w:r>
            <w:r>
              <w:rPr>
                <w:rStyle w:val="FootnoteReference"/>
                <w:noProof/>
                <w:sz w:val="18"/>
              </w:rPr>
              <w:footnoteReference w:id="7"/>
            </w:r>
          </w:p>
          <w:p>
            <w:pPr>
              <w:spacing w:before="0" w:after="0"/>
              <w:jc w:val="center"/>
              <w:rPr>
                <w:b/>
                <w:noProof/>
                <w:sz w:val="18"/>
              </w:rPr>
            </w:pPr>
          </w:p>
        </w:tc>
        <w:tc>
          <w:tcPr>
            <w:tcW w:w="1080" w:type="dxa"/>
            <w:vAlign w:val="center"/>
          </w:tcPr>
          <w:p>
            <w:pPr>
              <w:jc w:val="center"/>
              <w:rPr>
                <w:noProof/>
                <w:sz w:val="22"/>
              </w:rPr>
            </w:pPr>
            <w:r>
              <w:rPr>
                <w:noProof/>
                <w:sz w:val="18"/>
              </w:rPr>
              <w:t>z krajów kandydujących</w:t>
            </w:r>
            <w:r>
              <w:rPr>
                <w:rStyle w:val="FootnoteReference"/>
                <w:noProof/>
                <w:sz w:val="18"/>
              </w:rPr>
              <w:footnoteReference w:id="8"/>
            </w:r>
          </w:p>
          <w:p>
            <w:pPr>
              <w:spacing w:before="0" w:after="0"/>
              <w:jc w:val="center"/>
              <w:rPr>
                <w:noProof/>
                <w:sz w:val="18"/>
              </w:rPr>
            </w:pPr>
          </w:p>
        </w:tc>
        <w:tc>
          <w:tcPr>
            <w:tcW w:w="956" w:type="dxa"/>
            <w:vAlign w:val="center"/>
          </w:tcPr>
          <w:p>
            <w:pPr>
              <w:jc w:val="center"/>
              <w:rPr>
                <w:noProof/>
                <w:sz w:val="18"/>
              </w:rPr>
            </w:pPr>
            <w:r>
              <w:rPr>
                <w:noProof/>
                <w:sz w:val="18"/>
              </w:rPr>
              <w:t>państw trzecich</w:t>
            </w:r>
          </w:p>
        </w:tc>
        <w:tc>
          <w:tcPr>
            <w:tcW w:w="1448" w:type="dxa"/>
            <w:vAlign w:val="center"/>
          </w:tcPr>
          <w:p>
            <w:pPr>
              <w:jc w:val="center"/>
              <w:rPr>
                <w:noProof/>
                <w:sz w:val="22"/>
              </w:rPr>
            </w:pPr>
            <w:r>
              <w:rPr>
                <w:noProof/>
                <w:sz w:val="16"/>
              </w:rPr>
              <w:t xml:space="preserve">w rozumieniu art. 21 ust. 2 lit. b) rozporządzenia finansowego </w:t>
            </w:r>
          </w:p>
        </w:tc>
      </w:tr>
      <w:tr>
        <w:tc>
          <w:tcPr>
            <w:tcW w:w="1080" w:type="dxa"/>
            <w:vAlign w:val="center"/>
          </w:tcPr>
          <w:p>
            <w:pPr>
              <w:jc w:val="center"/>
              <w:rPr>
                <w:noProof/>
                <w:sz w:val="22"/>
              </w:rPr>
            </w:pPr>
          </w:p>
        </w:tc>
        <w:tc>
          <w:tcPr>
            <w:tcW w:w="3960" w:type="dxa"/>
            <w:vAlign w:val="center"/>
          </w:tcPr>
          <w:p>
            <w:pPr>
              <w:spacing w:before="60"/>
              <w:rPr>
                <w:noProof/>
              </w:rPr>
            </w:pPr>
            <w:r>
              <w:rPr>
                <w:noProof/>
              </w:rPr>
              <w:t>01.0305 gwarancja UE dotycząca udzielonych przez EBI pożyczek</w:t>
            </w:r>
          </w:p>
          <w:p>
            <w:pPr>
              <w:spacing w:before="60"/>
              <w:rPr>
                <w:noProof/>
              </w:rPr>
            </w:pPr>
            <w:r>
              <w:rPr>
                <w:noProof/>
              </w:rPr>
              <w:t>i gwarancje na zabezpieczenie pożyczek na działania w</w:t>
            </w:r>
          </w:p>
          <w:p>
            <w:pPr>
              <w:spacing w:before="60"/>
            </w:pPr>
            <w:r>
              <w:rPr>
                <w:noProof/>
              </w:rPr>
              <w:t>państwach trzecich</w:t>
            </w:r>
          </w:p>
        </w:tc>
        <w:tc>
          <w:tcPr>
            <w:tcW w:w="1080" w:type="dxa"/>
            <w:vAlign w:val="center"/>
          </w:tcPr>
          <w:p>
            <w:pPr>
              <w:jc w:val="center"/>
              <w:rPr>
                <w:noProof/>
                <w:sz w:val="22"/>
              </w:rPr>
            </w:pPr>
          </w:p>
        </w:tc>
        <w:tc>
          <w:tcPr>
            <w:tcW w:w="956" w:type="dxa"/>
            <w:vAlign w:val="center"/>
          </w:tcPr>
          <w:p>
            <w:pPr>
              <w:jc w:val="center"/>
              <w:rPr>
                <w:noProof/>
                <w:sz w:val="22"/>
              </w:rPr>
            </w:pPr>
            <w:r>
              <w:rPr>
                <w:noProof/>
                <w:sz w:val="22"/>
              </w:rPr>
              <w:t>NIE</w:t>
            </w:r>
          </w:p>
        </w:tc>
        <w:tc>
          <w:tcPr>
            <w:tcW w:w="1080" w:type="dxa"/>
            <w:vAlign w:val="center"/>
          </w:tcPr>
          <w:p>
            <w:pPr>
              <w:jc w:val="center"/>
              <w:rPr>
                <w:noProof/>
                <w:sz w:val="22"/>
              </w:rPr>
            </w:pPr>
            <w:r>
              <w:rPr>
                <w:noProof/>
                <w:sz w:val="22"/>
              </w:rPr>
              <w:t>Liczba</w:t>
            </w:r>
          </w:p>
        </w:tc>
        <w:tc>
          <w:tcPr>
            <w:tcW w:w="956" w:type="dxa"/>
            <w:vAlign w:val="center"/>
          </w:tcPr>
          <w:p>
            <w:pPr>
              <w:jc w:val="center"/>
              <w:rPr>
                <w:noProof/>
                <w:sz w:val="22"/>
              </w:rPr>
            </w:pPr>
            <w:r>
              <w:rPr>
                <w:noProof/>
                <w:sz w:val="22"/>
              </w:rPr>
              <w:t>Liczba</w:t>
            </w:r>
          </w:p>
        </w:tc>
        <w:tc>
          <w:tcPr>
            <w:tcW w:w="1448" w:type="dxa"/>
            <w:vAlign w:val="center"/>
          </w:tcPr>
          <w:p>
            <w:pPr>
              <w:jc w:val="center"/>
              <w:rPr>
                <w:noProof/>
                <w:sz w:val="22"/>
              </w:rPr>
            </w:pPr>
            <w:r>
              <w:rPr>
                <w:noProof/>
                <w:sz w:val="22"/>
              </w:rPr>
              <w:t>Liczba</w:t>
            </w:r>
          </w:p>
        </w:tc>
      </w:tr>
      <w:tr>
        <w:tc>
          <w:tcPr>
            <w:tcW w:w="1080" w:type="dxa"/>
            <w:vAlign w:val="center"/>
          </w:tcPr>
          <w:p>
            <w:pPr>
              <w:jc w:val="center"/>
              <w:rPr>
                <w:noProof/>
                <w:sz w:val="22"/>
              </w:rPr>
            </w:pPr>
          </w:p>
        </w:tc>
        <w:tc>
          <w:tcPr>
            <w:tcW w:w="3960" w:type="dxa"/>
            <w:vAlign w:val="center"/>
          </w:tcPr>
          <w:p>
            <w:pPr>
              <w:spacing w:before="60"/>
              <w:rPr>
                <w:noProof/>
                <w:sz w:val="22"/>
              </w:rPr>
            </w:pPr>
            <w:r>
              <w:rPr>
                <w:noProof/>
              </w:rPr>
              <w:t>[…]</w:t>
            </w:r>
            <w:r>
              <w:rPr>
                <w:noProof/>
                <w:sz w:val="22"/>
              </w:rPr>
              <w:t>[XX.YY.YY.YY]</w:t>
            </w:r>
          </w:p>
          <w:p>
            <w:pPr>
              <w:spacing w:after="60"/>
              <w:rPr>
                <w:noProof/>
                <w:sz w:val="22"/>
              </w:rPr>
            </w:pPr>
            <w:r>
              <w:rPr>
                <w:noProof/>
                <w:sz w:val="22"/>
              </w:rPr>
              <w:t>01.0306 Finansowanie Funduszu</w:t>
            </w:r>
          </w:p>
          <w:p>
            <w:pPr>
              <w:spacing w:after="60"/>
              <w:rPr>
                <w:noProof/>
                <w:sz w:val="22"/>
              </w:rPr>
            </w:pPr>
            <w:r>
              <w:rPr>
                <w:noProof/>
                <w:sz w:val="22"/>
              </w:rPr>
              <w:t>Gwarancyjnego</w:t>
            </w:r>
          </w:p>
        </w:tc>
        <w:tc>
          <w:tcPr>
            <w:tcW w:w="1080" w:type="dxa"/>
            <w:vAlign w:val="center"/>
          </w:tcPr>
          <w:p>
            <w:pPr>
              <w:jc w:val="center"/>
              <w:rPr>
                <w:noProof/>
                <w:sz w:val="22"/>
              </w:rPr>
            </w:pPr>
            <w:r>
              <w:rPr>
                <w:noProof/>
                <w:sz w:val="22"/>
              </w:rPr>
              <w:t>Zróżnicowane /niezróżnicowane</w:t>
            </w:r>
          </w:p>
        </w:tc>
        <w:tc>
          <w:tcPr>
            <w:tcW w:w="956" w:type="dxa"/>
            <w:vAlign w:val="center"/>
          </w:tcPr>
          <w:p>
            <w:pPr>
              <w:jc w:val="center"/>
              <w:rPr>
                <w:noProof/>
                <w:sz w:val="22"/>
              </w:rPr>
            </w:pPr>
            <w:r>
              <w:rPr>
                <w:noProof/>
                <w:sz w:val="22"/>
              </w:rPr>
              <w:t>NIE</w:t>
            </w:r>
          </w:p>
        </w:tc>
        <w:tc>
          <w:tcPr>
            <w:tcW w:w="1080" w:type="dxa"/>
            <w:vAlign w:val="center"/>
          </w:tcPr>
          <w:p>
            <w:pPr>
              <w:jc w:val="center"/>
              <w:rPr>
                <w:noProof/>
                <w:sz w:val="22"/>
              </w:rPr>
            </w:pPr>
            <w:r>
              <w:rPr>
                <w:noProof/>
                <w:sz w:val="22"/>
              </w:rPr>
              <w:t>NIE</w:t>
            </w:r>
          </w:p>
        </w:tc>
        <w:tc>
          <w:tcPr>
            <w:tcW w:w="956" w:type="dxa"/>
            <w:vAlign w:val="center"/>
          </w:tcPr>
          <w:p>
            <w:pPr>
              <w:jc w:val="center"/>
              <w:rPr>
                <w:noProof/>
                <w:sz w:val="22"/>
              </w:rPr>
            </w:pPr>
            <w:r>
              <w:rPr>
                <w:noProof/>
                <w:sz w:val="22"/>
              </w:rPr>
              <w:t>NIE</w:t>
            </w:r>
          </w:p>
        </w:tc>
        <w:tc>
          <w:tcPr>
            <w:tcW w:w="1448" w:type="dxa"/>
            <w:vAlign w:val="center"/>
          </w:tcPr>
          <w:p>
            <w:pPr>
              <w:jc w:val="center"/>
              <w:rPr>
                <w:noProof/>
                <w:sz w:val="22"/>
              </w:rPr>
            </w:pPr>
            <w:r>
              <w:rPr>
                <w:noProof/>
                <w:sz w:val="22"/>
              </w:rPr>
              <w:t>NIE</w:t>
            </w:r>
          </w:p>
        </w:tc>
      </w:tr>
    </w:tbl>
    <w:p>
      <w:pPr>
        <w:pStyle w:val="ListBullet1"/>
        <w:rPr>
          <w:noProof/>
        </w:rPr>
      </w:pPr>
      <w:r>
        <w:rPr>
          <w:noProof/>
        </w:rPr>
        <w:t xml:space="preserve">Nowe linie budżetowe, o których utworzenie się wnioskuje </w:t>
      </w:r>
    </w:p>
    <w:p>
      <w:pPr>
        <w:pStyle w:val="Text1"/>
        <w:rPr>
          <w:i/>
          <w:noProof/>
          <w:sz w:val="20"/>
        </w:rPr>
      </w:pPr>
      <w:r>
        <w:rPr>
          <w:i/>
          <w:noProof/>
          <w:u w:val="single"/>
        </w:rPr>
        <w:t>Według</w:t>
      </w:r>
      <w:r>
        <w:rPr>
          <w:i/>
          <w:noProof/>
        </w:rPr>
        <w:t xml:space="preserve"> działów wieloletnich ram finansowych i linii budżetowych</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Dział wieloletnich ram finansowych</w:t>
            </w:r>
          </w:p>
        </w:tc>
        <w:tc>
          <w:tcPr>
            <w:tcW w:w="3960" w:type="dxa"/>
            <w:vAlign w:val="center"/>
          </w:tcPr>
          <w:p>
            <w:pPr>
              <w:spacing w:before="60" w:after="60"/>
              <w:jc w:val="center"/>
              <w:rPr>
                <w:noProof/>
                <w:sz w:val="22"/>
              </w:rPr>
            </w:pPr>
            <w:r>
              <w:rPr>
                <w:noProof/>
                <w:sz w:val="20"/>
              </w:rPr>
              <w:t>Linia budżetowa</w:t>
            </w:r>
          </w:p>
        </w:tc>
        <w:tc>
          <w:tcPr>
            <w:tcW w:w="1080" w:type="dxa"/>
            <w:vAlign w:val="center"/>
          </w:tcPr>
          <w:p>
            <w:pPr>
              <w:spacing w:before="60" w:after="60"/>
              <w:jc w:val="center"/>
              <w:rPr>
                <w:noProof/>
                <w:sz w:val="22"/>
              </w:rPr>
            </w:pPr>
            <w:r>
              <w:rPr>
                <w:noProof/>
              </w:rPr>
              <w:t>Rodzaj</w:t>
            </w:r>
            <w:r>
              <w:rPr>
                <w:noProof/>
                <w:sz w:val="18"/>
              </w:rPr>
              <w:t xml:space="preserve"> wydatków</w:t>
            </w:r>
          </w:p>
        </w:tc>
        <w:tc>
          <w:tcPr>
            <w:tcW w:w="4440" w:type="dxa"/>
            <w:gridSpan w:val="4"/>
            <w:vAlign w:val="center"/>
          </w:tcPr>
          <w:p>
            <w:pPr>
              <w:spacing w:before="60" w:after="60"/>
              <w:jc w:val="center"/>
              <w:rPr>
                <w:noProof/>
                <w:sz w:val="22"/>
              </w:rPr>
            </w:pPr>
            <w:r>
              <w:rPr>
                <w:noProof/>
                <w:sz w:val="20"/>
              </w:rPr>
              <w:t xml:space="preserve">Wkład </w:t>
            </w:r>
          </w:p>
        </w:tc>
      </w:tr>
      <w:tr>
        <w:tc>
          <w:tcPr>
            <w:tcW w:w="1080" w:type="dxa"/>
            <w:vMerge/>
            <w:vAlign w:val="center"/>
          </w:tcPr>
          <w:p>
            <w:pPr>
              <w:jc w:val="center"/>
              <w:rPr>
                <w:noProof/>
                <w:sz w:val="22"/>
              </w:rPr>
            </w:pPr>
          </w:p>
        </w:tc>
        <w:tc>
          <w:tcPr>
            <w:tcW w:w="3960" w:type="dxa"/>
            <w:vAlign w:val="center"/>
          </w:tcPr>
          <w:p>
            <w:pPr>
              <w:rPr>
                <w:noProof/>
                <w:sz w:val="22"/>
              </w:rPr>
            </w:pPr>
            <w:r>
              <w:rPr>
                <w:noProof/>
              </w:rPr>
              <w:t>Numer[…]</w:t>
            </w:r>
            <w:r>
              <w:rPr>
                <w:noProof/>
                <w:sz w:val="20"/>
              </w:rPr>
              <w:t>[Pozycja/Artykuł………………………………………]</w:t>
            </w:r>
          </w:p>
        </w:tc>
        <w:tc>
          <w:tcPr>
            <w:tcW w:w="1080" w:type="dxa"/>
            <w:vAlign w:val="center"/>
          </w:tcPr>
          <w:p>
            <w:pPr>
              <w:jc w:val="center"/>
              <w:rPr>
                <w:noProof/>
                <w:sz w:val="22"/>
              </w:rPr>
            </w:pPr>
            <w:r>
              <w:rPr>
                <w:noProof/>
                <w:sz w:val="18"/>
              </w:rPr>
              <w:t>Zróżnicowane /niezróżnicowane</w:t>
            </w:r>
          </w:p>
        </w:tc>
        <w:tc>
          <w:tcPr>
            <w:tcW w:w="956" w:type="dxa"/>
            <w:vAlign w:val="center"/>
          </w:tcPr>
          <w:p>
            <w:pPr>
              <w:jc w:val="center"/>
              <w:rPr>
                <w:noProof/>
                <w:sz w:val="18"/>
              </w:rPr>
            </w:pPr>
            <w:r>
              <w:rPr>
                <w:noProof/>
                <w:sz w:val="18"/>
              </w:rPr>
              <w:t>państw EFTA</w:t>
            </w:r>
          </w:p>
        </w:tc>
        <w:tc>
          <w:tcPr>
            <w:tcW w:w="1080" w:type="dxa"/>
            <w:vAlign w:val="center"/>
          </w:tcPr>
          <w:p>
            <w:pPr>
              <w:jc w:val="center"/>
              <w:rPr>
                <w:noProof/>
                <w:sz w:val="18"/>
              </w:rPr>
            </w:pPr>
            <w:r>
              <w:rPr>
                <w:noProof/>
                <w:sz w:val="18"/>
              </w:rPr>
              <w:t>krajów kandydujących</w:t>
            </w:r>
          </w:p>
        </w:tc>
        <w:tc>
          <w:tcPr>
            <w:tcW w:w="956" w:type="dxa"/>
            <w:vAlign w:val="center"/>
          </w:tcPr>
          <w:p>
            <w:pPr>
              <w:jc w:val="center"/>
              <w:rPr>
                <w:noProof/>
                <w:sz w:val="18"/>
              </w:rPr>
            </w:pPr>
            <w:r>
              <w:rPr>
                <w:noProof/>
                <w:sz w:val="18"/>
              </w:rPr>
              <w:t>państw trzecich</w:t>
            </w:r>
          </w:p>
        </w:tc>
        <w:tc>
          <w:tcPr>
            <w:tcW w:w="1448" w:type="dxa"/>
            <w:vAlign w:val="center"/>
          </w:tcPr>
          <w:p>
            <w:pPr>
              <w:jc w:val="center"/>
              <w:rPr>
                <w:noProof/>
                <w:sz w:val="22"/>
              </w:rPr>
            </w:pPr>
            <w:r>
              <w:rPr>
                <w:noProof/>
                <w:sz w:val="16"/>
              </w:rPr>
              <w:t xml:space="preserve">w rozumieniu art. 21 ust. 2 lit. b) rozporządzenia finansowego </w:t>
            </w:r>
          </w:p>
        </w:tc>
      </w:tr>
      <w:tr>
        <w:tc>
          <w:tcPr>
            <w:tcW w:w="1080" w:type="dxa"/>
            <w:vAlign w:val="center"/>
          </w:tcPr>
          <w:p>
            <w:pPr>
              <w:jc w:val="center"/>
              <w:rPr>
                <w:noProof/>
                <w:sz w:val="22"/>
              </w:rPr>
            </w:pPr>
          </w:p>
        </w:tc>
        <w:tc>
          <w:tcPr>
            <w:tcW w:w="3960" w:type="dxa"/>
            <w:vAlign w:val="center"/>
          </w:tcPr>
          <w:p>
            <w:pPr>
              <w:spacing w:before="60"/>
              <w:rPr>
                <w:noProof/>
                <w:sz w:val="22"/>
              </w:rPr>
            </w:pPr>
            <w:r>
              <w:rPr>
                <w:noProof/>
              </w:rPr>
              <w:t>[…]</w:t>
            </w:r>
            <w:r>
              <w:rPr>
                <w:noProof/>
                <w:sz w:val="22"/>
              </w:rPr>
              <w:t>[XX.YY.YY.YY]</w:t>
            </w:r>
          </w:p>
          <w:p>
            <w:pPr>
              <w:spacing w:after="60"/>
              <w:rPr>
                <w:noProof/>
                <w:sz w:val="22"/>
              </w:rPr>
            </w:pPr>
          </w:p>
        </w:tc>
        <w:tc>
          <w:tcPr>
            <w:tcW w:w="1080" w:type="dxa"/>
            <w:vAlign w:val="center"/>
          </w:tcPr>
          <w:p>
            <w:pPr>
              <w:jc w:val="center"/>
              <w:rPr>
                <w:noProof/>
                <w:sz w:val="22"/>
              </w:rPr>
            </w:pPr>
          </w:p>
        </w:tc>
        <w:tc>
          <w:tcPr>
            <w:tcW w:w="956" w:type="dxa"/>
            <w:vAlign w:val="center"/>
          </w:tcPr>
          <w:p>
            <w:pPr>
              <w:jc w:val="center"/>
              <w:rPr>
                <w:noProof/>
                <w:sz w:val="22"/>
              </w:rPr>
            </w:pPr>
            <w:r>
              <w:rPr>
                <w:noProof/>
                <w:sz w:val="22"/>
              </w:rPr>
              <w:t>TAK/NIE</w:t>
            </w:r>
          </w:p>
        </w:tc>
        <w:tc>
          <w:tcPr>
            <w:tcW w:w="1080" w:type="dxa"/>
            <w:vAlign w:val="center"/>
          </w:tcPr>
          <w:p>
            <w:pPr>
              <w:jc w:val="center"/>
              <w:rPr>
                <w:noProof/>
                <w:sz w:val="18"/>
              </w:rPr>
            </w:pPr>
            <w:r>
              <w:rPr>
                <w:noProof/>
                <w:sz w:val="22"/>
              </w:rPr>
              <w:t>TAK/NIE</w:t>
            </w:r>
          </w:p>
        </w:tc>
        <w:tc>
          <w:tcPr>
            <w:tcW w:w="956" w:type="dxa"/>
            <w:vAlign w:val="center"/>
          </w:tcPr>
          <w:p>
            <w:pPr>
              <w:jc w:val="center"/>
              <w:rPr>
                <w:noProof/>
                <w:sz w:val="18"/>
              </w:rPr>
            </w:pPr>
            <w:r>
              <w:rPr>
                <w:noProof/>
                <w:sz w:val="22"/>
              </w:rPr>
              <w:t>TAK/NIE</w:t>
            </w:r>
          </w:p>
        </w:tc>
        <w:tc>
          <w:tcPr>
            <w:tcW w:w="1448" w:type="dxa"/>
            <w:vAlign w:val="center"/>
          </w:tcPr>
          <w:p>
            <w:pPr>
              <w:jc w:val="center"/>
              <w:rPr>
                <w:noProof/>
                <w:sz w:val="22"/>
              </w:rPr>
            </w:pPr>
            <w:r>
              <w:rPr>
                <w:noProof/>
                <w:sz w:val="22"/>
              </w:rPr>
              <w:t>TAK/NIE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Szacunkowy wpływ na wydatki </w:t>
      </w:r>
    </w:p>
    <w:p>
      <w:pPr>
        <w:pStyle w:val="ManualHeading3"/>
        <w:rPr>
          <w:noProof/>
          <w:u w:val="single"/>
        </w:rPr>
      </w:pPr>
      <w:r>
        <w:t>3.2.1.</w:t>
      </w:r>
      <w:r>
        <w:tab/>
      </w:r>
      <w:r>
        <w:rPr>
          <w:noProof/>
        </w:rPr>
        <w:t xml:space="preserve">Synteza szacunkowego wpływu na wydatki </w:t>
      </w:r>
    </w:p>
    <w:p>
      <w:pPr>
        <w:jc w:val="right"/>
        <w:rPr>
          <w:noProof/>
          <w:sz w:val="20"/>
        </w:rPr>
      </w:pPr>
      <w:r>
        <w:rPr>
          <w:noProof/>
          <w:sz w:val="20"/>
        </w:rPr>
        <w:t>w mln EUR (do trzech miejsc po przecinku)</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Dział wieloletnich ram</w:t>
            </w:r>
            <w:r>
              <w:rPr>
                <w:noProof/>
                <w:sz w:val="22"/>
              </w:rPr>
              <w:br/>
            </w:r>
            <w:r>
              <w:rPr>
                <w:b/>
                <w:noProof/>
                <w:sz w:val="22"/>
              </w:rPr>
              <w:t xml:space="preserve">finansowych </w:t>
            </w:r>
          </w:p>
        </w:tc>
        <w:tc>
          <w:tcPr>
            <w:tcW w:w="1080" w:type="dxa"/>
            <w:vAlign w:val="center"/>
          </w:tcPr>
          <w:p>
            <w:pPr>
              <w:spacing w:before="60" w:after="60"/>
              <w:jc w:val="center"/>
              <w:rPr>
                <w:noProof/>
                <w:sz w:val="22"/>
              </w:rPr>
            </w:pPr>
            <w:r>
              <w:rPr>
                <w:noProof/>
                <w:sz w:val="22"/>
              </w:rPr>
              <w:t>Numer</w:t>
            </w:r>
          </w:p>
        </w:tc>
        <w:tc>
          <w:tcPr>
            <w:tcW w:w="7817" w:type="dxa"/>
            <w:vAlign w:val="center"/>
          </w:tcPr>
          <w:p>
            <w:pPr>
              <w:spacing w:before="60" w:after="60"/>
              <w:rPr>
                <w:noProof/>
                <w:sz w:val="22"/>
              </w:rPr>
            </w:pPr>
            <w:r>
              <w:rPr>
                <w:noProof/>
                <w:sz w:val="22"/>
              </w:rPr>
              <w:t>[Pozycja/Artykuł……………...……………………………………………………………….]</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noProof/>
                <w:sz w:val="22"/>
              </w:rPr>
              <w:t>Dyrekcja Generalna: &lt;…….&gt;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N</w:t>
            </w:r>
            <w:r>
              <w:rPr>
                <w:rStyle w:val="FootnoteReference"/>
                <w:b/>
                <w:noProof/>
                <w:sz w:val="20"/>
              </w:rPr>
              <w:footnoteReference w:id="9"/>
            </w:r>
          </w:p>
        </w:tc>
        <w:tc>
          <w:tcPr>
            <w:tcW w:w="868" w:type="dxa"/>
            <w:vAlign w:val="center"/>
          </w:tcPr>
          <w:p>
            <w:pPr>
              <w:jc w:val="center"/>
              <w:rPr>
                <w:noProof/>
                <w:sz w:val="20"/>
              </w:rPr>
            </w:pPr>
            <w:r>
              <w:rPr>
                <w:noProof/>
                <w:sz w:val="20"/>
              </w:rPr>
              <w:t>Rok</w:t>
            </w:r>
            <w:r>
              <w:rPr>
                <w:noProof/>
                <w:sz w:val="22"/>
              </w:rPr>
              <w:br/>
            </w:r>
            <w:r>
              <w:rPr>
                <w:b/>
                <w:noProof/>
                <w:sz w:val="20"/>
              </w:rPr>
              <w:t>N+1</w:t>
            </w:r>
          </w:p>
        </w:tc>
        <w:tc>
          <w:tcPr>
            <w:tcW w:w="868" w:type="dxa"/>
            <w:vAlign w:val="center"/>
          </w:tcPr>
          <w:p>
            <w:pPr>
              <w:jc w:val="center"/>
              <w:rPr>
                <w:noProof/>
                <w:sz w:val="20"/>
              </w:rPr>
            </w:pPr>
            <w:r>
              <w:rPr>
                <w:noProof/>
                <w:sz w:val="20"/>
              </w:rPr>
              <w:t>Rok</w:t>
            </w:r>
            <w:r>
              <w:rPr>
                <w:noProof/>
                <w:sz w:val="22"/>
              </w:rPr>
              <w:br/>
            </w:r>
            <w:r>
              <w:rPr>
                <w:b/>
                <w:noProof/>
                <w:sz w:val="20"/>
              </w:rPr>
              <w:t>N+2</w:t>
            </w:r>
          </w:p>
        </w:tc>
        <w:tc>
          <w:tcPr>
            <w:tcW w:w="868" w:type="dxa"/>
            <w:vAlign w:val="center"/>
          </w:tcPr>
          <w:p>
            <w:pPr>
              <w:jc w:val="center"/>
              <w:rPr>
                <w:noProof/>
                <w:sz w:val="20"/>
              </w:rPr>
            </w:pPr>
            <w:r>
              <w:rPr>
                <w:noProof/>
                <w:sz w:val="20"/>
              </w:rPr>
              <w:t>Rok</w:t>
            </w:r>
            <w:r>
              <w:rPr>
                <w:noProof/>
                <w:sz w:val="22"/>
              </w:rPr>
              <w:br/>
            </w:r>
            <w:r>
              <w:rPr>
                <w:b/>
                <w:noProof/>
                <w:sz w:val="20"/>
              </w:rPr>
              <w:t>N+3</w:t>
            </w:r>
          </w:p>
        </w:tc>
        <w:tc>
          <w:tcPr>
            <w:tcW w:w="2604" w:type="dxa"/>
            <w:gridSpan w:val="3"/>
            <w:vAlign w:val="center"/>
          </w:tcPr>
          <w:p>
            <w:pPr>
              <w:jc w:val="center"/>
              <w:rPr>
                <w:b/>
                <w:noProof/>
                <w:sz w:val="18"/>
              </w:rPr>
            </w:pPr>
            <w:r>
              <w:rPr>
                <w:noProof/>
                <w:sz w:val="18"/>
              </w:rPr>
              <w:t>Wprowadzić taką liczbę kolumn dla poszczególnych lat, jaka jest niezbędna, by odzwierciedlić cały okres wpływu (por. pkt 1.6)</w:t>
            </w:r>
          </w:p>
        </w:tc>
        <w:tc>
          <w:tcPr>
            <w:tcW w:w="1777" w:type="dxa"/>
            <w:vAlign w:val="center"/>
          </w:tcPr>
          <w:p>
            <w:pPr>
              <w:jc w:val="center"/>
              <w:rPr>
                <w:b/>
                <w:noProof/>
                <w:sz w:val="20"/>
              </w:rPr>
            </w:pPr>
            <w:r>
              <w:rPr>
                <w:b/>
                <w:noProof/>
                <w:sz w:val="20"/>
              </w:rPr>
              <w:t>OGÓŁEM</w:t>
            </w:r>
          </w:p>
        </w:tc>
      </w:tr>
      <w:tr>
        <w:trPr>
          <w:trHeight w:val="213"/>
        </w:trPr>
        <w:tc>
          <w:tcPr>
            <w:tcW w:w="6054" w:type="dxa"/>
            <w:gridSpan w:val="4"/>
            <w:vAlign w:val="center"/>
          </w:tcPr>
          <w:p>
            <w:pPr>
              <w:spacing w:before="20" w:after="20"/>
              <w:rPr>
                <w:noProof/>
                <w:sz w:val="21"/>
              </w:rPr>
            </w:pPr>
            <w:r>
              <w:rPr>
                <w:noProof/>
                <w:sz w:val="21"/>
                <w:szCs w:val="20"/>
              </w:rPr>
              <w:sym w:font="Wingdings" w:char="F09F"/>
            </w:r>
            <w:r>
              <w:rPr>
                <w:noProof/>
                <w:sz w:val="21"/>
              </w:rPr>
              <w:t xml:space="preserve"> Środki operacyjne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Numer linii budżetowej</w:t>
            </w:r>
          </w:p>
        </w:tc>
        <w:tc>
          <w:tcPr>
            <w:tcW w:w="1440" w:type="dxa"/>
            <w:vAlign w:val="center"/>
          </w:tcPr>
          <w:p>
            <w:pPr>
              <w:spacing w:before="20" w:after="20"/>
              <w:rPr>
                <w:noProof/>
                <w:sz w:val="18"/>
              </w:rPr>
            </w:pPr>
            <w:r>
              <w:rPr>
                <w:noProof/>
                <w:sz w:val="18"/>
              </w:rPr>
              <w:t>Środki na zobowiązania</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Środki na płatności</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vAlign w:val="center"/>
          </w:tcPr>
          <w:p>
            <w:pPr>
              <w:rPr>
                <w:noProof/>
                <w:sz w:val="22"/>
              </w:rPr>
            </w:pPr>
            <w:r>
              <w:rPr>
                <w:noProof/>
                <w:sz w:val="20"/>
              </w:rPr>
              <w:t>Numer linii budżetowej</w:t>
            </w:r>
          </w:p>
        </w:tc>
        <w:tc>
          <w:tcPr>
            <w:tcW w:w="1440" w:type="dxa"/>
            <w:vAlign w:val="center"/>
          </w:tcPr>
          <w:p>
            <w:pPr>
              <w:spacing w:before="20" w:after="20"/>
              <w:rPr>
                <w:noProof/>
                <w:sz w:val="18"/>
              </w:rPr>
            </w:pPr>
            <w:r>
              <w:rPr>
                <w:noProof/>
                <w:sz w:val="18"/>
              </w:rPr>
              <w:t>Środki na zobowiązania</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Środki na płatności</w:t>
            </w:r>
          </w:p>
        </w:tc>
        <w:tc>
          <w:tcPr>
            <w:tcW w:w="654" w:type="dxa"/>
            <w:gridSpan w:val="2"/>
            <w:vAlign w:val="center"/>
          </w:tcPr>
          <w:p>
            <w:pPr>
              <w:spacing w:before="20" w:after="20"/>
              <w:jc w:val="center"/>
              <w:rPr>
                <w:noProof/>
                <w:sz w:val="14"/>
              </w:rPr>
            </w:pPr>
            <w:r>
              <w:rPr>
                <w:noProof/>
                <w:sz w:val="14"/>
              </w:rPr>
              <w:t>(2 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Środki administracyjne finansowane ze środków przydzielonych na określone programy operacyjne</w:t>
            </w:r>
            <w:r>
              <w:rPr>
                <w:rStyle w:val="FootnoteReference"/>
                <w:noProof/>
                <w:sz w:val="21"/>
              </w:rPr>
              <w:footnoteReference w:id="10"/>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Numer linii budżetowej</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sz w:val="22"/>
              </w:rPr>
              <w:t>OGÓŁEM środki</w:t>
            </w:r>
            <w:r>
              <w:rPr>
                <w:noProof/>
                <w:sz w:val="22"/>
              </w:rPr>
              <w:br/>
            </w:r>
            <w:r>
              <w:rPr>
                <w:b/>
                <w:noProof/>
                <w:sz w:val="22"/>
              </w:rPr>
              <w:t xml:space="preserve">dla Dyrekcji Generalnej </w:t>
            </w:r>
            <w:r>
              <w:rPr>
                <w:noProof/>
                <w:sz w:val="22"/>
              </w:rPr>
              <w:t>&lt;…….&gt;</w:t>
            </w:r>
          </w:p>
        </w:tc>
        <w:tc>
          <w:tcPr>
            <w:tcW w:w="1440" w:type="dxa"/>
            <w:vAlign w:val="center"/>
          </w:tcPr>
          <w:p>
            <w:pPr>
              <w:rPr>
                <w:noProof/>
                <w:sz w:val="18"/>
              </w:rPr>
            </w:pPr>
            <w:r>
              <w:rPr>
                <w:noProof/>
                <w:sz w:val="18"/>
              </w:rPr>
              <w:t>Środki na zobowiązania</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rPr>
                <w:noProof/>
                <w:sz w:val="20"/>
              </w:rPr>
            </w:pPr>
          </w:p>
        </w:tc>
        <w:tc>
          <w:tcPr>
            <w:tcW w:w="1440" w:type="dxa"/>
            <w:vAlign w:val="center"/>
          </w:tcPr>
          <w:p>
            <w:pPr>
              <w:rPr>
                <w:noProof/>
                <w:sz w:val="18"/>
              </w:rPr>
            </w:pPr>
            <w:r>
              <w:rPr>
                <w:noProof/>
                <w:sz w:val="18"/>
              </w:rPr>
              <w:t>Środki na płatności</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szCs w:val="20"/>
              </w:rPr>
              <w:sym w:font="Wingdings" w:char="F09F"/>
            </w:r>
            <w:r>
              <w:rPr>
                <w:noProof/>
                <w:sz w:val="21"/>
              </w:rPr>
              <w:t xml:space="preserve"> OGÓŁEM środki operacyjne </w:t>
            </w:r>
          </w:p>
        </w:tc>
        <w:tc>
          <w:tcPr>
            <w:tcW w:w="1440" w:type="dxa"/>
            <w:vAlign w:val="center"/>
          </w:tcPr>
          <w:p>
            <w:pPr>
              <w:spacing w:beforeLines="20" w:before="48" w:afterLines="20" w:after="48"/>
              <w:rPr>
                <w:noProof/>
                <w:sz w:val="18"/>
              </w:rPr>
            </w:pPr>
            <w:r>
              <w:rPr>
                <w:noProof/>
                <w:sz w:val="18"/>
              </w:rPr>
              <w:t>Środki na zobowiązania</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Środki na płatności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sz w:val="22"/>
              </w:rPr>
            </w:pPr>
            <w:r>
              <w:rPr>
                <w:noProof/>
                <w:sz w:val="21"/>
                <w:szCs w:val="20"/>
              </w:rPr>
              <w:sym w:font="Wingdings" w:char="F09F"/>
            </w:r>
            <w:r>
              <w:rPr>
                <w:noProof/>
                <w:sz w:val="21"/>
              </w:rPr>
              <w:t xml:space="preserve"> OGÓŁEM środki administracyjne finansowane ze środków przydzielonych na określone programy operacyjne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noProof/>
                <w:sz w:val="22"/>
              </w:rPr>
              <w:t>OGÓŁEM środki</w:t>
            </w:r>
            <w:r>
              <w:rPr>
                <w:noProof/>
                <w:sz w:val="22"/>
              </w:rPr>
              <w:br/>
            </w:r>
            <w:r>
              <w:rPr>
                <w:b/>
                <w:noProof/>
                <w:sz w:val="22"/>
              </w:rPr>
              <w:t>na DZIAŁ &lt;….&gt;</w:t>
            </w:r>
            <w:r>
              <w:rPr>
                <w:noProof/>
                <w:sz w:val="22"/>
              </w:rPr>
              <w:br/>
              <w:t>wieloletnich ram finansowych</w:t>
            </w:r>
          </w:p>
        </w:tc>
        <w:tc>
          <w:tcPr>
            <w:tcW w:w="1440" w:type="dxa"/>
            <w:vAlign w:val="center"/>
          </w:tcPr>
          <w:p>
            <w:pPr>
              <w:rPr>
                <w:noProof/>
                <w:sz w:val="18"/>
              </w:rPr>
            </w:pPr>
            <w:r>
              <w:rPr>
                <w:noProof/>
                <w:sz w:val="18"/>
              </w:rPr>
              <w:t>Środki na zobowiązania</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Środki na płatności</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spacing w:after="40"/>
        <w:rPr>
          <w:b/>
          <w:noProof/>
          <w:sz w:val="22"/>
          <w:u w:val="single"/>
        </w:rPr>
      </w:pPr>
      <w:r>
        <w:rPr>
          <w:b/>
          <w:noProof/>
          <w:sz w:val="22"/>
          <w:u w:val="single"/>
        </w:rPr>
        <w:t>Jeżeli wpływ wniosku/inicjatywy nie ogranicza się do jednego działu:</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szCs w:val="20"/>
              </w:rPr>
              <w:sym w:font="Wingdings" w:char="F09F"/>
            </w:r>
            <w:r>
              <w:rPr>
                <w:noProof/>
                <w:sz w:val="21"/>
              </w:rPr>
              <w:t xml:space="preserve"> OGÓŁEM środki operacyjne </w:t>
            </w:r>
          </w:p>
        </w:tc>
        <w:tc>
          <w:tcPr>
            <w:tcW w:w="1440" w:type="dxa"/>
            <w:tcBorders>
              <w:top w:val="single" w:sz="4" w:space="0" w:color="FF0000"/>
            </w:tcBorders>
            <w:vAlign w:val="center"/>
          </w:tcPr>
          <w:p>
            <w:pPr>
              <w:spacing w:beforeLines="20" w:before="48" w:afterLines="20" w:after="48"/>
              <w:rPr>
                <w:noProof/>
                <w:sz w:val="18"/>
              </w:rPr>
            </w:pPr>
            <w:r>
              <w:rPr>
                <w:noProof/>
                <w:sz w:val="18"/>
              </w:rPr>
              <w:t>Środki na zobowiązania</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Środki na płatności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szCs w:val="20"/>
              </w:rPr>
              <w:sym w:font="Wingdings" w:char="F09F"/>
            </w:r>
            <w:r>
              <w:rPr>
                <w:noProof/>
                <w:sz w:val="21"/>
              </w:rPr>
              <w:t xml:space="preserve"> OGÓŁEM środki administracyjne finansowane ze środków przydzielonych na określone programy operacyjne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OGÓŁEM środki</w:t>
            </w:r>
            <w:r>
              <w:rPr>
                <w:noProof/>
                <w:sz w:val="22"/>
              </w:rPr>
              <w:br/>
            </w:r>
            <w:r>
              <w:rPr>
                <w:b/>
                <w:noProof/>
                <w:sz w:val="22"/>
              </w:rPr>
              <w:t>na DZIAŁY 1 do 4</w:t>
            </w:r>
            <w:r>
              <w:rPr>
                <w:noProof/>
                <w:sz w:val="22"/>
              </w:rPr>
              <w:br/>
              <w:t>wieloletnich ram finansowych</w:t>
            </w:r>
            <w:r>
              <w:rPr>
                <w:noProof/>
                <w:sz w:val="22"/>
              </w:rPr>
              <w:br/>
            </w:r>
            <w:r>
              <w:rPr>
                <w:noProof/>
                <w:sz w:val="20"/>
              </w:rPr>
              <w:t>(kwota odniesienia)</w:t>
            </w:r>
          </w:p>
        </w:tc>
        <w:tc>
          <w:tcPr>
            <w:tcW w:w="1440" w:type="dxa"/>
            <w:vAlign w:val="center"/>
          </w:tcPr>
          <w:p>
            <w:pPr>
              <w:rPr>
                <w:noProof/>
                <w:sz w:val="18"/>
              </w:rPr>
            </w:pPr>
            <w:r>
              <w:rPr>
                <w:noProof/>
                <w:sz w:val="18"/>
              </w:rPr>
              <w:t>Środki na zobowiązania</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Środki na płatności</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Dział wieloletnich ram</w:t>
            </w:r>
            <w:r>
              <w:rPr>
                <w:noProof/>
                <w:sz w:val="22"/>
              </w:rPr>
              <w:br/>
            </w:r>
            <w:r>
              <w:rPr>
                <w:b/>
                <w:noProof/>
                <w:sz w:val="22"/>
              </w:rPr>
              <w:t xml:space="preserve">finansowych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„Wydatki administracyjne”</w:t>
            </w:r>
          </w:p>
        </w:tc>
      </w:tr>
    </w:tbl>
    <w:p>
      <w:pPr>
        <w:jc w:val="right"/>
        <w:rPr>
          <w:noProof/>
          <w:sz w:val="20"/>
        </w:rPr>
      </w:pPr>
      <w:r>
        <w:rPr>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N</w:t>
            </w:r>
          </w:p>
        </w:tc>
        <w:tc>
          <w:tcPr>
            <w:tcW w:w="868" w:type="dxa"/>
            <w:vAlign w:val="center"/>
          </w:tcPr>
          <w:p>
            <w:pPr>
              <w:jc w:val="center"/>
              <w:rPr>
                <w:noProof/>
                <w:sz w:val="20"/>
              </w:rPr>
            </w:pPr>
            <w:r>
              <w:rPr>
                <w:noProof/>
                <w:sz w:val="20"/>
              </w:rPr>
              <w:t>Rok</w:t>
            </w:r>
            <w:r>
              <w:rPr>
                <w:noProof/>
                <w:sz w:val="22"/>
              </w:rPr>
              <w:br/>
            </w:r>
            <w:r>
              <w:rPr>
                <w:b/>
                <w:noProof/>
                <w:sz w:val="20"/>
              </w:rPr>
              <w:t>N+1</w:t>
            </w:r>
          </w:p>
        </w:tc>
        <w:tc>
          <w:tcPr>
            <w:tcW w:w="868" w:type="dxa"/>
            <w:vAlign w:val="center"/>
          </w:tcPr>
          <w:p>
            <w:pPr>
              <w:jc w:val="center"/>
              <w:rPr>
                <w:noProof/>
                <w:sz w:val="20"/>
              </w:rPr>
            </w:pPr>
            <w:r>
              <w:rPr>
                <w:noProof/>
                <w:sz w:val="20"/>
              </w:rPr>
              <w:t>Rok</w:t>
            </w:r>
            <w:r>
              <w:rPr>
                <w:noProof/>
                <w:sz w:val="22"/>
              </w:rPr>
              <w:br/>
            </w:r>
            <w:r>
              <w:rPr>
                <w:b/>
                <w:noProof/>
                <w:sz w:val="20"/>
              </w:rPr>
              <w:t>N+2</w:t>
            </w:r>
          </w:p>
        </w:tc>
        <w:tc>
          <w:tcPr>
            <w:tcW w:w="868" w:type="dxa"/>
            <w:vAlign w:val="center"/>
          </w:tcPr>
          <w:p>
            <w:pPr>
              <w:jc w:val="center"/>
              <w:rPr>
                <w:noProof/>
                <w:sz w:val="20"/>
              </w:rPr>
            </w:pPr>
            <w:r>
              <w:rPr>
                <w:noProof/>
                <w:sz w:val="20"/>
              </w:rPr>
              <w:t>Rok</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Wprowadzić taką liczbę kolumn dla poszczególnych lat, jaka jest niezbędna, by odzwierciedlić cały okres wpływu (por. pkt 1.6) </w:t>
            </w:r>
          </w:p>
        </w:tc>
        <w:tc>
          <w:tcPr>
            <w:tcW w:w="1777" w:type="dxa"/>
            <w:vAlign w:val="center"/>
          </w:tcPr>
          <w:p>
            <w:pPr>
              <w:jc w:val="center"/>
              <w:rPr>
                <w:b/>
                <w:noProof/>
                <w:sz w:val="20"/>
              </w:rPr>
            </w:pPr>
            <w:r>
              <w:rPr>
                <w:b/>
                <w:noProof/>
                <w:sz w:val="20"/>
              </w:rPr>
              <w:t>OGÓŁEM</w:t>
            </w:r>
          </w:p>
        </w:tc>
      </w:tr>
      <w:tr>
        <w:trPr>
          <w:gridAfter w:val="10"/>
          <w:wAfter w:w="9947" w:type="dxa"/>
        </w:trPr>
        <w:tc>
          <w:tcPr>
            <w:tcW w:w="3960" w:type="dxa"/>
            <w:vAlign w:val="center"/>
          </w:tcPr>
          <w:p>
            <w:pPr>
              <w:spacing w:before="60" w:after="60"/>
              <w:jc w:val="center"/>
              <w:rPr>
                <w:noProof/>
                <w:sz w:val="22"/>
              </w:rPr>
            </w:pPr>
            <w:r>
              <w:rPr>
                <w:noProof/>
                <w:sz w:val="22"/>
              </w:rPr>
              <w:t>Dyrekcja Generalna: &lt;…….&gt;</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Zasoby ludzkie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Pozostałe wydatki administracyjne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sz w:val="22"/>
              </w:rPr>
            </w:pPr>
            <w:r>
              <w:rPr>
                <w:b/>
                <w:noProof/>
                <w:sz w:val="22"/>
              </w:rPr>
              <w:t xml:space="preserve">OGÓŁEM Dyrekcja Generalna </w:t>
            </w:r>
            <w:r>
              <w:rPr>
                <w:noProof/>
                <w:sz w:val="22"/>
              </w:rPr>
              <w:t>&lt;…….&gt;</w:t>
            </w:r>
          </w:p>
        </w:tc>
        <w:tc>
          <w:tcPr>
            <w:tcW w:w="2094" w:type="dxa"/>
            <w:gridSpan w:val="2"/>
            <w:vAlign w:val="center"/>
          </w:tcPr>
          <w:p>
            <w:pPr>
              <w:rPr>
                <w:noProof/>
                <w:sz w:val="14"/>
              </w:rPr>
            </w:pPr>
            <w:r>
              <w:rPr>
                <w:noProof/>
                <w:sz w:val="18"/>
              </w:rPr>
              <w:t xml:space="preserve">Środki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OGÓŁEM środki</w:t>
            </w:r>
            <w:r>
              <w:rPr>
                <w:noProof/>
                <w:sz w:val="22"/>
              </w:rPr>
              <w:br/>
            </w:r>
            <w:r>
              <w:rPr>
                <w:b/>
                <w:noProof/>
                <w:sz w:val="22"/>
              </w:rPr>
              <w:t>na DZIAŁ 5</w:t>
            </w:r>
            <w:r>
              <w:rPr>
                <w:noProof/>
                <w:sz w:val="22"/>
              </w:rPr>
              <w:br/>
              <w:t>wieloletnich ram finansowych</w:t>
            </w:r>
            <w:r>
              <w:rPr>
                <w:b/>
                <w:noProof/>
                <w:sz w:val="22"/>
              </w:rPr>
              <w:t xml:space="preserve"> </w:t>
            </w:r>
          </w:p>
        </w:tc>
        <w:tc>
          <w:tcPr>
            <w:tcW w:w="2094" w:type="dxa"/>
            <w:vAlign w:val="center"/>
          </w:tcPr>
          <w:p>
            <w:pPr>
              <w:spacing w:before="40" w:after="40"/>
              <w:rPr>
                <w:noProof/>
                <w:sz w:val="22"/>
              </w:rPr>
            </w:pPr>
            <w:r>
              <w:rPr>
                <w:noProof/>
                <w:sz w:val="18"/>
              </w:rPr>
              <w:t>(Środki na zobowiązania ogółem = środki na płatności ogółem)</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N</w:t>
            </w:r>
            <w:r>
              <w:rPr>
                <w:rStyle w:val="FootnoteReference"/>
                <w:b/>
                <w:noProof/>
                <w:sz w:val="20"/>
              </w:rPr>
              <w:footnoteReference w:id="11"/>
            </w:r>
          </w:p>
        </w:tc>
        <w:tc>
          <w:tcPr>
            <w:tcW w:w="868" w:type="dxa"/>
            <w:vAlign w:val="center"/>
          </w:tcPr>
          <w:p>
            <w:pPr>
              <w:jc w:val="center"/>
              <w:rPr>
                <w:noProof/>
                <w:sz w:val="20"/>
              </w:rPr>
            </w:pPr>
            <w:r>
              <w:rPr>
                <w:noProof/>
                <w:sz w:val="20"/>
              </w:rPr>
              <w:t>Rok</w:t>
            </w:r>
            <w:r>
              <w:rPr>
                <w:noProof/>
                <w:sz w:val="22"/>
              </w:rPr>
              <w:br/>
            </w:r>
            <w:r>
              <w:rPr>
                <w:b/>
                <w:noProof/>
                <w:sz w:val="20"/>
              </w:rPr>
              <w:t>N+1</w:t>
            </w:r>
          </w:p>
        </w:tc>
        <w:tc>
          <w:tcPr>
            <w:tcW w:w="868" w:type="dxa"/>
            <w:vAlign w:val="center"/>
          </w:tcPr>
          <w:p>
            <w:pPr>
              <w:jc w:val="center"/>
              <w:rPr>
                <w:noProof/>
                <w:sz w:val="20"/>
              </w:rPr>
            </w:pPr>
            <w:r>
              <w:rPr>
                <w:noProof/>
                <w:sz w:val="20"/>
              </w:rPr>
              <w:t>Rok</w:t>
            </w:r>
            <w:r>
              <w:rPr>
                <w:noProof/>
                <w:sz w:val="22"/>
              </w:rPr>
              <w:br/>
            </w:r>
            <w:r>
              <w:rPr>
                <w:b/>
                <w:noProof/>
                <w:sz w:val="20"/>
              </w:rPr>
              <w:t>N+2</w:t>
            </w:r>
          </w:p>
        </w:tc>
        <w:tc>
          <w:tcPr>
            <w:tcW w:w="868" w:type="dxa"/>
            <w:vAlign w:val="center"/>
          </w:tcPr>
          <w:p>
            <w:pPr>
              <w:jc w:val="center"/>
              <w:rPr>
                <w:noProof/>
                <w:sz w:val="20"/>
              </w:rPr>
            </w:pPr>
            <w:r>
              <w:rPr>
                <w:noProof/>
                <w:sz w:val="20"/>
              </w:rPr>
              <w:t>Rok</w:t>
            </w:r>
            <w:r>
              <w:rPr>
                <w:noProof/>
                <w:sz w:val="22"/>
              </w:rPr>
              <w:br/>
            </w:r>
            <w:r>
              <w:rPr>
                <w:b/>
                <w:noProof/>
                <w:sz w:val="20"/>
              </w:rPr>
              <w:t>N+3</w:t>
            </w:r>
          </w:p>
        </w:tc>
        <w:tc>
          <w:tcPr>
            <w:tcW w:w="2604" w:type="dxa"/>
            <w:gridSpan w:val="3"/>
            <w:vAlign w:val="center"/>
          </w:tcPr>
          <w:p>
            <w:pPr>
              <w:jc w:val="center"/>
              <w:rPr>
                <w:b/>
                <w:noProof/>
                <w:sz w:val="18"/>
              </w:rPr>
            </w:pPr>
            <w:r>
              <w:rPr>
                <w:noProof/>
                <w:sz w:val="18"/>
              </w:rPr>
              <w:t>Wprowadzić taką liczbę kolumn dla poszczególnych lat, jaka jest niezbędna, by odzwierciedlić cały okres wpływu (por. pkt 1.6)</w:t>
            </w:r>
          </w:p>
        </w:tc>
        <w:tc>
          <w:tcPr>
            <w:tcW w:w="1777" w:type="dxa"/>
            <w:vAlign w:val="center"/>
          </w:tcPr>
          <w:p>
            <w:pPr>
              <w:jc w:val="center"/>
              <w:rPr>
                <w:b/>
                <w:noProof/>
                <w:sz w:val="20"/>
              </w:rPr>
            </w:pPr>
            <w:r>
              <w:rPr>
                <w:b/>
                <w:noProof/>
                <w:sz w:val="20"/>
              </w:rPr>
              <w:t>OGÓŁEM</w:t>
            </w:r>
          </w:p>
        </w:tc>
      </w:tr>
      <w:tr>
        <w:tc>
          <w:tcPr>
            <w:tcW w:w="3960" w:type="dxa"/>
            <w:vMerge w:val="restart"/>
            <w:shd w:val="clear" w:color="auto" w:fill="C0C0C0"/>
            <w:vAlign w:val="center"/>
          </w:tcPr>
          <w:p>
            <w:pPr>
              <w:jc w:val="center"/>
              <w:rPr>
                <w:b/>
                <w:noProof/>
                <w:sz w:val="22"/>
              </w:rPr>
            </w:pPr>
            <w:r>
              <w:rPr>
                <w:b/>
                <w:noProof/>
                <w:sz w:val="22"/>
              </w:rPr>
              <w:t>OGÓŁEM środki</w:t>
            </w:r>
            <w:r>
              <w:rPr>
                <w:noProof/>
                <w:sz w:val="22"/>
              </w:rPr>
              <w:br/>
            </w:r>
            <w:r>
              <w:rPr>
                <w:b/>
                <w:noProof/>
                <w:sz w:val="22"/>
              </w:rPr>
              <w:t>na DZIAŁY 1 do 5</w:t>
            </w:r>
            <w:r>
              <w:rPr>
                <w:noProof/>
                <w:sz w:val="22"/>
              </w:rPr>
              <w:br/>
              <w:t>wieloletnich ram finansowych</w:t>
            </w:r>
            <w:r>
              <w:rPr>
                <w:b/>
                <w:noProof/>
                <w:sz w:val="22"/>
              </w:rPr>
              <w:t xml:space="preserve"> </w:t>
            </w:r>
          </w:p>
        </w:tc>
        <w:tc>
          <w:tcPr>
            <w:tcW w:w="2094" w:type="dxa"/>
            <w:gridSpan w:val="2"/>
            <w:vAlign w:val="center"/>
          </w:tcPr>
          <w:p>
            <w:pPr>
              <w:rPr>
                <w:noProof/>
                <w:sz w:val="14"/>
              </w:rPr>
            </w:pPr>
            <w:r>
              <w:rPr>
                <w:noProof/>
                <w:sz w:val="18"/>
              </w:rPr>
              <w:t>Środki na zobowiązania</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Środki na płatności</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pPr>
      <w:r>
        <w:rPr>
          <w:noProof/>
        </w:rPr>
        <w:t xml:space="preserve">Dla informacji, koszty administracyjne związane z zarządzaniem portfelem zostaną potrącone z przychodów Funduszu Gwarancyjnego, a nie z budżetu. Są to koszty operacyjne (w tym opłaty bankowe, opłaty Swift, opłaty Clearstream): szacunkowo będzie to 200 000 EUR w 2017 r., a do 2020 r. kwota ta wzrośnie do 250 000 EUR. </w:t>
      </w:r>
    </w:p>
    <w:p>
      <w:pPr>
        <w:rPr>
          <w:noProof/>
        </w:rPr>
      </w:pPr>
      <w:r>
        <w:rPr>
          <w:noProof/>
        </w:rPr>
        <w:t xml:space="preserve">Opłaty za audyt: 10 000 EUR </w:t>
      </w:r>
    </w:p>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Szacunkowy wpływ na środki operacyjne </w:t>
      </w:r>
    </w:p>
    <w:p>
      <w:pPr>
        <w:pStyle w:val="ListDash1"/>
        <w:rPr>
          <w:noProof/>
        </w:rPr>
      </w:pPr>
      <w:r>
        <w:rPr>
          <w:noProof/>
        </w:rPr>
        <w:t>X</w:t>
      </w:r>
      <w:r>
        <w:rPr>
          <w:noProof/>
        </w:rPr>
        <w:tab/>
        <w:t xml:space="preserve">Wniosek/inicjatywa nie wiąże się z koniecznością wykorzystania środków operacyjnych </w:t>
      </w:r>
    </w:p>
    <w:p>
      <w:pPr>
        <w:pStyle w:val="ListDash1"/>
        <w:rPr>
          <w:noProof/>
        </w:rPr>
      </w:pPr>
      <w:r>
        <w:rPr>
          <w:noProof/>
          <w:szCs w:val="24"/>
        </w:rPr>
        <w:sym w:font="Wingdings" w:char="F0A8"/>
      </w:r>
      <w:r>
        <w:rPr>
          <w:noProof/>
        </w:rPr>
        <w:tab/>
        <w:t>Wniosek/inicjatywa wiąże się z koniecznością wykorzystania środków operacyjnych, jak określono poniżej:</w:t>
      </w:r>
    </w:p>
    <w:p>
      <w:pPr>
        <w:jc w:val="right"/>
        <w:rPr>
          <w:noProof/>
          <w:sz w:val="20"/>
        </w:rPr>
      </w:pPr>
      <w:r>
        <w:rPr>
          <w:noProof/>
          <w:sz w:val="20"/>
        </w:rPr>
        <w:t>Środki na zobowiązania w mln EUR (do trzech miejsc po przecinku)</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Określić cele i produkty </w:t>
            </w:r>
          </w:p>
          <w:p>
            <w:pPr>
              <w:ind w:right="-29"/>
              <w:jc w:val="center"/>
              <w:rPr>
                <w:b/>
                <w:noProof/>
                <w:sz w:val="18"/>
                <w:szCs w:val="18"/>
              </w:rPr>
            </w:pPr>
          </w:p>
          <w:p>
            <w:pPr>
              <w:ind w:right="-29"/>
              <w:jc w:val="center"/>
              <w:rPr>
                <w:noProof/>
                <w:sz w:val="18"/>
                <w:szCs w:val="18"/>
              </w:rPr>
            </w:pPr>
            <w:r>
              <w:rPr>
                <w:noProof/>
                <w:sz w:val="18"/>
                <w:szCs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Rok</w:t>
            </w:r>
            <w:r>
              <w:rPr>
                <w:noProof/>
                <w:sz w:val="22"/>
              </w:rPr>
              <w:br/>
            </w:r>
            <w:r>
              <w:rPr>
                <w:b/>
                <w:noProof/>
                <w:sz w:val="18"/>
              </w:rPr>
              <w:t>N</w:t>
            </w:r>
          </w:p>
        </w:tc>
        <w:tc>
          <w:tcPr>
            <w:tcW w:w="1260" w:type="dxa"/>
            <w:gridSpan w:val="2"/>
            <w:vAlign w:val="center"/>
          </w:tcPr>
          <w:p>
            <w:pPr>
              <w:ind w:right="-29"/>
              <w:jc w:val="center"/>
              <w:rPr>
                <w:noProof/>
                <w:sz w:val="18"/>
                <w:szCs w:val="18"/>
              </w:rPr>
            </w:pPr>
            <w:r>
              <w:rPr>
                <w:noProof/>
                <w:sz w:val="18"/>
              </w:rPr>
              <w:t>Rok</w:t>
            </w:r>
            <w:r>
              <w:rPr>
                <w:noProof/>
                <w:sz w:val="22"/>
              </w:rPr>
              <w:br/>
            </w:r>
            <w:r>
              <w:rPr>
                <w:b/>
                <w:noProof/>
                <w:sz w:val="18"/>
              </w:rPr>
              <w:t>N+1</w:t>
            </w:r>
          </w:p>
        </w:tc>
        <w:tc>
          <w:tcPr>
            <w:tcW w:w="1440" w:type="dxa"/>
            <w:gridSpan w:val="2"/>
            <w:vAlign w:val="center"/>
          </w:tcPr>
          <w:p>
            <w:pPr>
              <w:ind w:right="-29"/>
              <w:jc w:val="center"/>
              <w:rPr>
                <w:noProof/>
                <w:sz w:val="18"/>
                <w:szCs w:val="18"/>
              </w:rPr>
            </w:pPr>
            <w:r>
              <w:rPr>
                <w:noProof/>
                <w:sz w:val="18"/>
              </w:rPr>
              <w:t>Rok</w:t>
            </w:r>
            <w:r>
              <w:rPr>
                <w:noProof/>
                <w:sz w:val="22"/>
              </w:rPr>
              <w:br/>
            </w:r>
            <w:r>
              <w:rPr>
                <w:b/>
                <w:noProof/>
                <w:sz w:val="18"/>
              </w:rPr>
              <w:t>N+2</w:t>
            </w:r>
          </w:p>
        </w:tc>
        <w:tc>
          <w:tcPr>
            <w:tcW w:w="1620" w:type="dxa"/>
            <w:gridSpan w:val="3"/>
            <w:vAlign w:val="center"/>
          </w:tcPr>
          <w:p>
            <w:pPr>
              <w:ind w:right="-29"/>
              <w:jc w:val="center"/>
              <w:rPr>
                <w:noProof/>
                <w:sz w:val="18"/>
                <w:szCs w:val="18"/>
              </w:rPr>
            </w:pPr>
            <w:r>
              <w:rPr>
                <w:noProof/>
                <w:sz w:val="18"/>
              </w:rPr>
              <w:t>Rok</w:t>
            </w:r>
            <w:r>
              <w:rPr>
                <w:noProof/>
                <w:sz w:val="22"/>
              </w:rPr>
              <w:br/>
            </w:r>
            <w:r>
              <w:rPr>
                <w:b/>
                <w:noProof/>
                <w:sz w:val="18"/>
              </w:rPr>
              <w:t>N+3</w:t>
            </w:r>
          </w:p>
        </w:tc>
        <w:tc>
          <w:tcPr>
            <w:tcW w:w="3600" w:type="dxa"/>
            <w:gridSpan w:val="6"/>
            <w:vAlign w:val="center"/>
          </w:tcPr>
          <w:p>
            <w:pPr>
              <w:jc w:val="center"/>
              <w:rPr>
                <w:noProof/>
                <w:sz w:val="18"/>
                <w:szCs w:val="18"/>
              </w:rPr>
            </w:pPr>
            <w:r>
              <w:rPr>
                <w:noProof/>
                <w:sz w:val="18"/>
              </w:rPr>
              <w:t>Wprowadzić taką liczbę kolumn dla poszczególnych lat, jaka jest niezbędna, by odzwierciedlić cały okres wpływu (por. pkt 1.6)</w:t>
            </w:r>
          </w:p>
        </w:tc>
        <w:tc>
          <w:tcPr>
            <w:tcW w:w="1620" w:type="dxa"/>
            <w:gridSpan w:val="2"/>
            <w:tcBorders>
              <w:left w:val="nil"/>
              <w:bottom w:val="nil"/>
            </w:tcBorders>
            <w:vAlign w:val="center"/>
          </w:tcPr>
          <w:p>
            <w:pPr>
              <w:ind w:right="-29"/>
              <w:jc w:val="center"/>
              <w:rPr>
                <w:noProof/>
                <w:sz w:val="18"/>
                <w:szCs w:val="18"/>
              </w:rPr>
            </w:pPr>
            <w:r>
              <w:rPr>
                <w:b/>
                <w:noProof/>
                <w:sz w:val="18"/>
              </w:rPr>
              <w:t>OGÓŁEM</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PRODUKT</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Rodzaj</w:t>
            </w:r>
            <w:r>
              <w:rPr>
                <w:rStyle w:val="FootnoteReference"/>
                <w:noProof/>
                <w:sz w:val="18"/>
              </w:rPr>
              <w:footnoteReference w:id="12"/>
            </w:r>
          </w:p>
          <w:p>
            <w:pPr>
              <w:spacing w:before="0" w:after="0"/>
              <w:jc w:val="center"/>
              <w:rPr>
                <w:noProof/>
                <w:sz w:val="18"/>
                <w:szCs w:val="18"/>
              </w:rPr>
            </w:pPr>
          </w:p>
        </w:tc>
        <w:tc>
          <w:tcPr>
            <w:tcW w:w="701" w:type="dxa"/>
            <w:vAlign w:val="center"/>
          </w:tcPr>
          <w:p>
            <w:pPr>
              <w:jc w:val="center"/>
              <w:rPr>
                <w:noProof/>
                <w:sz w:val="18"/>
                <w:szCs w:val="18"/>
              </w:rPr>
            </w:pPr>
            <w:r>
              <w:rPr>
                <w:noProof/>
                <w:sz w:val="18"/>
              </w:rPr>
              <w:t>Średni koszt</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Koszt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648"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Liczba ogółem</w:t>
            </w:r>
          </w:p>
        </w:tc>
        <w:tc>
          <w:tcPr>
            <w:tcW w:w="900" w:type="dxa"/>
            <w:tcBorders>
              <w:left w:val="dashSmallGap" w:sz="4" w:space="0" w:color="auto"/>
            </w:tcBorders>
            <w:shd w:val="pct10" w:color="auto" w:fill="auto"/>
            <w:vAlign w:val="center"/>
          </w:tcPr>
          <w:p>
            <w:pPr>
              <w:jc w:val="center"/>
              <w:rPr>
                <w:noProof/>
                <w:sz w:val="18"/>
                <w:szCs w:val="18"/>
              </w:rPr>
            </w:pPr>
            <w:r>
              <w:rPr>
                <w:noProof/>
                <w:sz w:val="18"/>
              </w:rPr>
              <w:t>Koszt całkowity</w:t>
            </w:r>
          </w:p>
        </w:tc>
      </w:tr>
      <w:tr>
        <w:trPr>
          <w:jc w:val="center"/>
        </w:trPr>
        <w:tc>
          <w:tcPr>
            <w:tcW w:w="2844" w:type="dxa"/>
            <w:gridSpan w:val="3"/>
            <w:vAlign w:val="center"/>
          </w:tcPr>
          <w:p>
            <w:pPr>
              <w:spacing w:before="60" w:after="60"/>
              <w:ind w:right="-29"/>
              <w:jc w:val="center"/>
              <w:rPr>
                <w:noProof/>
                <w:sz w:val="18"/>
                <w:szCs w:val="18"/>
              </w:rPr>
            </w:pPr>
            <w:r>
              <w:rPr>
                <w:noProof/>
                <w:sz w:val="18"/>
              </w:rPr>
              <w:t>CEL SZCZEGÓŁOWY nr 1</w:t>
            </w:r>
            <w:r>
              <w:rPr>
                <w:rStyle w:val="FootnoteReference"/>
                <w:noProof/>
                <w:sz w:val="18"/>
              </w:rPr>
              <w:footnoteReference w:id="13"/>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Produkt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Produkt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Produkt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Cel szczegółowy nr 1 – suma cząstkowa</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CEL SZCZEGÓŁOWY nr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Produkt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Cel szczegółowy nr 2 – suma cząstkowa</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KOSZT OGÓŁEM</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Szacunkowy wpływ na środki administracyjne</w:t>
      </w:r>
    </w:p>
    <w:p>
      <w:pPr>
        <w:pStyle w:val="ManualHeading4"/>
        <w:rPr>
          <w:noProof/>
        </w:rPr>
      </w:pPr>
      <w:r>
        <w:t>3.2.3.1.</w:t>
      </w:r>
      <w:r>
        <w:tab/>
      </w:r>
      <w:r>
        <w:rPr>
          <w:noProof/>
        </w:rPr>
        <w:t xml:space="preserve">Podsumowanie </w:t>
      </w:r>
    </w:p>
    <w:p>
      <w:pPr>
        <w:pStyle w:val="ListDash1"/>
        <w:rPr>
          <w:noProof/>
        </w:rPr>
      </w:pPr>
      <w:r>
        <w:rPr>
          <w:noProof/>
        </w:rPr>
        <w:t>X</w:t>
      </w:r>
      <w:r>
        <w:rPr>
          <w:noProof/>
        </w:rPr>
        <w:tab/>
        <w:t xml:space="preserve">Wniosek/inicjatywa nie wiąże się z koniecznością wykorzystania środków administracyjnych </w:t>
      </w:r>
    </w:p>
    <w:p>
      <w:pPr>
        <w:pStyle w:val="ListDash1"/>
        <w:rPr>
          <w:noProof/>
        </w:rPr>
      </w:pPr>
      <w:r>
        <w:rPr>
          <w:noProof/>
          <w:szCs w:val="24"/>
        </w:rPr>
        <w:sym w:font="Wingdings" w:char="F0A8"/>
      </w:r>
      <w:r>
        <w:rPr>
          <w:noProof/>
        </w:rPr>
        <w:tab/>
        <w:t>Wniosek/inicjatywa wiąże się z koniecznością wykorzystania środków administracyjnych, jak określono poniżej:</w:t>
      </w:r>
    </w:p>
    <w:p>
      <w:pPr>
        <w:rPr>
          <w:noProof/>
          <w:sz w:val="20"/>
        </w:rPr>
      </w:pPr>
      <w:r>
        <w:rPr>
          <w:noProof/>
          <w:sz w:val="20"/>
        </w:rPr>
        <w:t>w mln EUR (do trzech miejsc po przecinku)</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Rok</w:t>
            </w:r>
            <w:r>
              <w:rPr>
                <w:noProof/>
                <w:sz w:val="22"/>
              </w:rPr>
              <w:br/>
            </w:r>
            <w:r>
              <w:rPr>
                <w:b/>
                <w:noProof/>
                <w:sz w:val="16"/>
              </w:rPr>
              <w:t>N</w:t>
            </w:r>
            <w:r>
              <w:rPr>
                <w:rStyle w:val="FootnoteReference"/>
                <w:b/>
                <w:noProof/>
                <w:sz w:val="16"/>
              </w:rPr>
              <w:footnoteReference w:id="14"/>
            </w:r>
          </w:p>
        </w:tc>
        <w:tc>
          <w:tcPr>
            <w:tcW w:w="1080" w:type="dxa"/>
            <w:vAlign w:val="center"/>
          </w:tcPr>
          <w:p>
            <w:pPr>
              <w:spacing w:before="60" w:after="60" w:line="200" w:lineRule="exact"/>
              <w:jc w:val="center"/>
              <w:rPr>
                <w:noProof/>
                <w:sz w:val="16"/>
                <w:szCs w:val="16"/>
              </w:rPr>
            </w:pPr>
            <w:r>
              <w:rPr>
                <w:noProof/>
                <w:sz w:val="16"/>
              </w:rPr>
              <w:t>Rok</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Rok</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Rok</w:t>
            </w:r>
            <w:r>
              <w:rPr>
                <w:noProof/>
                <w:sz w:val="22"/>
              </w:rPr>
              <w:br/>
            </w:r>
            <w:r>
              <w:rPr>
                <w:b/>
                <w:noProof/>
                <w:sz w:val="16"/>
              </w:rPr>
              <w:t>N+3</w:t>
            </w:r>
          </w:p>
        </w:tc>
        <w:tc>
          <w:tcPr>
            <w:tcW w:w="3240" w:type="dxa"/>
            <w:vAlign w:val="center"/>
          </w:tcPr>
          <w:p>
            <w:pPr>
              <w:spacing w:line="200" w:lineRule="exact"/>
              <w:jc w:val="center"/>
              <w:rPr>
                <w:b/>
                <w:noProof/>
                <w:sz w:val="16"/>
                <w:szCs w:val="16"/>
              </w:rPr>
            </w:pPr>
            <w:r>
              <w:rPr>
                <w:noProof/>
                <w:sz w:val="16"/>
              </w:rPr>
              <w:t>Wprowadzić taką liczbę kolumn dla poszczególnych lat, jaka jest niezbędna, by odzwierciedlić cały okres wpływu (por. pkt 1.6)</w:t>
            </w:r>
          </w:p>
        </w:tc>
        <w:tc>
          <w:tcPr>
            <w:tcW w:w="1080" w:type="dxa"/>
            <w:vAlign w:val="center"/>
          </w:tcPr>
          <w:p>
            <w:pPr>
              <w:spacing w:before="60" w:after="60" w:line="200" w:lineRule="exact"/>
              <w:jc w:val="center"/>
              <w:rPr>
                <w:b/>
                <w:noProof/>
                <w:sz w:val="16"/>
                <w:szCs w:val="16"/>
              </w:rPr>
            </w:pPr>
            <w:r>
              <w:rPr>
                <w:b/>
                <w:noProof/>
                <w:sz w:val="16"/>
              </w:rPr>
              <w:t>OGÓŁEM</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rPr>
              <w:t>DZIAŁ 5</w:t>
            </w:r>
            <w:r>
              <w:rPr>
                <w:b/>
                <w:noProof/>
                <w:sz w:val="16"/>
              </w:rPr>
              <w:t xml:space="preserve"> wieloletnich ram finansowych</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Zasoby ludzkie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Pozostałe wydatki administracyjne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rPr>
              <w:t>Suma cząstkowa DZIAŁ 5</w:t>
            </w:r>
            <w:r>
              <w:rPr>
                <w:b/>
                <w:noProof/>
                <w:sz w:val="16"/>
              </w:rPr>
              <w:t xml:space="preserve"> wieloletnich ram finansowych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rPr>
              <w:t>Poza DZIAŁEM 5</w:t>
            </w:r>
            <w:r>
              <w:rPr>
                <w:rStyle w:val="FootnoteReference"/>
                <w:b/>
                <w:noProof/>
              </w:rPr>
              <w:footnoteReference w:id="15"/>
            </w:r>
            <w:r>
              <w:rPr>
                <w:b/>
                <w:noProof/>
                <w:sz w:val="16"/>
              </w:rPr>
              <w:t xml:space="preserve">wieloletnich ram finansowych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Zasoby ludzkie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rPr>
              <w:t>Pozostałe wydatki</w:t>
            </w:r>
            <w:r>
              <w:rPr>
                <w:noProof/>
                <w:sz w:val="16"/>
              </w:rPr>
              <w:t xml:space="preserve"> administracyjne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rPr>
              <w:t>Suma cząstkowa poza DZIAŁEM 5</w:t>
            </w:r>
            <w:r>
              <w:rPr>
                <w:b/>
                <w:noProof/>
                <w:sz w:val="16"/>
              </w:rPr>
              <w:t xml:space="preserve"> wieloletnich ram finansowych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OGÓŁEM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r>
        <w:rPr>
          <w:noProof/>
          <w:sz w:val="18"/>
        </w:rPr>
        <w:t>Potrzeby w zakresie środków na zasoby ludzkie i inne środki o charakterze administracyjnym zostaną pokryte z zasobów DG już przydzielonych na zarządzanie tym działaniem lub przesuniętych w ramach dyrekcji generalnej, uzupełnionych w razie potrzeby wszelkimi dodatkowymi zasobami, które mogą zostać przydzielone zarządzającej dyrekcji generalnej w ramach procedury rocznego przydziału środków oraz w świetle istniejących ograniczeń budżetowych.</w:t>
      </w:r>
    </w:p>
    <w:p>
      <w:pPr>
        <w:pStyle w:val="ManualHeading4"/>
        <w:rPr>
          <w:bCs/>
          <w:noProof/>
          <w:szCs w:val="24"/>
        </w:rPr>
      </w:pPr>
      <w:r>
        <w:t>3.2.3.2.</w:t>
      </w:r>
      <w:r>
        <w:tab/>
      </w:r>
      <w:r>
        <w:rPr>
          <w:noProof/>
        </w:rPr>
        <w:t>Szacowane zapotrzebowanie na zasoby ludzkie</w:t>
      </w:r>
    </w:p>
    <w:p>
      <w:pPr>
        <w:pStyle w:val="ListDash1"/>
        <w:rPr>
          <w:noProof/>
        </w:rPr>
      </w:pPr>
      <w:r>
        <w:rPr>
          <w:noProof/>
        </w:rPr>
        <w:t>X</w:t>
      </w:r>
      <w:r>
        <w:rPr>
          <w:noProof/>
        </w:rPr>
        <w:tab/>
        <w:t xml:space="preserve">Wniosek/inicjatywa nie wiąże się z koniecznością wykorzystania zasobów ludzkich. </w:t>
      </w:r>
    </w:p>
    <w:p>
      <w:pPr>
        <w:pStyle w:val="ListDash1"/>
        <w:rPr>
          <w:noProof/>
        </w:rPr>
      </w:pPr>
      <w:r>
        <w:rPr>
          <w:noProof/>
          <w:szCs w:val="24"/>
        </w:rPr>
        <w:sym w:font="Wingdings" w:char="F0A8"/>
      </w:r>
      <w:r>
        <w:rPr>
          <w:noProof/>
        </w:rPr>
        <w:tab/>
        <w:t>Wniosek/inicjatywa wiąże się z koniecznością wykorzystania zasobów ludzkich, jak określono poniżej:</w:t>
      </w:r>
    </w:p>
    <w:p>
      <w:pPr>
        <w:spacing w:after="60"/>
        <w:jc w:val="right"/>
        <w:rPr>
          <w:i/>
          <w:noProof/>
          <w:sz w:val="20"/>
        </w:rPr>
      </w:pPr>
      <w:r>
        <w:rPr>
          <w:i/>
          <w:noProof/>
          <w:sz w:val="20"/>
        </w:rPr>
        <w:t>Wartości szacunkowe należy wyrazić w ekwiwalentach pełnego czasu pracy</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Rok</w:t>
            </w:r>
            <w:r>
              <w:rPr>
                <w:noProof/>
                <w:sz w:val="22"/>
              </w:rPr>
              <w:br/>
            </w:r>
            <w:r>
              <w:rPr>
                <w:b/>
                <w:noProof/>
                <w:sz w:val="16"/>
              </w:rPr>
              <w:t>N</w:t>
            </w:r>
          </w:p>
        </w:tc>
        <w:tc>
          <w:tcPr>
            <w:tcW w:w="318" w:type="pct"/>
            <w:shd w:val="clear" w:color="auto" w:fill="auto"/>
            <w:vAlign w:val="center"/>
          </w:tcPr>
          <w:p>
            <w:pPr>
              <w:spacing w:before="20" w:after="20"/>
              <w:jc w:val="center"/>
              <w:rPr>
                <w:noProof/>
                <w:sz w:val="16"/>
                <w:szCs w:val="16"/>
              </w:rPr>
            </w:pPr>
            <w:r>
              <w:rPr>
                <w:noProof/>
                <w:sz w:val="16"/>
              </w:rPr>
              <w:t>Rok</w:t>
            </w:r>
            <w:r>
              <w:rPr>
                <w:noProof/>
                <w:sz w:val="22"/>
              </w:rPr>
              <w:br/>
            </w:r>
            <w:r>
              <w:rPr>
                <w:b/>
                <w:noProof/>
                <w:sz w:val="16"/>
              </w:rPr>
              <w:t>N+1</w:t>
            </w:r>
          </w:p>
        </w:tc>
        <w:tc>
          <w:tcPr>
            <w:tcW w:w="1891" w:type="pct"/>
            <w:shd w:val="clear" w:color="auto" w:fill="auto"/>
            <w:vAlign w:val="center"/>
          </w:tcPr>
          <w:p>
            <w:pPr>
              <w:spacing w:before="20" w:after="20"/>
              <w:jc w:val="center"/>
              <w:rPr>
                <w:noProof/>
                <w:sz w:val="16"/>
                <w:szCs w:val="16"/>
              </w:rPr>
            </w:pPr>
            <w:r>
              <w:rPr>
                <w:noProof/>
                <w:sz w:val="16"/>
              </w:rPr>
              <w:t xml:space="preserve">Rok </w:t>
            </w:r>
            <w:r>
              <w:rPr>
                <w:b/>
                <w:noProof/>
                <w:sz w:val="16"/>
              </w:rPr>
              <w:t>N+2</w:t>
            </w:r>
          </w:p>
        </w:tc>
        <w:tc>
          <w:tcPr>
            <w:tcW w:w="226" w:type="pct"/>
            <w:shd w:val="clear" w:color="auto" w:fill="auto"/>
            <w:vAlign w:val="center"/>
          </w:tcPr>
          <w:p>
            <w:pPr>
              <w:spacing w:before="20" w:after="20"/>
              <w:jc w:val="center"/>
              <w:rPr>
                <w:noProof/>
                <w:sz w:val="16"/>
                <w:szCs w:val="16"/>
              </w:rPr>
            </w:pPr>
            <w:r>
              <w:rPr>
                <w:noProof/>
                <w:sz w:val="16"/>
              </w:rPr>
              <w:t xml:space="preserve">Rok </w:t>
            </w:r>
            <w:r>
              <w:rPr>
                <w:b/>
                <w:noProof/>
                <w:sz w:val="16"/>
              </w:rPr>
              <w:t>N+3</w:t>
            </w:r>
          </w:p>
        </w:tc>
        <w:tc>
          <w:tcPr>
            <w:tcW w:w="345" w:type="pct"/>
            <w:gridSpan w:val="3"/>
            <w:shd w:val="clear" w:color="auto" w:fill="auto"/>
            <w:vAlign w:val="center"/>
          </w:tcPr>
          <w:p>
            <w:pPr>
              <w:jc w:val="center"/>
              <w:rPr>
                <w:b/>
                <w:noProof/>
                <w:sz w:val="16"/>
                <w:szCs w:val="16"/>
              </w:rPr>
            </w:pPr>
            <w:r>
              <w:rPr>
                <w:noProof/>
                <w:sz w:val="16"/>
              </w:rPr>
              <w:t>Wprowadzić taką liczbę kolumn dla poszczególnych lat, jaka jest niezbędna, by odzwierciedlić cały okres wpływu (por. pkt 1.6)</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szCs w:val="16"/>
              </w:rPr>
              <w:sym w:font="Wingdings" w:char="F09F"/>
            </w:r>
            <w:r>
              <w:rPr>
                <w:b/>
                <w:noProof/>
                <w:sz w:val="20"/>
                <w:szCs w:val="20"/>
              </w:rPr>
              <w:t>Stanowiska przewidziane w planie zatrudnienia (stanowiska urzędników i pracowników zatrudnionych na czas określony)</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(w centrali i w biurach przedstawicielstw Komisji)</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(w delegaturach)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(pośrednie badania naukowe)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(bezpośrednie badania naukowe)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pStyle w:val="Text1"/>
              <w:spacing w:before="60" w:after="60"/>
              <w:ind w:left="0"/>
              <w:jc w:val="left"/>
              <w:rPr>
                <w:b/>
                <w:noProof/>
                <w:sz w:val="16"/>
                <w:szCs w:val="16"/>
              </w:rPr>
            </w:pPr>
            <w:r>
              <w:rPr>
                <w:b/>
                <w:noProof/>
                <w:sz w:val="16"/>
                <w:szCs w:val="16"/>
              </w:rPr>
              <w:sym w:font="Wingdings" w:char="F09F"/>
            </w:r>
            <w:r>
              <w:rPr>
                <w:b/>
                <w:noProof/>
                <w:sz w:val="20"/>
                <w:szCs w:val="20"/>
              </w:rPr>
              <w:t>Personel zewnętrzny (w ekwiwalentach pełnego czasu pracy: EPC)</w:t>
            </w:r>
            <w:r>
              <w:rPr>
                <w:rStyle w:val="FootnoteReference"/>
                <w:b/>
                <w:noProof/>
                <w:sz w:val="20"/>
              </w:rPr>
              <w:footnoteReference w:id="16"/>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(CA, SNE, INT z globalnej koperty finansowej)</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(CA, LA, SNE, INT i JED w delegaturach)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17"/>
            </w:r>
          </w:p>
          <w:p>
            <w:pPr>
              <w:pStyle w:val="Text1"/>
              <w:spacing w:beforeLines="20" w:before="48" w:afterLines="20" w:after="48"/>
              <w:ind w:left="136"/>
              <w:jc w:val="left"/>
              <w:rPr>
                <w:b/>
                <w:noProof/>
                <w:sz w:val="16"/>
                <w:szCs w:val="16"/>
              </w:rPr>
            </w:pPr>
          </w:p>
        </w:tc>
        <w:tc>
          <w:tcPr>
            <w:tcW w:w="949" w:type="pct"/>
            <w:vAlign w:val="center"/>
          </w:tcPr>
          <w:p>
            <w:pPr>
              <w:pStyle w:val="Text1"/>
              <w:spacing w:beforeLines="20" w:before="48" w:afterLines="20" w:after="48"/>
              <w:ind w:left="136"/>
              <w:jc w:val="left"/>
              <w:rPr>
                <w:b/>
                <w:noProof/>
                <w:sz w:val="16"/>
                <w:szCs w:val="16"/>
              </w:rPr>
            </w:pPr>
            <w:r>
              <w:rPr>
                <w:noProof/>
                <w:sz w:val="16"/>
              </w:rPr>
              <w:t>– w centrali</w:t>
            </w:r>
          </w:p>
          <w:p>
            <w:pPr>
              <w:pStyle w:val="Text1"/>
              <w:spacing w:beforeLines="20" w:before="48" w:afterLines="20" w:after="48"/>
              <w:ind w:left="136"/>
              <w:jc w:val="left"/>
              <w:rPr>
                <w:b/>
                <w:noProof/>
                <w:sz w:val="16"/>
                <w:szCs w:val="16"/>
              </w:rPr>
            </w:pPr>
          </w:p>
        </w:tc>
        <w:tc>
          <w:tcPr>
            <w:tcW w:w="318" w:type="pct"/>
            <w:vAlign w:val="center"/>
          </w:tcPr>
          <w:p>
            <w:pPr>
              <w:pStyle w:val="Text1"/>
              <w:spacing w:beforeLines="20" w:before="48" w:afterLines="20" w:after="48"/>
              <w:ind w:left="0"/>
              <w:rPr>
                <w:noProof/>
                <w:sz w:val="16"/>
                <w:szCs w:val="16"/>
              </w:rPr>
            </w:pPr>
          </w:p>
        </w:tc>
        <w:tc>
          <w:tcPr>
            <w:tcW w:w="318" w:type="pct"/>
            <w:vAlign w:val="center"/>
          </w:tcPr>
          <w:p>
            <w:pPr>
              <w:spacing w:beforeLines="20" w:before="48" w:afterLines="20" w:after="48"/>
              <w:jc w:val="center"/>
              <w:rPr>
                <w:noProof/>
                <w:sz w:val="16"/>
                <w:szCs w:val="16"/>
              </w:rPr>
            </w:pPr>
          </w:p>
        </w:tc>
        <w:tc>
          <w:tcPr>
            <w:tcW w:w="1891" w:type="pct"/>
            <w:vAlign w:val="center"/>
          </w:tcPr>
          <w:p>
            <w:pPr>
              <w:spacing w:beforeLines="20" w:before="48" w:afterLines="20" w:after="48"/>
              <w:jc w:val="center"/>
              <w:rPr>
                <w:noProof/>
                <w:sz w:val="16"/>
                <w:szCs w:val="16"/>
              </w:rPr>
            </w:pPr>
          </w:p>
        </w:tc>
        <w:tc>
          <w:tcPr>
            <w:tcW w:w="226" w:type="pct"/>
            <w:vAlign w:val="center"/>
          </w:tcPr>
          <w:p>
            <w:pPr>
              <w:spacing w:beforeLines="20" w:before="48" w:afterLines="20" w:after="48"/>
              <w:jc w:val="center"/>
              <w:rPr>
                <w:noProof/>
                <w:sz w:val="16"/>
                <w:szCs w:val="16"/>
              </w:rPr>
            </w:pPr>
          </w:p>
        </w:tc>
        <w:tc>
          <w:tcPr>
            <w:tcW w:w="115" w:type="pct"/>
            <w:vAlign w:val="center"/>
          </w:tcPr>
          <w:p>
            <w:pPr>
              <w:spacing w:beforeLines="20" w:before="48" w:afterLines="20" w:after="48"/>
              <w:jc w:val="center"/>
              <w:rPr>
                <w:noProof/>
                <w:sz w:val="16"/>
                <w:szCs w:val="16"/>
              </w:rPr>
            </w:pPr>
          </w:p>
        </w:tc>
        <w:tc>
          <w:tcPr>
            <w:tcW w:w="115" w:type="pct"/>
            <w:vAlign w:val="center"/>
          </w:tcPr>
          <w:p>
            <w:pPr>
              <w:spacing w:beforeLines="20" w:before="48" w:afterLines="20" w:after="48"/>
              <w:jc w:val="center"/>
              <w:rPr>
                <w:noProof/>
                <w:sz w:val="16"/>
                <w:szCs w:val="16"/>
              </w:rPr>
            </w:pPr>
          </w:p>
        </w:tc>
        <w:tc>
          <w:tcPr>
            <w:tcW w:w="115" w:type="pct"/>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ign w:val="center"/>
          </w:tcPr>
          <w:p>
            <w:pPr>
              <w:pStyle w:val="Text1"/>
              <w:spacing w:beforeLines="20" w:before="48" w:afterLines="20" w:after="48"/>
              <w:ind w:left="136"/>
              <w:jc w:val="left"/>
              <w:rPr>
                <w:b/>
                <w:noProof/>
                <w:sz w:val="16"/>
                <w:szCs w:val="16"/>
              </w:rPr>
            </w:pPr>
          </w:p>
        </w:tc>
        <w:tc>
          <w:tcPr>
            <w:tcW w:w="949" w:type="pct"/>
            <w:vAlign w:val="center"/>
          </w:tcPr>
          <w:p>
            <w:pPr>
              <w:pStyle w:val="Text1"/>
              <w:spacing w:beforeLines="20" w:before="48" w:afterLines="20" w:after="48"/>
              <w:ind w:left="136"/>
              <w:jc w:val="left"/>
              <w:rPr>
                <w:b/>
                <w:noProof/>
                <w:sz w:val="16"/>
                <w:szCs w:val="16"/>
              </w:rPr>
            </w:pPr>
            <w:r>
              <w:rPr>
                <w:noProof/>
                <w:sz w:val="16"/>
              </w:rPr>
              <w:t xml:space="preserve">– w delegaturach </w:t>
            </w:r>
          </w:p>
        </w:tc>
        <w:tc>
          <w:tcPr>
            <w:tcW w:w="318" w:type="pct"/>
            <w:vAlign w:val="center"/>
          </w:tcPr>
          <w:p>
            <w:pPr>
              <w:pStyle w:val="Text1"/>
              <w:spacing w:beforeLines="20" w:before="48" w:afterLines="20" w:after="48"/>
              <w:ind w:left="0"/>
              <w:rPr>
                <w:noProof/>
                <w:sz w:val="16"/>
                <w:szCs w:val="16"/>
              </w:rPr>
            </w:pPr>
          </w:p>
        </w:tc>
        <w:tc>
          <w:tcPr>
            <w:tcW w:w="318" w:type="pct"/>
            <w:vAlign w:val="center"/>
          </w:tcPr>
          <w:p>
            <w:pPr>
              <w:spacing w:beforeLines="20" w:before="48" w:afterLines="20" w:after="48"/>
              <w:jc w:val="center"/>
              <w:rPr>
                <w:noProof/>
                <w:sz w:val="16"/>
                <w:szCs w:val="16"/>
              </w:rPr>
            </w:pPr>
          </w:p>
        </w:tc>
        <w:tc>
          <w:tcPr>
            <w:tcW w:w="1891" w:type="pct"/>
            <w:vAlign w:val="center"/>
          </w:tcPr>
          <w:p>
            <w:pPr>
              <w:spacing w:beforeLines="20" w:before="48" w:afterLines="20" w:after="48"/>
              <w:jc w:val="center"/>
              <w:rPr>
                <w:noProof/>
                <w:sz w:val="16"/>
                <w:szCs w:val="16"/>
              </w:rPr>
            </w:pPr>
          </w:p>
        </w:tc>
        <w:tc>
          <w:tcPr>
            <w:tcW w:w="226" w:type="pct"/>
            <w:vAlign w:val="center"/>
          </w:tcPr>
          <w:p>
            <w:pPr>
              <w:spacing w:beforeLines="20" w:before="48" w:afterLines="20" w:after="48"/>
              <w:jc w:val="center"/>
              <w:rPr>
                <w:noProof/>
                <w:sz w:val="16"/>
                <w:szCs w:val="16"/>
              </w:rPr>
            </w:pPr>
          </w:p>
        </w:tc>
        <w:tc>
          <w:tcPr>
            <w:tcW w:w="115" w:type="pct"/>
            <w:vAlign w:val="center"/>
          </w:tcPr>
          <w:p>
            <w:pPr>
              <w:spacing w:beforeLines="20" w:before="48" w:afterLines="20" w:after="48"/>
              <w:jc w:val="center"/>
              <w:rPr>
                <w:noProof/>
                <w:sz w:val="16"/>
                <w:szCs w:val="16"/>
              </w:rPr>
            </w:pPr>
          </w:p>
        </w:tc>
        <w:tc>
          <w:tcPr>
            <w:tcW w:w="115" w:type="pct"/>
            <w:vAlign w:val="center"/>
          </w:tcPr>
          <w:p>
            <w:pPr>
              <w:spacing w:beforeLines="20" w:before="48" w:afterLines="20" w:after="48"/>
              <w:jc w:val="center"/>
              <w:rPr>
                <w:noProof/>
                <w:sz w:val="16"/>
                <w:szCs w:val="16"/>
              </w:rPr>
            </w:pPr>
          </w:p>
        </w:tc>
        <w:tc>
          <w:tcPr>
            <w:tcW w:w="115" w:type="pct"/>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rPr>
              <w:t>XX</w:t>
            </w:r>
            <w:r>
              <w:rPr>
                <w:noProof/>
              </w:rPr>
              <w:t xml:space="preserve"> 01 05 02 (CA, SNE, INT – pośrednie badania naukowe)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(CA, SNE, INT – bezpośrednie badania naukowe)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vAlign w:val="center"/>
          </w:tcPr>
          <w:p>
            <w:pPr>
              <w:pStyle w:val="Text1"/>
              <w:spacing w:beforeLines="20" w:before="48" w:afterLines="20" w:after="48"/>
              <w:ind w:left="134"/>
              <w:jc w:val="left"/>
              <w:rPr>
                <w:noProof/>
                <w:sz w:val="16"/>
                <w:szCs w:val="16"/>
              </w:rPr>
            </w:pPr>
            <w:r>
              <w:rPr>
                <w:noProof/>
                <w:sz w:val="16"/>
              </w:rPr>
              <w:t>Inne linie budżetowe (określić)</w:t>
            </w:r>
          </w:p>
        </w:tc>
        <w:tc>
          <w:tcPr>
            <w:tcW w:w="318" w:type="pct"/>
            <w:tcBorders>
              <w:bottom w:val="double" w:sz="4" w:space="0" w:color="auto"/>
            </w:tcBorders>
            <w:vAlign w:val="center"/>
          </w:tcPr>
          <w:p>
            <w:pPr>
              <w:spacing w:beforeLines="20" w:before="48" w:afterLines="20" w:after="48"/>
              <w:jc w:val="center"/>
              <w:rPr>
                <w:noProof/>
                <w:sz w:val="16"/>
                <w:szCs w:val="16"/>
              </w:rPr>
            </w:pPr>
          </w:p>
        </w:tc>
        <w:tc>
          <w:tcPr>
            <w:tcW w:w="318" w:type="pct"/>
            <w:tcBorders>
              <w:bottom w:val="double" w:sz="4" w:space="0" w:color="auto"/>
            </w:tcBorders>
            <w:vAlign w:val="center"/>
          </w:tcPr>
          <w:p>
            <w:pPr>
              <w:spacing w:beforeLines="20" w:before="48" w:afterLines="20" w:after="48"/>
              <w:jc w:val="center"/>
              <w:rPr>
                <w:noProof/>
                <w:sz w:val="16"/>
                <w:szCs w:val="16"/>
              </w:rPr>
            </w:pPr>
          </w:p>
        </w:tc>
        <w:tc>
          <w:tcPr>
            <w:tcW w:w="1891" w:type="pct"/>
            <w:tcBorders>
              <w:bottom w:val="double" w:sz="4" w:space="0" w:color="auto"/>
            </w:tcBorders>
            <w:vAlign w:val="center"/>
          </w:tcPr>
          <w:p>
            <w:pPr>
              <w:spacing w:beforeLines="20" w:before="48" w:afterLines="20" w:after="48"/>
              <w:jc w:val="center"/>
              <w:rPr>
                <w:noProof/>
                <w:sz w:val="16"/>
                <w:szCs w:val="16"/>
              </w:rPr>
            </w:pPr>
          </w:p>
        </w:tc>
        <w:tc>
          <w:tcPr>
            <w:tcW w:w="226" w:type="pct"/>
            <w:tcBorders>
              <w:bottom w:val="double" w:sz="4" w:space="0" w:color="auto"/>
            </w:tcBorders>
            <w:vAlign w:val="center"/>
          </w:tcPr>
          <w:p>
            <w:pPr>
              <w:spacing w:beforeLines="20" w:before="48" w:afterLines="20" w:after="48"/>
              <w:jc w:val="center"/>
              <w:rPr>
                <w:noProof/>
                <w:sz w:val="16"/>
                <w:szCs w:val="16"/>
              </w:rPr>
            </w:pPr>
          </w:p>
        </w:tc>
        <w:tc>
          <w:tcPr>
            <w:tcW w:w="115" w:type="pct"/>
            <w:tcBorders>
              <w:bottom w:val="double" w:sz="4" w:space="0" w:color="auto"/>
            </w:tcBorders>
            <w:vAlign w:val="center"/>
          </w:tcPr>
          <w:p>
            <w:pPr>
              <w:spacing w:beforeLines="20" w:before="48" w:afterLines="20" w:after="48"/>
              <w:jc w:val="center"/>
              <w:rPr>
                <w:noProof/>
                <w:sz w:val="16"/>
                <w:szCs w:val="16"/>
              </w:rPr>
            </w:pPr>
          </w:p>
        </w:tc>
        <w:tc>
          <w:tcPr>
            <w:tcW w:w="115" w:type="pct"/>
            <w:tcBorders>
              <w:bottom w:val="double" w:sz="4" w:space="0" w:color="auto"/>
            </w:tcBorders>
            <w:vAlign w:val="center"/>
          </w:tcPr>
          <w:p>
            <w:pPr>
              <w:spacing w:beforeLines="20" w:before="48" w:afterLines="20" w:after="48"/>
              <w:jc w:val="center"/>
              <w:rPr>
                <w:noProof/>
                <w:sz w:val="16"/>
                <w:szCs w:val="16"/>
              </w:rPr>
            </w:pPr>
          </w:p>
        </w:tc>
        <w:tc>
          <w:tcPr>
            <w:tcW w:w="115" w:type="pct"/>
            <w:tcBorders>
              <w:bottom w:val="double" w:sz="4" w:space="0" w:color="auto"/>
            </w:tcBorders>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vAlign w:val="center"/>
          </w:tcPr>
          <w:p>
            <w:pPr>
              <w:pStyle w:val="Text1"/>
              <w:spacing w:beforeLines="20" w:before="48" w:afterLines="20" w:after="48"/>
              <w:ind w:left="136"/>
              <w:jc w:val="left"/>
              <w:rPr>
                <w:noProof/>
                <w:sz w:val="16"/>
                <w:szCs w:val="16"/>
              </w:rPr>
            </w:pPr>
            <w:r>
              <w:rPr>
                <w:b/>
                <w:noProof/>
                <w:sz w:val="16"/>
              </w:rPr>
              <w:t>OGÓŁEM</w:t>
            </w:r>
          </w:p>
        </w:tc>
        <w:tc>
          <w:tcPr>
            <w:tcW w:w="318" w:type="pct"/>
            <w:tcBorders>
              <w:top w:val="double" w:sz="4" w:space="0" w:color="auto"/>
            </w:tcBorders>
            <w:vAlign w:val="center"/>
          </w:tcPr>
          <w:p>
            <w:pPr>
              <w:spacing w:beforeLines="20" w:before="48" w:afterLines="20" w:after="48"/>
              <w:jc w:val="center"/>
              <w:rPr>
                <w:b/>
                <w:noProof/>
                <w:sz w:val="16"/>
                <w:szCs w:val="16"/>
              </w:rPr>
            </w:pPr>
          </w:p>
        </w:tc>
        <w:tc>
          <w:tcPr>
            <w:tcW w:w="318" w:type="pct"/>
            <w:tcBorders>
              <w:top w:val="double" w:sz="4" w:space="0" w:color="auto"/>
            </w:tcBorders>
            <w:vAlign w:val="center"/>
          </w:tcPr>
          <w:p>
            <w:pPr>
              <w:spacing w:beforeLines="20" w:before="48" w:afterLines="20" w:after="48"/>
              <w:jc w:val="center"/>
              <w:rPr>
                <w:b/>
                <w:noProof/>
                <w:sz w:val="16"/>
                <w:szCs w:val="16"/>
              </w:rPr>
            </w:pPr>
          </w:p>
        </w:tc>
        <w:tc>
          <w:tcPr>
            <w:tcW w:w="1891" w:type="pct"/>
            <w:tcBorders>
              <w:top w:val="double" w:sz="4" w:space="0" w:color="auto"/>
            </w:tcBorders>
            <w:vAlign w:val="center"/>
          </w:tcPr>
          <w:p>
            <w:pPr>
              <w:spacing w:beforeLines="20" w:before="48" w:afterLines="20" w:after="48"/>
              <w:jc w:val="center"/>
              <w:rPr>
                <w:b/>
                <w:noProof/>
                <w:sz w:val="16"/>
                <w:szCs w:val="16"/>
              </w:rPr>
            </w:pPr>
          </w:p>
        </w:tc>
        <w:tc>
          <w:tcPr>
            <w:tcW w:w="226" w:type="pct"/>
            <w:tcBorders>
              <w:top w:val="double" w:sz="4" w:space="0" w:color="auto"/>
            </w:tcBorders>
            <w:vAlign w:val="center"/>
          </w:tcPr>
          <w:p>
            <w:pPr>
              <w:spacing w:beforeLines="20" w:before="48" w:afterLines="20" w:after="48"/>
              <w:jc w:val="center"/>
              <w:rPr>
                <w:b/>
                <w:noProof/>
                <w:sz w:val="16"/>
                <w:szCs w:val="16"/>
              </w:rPr>
            </w:pPr>
          </w:p>
        </w:tc>
        <w:tc>
          <w:tcPr>
            <w:tcW w:w="115" w:type="pct"/>
            <w:tcBorders>
              <w:top w:val="double" w:sz="4" w:space="0" w:color="auto"/>
            </w:tcBorders>
            <w:vAlign w:val="center"/>
          </w:tcPr>
          <w:p>
            <w:pPr>
              <w:spacing w:beforeLines="20" w:before="48" w:afterLines="20" w:after="48"/>
              <w:jc w:val="center"/>
              <w:rPr>
                <w:b/>
                <w:noProof/>
                <w:sz w:val="16"/>
                <w:szCs w:val="16"/>
              </w:rPr>
            </w:pPr>
          </w:p>
        </w:tc>
        <w:tc>
          <w:tcPr>
            <w:tcW w:w="115" w:type="pct"/>
            <w:tcBorders>
              <w:top w:val="double" w:sz="4" w:space="0" w:color="auto"/>
            </w:tcBorders>
            <w:vAlign w:val="center"/>
          </w:tcPr>
          <w:p>
            <w:pPr>
              <w:spacing w:beforeLines="20" w:before="48" w:afterLines="20" w:after="48"/>
              <w:jc w:val="center"/>
              <w:rPr>
                <w:b/>
                <w:noProof/>
                <w:sz w:val="16"/>
                <w:szCs w:val="16"/>
              </w:rPr>
            </w:pPr>
          </w:p>
        </w:tc>
        <w:tc>
          <w:tcPr>
            <w:tcW w:w="115" w:type="pct"/>
            <w:tcBorders>
              <w:top w:val="double" w:sz="4" w:space="0" w:color="auto"/>
            </w:tcBorders>
            <w:vAlign w:val="center"/>
          </w:tcPr>
          <w:p>
            <w:pPr>
              <w:spacing w:beforeLines="20" w:before="48" w:afterLines="20" w:after="48"/>
              <w:jc w:val="center"/>
              <w:rPr>
                <w:b/>
                <w:noProof/>
                <w:sz w:val="16"/>
                <w:szCs w:val="16"/>
              </w:rPr>
            </w:pPr>
          </w:p>
        </w:tc>
      </w:tr>
    </w:tbl>
    <w:p>
      <w:pPr>
        <w:pStyle w:val="Text1"/>
        <w:spacing w:before="60" w:after="60"/>
        <w:ind w:left="851"/>
        <w:rPr>
          <w:noProof/>
          <w:sz w:val="20"/>
          <w:szCs w:val="20"/>
        </w:rPr>
      </w:pPr>
      <w:r>
        <w:rPr>
          <w:b/>
          <w:noProof/>
          <w:sz w:val="20"/>
          <w:szCs w:val="20"/>
        </w:rPr>
        <w:t>XX</w:t>
      </w:r>
      <w:r>
        <w:rPr>
          <w:noProof/>
          <w:sz w:val="20"/>
          <w:szCs w:val="20"/>
        </w:rPr>
        <w:t xml:space="preserve"> oznacza odpowiednią dziedzinę polityki lub odpowiedni tytuł w budżecie</w:t>
      </w:r>
    </w:p>
    <w:p>
      <w:pPr>
        <w:pStyle w:val="Text1"/>
        <w:rPr>
          <w:noProof/>
          <w:sz w:val="18"/>
          <w:szCs w:val="18"/>
        </w:rPr>
      </w:pPr>
      <w:r>
        <w:rPr>
          <w:noProof/>
          <w:sz w:val="18"/>
        </w:rPr>
        <w:t>Potrzeby w zakresie zasobów ludzkich zostaną pokryte z zasobów DG już przydzielonych na zarządzanie tym działaniem lub przesuniętych w ramach dyrekcji generalnej, uzupełnionych w razie potrzeby wszelkimi dodatkowymi zasobami, które mogą zostać przydzielone zarządzającej dyrekcji generalnej w ramach procedury rocznego przydziału środków oraz w świetle istniejących ograniczeń budżetowych.</w:t>
      </w:r>
    </w:p>
    <w:p>
      <w:pPr>
        <w:rPr>
          <w:noProof/>
          <w:sz w:val="20"/>
        </w:rPr>
      </w:pPr>
      <w:r>
        <w:rPr>
          <w:noProof/>
          <w:sz w:val="20"/>
        </w:rPr>
        <w:t>Opis zadań do wykonania: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Urzędnicy i pracownicy zatrudnieni na czas określony</w:t>
            </w:r>
          </w:p>
        </w:tc>
        <w:tc>
          <w:tcPr>
            <w:tcW w:w="7200" w:type="dxa"/>
          </w:tcPr>
          <w:p>
            <w:pPr>
              <w:rPr>
                <w:noProof/>
                <w:sz w:val="20"/>
              </w:rPr>
            </w:pPr>
            <w:r>
              <w:rPr>
                <w:noProof/>
                <w:sz w:val="20"/>
              </w:rPr>
              <w:t>•</w:t>
            </w:r>
            <w:r>
              <w:rPr>
                <w:noProof/>
              </w:rPr>
              <w:tab/>
            </w:r>
            <w:r>
              <w:rPr>
                <w:noProof/>
                <w:sz w:val="20"/>
              </w:rPr>
              <w:t>Zarządzanie aktywami: zarządzanie portfelem, analiza ilościowa, również wspieranie pracy analitycznej pod kątem ryzyka;</w:t>
            </w:r>
          </w:p>
          <w:p>
            <w:pPr>
              <w:rPr>
                <w:noProof/>
                <w:sz w:val="20"/>
              </w:rPr>
            </w:pPr>
            <w:r>
              <w:rPr>
                <w:noProof/>
                <w:sz w:val="20"/>
              </w:rPr>
              <w:t>•</w:t>
            </w:r>
            <w:r>
              <w:rPr>
                <w:noProof/>
              </w:rPr>
              <w:tab/>
            </w:r>
            <w:r>
              <w:rPr>
                <w:noProof/>
                <w:sz w:val="20"/>
              </w:rPr>
              <w:t>• Funkcja wspierająca związana z zarządzaniem bezpośrednim, w szczególności zarządzaniem ryzykiem i funkcjami w zakresie płatności jednostki ds. działań wspierających;</w:t>
            </w:r>
          </w:p>
          <w:p>
            <w:pPr>
              <w:rPr>
                <w:noProof/>
                <w:sz w:val="20"/>
              </w:rPr>
            </w:pPr>
            <w:r>
              <w:rPr>
                <w:noProof/>
                <w:sz w:val="20"/>
              </w:rPr>
              <w:t>•</w:t>
            </w:r>
            <w:r>
              <w:rPr>
                <w:noProof/>
              </w:rPr>
              <w:tab/>
            </w:r>
            <w:r>
              <w:rPr>
                <w:noProof/>
                <w:sz w:val="20"/>
              </w:rPr>
              <w:t xml:space="preserve">• Zarządzanie, składanie sprawozdań i monitorowanie funkcjonowania gwarancji (wykaz projektów) </w:t>
            </w:r>
          </w:p>
          <w:p>
            <w:pPr>
              <w:rPr>
                <w:noProof/>
                <w:sz w:val="20"/>
              </w:rPr>
            </w:pPr>
            <w:r>
              <w:rPr>
                <w:noProof/>
                <w:sz w:val="20"/>
              </w:rPr>
              <w:t>•</w:t>
            </w:r>
            <w:r>
              <w:rPr>
                <w:noProof/>
              </w:rPr>
              <w:tab/>
            </w:r>
            <w:r>
              <w:rPr>
                <w:noProof/>
                <w:sz w:val="20"/>
              </w:rPr>
              <w:t>Sprawozdawczość/dokumentacja finansowa oraz działalność sprawozdawcza;</w:t>
            </w:r>
          </w:p>
        </w:tc>
      </w:tr>
      <w:tr>
        <w:tc>
          <w:tcPr>
            <w:tcW w:w="3240" w:type="dxa"/>
          </w:tcPr>
          <w:p>
            <w:pPr>
              <w:spacing w:before="60" w:after="60"/>
              <w:rPr>
                <w:noProof/>
                <w:sz w:val="20"/>
              </w:rPr>
            </w:pPr>
            <w:r>
              <w:rPr>
                <w:noProof/>
                <w:sz w:val="20"/>
              </w:rPr>
              <w:t>Personel zewnętrzny</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Zgodność z obowiązującymi wieloletnimi ramami finansowymi </w:t>
      </w:r>
    </w:p>
    <w:p>
      <w:pPr>
        <w:pStyle w:val="ListDash1"/>
        <w:rPr>
          <w:noProof/>
        </w:rPr>
      </w:pPr>
      <w:r>
        <w:rPr>
          <w:noProof/>
          <w:szCs w:val="24"/>
        </w:rPr>
        <w:sym w:font="Wingdings" w:char="F0A8"/>
      </w:r>
      <w:r>
        <w:rPr>
          <w:noProof/>
        </w:rPr>
        <w:t>X</w:t>
      </w:r>
      <w:r>
        <w:rPr>
          <w:noProof/>
        </w:rPr>
        <w:tab/>
        <w:t>Wniosek/inicjatywa jest zgodny(-a) z obowiązującymi wieloletnimi ramami finansowymi.</w:t>
      </w:r>
    </w:p>
    <w:p>
      <w:pPr>
        <w:pStyle w:val="ListDash1"/>
        <w:rPr>
          <w:noProof/>
        </w:rPr>
      </w:pPr>
      <w:r>
        <w:rPr>
          <w:noProof/>
          <w:szCs w:val="24"/>
        </w:rPr>
        <w:sym w:font="Wingdings" w:char="F0A8"/>
      </w:r>
      <w:r>
        <w:rPr>
          <w:noProof/>
        </w:rPr>
        <w:tab/>
        <w:t>Wniosek wymaga przeprogramowania odpowiedniego działu w wieloletnich ramach finansowych.</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Należy wyjaśnić, na czym ma polegać przeprogramowanie, określając linie budżetowe, których ma ono dotyczyć, oraz podając odpowiednie kwoty.</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szCs w:val="24"/>
        </w:rPr>
        <w:sym w:font="Wingdings" w:char="F0A8"/>
      </w:r>
      <w:r>
        <w:rPr>
          <w:noProof/>
        </w:rPr>
        <w:tab/>
        <w:t>Wniosek/inicjatywa wymaga zastosowania instrumentu elastyczności lub zmiany wieloletnich ram finansowych.</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Należy wyjaśnić, który wariant jest konieczny, określając linie budżetowe, których ma on dotyczyć, oraz podając odpowiednie kwoty.</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3.2.5.</w:t>
      </w:r>
      <w:r>
        <w:tab/>
      </w:r>
      <w:r>
        <w:rPr>
          <w:noProof/>
        </w:rPr>
        <w:t xml:space="preserve">Udział osób trzecich w finansowaniu </w:t>
      </w:r>
    </w:p>
    <w:p>
      <w:pPr>
        <w:pStyle w:val="ListDash1"/>
        <w:rPr>
          <w:noProof/>
        </w:rPr>
      </w:pPr>
      <w:r>
        <w:rPr>
          <w:noProof/>
        </w:rPr>
        <w:t xml:space="preserve">x Wniosek/inicjatywa nie przewiduje współfinansowania ze strony osób trzecich </w:t>
      </w:r>
    </w:p>
    <w:p>
      <w:pPr>
        <w:pStyle w:val="ListDash1"/>
        <w:rPr>
          <w:noProof/>
        </w:rPr>
      </w:pPr>
      <w:r>
        <w:rPr>
          <w:noProof/>
        </w:rPr>
        <w:t>Wniosek/inicjatywa przewiduje współfinansowanie szacowane zgodnie z poniższym:</w:t>
      </w:r>
    </w:p>
    <w:p>
      <w:pPr>
        <w:jc w:val="right"/>
        <w:rPr>
          <w:noProof/>
          <w:sz w:val="20"/>
        </w:rPr>
      </w:pPr>
      <w:r>
        <w:rPr>
          <w:noProof/>
          <w:sz w:val="20"/>
        </w:rPr>
        <w:t>Środki w mln EUR (do trzech miejsc po przecinku)</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Rok</w:t>
            </w:r>
            <w:r>
              <w:rPr>
                <w:noProof/>
                <w:sz w:val="22"/>
              </w:rPr>
              <w:br/>
            </w:r>
            <w:r>
              <w:rPr>
                <w:b/>
                <w:noProof/>
                <w:sz w:val="20"/>
              </w:rPr>
              <w:t>N</w:t>
            </w:r>
          </w:p>
        </w:tc>
        <w:tc>
          <w:tcPr>
            <w:tcW w:w="964" w:type="dxa"/>
            <w:vAlign w:val="center"/>
          </w:tcPr>
          <w:p>
            <w:pPr>
              <w:jc w:val="center"/>
              <w:rPr>
                <w:noProof/>
                <w:sz w:val="20"/>
              </w:rPr>
            </w:pPr>
            <w:r>
              <w:rPr>
                <w:noProof/>
                <w:sz w:val="20"/>
              </w:rPr>
              <w:t>Rok</w:t>
            </w:r>
            <w:r>
              <w:rPr>
                <w:noProof/>
                <w:sz w:val="22"/>
              </w:rPr>
              <w:br/>
            </w:r>
            <w:r>
              <w:rPr>
                <w:b/>
                <w:noProof/>
                <w:sz w:val="20"/>
              </w:rPr>
              <w:t>N+1</w:t>
            </w:r>
          </w:p>
        </w:tc>
        <w:tc>
          <w:tcPr>
            <w:tcW w:w="964" w:type="dxa"/>
            <w:vAlign w:val="center"/>
          </w:tcPr>
          <w:p>
            <w:pPr>
              <w:jc w:val="center"/>
              <w:rPr>
                <w:noProof/>
                <w:sz w:val="20"/>
              </w:rPr>
            </w:pPr>
            <w:r>
              <w:rPr>
                <w:noProof/>
                <w:sz w:val="20"/>
              </w:rPr>
              <w:t>Rok</w:t>
            </w:r>
            <w:r>
              <w:rPr>
                <w:noProof/>
                <w:sz w:val="22"/>
              </w:rPr>
              <w:br/>
            </w:r>
            <w:r>
              <w:rPr>
                <w:b/>
                <w:noProof/>
                <w:sz w:val="20"/>
              </w:rPr>
              <w:t>N+2</w:t>
            </w:r>
          </w:p>
        </w:tc>
        <w:tc>
          <w:tcPr>
            <w:tcW w:w="964" w:type="dxa"/>
            <w:vAlign w:val="center"/>
          </w:tcPr>
          <w:p>
            <w:pPr>
              <w:jc w:val="center"/>
              <w:rPr>
                <w:noProof/>
                <w:sz w:val="20"/>
              </w:rPr>
            </w:pPr>
            <w:r>
              <w:rPr>
                <w:noProof/>
                <w:sz w:val="20"/>
              </w:rPr>
              <w:t>Rok</w:t>
            </w:r>
            <w:r>
              <w:rPr>
                <w:noProof/>
                <w:sz w:val="22"/>
              </w:rPr>
              <w:br/>
            </w:r>
            <w:r>
              <w:rPr>
                <w:b/>
                <w:noProof/>
                <w:sz w:val="20"/>
              </w:rPr>
              <w:t>N+3</w:t>
            </w:r>
          </w:p>
        </w:tc>
        <w:tc>
          <w:tcPr>
            <w:tcW w:w="2892" w:type="dxa"/>
            <w:gridSpan w:val="3"/>
            <w:vAlign w:val="center"/>
          </w:tcPr>
          <w:p>
            <w:pPr>
              <w:jc w:val="center"/>
              <w:rPr>
                <w:b/>
                <w:noProof/>
                <w:sz w:val="20"/>
              </w:rPr>
            </w:pPr>
            <w:r>
              <w:rPr>
                <w:noProof/>
                <w:sz w:val="20"/>
              </w:rPr>
              <w:t>Wprowadzić taką liczbę kolumn dla poszczególnych lat, jaka jest niezbędna, by odzwierciedlić cały okres wpływu (por. pkt 1.6)</w:t>
            </w:r>
          </w:p>
        </w:tc>
        <w:tc>
          <w:tcPr>
            <w:tcW w:w="1158" w:type="dxa"/>
            <w:vAlign w:val="center"/>
          </w:tcPr>
          <w:p>
            <w:pPr>
              <w:spacing w:before="60" w:after="60"/>
              <w:jc w:val="center"/>
              <w:rPr>
                <w:noProof/>
                <w:sz w:val="20"/>
              </w:rPr>
            </w:pPr>
            <w:r>
              <w:rPr>
                <w:noProof/>
                <w:sz w:val="20"/>
              </w:rPr>
              <w:t>Ogółem</w:t>
            </w:r>
          </w:p>
        </w:tc>
      </w:tr>
      <w:tr>
        <w:trPr>
          <w:cantSplit/>
        </w:trPr>
        <w:tc>
          <w:tcPr>
            <w:tcW w:w="2340" w:type="dxa"/>
          </w:tcPr>
          <w:p>
            <w:pPr>
              <w:rPr>
                <w:noProof/>
                <w:sz w:val="22"/>
              </w:rPr>
            </w:pPr>
            <w:r>
              <w:rPr>
                <w:noProof/>
                <w:sz w:val="20"/>
              </w:rPr>
              <w:t>Określić organ współfinansujący</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OGÓŁEM środki objęte współfinansowaniem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Szacunkowy wpływ na dochody </w:t>
      </w:r>
    </w:p>
    <w:p>
      <w:pPr>
        <w:pStyle w:val="ListDash1"/>
        <w:rPr>
          <w:noProof/>
        </w:rPr>
      </w:pPr>
      <w:r>
        <w:rPr>
          <w:noProof/>
        </w:rPr>
        <w:t>X</w:t>
      </w:r>
      <w:r>
        <w:rPr>
          <w:noProof/>
        </w:rPr>
        <w:tab/>
        <w:t>Wniosek/inicjatywa nie ma wpływu finansowego na dochody.</w:t>
      </w:r>
    </w:p>
    <w:p>
      <w:pPr>
        <w:pStyle w:val="ListDash1"/>
        <w:rPr>
          <w:noProof/>
        </w:rPr>
      </w:pPr>
      <w:r>
        <w:rPr>
          <w:noProof/>
        </w:rPr>
        <w:t>Wniosek/inicjatywa ma wpływ finansowy określony poniżej:</w:t>
      </w:r>
    </w:p>
    <w:p>
      <w:pPr>
        <w:pStyle w:val="ListNumberLevel3"/>
        <w:rPr>
          <w:noProof/>
        </w:rPr>
      </w:pPr>
      <w:r>
        <w:rPr>
          <w:noProof/>
          <w:szCs w:val="24"/>
        </w:rPr>
        <w:sym w:font="Wingdings" w:char="F0A8"/>
      </w:r>
      <w:r>
        <w:rPr>
          <w:noProof/>
        </w:rPr>
        <w:tab/>
      </w:r>
      <w:r>
        <w:rPr>
          <w:noProof/>
          <w:szCs w:val="24"/>
        </w:rPr>
        <w:sym w:font="Wingdings" w:char="F0A8"/>
      </w:r>
      <w:r>
        <w:rPr>
          <w:noProof/>
        </w:rPr>
        <w:t xml:space="preserve">wpływ na zasoby własne </w:t>
      </w:r>
    </w:p>
    <w:p>
      <w:pPr>
        <w:pStyle w:val="ListNumberLevel3"/>
        <w:rPr>
          <w:noProof/>
        </w:rPr>
      </w:pPr>
      <w:r>
        <w:rPr>
          <w:noProof/>
          <w:szCs w:val="24"/>
        </w:rPr>
        <w:sym w:font="Wingdings" w:char="F0A8"/>
      </w:r>
      <w:r>
        <w:rPr>
          <w:noProof/>
        </w:rPr>
        <w:tab/>
      </w:r>
      <w:r>
        <w:rPr>
          <w:noProof/>
          <w:szCs w:val="24"/>
        </w:rPr>
        <w:sym w:font="Wingdings" w:char="F0A8"/>
      </w:r>
      <w:r>
        <w:rPr>
          <w:noProof/>
        </w:rPr>
        <w:t xml:space="preserve">wpływ na dochody różne </w:t>
      </w:r>
    </w:p>
    <w:p>
      <w:pPr>
        <w:jc w:val="right"/>
        <w:rPr>
          <w:i/>
          <w:noProof/>
          <w:sz w:val="20"/>
        </w:rPr>
      </w:pPr>
      <w:r>
        <w:rPr>
          <w:noProof/>
        </w:rPr>
        <w:t>w mln EUR (do trzech miejsc po przecinku)</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Linia budżetowa po stronie dochodów:</w:t>
            </w:r>
          </w:p>
        </w:tc>
        <w:tc>
          <w:tcPr>
            <w:tcW w:w="1276" w:type="dxa"/>
            <w:vMerge w:val="restart"/>
            <w:vAlign w:val="center"/>
          </w:tcPr>
          <w:p>
            <w:pPr>
              <w:jc w:val="center"/>
              <w:rPr>
                <w:noProof/>
                <w:sz w:val="18"/>
              </w:rPr>
            </w:pPr>
            <w:r>
              <w:rPr>
                <w:noProof/>
                <w:sz w:val="18"/>
              </w:rPr>
              <w:t>Środki zapisane w budżecie na bieżący rok budżetowy</w:t>
            </w:r>
          </w:p>
        </w:tc>
        <w:tc>
          <w:tcPr>
            <w:tcW w:w="7200" w:type="dxa"/>
            <w:gridSpan w:val="7"/>
            <w:vAlign w:val="center"/>
          </w:tcPr>
          <w:p>
            <w:pPr>
              <w:jc w:val="center"/>
              <w:rPr>
                <w:noProof/>
                <w:sz w:val="18"/>
              </w:rPr>
            </w:pPr>
            <w:r>
              <w:rPr>
                <w:noProof/>
                <w:sz w:val="18"/>
              </w:rPr>
              <w:t>Wpływ wniosku/inicjatywy</w:t>
            </w:r>
            <w:r>
              <w:rPr>
                <w:rStyle w:val="FootnoteReference"/>
                <w:noProof/>
                <w:sz w:val="18"/>
              </w:rPr>
              <w:footnoteReference w:id="18"/>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Rok</w:t>
            </w:r>
            <w:r>
              <w:rPr>
                <w:noProof/>
                <w:sz w:val="22"/>
              </w:rPr>
              <w:br/>
            </w:r>
            <w:r>
              <w:rPr>
                <w:b/>
                <w:noProof/>
                <w:sz w:val="18"/>
              </w:rPr>
              <w:t>2017</w:t>
            </w:r>
          </w:p>
        </w:tc>
        <w:tc>
          <w:tcPr>
            <w:tcW w:w="900" w:type="dxa"/>
            <w:vAlign w:val="center"/>
          </w:tcPr>
          <w:p>
            <w:pPr>
              <w:jc w:val="center"/>
              <w:rPr>
                <w:noProof/>
                <w:sz w:val="18"/>
              </w:rPr>
            </w:pPr>
            <w:r>
              <w:rPr>
                <w:noProof/>
                <w:sz w:val="18"/>
              </w:rPr>
              <w:t>Rok</w:t>
            </w:r>
            <w:r>
              <w:rPr>
                <w:noProof/>
                <w:sz w:val="22"/>
              </w:rPr>
              <w:br/>
            </w:r>
            <w:r>
              <w:rPr>
                <w:b/>
                <w:noProof/>
                <w:sz w:val="18"/>
              </w:rPr>
              <w:t>2018</w:t>
            </w:r>
          </w:p>
        </w:tc>
        <w:tc>
          <w:tcPr>
            <w:tcW w:w="900" w:type="dxa"/>
            <w:vAlign w:val="center"/>
          </w:tcPr>
          <w:p>
            <w:pPr>
              <w:jc w:val="center"/>
              <w:rPr>
                <w:noProof/>
                <w:sz w:val="18"/>
              </w:rPr>
            </w:pPr>
            <w:r>
              <w:rPr>
                <w:noProof/>
                <w:sz w:val="18"/>
              </w:rPr>
              <w:t>Rok</w:t>
            </w:r>
            <w:r>
              <w:rPr>
                <w:noProof/>
                <w:sz w:val="22"/>
              </w:rPr>
              <w:br/>
            </w:r>
            <w:r>
              <w:rPr>
                <w:b/>
                <w:noProof/>
                <w:sz w:val="18"/>
              </w:rPr>
              <w:t>2019</w:t>
            </w:r>
          </w:p>
        </w:tc>
        <w:tc>
          <w:tcPr>
            <w:tcW w:w="1080" w:type="dxa"/>
            <w:vAlign w:val="center"/>
          </w:tcPr>
          <w:p>
            <w:pPr>
              <w:jc w:val="center"/>
              <w:rPr>
                <w:noProof/>
                <w:sz w:val="18"/>
              </w:rPr>
            </w:pPr>
            <w:r>
              <w:rPr>
                <w:noProof/>
                <w:sz w:val="18"/>
              </w:rPr>
              <w:t>Rok</w:t>
            </w:r>
            <w:r>
              <w:rPr>
                <w:noProof/>
                <w:sz w:val="22"/>
              </w:rPr>
              <w:br/>
            </w:r>
            <w:r>
              <w:rPr>
                <w:b/>
                <w:noProof/>
                <w:sz w:val="18"/>
              </w:rPr>
              <w:t>2020</w:t>
            </w:r>
          </w:p>
        </w:tc>
        <w:tc>
          <w:tcPr>
            <w:tcW w:w="3240" w:type="dxa"/>
            <w:gridSpan w:val="3"/>
            <w:vAlign w:val="center"/>
          </w:tcPr>
          <w:p>
            <w:pPr>
              <w:jc w:val="center"/>
              <w:rPr>
                <w:b/>
                <w:noProof/>
                <w:sz w:val="18"/>
              </w:rPr>
            </w:pPr>
            <w:r>
              <w:rPr>
                <w:noProof/>
                <w:sz w:val="18"/>
              </w:rPr>
              <w:t>Wprowadzić taką liczbę kolumn dla poszczególnych lat, jaka jest niezbędna, by odzwierciedlić cały okres wpływu (por. pkt 1.6)</w:t>
            </w:r>
          </w:p>
        </w:tc>
      </w:tr>
      <w:tr>
        <w:trPr>
          <w:trHeight w:val="388"/>
        </w:trPr>
        <w:tc>
          <w:tcPr>
            <w:tcW w:w="2144" w:type="dxa"/>
            <w:vAlign w:val="center"/>
          </w:tcPr>
          <w:p>
            <w:pPr>
              <w:spacing w:before="40" w:after="40"/>
              <w:rPr>
                <w:noProof/>
                <w:sz w:val="18"/>
              </w:rPr>
            </w:pPr>
            <w:r>
              <w:rPr>
                <w:noProof/>
                <w:sz w:val="18"/>
              </w:rPr>
              <w:t>Artykuł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b/>
                <w:noProof/>
                <w:sz w:val="18"/>
              </w:rPr>
            </w:pPr>
            <w:r>
              <w:rPr>
                <w:b/>
                <w:noProof/>
                <w:sz w:val="18"/>
              </w:rPr>
              <w:t xml:space="preserve"> </w:t>
            </w:r>
          </w:p>
        </w:tc>
        <w:tc>
          <w:tcPr>
            <w:tcW w:w="900" w:type="dxa"/>
            <w:shd w:val="clear" w:color="auto" w:fill="auto"/>
          </w:tcPr>
          <w:p>
            <w:pPr>
              <w:spacing w:beforeLines="40" w:before="96" w:afterLines="40" w:after="96"/>
              <w:jc w:val="center"/>
              <w:rPr>
                <w:b/>
                <w:noProof/>
                <w:sz w:val="18"/>
              </w:rPr>
            </w:pPr>
          </w:p>
        </w:tc>
        <w:tc>
          <w:tcPr>
            <w:tcW w:w="900" w:type="dxa"/>
            <w:shd w:val="clear" w:color="auto" w:fill="auto"/>
          </w:tcPr>
          <w:p>
            <w:pPr>
              <w:spacing w:beforeLines="40" w:before="96" w:afterLines="40" w:after="96"/>
              <w:jc w:val="center"/>
              <w:rPr>
                <w:b/>
                <w:noProof/>
                <w:sz w:val="18"/>
              </w:rPr>
            </w:pPr>
          </w:p>
        </w:tc>
        <w:tc>
          <w:tcPr>
            <w:tcW w:w="1080" w:type="dxa"/>
            <w:shd w:val="clear" w:color="auto" w:fill="auto"/>
          </w:tcPr>
          <w:p>
            <w:pPr>
              <w:spacing w:beforeLines="40" w:before="96" w:afterLines="40" w:after="96"/>
              <w:jc w:val="center"/>
              <w:rPr>
                <w:b/>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spacing w:line="276" w:lineRule="auto"/>
        <w:rPr>
          <w:noProof/>
          <w:sz w:val="20"/>
        </w:rPr>
      </w:pPr>
      <w:r>
        <w:rPr>
          <w:noProof/>
          <w:sz w:val="20"/>
        </w:rPr>
        <w:t>W przypadku wpływu na dochody różne „przeznaczone na określony cel” należy wskazać linie budżetowe po stronie wydatków, które ten wpływ obejmie.</w:t>
      </w:r>
    </w:p>
    <w:p>
      <w:pPr>
        <w:pStyle w:val="Text1"/>
        <w:pBdr>
          <w:top w:val="single" w:sz="4" w:space="1" w:color="auto"/>
          <w:left w:val="single" w:sz="4" w:space="4" w:color="auto"/>
          <w:bottom w:val="single" w:sz="4" w:space="1" w:color="auto"/>
          <w:right w:val="single" w:sz="4" w:space="4" w:color="auto"/>
        </w:pBdr>
        <w:spacing w:line="276" w:lineRule="auto"/>
        <w:rPr>
          <w:noProof/>
        </w:rPr>
      </w:pPr>
    </w:p>
    <w:p>
      <w:pPr>
        <w:pStyle w:val="Text1"/>
        <w:spacing w:line="276" w:lineRule="auto"/>
        <w:rPr>
          <w:noProof/>
          <w:sz w:val="20"/>
        </w:rPr>
      </w:pPr>
    </w:p>
    <w:p>
      <w:pPr>
        <w:pStyle w:val="Text1"/>
        <w:spacing w:line="276" w:lineRule="auto"/>
        <w:rPr>
          <w:noProof/>
          <w:szCs w:val="24"/>
        </w:rPr>
      </w:pPr>
      <w:r>
        <w:rPr>
          <w:noProof/>
        </w:rPr>
        <w:t xml:space="preserve">Dla informacji, oczekiwane przychody z wyceny ryzyka EBI nie będą miały żadnego wpływu na budżet. Przychody będą wpłacane bezpośrednio na rachunki Funduszu Gwarancyjnego. </w:t>
      </w:r>
    </w:p>
    <w:p>
      <w:pPr>
        <w:pStyle w:val="Text1"/>
        <w:spacing w:line="276" w:lineRule="auto"/>
        <w:rPr>
          <w:noProof/>
          <w:szCs w:val="24"/>
        </w:rPr>
      </w:pPr>
      <w:r>
        <w:rPr>
          <w:noProof/>
        </w:rPr>
        <w:t xml:space="preserve">Szacowane przychody obejmują: </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4"/>
        <w:gridCol w:w="2096"/>
        <w:gridCol w:w="2096"/>
        <w:gridCol w:w="2515"/>
        <w:gridCol w:w="1399"/>
      </w:tblGrid>
      <w:tr>
        <w:trPr>
          <w:gridAfter w:val="1"/>
          <w:wAfter w:w="601" w:type="dxa"/>
          <w:trHeight w:val="388"/>
        </w:trPr>
        <w:tc>
          <w:tcPr>
            <w:tcW w:w="1080" w:type="dxa"/>
            <w:vAlign w:val="center"/>
          </w:tcPr>
          <w:p>
            <w:pPr>
              <w:jc w:val="center"/>
              <w:rPr>
                <w:noProof/>
                <w:sz w:val="18"/>
              </w:rPr>
            </w:pPr>
            <w:r>
              <w:rPr>
                <w:noProof/>
                <w:sz w:val="18"/>
              </w:rPr>
              <w:t>Rok</w:t>
            </w:r>
            <w:r>
              <w:rPr>
                <w:noProof/>
                <w:sz w:val="22"/>
              </w:rPr>
              <w:br/>
            </w:r>
            <w:r>
              <w:rPr>
                <w:b/>
                <w:noProof/>
                <w:sz w:val="18"/>
              </w:rPr>
              <w:t>2017</w:t>
            </w:r>
          </w:p>
        </w:tc>
        <w:tc>
          <w:tcPr>
            <w:tcW w:w="900" w:type="dxa"/>
            <w:vAlign w:val="center"/>
          </w:tcPr>
          <w:p>
            <w:pPr>
              <w:jc w:val="center"/>
              <w:rPr>
                <w:noProof/>
                <w:sz w:val="18"/>
              </w:rPr>
            </w:pPr>
            <w:r>
              <w:rPr>
                <w:noProof/>
                <w:sz w:val="18"/>
              </w:rPr>
              <w:t>Rok</w:t>
            </w:r>
            <w:r>
              <w:rPr>
                <w:noProof/>
                <w:sz w:val="22"/>
              </w:rPr>
              <w:br/>
            </w:r>
            <w:r>
              <w:rPr>
                <w:b/>
                <w:noProof/>
                <w:sz w:val="18"/>
              </w:rPr>
              <w:t>2018</w:t>
            </w:r>
          </w:p>
        </w:tc>
        <w:tc>
          <w:tcPr>
            <w:tcW w:w="900" w:type="dxa"/>
            <w:vAlign w:val="center"/>
          </w:tcPr>
          <w:p>
            <w:pPr>
              <w:jc w:val="center"/>
              <w:rPr>
                <w:noProof/>
                <w:sz w:val="18"/>
              </w:rPr>
            </w:pPr>
            <w:r>
              <w:rPr>
                <w:noProof/>
                <w:sz w:val="18"/>
              </w:rPr>
              <w:t>Rok</w:t>
            </w:r>
            <w:r>
              <w:rPr>
                <w:noProof/>
                <w:sz w:val="22"/>
              </w:rPr>
              <w:br/>
            </w:r>
            <w:r>
              <w:rPr>
                <w:b/>
                <w:noProof/>
                <w:sz w:val="18"/>
              </w:rPr>
              <w:t>2019</w:t>
            </w:r>
          </w:p>
        </w:tc>
        <w:tc>
          <w:tcPr>
            <w:tcW w:w="1080" w:type="dxa"/>
            <w:vAlign w:val="center"/>
          </w:tcPr>
          <w:p>
            <w:pPr>
              <w:jc w:val="center"/>
              <w:rPr>
                <w:noProof/>
                <w:sz w:val="18"/>
              </w:rPr>
            </w:pPr>
            <w:r>
              <w:rPr>
                <w:noProof/>
                <w:sz w:val="18"/>
              </w:rPr>
              <w:t>Rok</w:t>
            </w:r>
            <w:r>
              <w:rPr>
                <w:noProof/>
                <w:sz w:val="22"/>
              </w:rPr>
              <w:br/>
            </w:r>
            <w:r>
              <w:rPr>
                <w:b/>
                <w:noProof/>
                <w:sz w:val="18"/>
              </w:rPr>
              <w:t>2020</w:t>
            </w:r>
          </w:p>
        </w:tc>
      </w:tr>
      <w:tr>
        <w:trPr>
          <w:trHeight w:val="388"/>
        </w:trPr>
        <w:tc>
          <w:tcPr>
            <w:tcW w:w="1080" w:type="dxa"/>
          </w:tcPr>
          <w:p>
            <w:pPr>
              <w:spacing w:beforeLines="40" w:before="96" w:afterLines="40" w:after="96"/>
              <w:jc w:val="center"/>
              <w:rPr>
                <w:b/>
                <w:noProof/>
                <w:sz w:val="18"/>
              </w:rPr>
            </w:pPr>
            <w:r>
              <w:rPr>
                <w:b/>
                <w:noProof/>
                <w:sz w:val="18"/>
              </w:rPr>
              <w:t xml:space="preserve">- </w:t>
            </w:r>
          </w:p>
        </w:tc>
        <w:tc>
          <w:tcPr>
            <w:tcW w:w="900" w:type="dxa"/>
            <w:shd w:val="clear" w:color="auto" w:fill="auto"/>
          </w:tcPr>
          <w:p>
            <w:pPr>
              <w:spacing w:beforeLines="40" w:before="96" w:afterLines="40" w:after="96"/>
              <w:jc w:val="center"/>
              <w:rPr>
                <w:b/>
                <w:noProof/>
                <w:sz w:val="18"/>
              </w:rPr>
            </w:pPr>
            <w:r>
              <w:rPr>
                <w:b/>
                <w:noProof/>
                <w:sz w:val="18"/>
              </w:rPr>
              <w:t>0,504</w:t>
            </w:r>
          </w:p>
        </w:tc>
        <w:tc>
          <w:tcPr>
            <w:tcW w:w="900" w:type="dxa"/>
            <w:shd w:val="clear" w:color="auto" w:fill="auto"/>
          </w:tcPr>
          <w:p>
            <w:pPr>
              <w:spacing w:beforeLines="40" w:before="96" w:afterLines="40" w:after="96"/>
              <w:jc w:val="center"/>
              <w:rPr>
                <w:b/>
                <w:noProof/>
                <w:sz w:val="18"/>
              </w:rPr>
            </w:pPr>
            <w:r>
              <w:rPr>
                <w:b/>
                <w:noProof/>
                <w:sz w:val="18"/>
              </w:rPr>
              <w:t>1,366</w:t>
            </w:r>
          </w:p>
        </w:tc>
        <w:tc>
          <w:tcPr>
            <w:tcW w:w="1080" w:type="dxa"/>
            <w:gridSpan w:val="2"/>
            <w:shd w:val="clear" w:color="auto" w:fill="auto"/>
          </w:tcPr>
          <w:p>
            <w:pPr>
              <w:spacing w:beforeLines="40" w:before="96" w:afterLines="40" w:after="96"/>
              <w:jc w:val="center"/>
              <w:rPr>
                <w:b/>
                <w:noProof/>
                <w:sz w:val="18"/>
              </w:rPr>
            </w:pPr>
            <w:r>
              <w:rPr>
                <w:b/>
                <w:noProof/>
                <w:sz w:val="18"/>
              </w:rPr>
              <w:t>2,718</w:t>
            </w:r>
          </w:p>
        </w:tc>
      </w:tr>
    </w:tbl>
    <w:p>
      <w:pPr>
        <w:pStyle w:val="Text1"/>
        <w:spacing w:line="276" w:lineRule="auto"/>
        <w:ind w:left="0"/>
        <w:rPr>
          <w:noProof/>
          <w:sz w:val="20"/>
        </w:rPr>
      </w:pP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Dodatkowe informacje: Wysokość premii za ryzyko szacuje się na 50 punktów bazowych i jest ona obliczana na podstawie szacunku niespłaconych pożyczek udzielanych przez EBI na projekty realizowane w sektorze prywatnym związane z kryzysem migracyjnym.</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Dla informacji, obecnie Komisja płaciła za zarządzanie finansami Funduszu Gwarancyjnego. Wniosek dotyczący przeniesienia zarządzania na Komisję pozwoli zaoszczędzić około 900 000 EUR rocznie (w 2015 r. z tego tytułu EBI otrzymał 860 000 EUR).</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COM(2016) 385 z 7.6.2016.</w:t>
      </w:r>
    </w:p>
  </w:footnote>
  <w:footnote w:id="2">
    <w:p>
      <w:pPr>
        <w:pStyle w:val="FootnoteText"/>
      </w:pPr>
      <w:r>
        <w:rPr>
          <w:rStyle w:val="FootnoteReference"/>
        </w:rPr>
        <w:footnoteRef/>
      </w:r>
      <w:r>
        <w:tab/>
        <w:t>Rozporządzenie Rady (WE, Euratom) nr 480/2009 z dnia 25 maja 2009 r. ustanawiające Fundusz Gwarancyjny dla działań zewnętrznych (Dz.U. L 145 z 10.6.2009, s. 10).</w:t>
      </w:r>
    </w:p>
  </w:footnote>
  <w:footnote w:id="3">
    <w:p>
      <w:pPr>
        <w:pStyle w:val="FootnoteText"/>
      </w:pPr>
      <w:r>
        <w:rPr>
          <w:rStyle w:val="FootnoteReference"/>
        </w:rPr>
        <w:footnoteRef/>
      </w:r>
      <w:r>
        <w:tab/>
        <w:t>ABM: zarządzanie kosztami działań; ABB: budżet zadaniowy.</w:t>
      </w:r>
    </w:p>
  </w:footnote>
  <w:footnote w:id="4">
    <w:p>
      <w:pPr>
        <w:pStyle w:val="FootnoteText"/>
      </w:pPr>
      <w:r>
        <w:rPr>
          <w:rStyle w:val="FootnoteReference"/>
        </w:rPr>
        <w:footnoteRef/>
      </w:r>
      <w:r>
        <w:tab/>
        <w:t>zgodnie z art. 54 ust. 2 lit. a) lub b) rozporządzenia finansowego.</w:t>
      </w:r>
    </w:p>
  </w:footnote>
  <w:footnote w:id="5">
    <w:p>
      <w:pPr>
        <w:pStyle w:val="FootnoteText"/>
      </w:pPr>
      <w:r>
        <w:rPr>
          <w:rStyle w:val="FootnoteReference"/>
        </w:rPr>
        <w:footnoteRef/>
      </w:r>
      <w:r>
        <w:tab/>
        <w:t xml:space="preserve">Wyjaśnienia dotyczące trybów zarządzania oraz odniesienia do rozporządzenia finansowego znajdują się na następującej stronie: </w:t>
      </w:r>
      <w:hyperlink r:id="rId1">
        <w:r>
          <w:rPr>
            <w:rStyle w:val="Hyperlink"/>
            <w:sz w:val="18"/>
          </w:rPr>
          <w:t>http://www.cc.cec/budg/man/budgmanag/budgmanag_en.html</w:t>
        </w:r>
      </w:hyperlink>
    </w:p>
  </w:footnote>
  <w:footnote w:id="6">
    <w:p>
      <w:pPr>
        <w:pStyle w:val="FootnoteText"/>
      </w:pPr>
      <w:r>
        <w:rPr>
          <w:rStyle w:val="FootnoteReference"/>
        </w:rPr>
        <w:footnoteRef/>
      </w:r>
      <w:r>
        <w:tab/>
        <w:t>Środki zróżnicowane/środki niezróżnicowane</w:t>
      </w:r>
    </w:p>
  </w:footnote>
  <w:footnote w:id="7">
    <w:p>
      <w:pPr>
        <w:pStyle w:val="FootnoteText"/>
      </w:pPr>
      <w:r>
        <w:rPr>
          <w:rStyle w:val="FootnoteReference"/>
        </w:rPr>
        <w:footnoteRef/>
      </w:r>
      <w:r>
        <w:tab/>
        <w:t xml:space="preserve">EFTA: Europejskie Stowarzyszenie Wolnego Handlu </w:t>
      </w:r>
    </w:p>
  </w:footnote>
  <w:footnote w:id="8">
    <w:p>
      <w:pPr>
        <w:pStyle w:val="FootnoteText"/>
      </w:pPr>
      <w:r>
        <w:rPr>
          <w:rStyle w:val="FootnoteReference"/>
        </w:rPr>
        <w:footnoteRef/>
      </w:r>
      <w:r>
        <w:tab/>
        <w:t>Kraje kandydujące oraz w stosownych przypadkach potencjalne kraje kandydujące Bałkanów Zachodnich.</w:t>
      </w:r>
    </w:p>
  </w:footnote>
  <w:footnote w:id="9">
    <w:p>
      <w:pPr>
        <w:pStyle w:val="FootnoteText"/>
      </w:pPr>
      <w:r>
        <w:rPr>
          <w:rStyle w:val="FootnoteReference"/>
        </w:rPr>
        <w:footnoteRef/>
      </w:r>
      <w:r>
        <w:tab/>
        <w:t>Rok N jest rokiem, w którym rozpoczyna się wprowadzanie w życie wniosku/inicjatywy.</w:t>
      </w:r>
    </w:p>
  </w:footnote>
  <w:footnote w:id="10">
    <w:p>
      <w:pPr>
        <w:pStyle w:val="FootnoteText"/>
      </w:pPr>
      <w:r>
        <w:rPr>
          <w:rStyle w:val="FootnoteReference"/>
        </w:rPr>
        <w:footnoteRef/>
      </w:r>
      <w:r>
        <w:tab/>
        <w:t>Wsparcie techniczne lub administracyjne oraz wydatki na wsparcie w zakresie wprowadzania w życie programów lub działań UE (dawne linie „BA”), pośrednie badania naukowe, bezpośrednie badania naukowe.</w:t>
      </w:r>
    </w:p>
  </w:footnote>
  <w:footnote w:id="11">
    <w:p>
      <w:pPr>
        <w:pStyle w:val="FootnoteText"/>
      </w:pPr>
      <w:r>
        <w:rPr>
          <w:rStyle w:val="FootnoteReference"/>
        </w:rPr>
        <w:footnoteRef/>
      </w:r>
      <w:r>
        <w:tab/>
        <w:t>Rok N jest rokiem, w którym rozpoczyna się wprowadzanie w życie wniosku/inicjatywy.</w:t>
      </w:r>
    </w:p>
  </w:footnote>
  <w:footnote w:id="12">
    <w:p>
      <w:pPr>
        <w:pStyle w:val="FootnoteText"/>
      </w:pPr>
      <w:r>
        <w:rPr>
          <w:rStyle w:val="FootnoteReference"/>
        </w:rPr>
        <w:footnoteRef/>
      </w:r>
      <w:r>
        <w:tab/>
        <w:t>Produkty odnoszą się do produktów i usług, które zostaną zapewnione (np. liczba sfinansowanych wymian studentów, liczba kilometrów zbudowanych dróg itp.).</w:t>
      </w:r>
    </w:p>
  </w:footnote>
  <w:footnote w:id="13">
    <w:p>
      <w:pPr>
        <w:pStyle w:val="FootnoteText"/>
      </w:pPr>
      <w:r>
        <w:rPr>
          <w:rStyle w:val="FootnoteReference"/>
        </w:rPr>
        <w:footnoteRef/>
      </w:r>
      <w:r>
        <w:tab/>
        <w:t xml:space="preserve">Zgodnie z opisem w pkt 1.4.2. „Cele szczegółowe …”. </w:t>
      </w:r>
    </w:p>
  </w:footnote>
  <w:footnote w:id="14">
    <w:p>
      <w:pPr>
        <w:pStyle w:val="FootnoteText"/>
      </w:pPr>
      <w:r>
        <w:rPr>
          <w:rStyle w:val="FootnoteReference"/>
        </w:rPr>
        <w:footnoteRef/>
      </w:r>
      <w:r>
        <w:tab/>
        <w:t>Rok N jest rokiem, w którym rozpoczyna się wprowadzanie w życie wniosku/inicjatywy.</w:t>
      </w:r>
    </w:p>
  </w:footnote>
  <w:footnote w:id="15">
    <w:p>
      <w:pPr>
        <w:pStyle w:val="FootnoteText"/>
      </w:pPr>
      <w:r>
        <w:rPr>
          <w:rStyle w:val="FootnoteReference"/>
        </w:rPr>
        <w:footnoteRef/>
      </w:r>
      <w:r>
        <w:tab/>
        <w:t>Wsparcie techniczne lub administracyjne oraz wydatki na wsparcie w zakresie wprowadzania w życie programów lub działań UE (dawne linie „BA”), pośrednie badania naukowe, bezpośrednie badania naukowe.</w:t>
      </w:r>
    </w:p>
  </w:footnote>
  <w:footnote w:id="16">
    <w:p>
      <w:pPr>
        <w:pStyle w:val="FootnoteText"/>
      </w:pPr>
      <w:r>
        <w:rPr>
          <w:rStyle w:val="FootnoteReference"/>
        </w:rPr>
        <w:footnoteRef/>
      </w:r>
      <w:r>
        <w:tab/>
        <w:t xml:space="preserve">CA = personel kontraktowy; LA = personel miejscowy; SNE = oddelegowany ekspert krajowy; INT = personel tymczasowy; JED = młodszy oddelegowany ekspert. </w:t>
      </w:r>
    </w:p>
  </w:footnote>
  <w:footnote w:id="17">
    <w:p>
      <w:pPr>
        <w:pStyle w:val="FootnoteText"/>
      </w:pPr>
      <w:r>
        <w:rPr>
          <w:rStyle w:val="FootnoteReference"/>
        </w:rPr>
        <w:footnoteRef/>
      </w:r>
      <w:r>
        <w:tab/>
        <w:t>W ramach podpułapu na personel zewnętrzny ze środków operacyjnych (dawne linie „BA”).</w:t>
      </w:r>
    </w:p>
  </w:footnote>
  <w:footnote w:id="18">
    <w:p>
      <w:pPr>
        <w:pStyle w:val="FootnoteText"/>
      </w:pPr>
      <w:r>
        <w:rPr>
          <w:rStyle w:val="FootnoteReference"/>
        </w:rPr>
        <w:footnoteRef/>
      </w:r>
      <w:r>
        <w:tab/>
        <w:t>W przypadku tradycyjnych zasobów własnych (opłaty celne, opłaty wyrównawcze od cukru) należy wskazać kwoty netto, tzn. kwoty brutto po odliczeniu 25 % na poczet kosztów poboru.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5402B3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ACEA7E8"/>
    <w:lvl w:ilvl="0">
      <w:start w:val="1"/>
      <w:numFmt w:val="decimal"/>
      <w:pStyle w:val="ListNumber3"/>
      <w:lvlText w:val="%1."/>
      <w:lvlJc w:val="left"/>
      <w:pPr>
        <w:tabs>
          <w:tab w:val="num" w:pos="926"/>
        </w:tabs>
        <w:ind w:left="926" w:hanging="360"/>
      </w:pPr>
    </w:lvl>
  </w:abstractNum>
  <w:abstractNum w:abstractNumId="2">
    <w:nsid w:val="FFFFFF7F"/>
    <w:multiLevelType w:val="singleLevel"/>
    <w:tmpl w:val="0958D1EA"/>
    <w:lvl w:ilvl="0">
      <w:start w:val="1"/>
      <w:numFmt w:val="decimal"/>
      <w:pStyle w:val="ListNumber2"/>
      <w:lvlText w:val="%1."/>
      <w:lvlJc w:val="left"/>
      <w:pPr>
        <w:tabs>
          <w:tab w:val="num" w:pos="643"/>
        </w:tabs>
        <w:ind w:left="643" w:hanging="360"/>
      </w:pPr>
    </w:lvl>
  </w:abstractNum>
  <w:abstractNum w:abstractNumId="3">
    <w:nsid w:val="FFFFFF81"/>
    <w:multiLevelType w:val="singleLevel"/>
    <w:tmpl w:val="778CBDB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534D3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
  </w:num>
  <w:num w:numId="2">
    <w:abstractNumId w:val="3"/>
  </w:num>
  <w:num w:numId="3">
    <w:abstractNumId w:val="5"/>
  </w:num>
  <w:num w:numId="4">
    <w:abstractNumId w:val="14"/>
  </w:num>
  <w:num w:numId="5">
    <w:abstractNumId w:val="13"/>
  </w:num>
  <w:num w:numId="6">
    <w:abstractNumId w:val="22"/>
  </w:num>
  <w:num w:numId="7">
    <w:abstractNumId w:val="19"/>
  </w:num>
  <w:num w:numId="8">
    <w:abstractNumId w:val="23"/>
  </w:num>
  <w:num w:numId="9">
    <w:abstractNumId w:val="24"/>
    <w:lvlOverride w:ilvl="0">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18"/>
  </w:num>
  <w:num w:numId="15">
    <w:abstractNumId w:val="10"/>
  </w:num>
  <w:num w:numId="16">
    <w:abstractNumId w:val="21"/>
  </w:num>
  <w:num w:numId="17">
    <w:abstractNumId w:val="9"/>
  </w:num>
  <w:num w:numId="18">
    <w:abstractNumId w:val="11"/>
  </w:num>
  <w:num w:numId="19">
    <w:abstractNumId w:val="7"/>
  </w:num>
  <w:num w:numId="20">
    <w:abstractNumId w:val="20"/>
  </w:num>
  <w:num w:numId="21">
    <w:abstractNumId w:val="6"/>
  </w:num>
  <w:num w:numId="22">
    <w:abstractNumId w:val="12"/>
  </w:num>
  <w:num w:numId="23">
    <w:abstractNumId w:val="16"/>
  </w:num>
  <w:num w:numId="24">
    <w:abstractNumId w:val="17"/>
  </w:num>
  <w:num w:numId="25">
    <w:abstractNumId w:val="8"/>
  </w:num>
  <w:num w:numId="26">
    <w:abstractNumId w:val="15"/>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hideSpellingErrors/>
  <w:hideGrammaticalErrors/>
  <w:attachedTemplate r:id="rId1"/>
  <w:revisionView w:markup="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03 09:33:3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2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B371D6D99FA84E8B9E08A0371CFD68CE"/>
    <w:docVar w:name="LW_CROSSREFERENCE" w:val="&lt;UNUSED&gt;"/>
    <w:docVar w:name="LW_DocType" w:val="COM"/>
    <w:docVar w:name="LW_EMISSION" w:val="14.9.2016"/>
    <w:docVar w:name="LW_EMISSION_ISODATE" w:val="2016-09-14"/>
    <w:docVar w:name="LW_EMISSION_LOCATION" w:val="BRX"/>
    <w:docVar w:name="LW_EMISSION_PREFIX" w:val="Bruksela, dnia "/>
    <w:docVar w:name="LW_EMISSION_SUFFIX" w:val=" r."/>
    <w:docVar w:name="LW_ID_DOCMODEL" w:val="SJ-023"/>
    <w:docVar w:name="LW_ID_DOCSIGNATURE" w:val="SJ-023"/>
    <w:docVar w:name="LW_ID_DOCSTRUCTURE" w:val="COM/PL/ORG"/>
    <w:docVar w:name="LW_ID_DOCTYPE" w:val="SJ-023"/>
    <w:docVar w:name="LW_ID_STATUT" w:val="SJ-023"/>
    <w:docVar w:name="LW_INTERETEEE.CP" w:val="&lt;UNUSED&gt;"/>
    <w:docVar w:name="LW_LANGUE" w:val="PL"/>
    <w:docVar w:name="LW_MARKING" w:val="&lt;UNUSED&gt;"/>
    <w:docVar w:name="LW_NOM.INST" w:val="KOMISJA EUROPEJSKA"/>
    <w:docVar w:name="LW_NOM.INST_JOINTDOC" w:val="&lt;EMPTY&gt;"/>
    <w:docVar w:name="LW_PART_NBR" w:val="1"/>
    <w:docVar w:name="LW_PART_NBR_TOTAL" w:val="1"/>
    <w:docVar w:name="LW_REF.II.NEW.CP" w:val="COD"/>
    <w:docVar w:name="LW_REF.II.NEW.CP_NUMBER" w:val="0274"/>
    <w:docVar w:name="LW_REF.II.NEW.CP_YEAR" w:val="2016"/>
    <w:docVar w:name="LW_REF.INST.NEW" w:val="COM"/>
    <w:docVar w:name="LW_REF.INST.NEW_ADOPTED" w:val="final"/>
    <w:docVar w:name="LW_REF.INST.NEW_TEXT" w:val="(2016) 582"/>
    <w:docVar w:name="LW_REF.INTERNE" w:val="&lt;UNUSED&gt;"/>
    <w:docVar w:name="LW_SOUS.TITRE.OBJ.CP" w:val="&lt;UNUSED&gt;"/>
    <w:docVar w:name="LW_STATUT.CP" w:val="Wniosek"/>
    <w:docVar w:name="LW_SUPERTITRE" w:val="&lt;UNUSED&gt;"/>
    <w:docVar w:name="LW_TITRE.OBJ.CP" w:val="zmieniaj\u261?ce rozporz\u261?dzenie (WE, Euratom) nr 480/2009 ustanawiaj\u261?ce Fundusz Gwarancyjny dla dzia\u322?a\u324? zewn\u281?trznych"/>
    <w:docVar w:name="LW_TYPE.DOC.CP" w:val="ROZPORZ\u260?DZENIE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character" w:styleId="Hyperlink">
    <w:name w:val="Hyperlink"/>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uiPriority w:val="99"/>
    <w:semiHidden/>
    <w:unhideWhenUsed/>
    <w:pPr>
      <w:numPr>
        <w:numId w:val="1"/>
      </w:numPr>
      <w:contextualSpacing/>
    </w:pPr>
    <w:rPr>
      <w:rFonts w:eastAsia="Times New Roman"/>
    </w:rPr>
  </w:style>
  <w:style w:type="paragraph" w:styleId="ListBullet4">
    <w:name w:val="List Bullet 4"/>
    <w:basedOn w:val="Normal"/>
    <w:uiPriority w:val="99"/>
    <w:semiHidden/>
    <w:unhideWhenUsed/>
    <w:pPr>
      <w:numPr>
        <w:numId w:val="2"/>
      </w:numPr>
      <w:contextualSpacing/>
    </w:pPr>
    <w:rPr>
      <w:rFonts w:eastAsia="Times New Roman"/>
    </w:rPr>
  </w:style>
  <w:style w:type="paragraph" w:styleId="BalloonText">
    <w:name w:val="Balloon Text"/>
    <w:basedOn w:val="Normal"/>
    <w:link w:val="BalloonTextChar"/>
    <w:uiPriority w:val="99"/>
    <w:semiHidden/>
    <w:unhideWhenUsed/>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pl-PL"/>
    </w:r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semiHidden/>
    <w:unhideWhenUsed/>
    <w:rPr>
      <w:rFonts w:eastAsia="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pl-PL"/>
    </w:r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character" w:styleId="Hyperlink">
    <w:name w:val="Hyperlink"/>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uiPriority w:val="99"/>
    <w:semiHidden/>
    <w:unhideWhenUsed/>
    <w:pPr>
      <w:numPr>
        <w:numId w:val="1"/>
      </w:numPr>
      <w:contextualSpacing/>
    </w:pPr>
    <w:rPr>
      <w:rFonts w:eastAsia="Times New Roman"/>
    </w:rPr>
  </w:style>
  <w:style w:type="paragraph" w:styleId="ListBullet4">
    <w:name w:val="List Bullet 4"/>
    <w:basedOn w:val="Normal"/>
    <w:uiPriority w:val="99"/>
    <w:semiHidden/>
    <w:unhideWhenUsed/>
    <w:pPr>
      <w:numPr>
        <w:numId w:val="2"/>
      </w:numPr>
      <w:contextualSpacing/>
    </w:pPr>
    <w:rPr>
      <w:rFonts w:eastAsia="Times New Roman"/>
    </w:rPr>
  </w:style>
  <w:style w:type="paragraph" w:styleId="BalloonText">
    <w:name w:val="Balloon Text"/>
    <w:basedOn w:val="Normal"/>
    <w:link w:val="BalloonTextChar"/>
    <w:uiPriority w:val="99"/>
    <w:semiHidden/>
    <w:unhideWhenUsed/>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pl-PL"/>
    </w:r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semiHidden/>
    <w:unhideWhenUsed/>
    <w:rPr>
      <w:rFonts w:eastAsia="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pl-PL"/>
    </w:r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58535-7339-48E6-BEAE-F1A5DF54B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31</Pages>
  <Words>4845</Words>
  <Characters>32805</Characters>
  <Application>Microsoft Office Word</Application>
  <DocSecurity>0</DocSecurity>
  <Lines>1640</Lines>
  <Paragraphs>515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2016-09-30T13:35:00Z</dcterms:created>
  <dcterms:modified xsi:type="dcterms:W3CDTF">2016-10-03T07:33:00Z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