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E6" w:rsidRDefault="008C548F" w:rsidP="008C548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818CBB7543F4B0A93071A252CF2A549" style="width:450.45pt;height:395.7pt">
            <v:imagedata r:id="rId9" o:title=""/>
          </v:shape>
        </w:pict>
      </w:r>
    </w:p>
    <w:p w:rsidR="00A93FE6" w:rsidRDefault="00A93FE6">
      <w:pPr>
        <w:rPr>
          <w:noProof/>
        </w:rPr>
        <w:sectPr w:rsidR="00A93FE6" w:rsidSect="008C548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93FE6" w:rsidRDefault="008C548F">
      <w:pPr>
        <w:pStyle w:val="Exposdesmotifstitre"/>
        <w:rPr>
          <w:noProof/>
        </w:rPr>
      </w:pPr>
      <w:bookmarkStart w:id="0" w:name="_GoBack"/>
      <w:bookmarkEnd w:id="0"/>
      <w:r>
        <w:rPr>
          <w:noProof/>
        </w:rPr>
        <w:lastRenderedPageBreak/>
        <w:t>TOELICHTING</w:t>
      </w:r>
    </w:p>
    <w:p w:rsidR="00A93FE6" w:rsidRDefault="008C548F">
      <w:pPr>
        <w:pStyle w:val="ManualHeading1"/>
        <w:tabs>
          <w:tab w:val="left" w:pos="5190"/>
        </w:tabs>
        <w:rPr>
          <w:noProof/>
        </w:rPr>
      </w:pPr>
      <w:r>
        <w:rPr>
          <w:noProof/>
        </w:rPr>
        <w:t>1.</w:t>
      </w:r>
      <w:r>
        <w:rPr>
          <w:noProof/>
        </w:rPr>
        <w:tab/>
        <w:t>ACHTERGROND VAN HET VOORSTEL</w:t>
      </w:r>
      <w:r>
        <w:rPr>
          <w:noProof/>
        </w:rPr>
        <w:tab/>
      </w:r>
    </w:p>
    <w:p w:rsidR="00A93FE6" w:rsidRDefault="008C548F">
      <w:pPr>
        <w:pStyle w:val="ManualHeading2"/>
        <w:rPr>
          <w:rFonts w:eastAsia="Arial Unicode MS"/>
          <w:noProof/>
        </w:rPr>
      </w:pPr>
      <w:r>
        <w:rPr>
          <w:noProof/>
        </w:rPr>
        <w:t>•</w:t>
      </w:r>
      <w:r>
        <w:rPr>
          <w:noProof/>
        </w:rPr>
        <w:tab/>
        <w:t>Motivering en doel van het voorstel</w:t>
      </w:r>
    </w:p>
    <w:p w:rsidR="00A93FE6" w:rsidRDefault="008C548F">
      <w:pPr>
        <w:rPr>
          <w:noProof/>
          <w:szCs w:val="24"/>
        </w:rPr>
      </w:pPr>
      <w:r>
        <w:rPr>
          <w:noProof/>
        </w:rPr>
        <w:t xml:space="preserve">Het nieuwe </w:t>
      </w:r>
      <w:r>
        <w:rPr>
          <w:noProof/>
        </w:rPr>
        <w:t>telecompakket dat de Commissie vandaag heeft goedgekeurd, omvat een mededeling met een Europese visie op internetconnectiviteit voor burgers en bedrijven op de digitale eengemaakte markt</w:t>
      </w:r>
      <w:r>
        <w:rPr>
          <w:rStyle w:val="FootnoteReference"/>
          <w:noProof/>
        </w:rPr>
        <w:footnoteReference w:id="1"/>
      </w:r>
      <w:r>
        <w:rPr>
          <w:noProof/>
        </w:rPr>
        <w:t>, evenals een wetgevingsvoorstel voor een Europees wetboek voor elekt</w:t>
      </w:r>
      <w:r>
        <w:rPr>
          <w:noProof/>
        </w:rPr>
        <w:t>ronische communicatie</w:t>
      </w:r>
      <w:r>
        <w:rPr>
          <w:rStyle w:val="FootnoteReference"/>
          <w:noProof/>
        </w:rPr>
        <w:footnoteReference w:id="2"/>
      </w:r>
      <w:r>
        <w:rPr>
          <w:noProof/>
        </w:rPr>
        <w:t xml:space="preserve"> ter herziening van het regelgevingskader voor elektronische communicatie. De voorstellen van de Commissie bevatten de nodige hervormingen om ervoor te zorgen dat netwerken met zeer hoge capaciteit worden uitgerold en gebruikt, zodat </w:t>
      </w:r>
      <w:r>
        <w:rPr>
          <w:noProof/>
        </w:rPr>
        <w:t xml:space="preserve">overal op de digitale eengemaakte markt gebruik kan worden gemaakt van producten, diensten en toepassingen. </w:t>
      </w:r>
    </w:p>
    <w:p w:rsidR="00A93FE6" w:rsidRDefault="008C548F">
      <w:pPr>
        <w:rPr>
          <w:noProof/>
          <w:szCs w:val="24"/>
        </w:rPr>
      </w:pPr>
      <w:r>
        <w:rPr>
          <w:noProof/>
        </w:rPr>
        <w:t>Door de grote veranderingen die het internet en digitale connectiviteit zowel op privé- als bedrijfsvlak in de Unie en daarbuiten teweegbrengen, mo</w:t>
      </w:r>
      <w:r>
        <w:rPr>
          <w:noProof/>
        </w:rPr>
        <w:t>et ervoor worden gezorgd dat het grote publiek wordt aangemoedigd om de kansen die deze transformatie met zich meebrengt met beide handen te grijpen.</w:t>
      </w:r>
    </w:p>
    <w:p w:rsidR="00A93FE6" w:rsidRDefault="008C548F">
      <w:pPr>
        <w:rPr>
          <w:noProof/>
          <w:szCs w:val="24"/>
        </w:rPr>
      </w:pPr>
      <w:r>
        <w:rPr>
          <w:noProof/>
        </w:rPr>
        <w:t>Een van de strategische doelstellingen van de Commissie voor de Unie is bijgevolg om tegen 2025 plaatsen w</w:t>
      </w:r>
      <w:r>
        <w:rPr>
          <w:noProof/>
        </w:rPr>
        <w:t>aar openbare diensten worden verleend, zoals overheidsgebouwen, bibliotheken en ziekenhuizen, uit te rusten met gigabit-internetverbindingen. Door deze plekken en andere centra van het openbare leven, zoals openbare buitenruimten, uit te rusten met interne</w:t>
      </w:r>
      <w:r>
        <w:rPr>
          <w:noProof/>
        </w:rPr>
        <w:t xml:space="preserve">tverbindingen met aanzienlijk hogere snelheden dan voor functionele internettoegang, zullen burgers van elke rang en stand de voordelen van connectiviteit van de volgende generatie kunnen ervaren, onderweg, op plaatsen dit van belang is. </w:t>
      </w:r>
    </w:p>
    <w:p w:rsidR="00A93FE6" w:rsidRDefault="008C548F">
      <w:pPr>
        <w:rPr>
          <w:noProof/>
          <w:szCs w:val="24"/>
        </w:rPr>
      </w:pPr>
      <w:r>
        <w:rPr>
          <w:noProof/>
        </w:rPr>
        <w:t>Een van de maatre</w:t>
      </w:r>
      <w:r>
        <w:rPr>
          <w:noProof/>
        </w:rPr>
        <w:t>gelen om deze doelstelling te verwezenlijken, zal er volgens het nieuwe pakket in bestaan de uitrol van plaatselijke draadloze toegangspunten te bevorderen door middel van vereenvoudigde vergunningsprocedures en minder strikte wettelijke verplichtingen, me</w:t>
      </w:r>
      <w:r>
        <w:rPr>
          <w:noProof/>
        </w:rPr>
        <w:t xml:space="preserve">t name wanneer dergelijke toegang op niet-commerciële basis wordt verstrekt of een aanvulling vormt op andere publieke dienstverlening. </w:t>
      </w:r>
    </w:p>
    <w:p w:rsidR="00A93FE6" w:rsidRDefault="008C548F">
      <w:pPr>
        <w:rPr>
          <w:noProof/>
        </w:rPr>
      </w:pPr>
      <w:r>
        <w:rPr>
          <w:noProof/>
        </w:rPr>
        <w:t>De hier voorgestelde maatregel completeert op dit streven door middel van wijzigingen van het rechtskader voor telecomm</w:t>
      </w:r>
      <w:r>
        <w:rPr>
          <w:noProof/>
        </w:rPr>
        <w:t>unicatie in de financieringsfaciliteit voor Europese verbindingen (CEF), vervat in Verordening (EU) nr. 1316/2013</w:t>
      </w:r>
      <w:r>
        <w:rPr>
          <w:rStyle w:val="FootnoteReference"/>
          <w:noProof/>
        </w:rPr>
        <w:footnoteReference w:id="3"/>
      </w:r>
      <w:r>
        <w:rPr>
          <w:noProof/>
        </w:rPr>
        <w:t xml:space="preserve"> ("CEF-verordening") en Verordening (EU) nr. 283/2014</w:t>
      </w:r>
      <w:r>
        <w:rPr>
          <w:rStyle w:val="FootnoteReference"/>
          <w:noProof/>
        </w:rPr>
        <w:footnoteReference w:id="4"/>
      </w:r>
      <w:r>
        <w:rPr>
          <w:noProof/>
        </w:rPr>
        <w:t xml:space="preserve"> ("richtsnoerenverordening"). Deze wijzigingen sporen instanties met een openbare opdrac</w:t>
      </w:r>
      <w:r>
        <w:rPr>
          <w:noProof/>
        </w:rPr>
        <w:t>ht, zoals overheden en aanbieders van openbare diensten, aan om gratis lokale draadloze connectiviteit aan te bieden in de centra van het lokale openbare leven (bv. overheidsgebouwen, bibliotheken, gezondheidscentra en openbare buitenruimten). Daartoe voor</w:t>
      </w:r>
      <w:r>
        <w:rPr>
          <w:noProof/>
        </w:rPr>
        <w:t xml:space="preserve">ziet de maatregel in financiële stimulansen voor instanties die </w:t>
      </w:r>
      <w:r>
        <w:rPr>
          <w:noProof/>
        </w:rPr>
        <w:lastRenderedPageBreak/>
        <w:t>gratis lokale draadloze connectiviteit met een hoge capaciteit willen aanbieden in de publieke ruimten waarvoor zij bevoegd zijn of in en rond hun gebouwen.  In de eerste fase van de maatregel</w:t>
      </w:r>
      <w:r>
        <w:rPr>
          <w:noProof/>
        </w:rPr>
        <w:t xml:space="preserve"> zal prioriteit worden gegeven aan de financiering van lokale overheden om toegangspunten te creëren in de centra van het lokale openbare leven, met inbegrip van de openbare buitenruimte.</w:t>
      </w:r>
    </w:p>
    <w:p w:rsidR="00A93FE6" w:rsidRDefault="008C548F">
      <w:pPr>
        <w:rPr>
          <w:noProof/>
        </w:rPr>
      </w:pPr>
      <w:r>
        <w:rPr>
          <w:noProof/>
        </w:rPr>
        <w:t>Door de integratie met bestaande openbare dienstverlening te stimule</w:t>
      </w:r>
      <w:r>
        <w:rPr>
          <w:noProof/>
        </w:rPr>
        <w:t>ren, zal deze maatregel de interesse van burgers in internetdiensten met hoge capaciteit wekken en zo een belangrijke bijdrage leveren aan zowel het gebruik van breedbanddiensten als de ontwikkeling van openbare infrastructuur. Het aanbieden van gratis lok</w:t>
      </w:r>
      <w:r>
        <w:rPr>
          <w:noProof/>
        </w:rPr>
        <w:t xml:space="preserve">ale draadloze connectiviteit op drukke plaatsen waar veel mensen samenkomen of passeren onderweg naar hun volgende activiteit, kan een significante toegevoegde waarde creëren door van verloren tijd of reistijd een productieve, ontspannende of interessante </w:t>
      </w:r>
      <w:r>
        <w:rPr>
          <w:noProof/>
        </w:rPr>
        <w:t>ervaring te maken. Bovendien kunnen dergelijke lokale draadloze toegangspunten voor een fijnmazigere dekking zorgen op moeilijk bereikbare plaatsen of op drukke plekken waar de ervaring van draadloze connectiviteit anders grotendeels teniet zou worden geda</w:t>
      </w:r>
      <w:r>
        <w:rPr>
          <w:noProof/>
        </w:rPr>
        <w:t>an door het grote aantal gebruikers. Dankzij deze toegangspunten zouden gebruikers onderweg verbonden kunnen blijven en zouden zij mobieler en flexibeler worden, meer aandacht hebben voor de diensten van entiteiten met een openbare opdracht, en hun persoon</w:t>
      </w:r>
      <w:r>
        <w:rPr>
          <w:noProof/>
        </w:rPr>
        <w:t>lijke tijdsbesteding beter kunnen controleren. Tegelijkertijd zouden de toegangspunten door hun beperkte bereik niet in het vaarwater van commerciële aanbieders komen, maar zouden zij belangrijk kunnen zijn om het gebruik van breedband te stimuleren en dig</w:t>
      </w:r>
      <w:r>
        <w:rPr>
          <w:noProof/>
        </w:rPr>
        <w:t>itale geletterdheid te bevorderen. Dit zal op zijn beurt de belangstelling van de gebruikers wekken om in te gaan op het aanbod aan commerciële residentiële of mobiele breedbanddiensten. De voorgestelde maatregelen zijn een aanvulling op het juridische con</w:t>
      </w:r>
      <w:r>
        <w:rPr>
          <w:noProof/>
        </w:rPr>
        <w:t>cept van de universele dienstverlening in het voorstel voor een Europees wetboek voor elektronische communicatie, op grond waarvan iedere EU-burger het recht zal hebben verbonden te zijn: het recht op een betaalbare functionele internetverbinding, ten mins</w:t>
      </w:r>
      <w:r>
        <w:rPr>
          <w:noProof/>
        </w:rPr>
        <w:t>te op een vaste locatie, die hem toestaat voluit te interageren met de digitale economie en maatschappij.</w:t>
      </w:r>
    </w:p>
    <w:p w:rsidR="00A93FE6" w:rsidRDefault="008C548F">
      <w:pPr>
        <w:rPr>
          <w:noProof/>
          <w:szCs w:val="24"/>
        </w:rPr>
      </w:pPr>
      <w:r>
        <w:rPr>
          <w:noProof/>
        </w:rPr>
        <w:t>De voorgestelde maatregel voorziet in een eenvoudig financieringsmechanisme voor de installatie van lokale draadloze toegangspunten. De maatregel is o</w:t>
      </w:r>
      <w:r>
        <w:rPr>
          <w:noProof/>
        </w:rPr>
        <w:t>ntworpen met het oog op maximale impact op korte termijn door de belangstelling van burgers voor internettoegangsdiensten aan te wakkeren en het gebruik van openbare digitale diensten, inclusief de toegang tot digitalediensteninfrastructuren, te vergemakke</w:t>
      </w:r>
      <w:r>
        <w:rPr>
          <w:noProof/>
        </w:rPr>
        <w:t>lijken. De verwachting dat door de gewekte belangstelling geen verdere financiële bijstand in het kader van de verordeningen nodig zal zijn voor de verdere exploitatie en eventuele vervanging van toegangspunten, is in overeenstemming met de doelstelling om</w:t>
      </w:r>
      <w:r>
        <w:rPr>
          <w:noProof/>
        </w:rPr>
        <w:t xml:space="preserve"> dergelijke bijstand waar mogelijk uit te faseren en het gebruik van alternatieve financieringsmechanismen aan te moedigen. </w:t>
      </w:r>
    </w:p>
    <w:p w:rsidR="00A93FE6" w:rsidRDefault="008C548F">
      <w:pPr>
        <w:rPr>
          <w:noProof/>
          <w:szCs w:val="24"/>
        </w:rPr>
      </w:pPr>
      <w:r>
        <w:rPr>
          <w:noProof/>
        </w:rPr>
        <w:t>Om te garanderen dat de maatregel gericht is en het openbare nut maximaal dient, zal de financiering worden beperkt tot situaties w</w:t>
      </w:r>
      <w:r>
        <w:rPr>
          <w:noProof/>
        </w:rPr>
        <w:t>aarin geen vrij toegankelijke publieke of particuliere punten voor zeer snelle breedbandtoegang bestaan. Aangezien het bedrag van de financiële bijstand van de Unie voor de individuele acties onder de drempel van 60,000 EUR voor subsidies van kleine bedrag</w:t>
      </w:r>
      <w:r>
        <w:rPr>
          <w:noProof/>
        </w:rPr>
        <w:t>en ligt, zoals bepaald in het Financieel Reglement</w:t>
      </w:r>
      <w:r>
        <w:rPr>
          <w:rStyle w:val="FootnoteReference"/>
          <w:noProof/>
        </w:rPr>
        <w:footnoteReference w:id="5"/>
      </w:r>
      <w:r>
        <w:rPr>
          <w:noProof/>
        </w:rPr>
        <w:t xml:space="preserve">, zal dit </w:t>
      </w:r>
      <w:r>
        <w:rPr>
          <w:noProof/>
        </w:rPr>
        <w:lastRenderedPageBreak/>
        <w:t>naar verwachting geen merkbare gevolgen hebben voor de mededinging</w:t>
      </w:r>
      <w:r>
        <w:rPr>
          <w:rStyle w:val="FootnoteReference"/>
          <w:noProof/>
        </w:rPr>
        <w:footnoteReference w:id="6"/>
      </w:r>
      <w:r>
        <w:rPr>
          <w:noProof/>
        </w:rPr>
        <w:t>. Bovendien zullen de middelen op een geografisch evenwichtige manier worden verdeeld, waarbij aan de economische, sociale en te</w:t>
      </w:r>
      <w:r>
        <w:rPr>
          <w:noProof/>
        </w:rPr>
        <w:t>rritoriale cohesie in de Unie wordt bijgedragen door met name rekening te houden met de behoeften van de lokale gemeenschappen</w:t>
      </w:r>
      <w:r>
        <w:rPr>
          <w:rStyle w:val="FootnoteReference"/>
          <w:noProof/>
        </w:rPr>
        <w:footnoteReference w:id="7"/>
      </w:r>
      <w:r>
        <w:rPr>
          <w:noProof/>
        </w:rPr>
        <w:t>. Door de toepassing van al deze criteria strookt de voorgestelde maatregel met het kader van open en concurrerende markten dat f</w:t>
      </w:r>
      <w:r>
        <w:rPr>
          <w:noProof/>
        </w:rPr>
        <w:t>undamenteel is voor de exploitatie van trans-Europese netwerken.</w:t>
      </w:r>
    </w:p>
    <w:p w:rsidR="00A93FE6" w:rsidRDefault="008C548F">
      <w:pPr>
        <w:rPr>
          <w:noProof/>
        </w:rPr>
      </w:pPr>
      <w:r>
        <w:rPr>
          <w:noProof/>
        </w:rPr>
        <w:t>De maatregel zal de vraag naar snelle breedbandverbindingen stimuleren en het grootschalig gebruik ervan op Unieniveau bevorderen, maar zal daarnaast ook een reeks positieve kettingreacties t</w:t>
      </w:r>
      <w:r>
        <w:rPr>
          <w:noProof/>
        </w:rPr>
        <w:t>eweegbrengen, gaande van betere toegang tot e-overheidsdiensten en deelname aan het democratische leven, bijvoorbeeld voor bevolkingsgroepen die anders moeilijk toegang tot internet zouden krijgen (zoals vluchtelingen en lage-inkomensgroepen), tot extra in</w:t>
      </w:r>
      <w:r>
        <w:rPr>
          <w:noProof/>
        </w:rPr>
        <w:t>frastructuur voor urgentie- en crisiscommunicatie en boodschappen van de overheid. Om ervoor te zorgen dat lokale gemeenschappen met beperkte middelen ook de voordelen van deelname aan de digitale interne markt kunnen ervaren, moet tot 100 % van de in aanm</w:t>
      </w:r>
      <w:r>
        <w:rPr>
          <w:noProof/>
        </w:rPr>
        <w:t>erking komende kosten worden gedekt door bijstand in het kader van deze maatregel, onverminderd het medefinancieringsbeginsel. Potentiële begunstigden zouden leden van de lokale gemeenschap kunnen betrekken bij de uitvoering van de door de voorgestelde maa</w:t>
      </w:r>
      <w:r>
        <w:rPr>
          <w:noProof/>
        </w:rPr>
        <w:t>tregel gefinancierde acties om te bepalen in welke centra van het openbare leven de installatie van vrij toegankelijke draadloze toegangspunten de grootste toegevoegde waarde voor de gemeenschap zou kunnen bieden.</w:t>
      </w:r>
    </w:p>
    <w:p w:rsidR="00A93FE6" w:rsidRDefault="008C548F">
      <w:pPr>
        <w:rPr>
          <w:noProof/>
          <w:szCs w:val="24"/>
        </w:rPr>
      </w:pPr>
      <w:r>
        <w:rPr>
          <w:noProof/>
        </w:rPr>
        <w:t>Gezien de flexibele en gerichte aard van d</w:t>
      </w:r>
      <w:r>
        <w:rPr>
          <w:noProof/>
        </w:rPr>
        <w:t>e maatregel wat betreft de bijstand voor breedbandnetwerken met de financiële middelen voor de tenuitvoerlegging van de CEF in de telecomsector, moet de maatregel worden erkend als een afzonderlijk project van gemeenschappelijk belang met aanverwante actie</w:t>
      </w:r>
      <w:r>
        <w:rPr>
          <w:noProof/>
        </w:rPr>
        <w:t>s in het kader van de CEF-verordening en een specifieke budget, waarvan de details in de richtsnoerenverordening moeten worden opgenomen. Gezien de beperkte hoeveelheid financiële bijstand per begunstigde, maar het grote aantal begunstigden, is het belangr</w:t>
      </w:r>
      <w:r>
        <w:rPr>
          <w:noProof/>
        </w:rPr>
        <w:t>ijk om te zorgen voor gestroomlijnde administratieve procedures met het oog op slanke en snelle besluitvorming. Daarom moeten de lidstaten op grond van de CEF-verordening de mogelijkheid krijgen in het kader van deze maatregel categorieën van voorstellen t</w:t>
      </w:r>
      <w:r>
        <w:rPr>
          <w:noProof/>
        </w:rPr>
        <w:t xml:space="preserve">e ondersteunen, in plaats van hun goedkeuring te hechten aan lijsten van individuele begunstigden. Door deze wijziging horizontaal uit te voeren ten voordele van andere projecten van gemeenschappelijk belang, komt dit voorstel ook tegemoet aan het verzoek </w:t>
      </w:r>
      <w:r>
        <w:rPr>
          <w:noProof/>
        </w:rPr>
        <w:t xml:space="preserve">van de lidstaten om meer doeltreffende middelen voor de uitvoering van acties op het gebied van digitale-diensteninfrastructuren. </w:t>
      </w:r>
    </w:p>
    <w:p w:rsidR="00A93FE6" w:rsidRDefault="008C548F">
      <w:pPr>
        <w:rPr>
          <w:noProof/>
          <w:szCs w:val="24"/>
        </w:rPr>
      </w:pPr>
      <w:r>
        <w:rPr>
          <w:noProof/>
        </w:rPr>
        <w:t>Om ervoor te zorgen dat de maatregel in een grote verscheidenheid aan situaties kan worden gebruikt en zo snel mogelijk concr</w:t>
      </w:r>
      <w:r>
        <w:rPr>
          <w:noProof/>
        </w:rPr>
        <w:t>ete resultaten oplevert, is het van essentieel belang om de beschikbare vormen van financiële bijstand niet onnodig te beperken. In dit verband kan een grote mate van flexibiliteit worden bewaard door ervoor te zorgen dat bij de tenuitvoerlegging gebruik k</w:t>
      </w:r>
      <w:r>
        <w:rPr>
          <w:noProof/>
        </w:rPr>
        <w:t>an worden gemaakt van een zo uitgebreid mogelijke reeks geschikte vormen van bijstand. Daartoe, en in het licht van de lopende onderhandelingen over een herziening van het Financieel Reglement, moet de tekst van de CEF-verordening worden gewijzigd om te ve</w:t>
      </w:r>
      <w:r>
        <w:rPr>
          <w:noProof/>
        </w:rPr>
        <w:t>rduidelijken dat alle acties die bijdragen tot projecten van gemeenschappelijk belang, waaronder de huidige maatregel, over het algemeen in aanmerking komen voor steun via de vormen van financiële bijstand die uit hoofde van het Financieel Reglement beschi</w:t>
      </w:r>
      <w:r>
        <w:rPr>
          <w:noProof/>
        </w:rPr>
        <w:t xml:space="preserve">kbaar zijn of zullen worden. </w:t>
      </w:r>
    </w:p>
    <w:p w:rsidR="00A93FE6" w:rsidRDefault="008C548F">
      <w:pPr>
        <w:rPr>
          <w:noProof/>
          <w:szCs w:val="24"/>
        </w:rPr>
      </w:pPr>
      <w:r>
        <w:rPr>
          <w:noProof/>
        </w:rPr>
        <w:t>Anderzijds wordt om dezelfde redenen voorgesteld om de vormen van financiële bijstand beschikbaar voor de maatregel op een onderling samenhangende wijze te specificeren in de CEF-verordening en de richtsnoerenverordening. Subs</w:t>
      </w:r>
      <w:r>
        <w:rPr>
          <w:noProof/>
        </w:rPr>
        <w:t>idies zullen waarschijnlijk de belangrijkste vorm van financiële bijstand zijn ter verwezenlijking van de doelstelling om gratis lokale draadloze connectiviteit in plaatselijke gemeenschappen te bevorderen, maar andere vormen van financiële bijstand, met u</w:t>
      </w:r>
      <w:r>
        <w:rPr>
          <w:noProof/>
        </w:rPr>
        <w:t>itzondering van financiële instrumenten, moeten niet van meet af aan worden uitgesloten. Financiële instrumenten worden uitgesloten vanwege hun relatief hoge administratieve lasten en de daarmee gepaard gaande vertragingen bij de tenuitvoerlegging, waardoo</w:t>
      </w:r>
      <w:r>
        <w:rPr>
          <w:noProof/>
        </w:rPr>
        <w:t>r ze niet voldoende afgestemd zijn op de aard van de voorgenomen acties.</w:t>
      </w:r>
    </w:p>
    <w:p w:rsidR="00A93FE6" w:rsidRDefault="008C548F">
      <w:pPr>
        <w:rPr>
          <w:noProof/>
        </w:rPr>
      </w:pPr>
      <w:r>
        <w:rPr>
          <w:noProof/>
        </w:rPr>
        <w:t>Om snel en efficiënt te zijn, zijn voor de uitvoering van deze maatregelen gestroomlijnde administratieve procedures nodig met gestandaardiseerde documenten (zoals vouchers) en online</w:t>
      </w:r>
      <w:r>
        <w:rPr>
          <w:noProof/>
        </w:rPr>
        <w:t xml:space="preserve"> hulpmiddelen voor de behandeling van aanvragen en voor het daaropvolgende toezicht op en de controle van de geïnstalleerde lokale draadloze toegangspunten.</w:t>
      </w:r>
    </w:p>
    <w:p w:rsidR="00A93FE6" w:rsidRDefault="008C548F">
      <w:pPr>
        <w:rPr>
          <w:noProof/>
        </w:rPr>
      </w:pPr>
      <w:r>
        <w:rPr>
          <w:noProof/>
        </w:rPr>
        <w:t xml:space="preserve">Verwacht wordt dat de voorgestelde maatregel, die door het EU-netwerk van adviesbureaus voor </w:t>
      </w:r>
      <w:r>
        <w:rPr>
          <w:noProof/>
        </w:rPr>
        <w:t>breedband zal worden gepromoot</w:t>
      </w:r>
      <w:r>
        <w:rPr>
          <w:rStyle w:val="FootnoteReference"/>
          <w:noProof/>
        </w:rPr>
        <w:footnoteReference w:id="8"/>
      </w:r>
      <w:r>
        <w:rPr>
          <w:noProof/>
        </w:rPr>
        <w:t>, de plaatselijke autoriteiten en burgers bewust zal maken van de nieuwe prioriteiten van de Commissie met betrekking tot de gigabitmaatschappij en dat de maatregel zal leiden tot een hoge mate van zichtbaarheid en vertrouwen</w:t>
      </w:r>
      <w:r>
        <w:rPr>
          <w:noProof/>
        </w:rPr>
        <w:t xml:space="preserve"> in het vermogen van de EU om van connectiviteit en toegang tot digitale diensten op het gehele Europese continent een realiteit te maken. De door de voorgestelde maatregel gefinancierde acties zullen kunnen worden herkend aan de hand van een specifieke, d</w:t>
      </w:r>
      <w:r>
        <w:rPr>
          <w:noProof/>
        </w:rPr>
        <w:t>oor de Commissie ontwikkelde visuele identiteit die ter beschikking van de begunstigden zal worden gesteld om merkbekendheid te creëren.</w:t>
      </w:r>
    </w:p>
    <w:p w:rsidR="00A93FE6" w:rsidRDefault="008C548F">
      <w:pPr>
        <w:pStyle w:val="ManualHeading2"/>
        <w:rPr>
          <w:rFonts w:eastAsia="Arial Unicode MS"/>
          <w:noProof/>
          <w:u w:color="000000"/>
        </w:rPr>
      </w:pPr>
      <w:r>
        <w:rPr>
          <w:noProof/>
        </w:rPr>
        <w:t>•</w:t>
      </w:r>
      <w:r>
        <w:rPr>
          <w:noProof/>
        </w:rPr>
        <w:tab/>
        <w:t>Samenhang met bestaande bepalingen op dit beleidsterrein</w:t>
      </w:r>
    </w:p>
    <w:p w:rsidR="00A93FE6" w:rsidRDefault="008C548F">
      <w:pPr>
        <w:rPr>
          <w:noProof/>
        </w:rPr>
      </w:pPr>
      <w:r>
        <w:rPr>
          <w:noProof/>
        </w:rPr>
        <w:t>Het huidige rechtskader voor telecommunicatie in de CEF voorziet in financiële steun op het gebied van telecommunicatie voor digitale-diensteninfrastructuren (in de vorm van subsidies en/of aanbestedingen) en breedbandnetwerken (in de vorm van financiële i</w:t>
      </w:r>
      <w:r>
        <w:rPr>
          <w:noProof/>
        </w:rPr>
        <w:t xml:space="preserve">nstrumenten). </w:t>
      </w:r>
    </w:p>
    <w:p w:rsidR="00A93FE6" w:rsidRDefault="008C548F">
      <w:pPr>
        <w:rPr>
          <w:noProof/>
        </w:rPr>
      </w:pPr>
      <w:r>
        <w:rPr>
          <w:noProof/>
        </w:rPr>
        <w:t>Gezien het grote belang van breedbandnetwerken voor groei en werkgelegenheid en gezien de moeilijkheden op financieel en technisch vlak waarmee publieke investeringen in deze sector gepaard gaan, voorziet de richtsnoerenverordening in beperk</w:t>
      </w:r>
      <w:r>
        <w:rPr>
          <w:noProof/>
        </w:rPr>
        <w:t>te maatregelen ter ondersteuning van breedband. De CEF levert een beperkte financiële bijdrage voor de oprichting van financiële instrumenten op Unieniveau, met name in samenwerking met de Europese Investeringsbank, om het efficiënte gebruik van andere pub</w:t>
      </w:r>
      <w:r>
        <w:rPr>
          <w:noProof/>
        </w:rPr>
        <w:t>lieke en particuliere middelen te bevorderen. De CEF is gericht op de uitrol van innovatieve, hoogtechnologische breedbandprojecten die potentieel reproduceerbaar zijn, waardoor de doelstellingen zowel rechtstreeks als via een demonstratie-effect worden ve</w:t>
      </w:r>
      <w:r>
        <w:rPr>
          <w:noProof/>
        </w:rPr>
        <w:t xml:space="preserve">rwezenlijkt. </w:t>
      </w:r>
    </w:p>
    <w:p w:rsidR="00A93FE6" w:rsidRDefault="008C548F">
      <w:pPr>
        <w:rPr>
          <w:i/>
          <w:noProof/>
        </w:rPr>
      </w:pPr>
      <w:r>
        <w:rPr>
          <w:noProof/>
        </w:rPr>
        <w:t xml:space="preserve">De voorgestelde maatregel is een aanvulling op de onderdelen van het voorstel voor een Europees wetboek voor elektronische communicatie die op de eindgebruiker zijn gericht. De steun voor de installatie van lokale draadloze toegangspunten in </w:t>
      </w:r>
      <w:r>
        <w:rPr>
          <w:noProof/>
        </w:rPr>
        <w:t>centra van het lokale openbare leven is een aanvulling op andere initiatieven van de CEF in de telecomsector en op andere vormen van financiële ondersteuning, zoals de Europese structuur- en investeringsfondsen, die de uitrol van breedbandnetwerken onderst</w:t>
      </w:r>
      <w:r>
        <w:rPr>
          <w:noProof/>
        </w:rPr>
        <w:t>eunen. Aangezien dergelijke maatregelen momenteel noch onder de CEF-verordening, noch onder de richtsnoerenverordening vallen, wordt voorgesteld deze verordeningen in die zin te wijzigen.</w:t>
      </w:r>
    </w:p>
    <w:p w:rsidR="00A93FE6" w:rsidRDefault="008C548F">
      <w:pPr>
        <w:pStyle w:val="ManualHeading1"/>
        <w:rPr>
          <w:noProof/>
        </w:rPr>
      </w:pPr>
      <w:r>
        <w:rPr>
          <w:noProof/>
        </w:rPr>
        <w:t>2.</w:t>
      </w:r>
      <w:r>
        <w:rPr>
          <w:noProof/>
        </w:rPr>
        <w:tab/>
        <w:t>RECHTSGRONDSLAG, SUBSIDIARITEIT EN EVENREDIGHEID</w:t>
      </w:r>
    </w:p>
    <w:p w:rsidR="00A93FE6" w:rsidRDefault="008C548F">
      <w:pPr>
        <w:pStyle w:val="ManualHeading2"/>
        <w:rPr>
          <w:rFonts w:eastAsia="Arial Unicode MS"/>
          <w:noProof/>
          <w:u w:color="000000"/>
        </w:rPr>
      </w:pPr>
      <w:r>
        <w:rPr>
          <w:noProof/>
        </w:rPr>
        <w:t>•</w:t>
      </w:r>
      <w:r>
        <w:rPr>
          <w:noProof/>
        </w:rPr>
        <w:tab/>
        <w:t>Rechtsgrondsla</w:t>
      </w:r>
      <w:r>
        <w:rPr>
          <w:noProof/>
        </w:rPr>
        <w:t>g</w:t>
      </w:r>
    </w:p>
    <w:p w:rsidR="00A93FE6" w:rsidRDefault="008C548F">
      <w:pPr>
        <w:rPr>
          <w:noProof/>
        </w:rPr>
      </w:pPr>
      <w:r>
        <w:rPr>
          <w:noProof/>
        </w:rPr>
        <w:t>Het voorstel is gebaseerd op artikel 172 VWEU dat voorziet in een optreden van de EU tot ondersteuning van de totstandbrenging en ontwikkeling van trans-Europese netwerken op het gebied van vervoers-, telecommunicatie- en energie-infrastructuur. Overeenk</w:t>
      </w:r>
      <w:r>
        <w:rPr>
          <w:noProof/>
        </w:rPr>
        <w:t>omstig artikel 170, lid 1, VWEU wordt met het initiatief getracht lokale gemeenschappen in staat te stellen ten volle profijt te trekken van de digitale eengemaakte markt door met de uitrol van dergelijke netwerken een gebied zonder binnengrenzen te creëre</w:t>
      </w:r>
      <w:r>
        <w:rPr>
          <w:noProof/>
        </w:rPr>
        <w:t>n.</w:t>
      </w:r>
    </w:p>
    <w:p w:rsidR="00A93FE6" w:rsidRDefault="008C548F">
      <w:pPr>
        <w:pStyle w:val="ManualHeading2"/>
        <w:rPr>
          <w:rFonts w:eastAsia="Arial Unicode MS"/>
          <w:i/>
          <w:noProof/>
          <w:u w:color="000000"/>
        </w:rPr>
      </w:pPr>
      <w:r>
        <w:rPr>
          <w:noProof/>
        </w:rPr>
        <w:t>•</w:t>
      </w:r>
      <w:r>
        <w:rPr>
          <w:noProof/>
        </w:rPr>
        <w:tab/>
        <w:t>Subsidiariteit en evenredigheid</w:t>
      </w:r>
    </w:p>
    <w:p w:rsidR="00A93FE6" w:rsidRDefault="008C548F">
      <w:pPr>
        <w:autoSpaceDE w:val="0"/>
        <w:autoSpaceDN w:val="0"/>
        <w:adjustRightInd w:val="0"/>
        <w:rPr>
          <w:noProof/>
          <w:szCs w:val="24"/>
        </w:rPr>
      </w:pPr>
      <w:r>
        <w:rPr>
          <w:noProof/>
        </w:rPr>
        <w:t>Het voorstel voldoet aan het evenredigheidsbeginsel en valt binnen de werkingssfeer van het optreden op het gebied van trans-Europese telecommunicatienetwerken, zoals omschreven in artikel 170 van het Verdrag betreffend</w:t>
      </w:r>
      <w:r>
        <w:rPr>
          <w:noProof/>
        </w:rPr>
        <w:t>e de werking van de Europese Unie.</w:t>
      </w:r>
    </w:p>
    <w:p w:rsidR="00A93FE6" w:rsidRDefault="008C548F">
      <w:pPr>
        <w:autoSpaceDE w:val="0"/>
        <w:autoSpaceDN w:val="0"/>
        <w:adjustRightInd w:val="0"/>
        <w:rPr>
          <w:noProof/>
        </w:rPr>
      </w:pPr>
      <w:r>
        <w:rPr>
          <w:noProof/>
        </w:rPr>
        <w:t>Door in de bredere context van de strategie voor de digitale eengemaakte markt in het bijzonder rekening te houden met de behoeften van lokale gemeenschappen, draagt het voorstel bij tot de totstandbrenging van een intern</w:t>
      </w:r>
      <w:r>
        <w:rPr>
          <w:noProof/>
        </w:rPr>
        <w:t>e markt voor elektronische communicatie en geeft het gemeenschappen de gelegenheid hieraan deel te nemen. Aangezien de lidstaten de totstandbrenging van kwalitatief hoogwaardige draadloze connectiviteit in een gebied dat de hele EU omvat, niet voldoende ku</w:t>
      </w:r>
      <w:r>
        <w:rPr>
          <w:noProof/>
        </w:rPr>
        <w:t>nnen verwezenlijken, is het voorstel in overeenstemming met het subsidiariteitsbeginsel van artikel 5 VEU. Verwacht wordt dat de maatregel onder meer door het EU-netwerk van adviesbureaus voor breedband zal worden gepromoot, wat ervoor zou moeten zorgen da</w:t>
      </w:r>
      <w:r>
        <w:rPr>
          <w:noProof/>
        </w:rPr>
        <w:t>t doeltreffend wordt ingespeeld op de behoeften van de lokale gemeenschappen en dat de administratieve lasten tot een minimum worden beperkt.</w:t>
      </w:r>
    </w:p>
    <w:p w:rsidR="00A93FE6" w:rsidRDefault="008C548F">
      <w:pPr>
        <w:autoSpaceDE w:val="0"/>
        <w:autoSpaceDN w:val="0"/>
        <w:adjustRightInd w:val="0"/>
        <w:rPr>
          <w:noProof/>
          <w:szCs w:val="24"/>
        </w:rPr>
      </w:pPr>
      <w:r>
        <w:rPr>
          <w:noProof/>
        </w:rPr>
        <w:t>De bestaande initiatieven inzake gratis lokale draadloze connectiviteit zijn versnipperd, wat leidt tot inefficiën</w:t>
      </w:r>
      <w:r>
        <w:rPr>
          <w:noProof/>
        </w:rPr>
        <w:t>tie. Er is met name geen overkoepelende strategie ter bevordering van gratis toegang tot draadloze connectiviteit in de gehele Unie om lokale gemeenschappen te stimuleren aan de digitale eengemaakte markt deel te nemen. Aangezien de individuele installatie</w:t>
      </w:r>
      <w:r>
        <w:rPr>
          <w:noProof/>
        </w:rPr>
        <w:t xml:space="preserve"> van lokale draadloze toegangspunten zelfs binnen lokale gemeenschappen op geografische grenzen botst, is het des te belangrijker dergelijke inspanningen te coördineren om te garanderen dat de uitrol op coherente wijze het gemeenschappelijke belang van EU-</w:t>
      </w:r>
      <w:r>
        <w:rPr>
          <w:noProof/>
        </w:rPr>
        <w:t>brede connectiviteit dient. Door gratis draadloze connectiviteitsoplossingen op een coherente manier op pan-Europees niveau uit te rollen, kunnen de kosten van de maatregel worden geoptimaliseerd (met name dankzij schaalvoordelen, wat leidt tot minder kost</w:t>
      </w:r>
      <w:r>
        <w:rPr>
          <w:noProof/>
        </w:rPr>
        <w:t>en voor het verlenen van kleine subsidies, en dankzij de prijsverlaging voor de apparatuur) en wordt gelijke toegang gegarandeerd, hetgeen de economische, sociale en territoriale cohesie binnen de Unie vergroot. De voorgestelde maatregel is ontworpen om ex</w:t>
      </w:r>
      <w:r>
        <w:rPr>
          <w:noProof/>
        </w:rPr>
        <w:t>tra Europese meerwaarde te creëren door ervoor te zorgen dat de uitgerolde infrastructuren het ook mogelijk maken om via infrastructuren voor digitale diensten toegang te krijgen tot trans-Europese interoperabele diensten van gemeenschappelijk belang, zoal</w:t>
      </w:r>
      <w:r>
        <w:rPr>
          <w:noProof/>
        </w:rPr>
        <w:t>s Europeana, infrastructuren voor een veiliger internet, en interoperabele grensoverschrijdende e-gezondheidsdiensten.</w:t>
      </w:r>
    </w:p>
    <w:p w:rsidR="00A93FE6" w:rsidRDefault="008C548F">
      <w:pPr>
        <w:autoSpaceDE w:val="0"/>
        <w:autoSpaceDN w:val="0"/>
        <w:adjustRightInd w:val="0"/>
        <w:rPr>
          <w:noProof/>
          <w:szCs w:val="24"/>
        </w:rPr>
      </w:pPr>
      <w:r>
        <w:rPr>
          <w:noProof/>
        </w:rPr>
        <w:t>Het toepassingsgebied van de voorgestelde maatregelen beperkt zich tot het verstrekken van connectiviteit in centra van het openbare leve</w:t>
      </w:r>
      <w:r>
        <w:rPr>
          <w:noProof/>
        </w:rPr>
        <w:t>n en openbare buitenruimten via toegangspunten die door de aard van hun ontwerp een beperkte reikwijdte hebben; bovendien zullen de afzonderlijke projecten kleinschalig zijn. De maatregelen blijft dus evenredig ten opzichte van het beoogde doel om lokale g</w:t>
      </w:r>
      <w:r>
        <w:rPr>
          <w:noProof/>
        </w:rPr>
        <w:t>emeenschappen in staat te stellen deel te nemen aan de draadloze dimensie van de digitale eengemaakte markt, zonder afbreuk te doen aan het commerciële aanbod. Tegelijkertijd zal de maatregel naar verwachting positieve gevolgen hebben voor de algemene vraa</w:t>
      </w:r>
      <w:r>
        <w:rPr>
          <w:noProof/>
        </w:rPr>
        <w:t>g naar connectiviteit via commerciële toegangsdiensten. Verwacht wordt dat de maatregelen nog doeltreffender zullen worden door hun eenvoudige reproduceerbaarheid en het potentiële demonstratie-effect van succesvolle use cases.</w:t>
      </w:r>
    </w:p>
    <w:p w:rsidR="00A93FE6" w:rsidRDefault="008C548F">
      <w:pPr>
        <w:autoSpaceDE w:val="0"/>
        <w:autoSpaceDN w:val="0"/>
        <w:adjustRightInd w:val="0"/>
        <w:rPr>
          <w:noProof/>
          <w:szCs w:val="24"/>
        </w:rPr>
      </w:pPr>
      <w:r>
        <w:rPr>
          <w:noProof/>
        </w:rPr>
        <w:t>Door de voorgestelde maatreg</w:t>
      </w:r>
      <w:r>
        <w:rPr>
          <w:noProof/>
        </w:rPr>
        <w:t>el online te beheren, in combinatie met onder meer steun van het netwerk van nationale adviesbureaus voor breedband, zullen de administratieve lasten die de deelname aan en tenuitvoerlegging van het initiatief met zich meebrengen, tot een minimum worden be</w:t>
      </w:r>
      <w:r>
        <w:rPr>
          <w:noProof/>
        </w:rPr>
        <w:t>perkt.</w:t>
      </w:r>
    </w:p>
    <w:p w:rsidR="00A93FE6" w:rsidRDefault="008C548F">
      <w:pPr>
        <w:pStyle w:val="ManualHeading1"/>
        <w:rPr>
          <w:noProof/>
        </w:rPr>
      </w:pPr>
      <w:r>
        <w:rPr>
          <w:noProof/>
        </w:rPr>
        <w:t>3.</w:t>
      </w:r>
      <w:r>
        <w:rPr>
          <w:noProof/>
        </w:rPr>
        <w:tab/>
        <w:t>RESULTATEN VAN EX-POSTEVALUATIES, RAADPLEGINGEN VAN BELANGHEBBENDEN EN EFFECTBEOORDELINGEN</w:t>
      </w:r>
    </w:p>
    <w:p w:rsidR="00A93FE6" w:rsidRDefault="00A93FE6">
      <w:pPr>
        <w:pStyle w:val="Text1"/>
        <w:ind w:left="0"/>
        <w:rPr>
          <w:i/>
          <w:noProof/>
        </w:rPr>
      </w:pPr>
    </w:p>
    <w:p w:rsidR="00A93FE6" w:rsidRDefault="008C548F">
      <w:pPr>
        <w:pStyle w:val="Text1"/>
        <w:ind w:left="0"/>
        <w:rPr>
          <w:noProof/>
          <w:szCs w:val="24"/>
        </w:rPr>
      </w:pPr>
      <w:r>
        <w:rPr>
          <w:noProof/>
        </w:rPr>
        <w:t>Aangezien dit initiatief een aanvulling is op het nieuwe telecompakket, waaronder de mededeling over een Europese visie op internetconnectiviteit voor bur</w:t>
      </w:r>
      <w:r>
        <w:rPr>
          <w:noProof/>
        </w:rPr>
        <w:t>gers en ondernemingen op de digitale eengemaakte markt en het wetgevingsvoorstel ter herziening van het regelgevingskader voor elektronische communicatie, is het in grote mate gebaseerd op de inbreng van belanghebbenden en de uitvoerige analyse van de eval</w:t>
      </w:r>
      <w:r>
        <w:rPr>
          <w:noProof/>
        </w:rPr>
        <w:t>uatie en effectbeoordeling ter ondersteuning van deze voorstellen en de bij de mededeling horende werkdocumenten van de diensten van de Commissie. De voornaamste punten voor de voorgestelde maatregel worden hieronder samengevat. De algemene conclusie van d</w:t>
      </w:r>
      <w:r>
        <w:rPr>
          <w:noProof/>
        </w:rPr>
        <w:t xml:space="preserve">e analyse is dat hoewel met wetgevende en regelgevende maatregelen obstakels kunnen worden weggeruimd, concurrentieprikkels worden versterkt, investeerders meer voorspelbaarheid krijgen en de kosten voor de aanleg van netwerken afnemen, er een belangrijke </w:t>
      </w:r>
      <w:r>
        <w:rPr>
          <w:noProof/>
        </w:rPr>
        <w:t>rol is weggelegd voor openbare financiering om de langetermijndoelstellingen met betrekking tot connectiviteit in Europa te verwezenlijken.</w:t>
      </w:r>
    </w:p>
    <w:p w:rsidR="00A93FE6" w:rsidRDefault="008C548F">
      <w:pPr>
        <w:rPr>
          <w:noProof/>
        </w:rPr>
      </w:pPr>
      <w:r>
        <w:rPr>
          <w:noProof/>
        </w:rPr>
        <w:t>Uit het recente verslag</w:t>
      </w:r>
      <w:r>
        <w:rPr>
          <w:rStyle w:val="FootnoteReference"/>
          <w:noProof/>
        </w:rPr>
        <w:footnoteReference w:id="9"/>
      </w:r>
      <w:r>
        <w:rPr>
          <w:noProof/>
        </w:rPr>
        <w:t xml:space="preserve"> betreffende de resultaten van de publieke raadpleging die de Commissie heeft uitgevoerd met</w:t>
      </w:r>
      <w:r>
        <w:rPr>
          <w:noProof/>
        </w:rPr>
        <w:t xml:space="preserve"> het oog op de herziening van het regelgevingskader voor elektronische communicatie, blijkt dat veel overheden en private respondenten de uitrol van wifinetwerken op openbare plaatsen steunen en tegelijk om een gepast regelgevingskader vragen voor vraagstu</w:t>
      </w:r>
      <w:r>
        <w:rPr>
          <w:noProof/>
        </w:rPr>
        <w:t>kken m.b.t. de aansprakelijkheid van aanbieders van internettoegang en de blootstelling aan elektromagnetische velden. De exploitanten benadrukken dat eventuele overheidssteun technologieneutraal moet zijn en dat de uitrol ook kan worden vergemakkelijkt do</w:t>
      </w:r>
      <w:r>
        <w:rPr>
          <w:noProof/>
        </w:rPr>
        <w:t>or middel van diverse vormen van publiek-private partnerschappen. Deze resultaten sluiten aan bij de ex-postevaluatie van de huidige regeling, die bij het voorstel ter herziening van het regelgevingskader is gevoegd.</w:t>
      </w:r>
    </w:p>
    <w:p w:rsidR="00A93FE6" w:rsidRDefault="008C548F">
      <w:pPr>
        <w:rPr>
          <w:noProof/>
        </w:rPr>
      </w:pPr>
      <w:r>
        <w:rPr>
          <w:noProof/>
        </w:rPr>
        <w:t>In de effectbeoordeling die werd uitgev</w:t>
      </w:r>
      <w:r>
        <w:rPr>
          <w:noProof/>
        </w:rPr>
        <w:t>oerd met het oog op de herziening van het regelgevingskader, wordt voortgebouwd op de opmerkingen van de belanghebbenden en wordt voorgesteld om bepalingen inzake de uitrol van kleine cellen vast te stellen. Deze bepalingen hebben als doel de kosten voor d</w:t>
      </w:r>
      <w:r>
        <w:rPr>
          <w:noProof/>
        </w:rPr>
        <w:t>e uitrol van zeer dichte netwerken te verminderen en de toegang tot lokale draadloze connectiviteit te verbeteren om tegemoet te komen aan de exponentiële toename van de vraag naar universele connectiviteit. De voorgestelde maatregel, die een aanvulling is</w:t>
      </w:r>
      <w:r>
        <w:rPr>
          <w:noProof/>
        </w:rPr>
        <w:t xml:space="preserve"> op de voorkeursoptie voor de ontwikkeling van het regelgevend kader op het gebied van spectrumbeheer, zal bijdragen tot de verstrekking van kosteloze lokale draadloze connectiviteit en op die manier helpen om de Europese visie op internetconnectiviteit vo</w:t>
      </w:r>
      <w:r>
        <w:rPr>
          <w:noProof/>
        </w:rPr>
        <w:t>or burgers en ondernemingen op de digitale eengemaakte markt werkelijkheid te laten worden.</w:t>
      </w:r>
    </w:p>
    <w:p w:rsidR="00A93FE6" w:rsidRDefault="008C548F">
      <w:pPr>
        <w:pStyle w:val="ManualHeading1"/>
        <w:rPr>
          <w:noProof/>
        </w:rPr>
      </w:pPr>
      <w:r>
        <w:rPr>
          <w:noProof/>
        </w:rPr>
        <w:t>4.</w:t>
      </w:r>
      <w:r>
        <w:rPr>
          <w:noProof/>
        </w:rPr>
        <w:tab/>
        <w:t>GEVOLGEN VOOR DE BEGROTING</w:t>
      </w:r>
    </w:p>
    <w:p w:rsidR="00A93FE6" w:rsidRDefault="008C548F">
      <w:pPr>
        <w:rPr>
          <w:noProof/>
        </w:rPr>
      </w:pPr>
      <w:r>
        <w:rPr>
          <w:noProof/>
        </w:rPr>
        <w:t>De voor dit voorstel vereiste kredieten zullen volledig worden gefinancierd met middelen die in het meerjarig financieel kader 2014-20</w:t>
      </w:r>
      <w:r>
        <w:rPr>
          <w:noProof/>
        </w:rPr>
        <w:t xml:space="preserve">20 zijn uitgetrokken. Een bedrag van 70 miljoen EUR zal worden herschikt binnen de geprogrammeerde bedragen van de CEF voor de telecomsector 2017-2019 en 50 miljoen EUR zal via een wijziging van artikel 5, lid 1, van de CEF-verordening worden overgeheveld </w:t>
      </w:r>
      <w:r>
        <w:rPr>
          <w:noProof/>
        </w:rPr>
        <w:t>naar de financiële middelen voor de telecommunicatiesector. Omwille van de consistentie komt deze stijging ook tot uiting in het voorstel voor een wijziging van het rechtskader voor het Europees Fonds voor strategische investeringen</w:t>
      </w:r>
      <w:r>
        <w:rPr>
          <w:rStyle w:val="FootnoteReference"/>
          <w:noProof/>
        </w:rPr>
        <w:footnoteReference w:id="10"/>
      </w:r>
      <w:r>
        <w:rPr>
          <w:noProof/>
        </w:rPr>
        <w:t xml:space="preserve">, zoals vastgesteld in </w:t>
      </w:r>
      <w:r>
        <w:rPr>
          <w:noProof/>
        </w:rPr>
        <w:t>Verordening (EU) 2015/1017</w:t>
      </w:r>
      <w:r>
        <w:rPr>
          <w:rStyle w:val="FootnoteReference"/>
          <w:noProof/>
        </w:rPr>
        <w:footnoteReference w:id="11"/>
      </w:r>
      <w:r>
        <w:rPr>
          <w:noProof/>
        </w:rPr>
        <w:t>.</w:t>
      </w:r>
    </w:p>
    <w:p w:rsidR="00A93FE6" w:rsidRDefault="00A93FE6">
      <w:pPr>
        <w:rPr>
          <w:noProof/>
        </w:rPr>
        <w:sectPr w:rsidR="00A93FE6" w:rsidSect="008C548F">
          <w:footerReference w:type="default" r:id="rId16"/>
          <w:footerReference w:type="first" r:id="rId17"/>
          <w:pgSz w:w="11907" w:h="16839"/>
          <w:pgMar w:top="1134" w:right="1417" w:bottom="1134" w:left="1417" w:header="709" w:footer="709" w:gutter="0"/>
          <w:cols w:space="708"/>
          <w:docGrid w:linePitch="360"/>
        </w:sectPr>
      </w:pPr>
    </w:p>
    <w:p w:rsidR="00A93FE6" w:rsidRDefault="008C548F" w:rsidP="008C548F">
      <w:pPr>
        <w:pStyle w:val="Rfrenceinterinstitutionnelle"/>
        <w:rPr>
          <w:noProof/>
        </w:rPr>
      </w:pPr>
      <w:r w:rsidRPr="008C548F">
        <w:t>2016/0287 (COD)</w:t>
      </w:r>
    </w:p>
    <w:p w:rsidR="00A93FE6" w:rsidRDefault="008C548F" w:rsidP="008C548F">
      <w:pPr>
        <w:pStyle w:val="Statut"/>
        <w:rPr>
          <w:noProof/>
        </w:rPr>
      </w:pPr>
      <w:r w:rsidRPr="008C548F">
        <w:t>Voorstel voor een</w:t>
      </w:r>
    </w:p>
    <w:p w:rsidR="00A93FE6" w:rsidRDefault="008C548F" w:rsidP="008C548F">
      <w:pPr>
        <w:pStyle w:val="Typedudocument"/>
        <w:rPr>
          <w:noProof/>
        </w:rPr>
      </w:pPr>
      <w:r w:rsidRPr="008C548F">
        <w:t>VERORDENING VAN HET EUROPEES PARLEMENT EN DE RAAD</w:t>
      </w:r>
    </w:p>
    <w:p w:rsidR="00A93FE6" w:rsidRDefault="008C548F" w:rsidP="008C548F">
      <w:pPr>
        <w:pStyle w:val="Titreobjet"/>
        <w:rPr>
          <w:noProof/>
        </w:rPr>
      </w:pPr>
      <w:r w:rsidRPr="008C548F">
        <w:t>tot wijziging van de Verordeningen (EU) nr.</w:t>
      </w:r>
      <w:r>
        <w:t> </w:t>
      </w:r>
      <w:r w:rsidRPr="008C548F">
        <w:t>1316/2013 en (EU) nr.</w:t>
      </w:r>
      <w:r>
        <w:t> </w:t>
      </w:r>
      <w:r w:rsidRPr="008C548F">
        <w:t>283/2014 wat de bevordering van internetconnectiviteit in lokale gemeenschappen betreft</w:t>
      </w:r>
    </w:p>
    <w:p w:rsidR="00A93FE6" w:rsidRDefault="008C548F" w:rsidP="008C548F">
      <w:pPr>
        <w:pStyle w:val="IntrtEEE"/>
        <w:rPr>
          <w:noProof/>
        </w:rPr>
      </w:pPr>
      <w:r w:rsidRPr="008C548F">
        <w:t>(Voor de EER relevante tekst)</w:t>
      </w:r>
    </w:p>
    <w:p w:rsidR="00A93FE6" w:rsidRDefault="008C548F">
      <w:pPr>
        <w:pStyle w:val="Institutionquiagit"/>
        <w:rPr>
          <w:noProof/>
        </w:rPr>
      </w:pPr>
      <w:r>
        <w:rPr>
          <w:noProof/>
        </w:rPr>
        <w:t>HET EUROPEES PARLEMENT EN DE RAAD VAN DE EUROPESE UNIE,</w:t>
      </w:r>
    </w:p>
    <w:p w:rsidR="00A93FE6" w:rsidRDefault="008C548F">
      <w:pPr>
        <w:rPr>
          <w:noProof/>
          <w:szCs w:val="24"/>
        </w:rPr>
      </w:pPr>
      <w:r>
        <w:rPr>
          <w:noProof/>
        </w:rPr>
        <w:t>Gezien het Verdrag betreffende de werking van de Europes</w:t>
      </w:r>
      <w:r>
        <w:rPr>
          <w:noProof/>
        </w:rPr>
        <w:t xml:space="preserve">e Unie, en met name artikel 172, </w:t>
      </w:r>
    </w:p>
    <w:p w:rsidR="00A93FE6" w:rsidRDefault="008C548F">
      <w:pPr>
        <w:rPr>
          <w:noProof/>
          <w:szCs w:val="24"/>
        </w:rPr>
      </w:pPr>
      <w:r>
        <w:rPr>
          <w:noProof/>
        </w:rPr>
        <w:t>Gezien het voorstel van de Europese Commissie,</w:t>
      </w:r>
    </w:p>
    <w:p w:rsidR="00A93FE6" w:rsidRDefault="008C548F">
      <w:pPr>
        <w:rPr>
          <w:noProof/>
          <w:szCs w:val="24"/>
        </w:rPr>
      </w:pPr>
      <w:r>
        <w:rPr>
          <w:noProof/>
        </w:rPr>
        <w:t>Na toezending van het ontwerp van wetgevingshandeling aan de nationale parlementen,</w:t>
      </w:r>
    </w:p>
    <w:p w:rsidR="00A93FE6" w:rsidRDefault="008C548F">
      <w:pPr>
        <w:rPr>
          <w:noProof/>
          <w:szCs w:val="24"/>
        </w:rPr>
      </w:pPr>
      <w:r>
        <w:rPr>
          <w:noProof/>
        </w:rPr>
        <w:t>Gezien het advies van het Europees Economisch en Sociaal Comité</w:t>
      </w:r>
      <w:r>
        <w:rPr>
          <w:rStyle w:val="FootnoteReference"/>
          <w:noProof/>
        </w:rPr>
        <w:footnoteReference w:id="12"/>
      </w:r>
      <w:r>
        <w:rPr>
          <w:noProof/>
        </w:rPr>
        <w:t xml:space="preserve">, </w:t>
      </w:r>
    </w:p>
    <w:p w:rsidR="00A93FE6" w:rsidRDefault="008C548F">
      <w:pPr>
        <w:rPr>
          <w:noProof/>
          <w:szCs w:val="24"/>
        </w:rPr>
      </w:pPr>
      <w:r>
        <w:rPr>
          <w:noProof/>
        </w:rPr>
        <w:t>Gezien het advies van he</w:t>
      </w:r>
      <w:r>
        <w:rPr>
          <w:noProof/>
        </w:rPr>
        <w:t>t Comité van de Regio's</w:t>
      </w:r>
      <w:r>
        <w:rPr>
          <w:rStyle w:val="FootnoteReference"/>
          <w:noProof/>
        </w:rPr>
        <w:footnoteReference w:id="13"/>
      </w:r>
      <w:r>
        <w:rPr>
          <w:noProof/>
        </w:rPr>
        <w:t xml:space="preserve">, </w:t>
      </w:r>
    </w:p>
    <w:p w:rsidR="00A93FE6" w:rsidRDefault="008C548F">
      <w:pPr>
        <w:rPr>
          <w:noProof/>
          <w:szCs w:val="24"/>
        </w:rPr>
      </w:pPr>
      <w:r>
        <w:rPr>
          <w:noProof/>
        </w:rPr>
        <w:t>Handelend volgens de gewone wetgevingsprocedure,</w:t>
      </w:r>
    </w:p>
    <w:p w:rsidR="00A93FE6" w:rsidRDefault="008C548F">
      <w:pPr>
        <w:rPr>
          <w:noProof/>
        </w:rPr>
      </w:pPr>
      <w:r>
        <w:rPr>
          <w:noProof/>
        </w:rPr>
        <w:t>Overwegende hetgeen volgt:</w:t>
      </w:r>
    </w:p>
    <w:p w:rsidR="00A93FE6" w:rsidRDefault="008C548F">
      <w:pPr>
        <w:pStyle w:val="ManualConsidrant"/>
        <w:rPr>
          <w:noProof/>
        </w:rPr>
      </w:pPr>
      <w:r>
        <w:t>(1)</w:t>
      </w:r>
      <w:r>
        <w:tab/>
      </w:r>
      <w:r>
        <w:rPr>
          <w:noProof/>
        </w:rPr>
        <w:t>In de mededeling van de Commissie over een Europese visie op internetconnectiviteit voor burgers en ondernemingen op de digitale eengemaakte markt</w:t>
      </w:r>
      <w:r>
        <w:rPr>
          <w:rStyle w:val="FootnoteReference"/>
          <w:noProof/>
        </w:rPr>
        <w:footnoteReference w:id="14"/>
      </w:r>
      <w:r>
        <w:rPr>
          <w:noProof/>
        </w:rPr>
        <w:t xml:space="preserve"> w</w:t>
      </w:r>
      <w:r>
        <w:rPr>
          <w:noProof/>
        </w:rPr>
        <w:t xml:space="preserve">ordt een aantal mogelijke maatregelen beschreven waarmee de connectiviteit in de Europese Unie kan worden verbeterd. </w:t>
      </w:r>
    </w:p>
    <w:p w:rsidR="00A93FE6" w:rsidRDefault="008C548F">
      <w:pPr>
        <w:pStyle w:val="ManualConsidrant"/>
        <w:rPr>
          <w:noProof/>
        </w:rPr>
      </w:pPr>
      <w:r>
        <w:t>(2)</w:t>
      </w:r>
      <w:r>
        <w:tab/>
      </w:r>
      <w:r>
        <w:rPr>
          <w:noProof/>
        </w:rPr>
        <w:t>Tot de maatregelen ter ondersteuning van de visie op Europese connectiviteit behoort de bevordering van de uitrol van lokale draadloze</w:t>
      </w:r>
      <w:r>
        <w:rPr>
          <w:noProof/>
        </w:rPr>
        <w:t xml:space="preserve"> toegangspunten door middel van vereenvoudigde vergunningsprocedures en minder administratieve belemmeringen. Dergelijke toegangspunten, met inbegrip van deze voor aanvullende openbare dienstverlening of voor niet-commerciële activiteiten, kunnen een belan</w:t>
      </w:r>
      <w:r>
        <w:rPr>
          <w:noProof/>
        </w:rPr>
        <w:t>grijke bijdrage leveren aan de verbetering van de huidige en toekomstige generaties draadloze communicatienetwerken door voor een fijnmazigere dekking te zorgen die tegemoet komt aan de evoluerende behoeften.</w:t>
      </w:r>
    </w:p>
    <w:p w:rsidR="00A93FE6" w:rsidRDefault="008C548F">
      <w:pPr>
        <w:pStyle w:val="ManualConsidrant"/>
        <w:rPr>
          <w:noProof/>
        </w:rPr>
      </w:pPr>
      <w:r>
        <w:t>(3)</w:t>
      </w:r>
      <w:r>
        <w:tab/>
      </w:r>
      <w:r>
        <w:rPr>
          <w:noProof/>
        </w:rPr>
        <w:t>In aansluiting op de mededeling over een Eu</w:t>
      </w:r>
      <w:r>
        <w:rPr>
          <w:noProof/>
        </w:rPr>
        <w:t>ropese visie op internetconnectiviteit voor de digitale eengemaakte markt en met het oog op de bevordering van digitale inclusie, moet de Unie het aanbod van gratis lokale draadloze connectiviteit in centra van het lokale openbare leven, met inbegrip van d</w:t>
      </w:r>
      <w:r>
        <w:rPr>
          <w:noProof/>
        </w:rPr>
        <w:t>e openbare buitenruimten, doelgericht ondersteunen. Dergelijke steun valt tot dusver niet onder de Verordeningen (EU) nr. 1316/2013</w:t>
      </w:r>
      <w:r>
        <w:rPr>
          <w:rStyle w:val="FootnoteReference"/>
          <w:noProof/>
        </w:rPr>
        <w:footnoteReference w:id="15"/>
      </w:r>
      <w:r>
        <w:rPr>
          <w:noProof/>
        </w:rPr>
        <w:t xml:space="preserve"> en (EU) nr. 283/2014</w:t>
      </w:r>
      <w:r>
        <w:rPr>
          <w:rStyle w:val="FootnoteReference"/>
          <w:noProof/>
        </w:rPr>
        <w:footnoteReference w:id="16"/>
      </w:r>
      <w:r>
        <w:rPr>
          <w:noProof/>
        </w:rPr>
        <w:t>.</w:t>
      </w:r>
    </w:p>
    <w:p w:rsidR="00A93FE6" w:rsidRDefault="008C548F">
      <w:pPr>
        <w:pStyle w:val="ManualConsidrant"/>
        <w:rPr>
          <w:noProof/>
        </w:rPr>
      </w:pPr>
      <w:r>
        <w:t>(4)</w:t>
      </w:r>
      <w:r>
        <w:tab/>
      </w:r>
      <w:r>
        <w:rPr>
          <w:noProof/>
        </w:rPr>
        <w:t>Dit soort steun moet entiteiten met een openbare opdracht, zoals overheden en aanbieders van ope</w:t>
      </w:r>
      <w:r>
        <w:rPr>
          <w:noProof/>
        </w:rPr>
        <w:t xml:space="preserve">nbare diensten, aanmoedigen om naast hun openbare opdracht gratis lokale draadloze connectiviteit aan te bieden, zodat lokale gemeenschappen de voordelen van supersnelle breedband kunnen ervaren in centra van het openbare leven. Voorbeelden van dergelijke </w:t>
      </w:r>
      <w:r>
        <w:rPr>
          <w:noProof/>
        </w:rPr>
        <w:t>entiteiten zijn gemeenten, andere lokale overheden, bibliotheken en ziekenhuizen.</w:t>
      </w:r>
    </w:p>
    <w:p w:rsidR="00A93FE6" w:rsidRDefault="008C548F">
      <w:pPr>
        <w:pStyle w:val="ManualConsidrant"/>
        <w:rPr>
          <w:noProof/>
        </w:rPr>
      </w:pPr>
      <w:r>
        <w:t>(5)</w:t>
      </w:r>
      <w:r>
        <w:tab/>
      </w:r>
      <w:r>
        <w:rPr>
          <w:noProof/>
        </w:rPr>
        <w:t>Lokale draadloze connectiviteit mag slechts als gratis worden aangemerkt als deze wordt aangeboden zonder tegenprestatie, hetzij in de vorm van een directe betaling, hetz</w:t>
      </w:r>
      <w:r>
        <w:rPr>
          <w:noProof/>
        </w:rPr>
        <w:t>ij in de vorm van andere soorten van vergoeding, met inbegrip van, maar niet beperkt tot, reclame en het verstrekken van persoonsgegevens.</w:t>
      </w:r>
    </w:p>
    <w:p w:rsidR="00A93FE6" w:rsidRDefault="008C548F">
      <w:pPr>
        <w:pStyle w:val="ManualConsidrant"/>
        <w:rPr>
          <w:noProof/>
        </w:rPr>
      </w:pPr>
      <w:r>
        <w:t>(6)</w:t>
      </w:r>
      <w:r>
        <w:tab/>
      </w:r>
      <w:r>
        <w:rPr>
          <w:noProof/>
        </w:rPr>
        <w:t>Aangezien de maatregelen een specifiek doel dienen en gericht zijn op lokale behoeften, moeten zij worden aangeme</w:t>
      </w:r>
      <w:r>
        <w:rPr>
          <w:noProof/>
        </w:rPr>
        <w:t>rkt als een afzonderlijk project van gemeenschappelijk belang in de telecomsector in de zin van de Verordeningen (EU) nr. 1316/2013 en (EU) nr. 283/2014.</w:t>
      </w:r>
    </w:p>
    <w:p w:rsidR="00A93FE6" w:rsidRDefault="008C548F">
      <w:pPr>
        <w:pStyle w:val="ManualConsidrant"/>
        <w:rPr>
          <w:noProof/>
        </w:rPr>
      </w:pPr>
      <w:r>
        <w:t>(7)</w:t>
      </w:r>
      <w:r>
        <w:tab/>
      </w:r>
      <w:r>
        <w:rPr>
          <w:noProof/>
        </w:rPr>
        <w:t>Om deze maatregelen passend te financieren, moeten de financiële middelen voor de tenuitvoerleggin</w:t>
      </w:r>
      <w:r>
        <w:rPr>
          <w:noProof/>
        </w:rPr>
        <w:t>g van de financieringsfaciliteit voor Europese verbindingen (CEF) in de telecomsector met 50 000 000 EUR worden verhoogd.</w:t>
      </w:r>
    </w:p>
    <w:p w:rsidR="00A93FE6" w:rsidRDefault="008C548F">
      <w:pPr>
        <w:pStyle w:val="ManualConsidrant"/>
        <w:rPr>
          <w:noProof/>
        </w:rPr>
      </w:pPr>
      <w:r>
        <w:t>(8)</w:t>
      </w:r>
      <w:r>
        <w:tab/>
      </w:r>
      <w:r>
        <w:rPr>
          <w:noProof/>
        </w:rPr>
        <w:t>Gezien het niet-commerciële karakter van deze maatregel en de beperkte omvang van de geplande afzonderlijke projecten moet de admi</w:t>
      </w:r>
      <w:r>
        <w:rPr>
          <w:noProof/>
        </w:rPr>
        <w:t>nistratieve druk tot een minimum worden beperkt. De maatregelen moeten daarom worden uitgevoerd met de meest geschikte vormen van financiële bijstand, met name subsidies, die nu of in de toekomst beschikbaar zijn overeenkomstig het Financieel Reglement. De</w:t>
      </w:r>
      <w:r>
        <w:rPr>
          <w:noProof/>
        </w:rPr>
        <w:t xml:space="preserve"> maatregelen mogen niet met financiële instrumenten worden ondersteund.</w:t>
      </w:r>
    </w:p>
    <w:p w:rsidR="00A93FE6" w:rsidRDefault="008C548F">
      <w:pPr>
        <w:pStyle w:val="ManualConsidrant"/>
        <w:rPr>
          <w:noProof/>
        </w:rPr>
      </w:pPr>
      <w:r>
        <w:t>(9)</w:t>
      </w:r>
      <w:r>
        <w:tab/>
      </w:r>
      <w:r>
        <w:rPr>
          <w:noProof/>
        </w:rPr>
        <w:t>Vanwege het beperkte bereik van lokale draadloze toegangspunten en de geringe waarde van de afzonderlijke projecten wordt niet verwacht dat toegangspunten die financiële bijstand g</w:t>
      </w:r>
      <w:r>
        <w:rPr>
          <w:noProof/>
        </w:rPr>
        <w:t>enieten uit hoofde van deze verordening, in het vaarwater van het commerciële aanbod zullen komen. Om er verder voor te zorgen dat dergelijke financiële bijstand de mededinging niet onnodig verstoort, particuliere investeringen niet verdringt of particulie</w:t>
      </w:r>
      <w:r>
        <w:rPr>
          <w:noProof/>
        </w:rPr>
        <w:t>re exploitanten niet ontmoedigt om te investeren, moeten de maatregelen worden beperkt tot projecten die niet overlappen met soortgelijk, reeds bestaand particulier of openbaar aanbod in hetzelfde gebied. Dit sluit niet uit dat in het kader van dit initiat</w:t>
      </w:r>
      <w:r>
        <w:rPr>
          <w:noProof/>
        </w:rPr>
        <w:t>ief aanvullende steun wordt verleend uit publieke of private financieringsbronnen.</w:t>
      </w:r>
    </w:p>
    <w:p w:rsidR="00A93FE6" w:rsidRDefault="008C548F">
      <w:pPr>
        <w:pStyle w:val="ManualConsidrant"/>
        <w:rPr>
          <w:noProof/>
        </w:rPr>
      </w:pPr>
      <w:r>
        <w:t>(10)</w:t>
      </w:r>
      <w:r>
        <w:tab/>
      </w:r>
      <w:r>
        <w:rPr>
          <w:noProof/>
        </w:rPr>
        <w:t>Om ervoor te zorgen dat de connectiviteit overeenkomstig deze verordening snel wordt verstrekt, moet bij het verlenen van de financiële bijstand zo veel mogelijk gebrui</w:t>
      </w:r>
      <w:r>
        <w:rPr>
          <w:noProof/>
        </w:rPr>
        <w:t>k worden gemaakt van online instrumenten waarmee aanvragen snel kunnen worden ingediend en behandeld en die de tenuitvoerlegging, monitoring en controle van de geïnstalleerde lokale draadloze toegangspunten ondersteunen.</w:t>
      </w:r>
    </w:p>
    <w:p w:rsidR="00A93FE6" w:rsidRDefault="008C548F">
      <w:pPr>
        <w:pStyle w:val="ManualConsidrant"/>
        <w:rPr>
          <w:noProof/>
        </w:rPr>
      </w:pPr>
      <w:r>
        <w:t>(11)</w:t>
      </w:r>
      <w:r>
        <w:tab/>
      </w:r>
      <w:r>
        <w:rPr>
          <w:noProof/>
        </w:rPr>
        <w:t>Gezien de internetconnectivite</w:t>
      </w:r>
      <w:r>
        <w:rPr>
          <w:noProof/>
        </w:rPr>
        <w:t>itsbehoeften binnen de Unie en het feit dat de uitrol van toegangsnetwerken die in de hele EU een kwalitatief hoogwaardige internetervaring op basis van zeer snelle breedbanddiensten kunnen bieden, dringend moet worden bevorderd, zou in het kader van de fi</w:t>
      </w:r>
      <w:r>
        <w:rPr>
          <w:noProof/>
        </w:rPr>
        <w:t>nanciële bijstand een geografisch evenwichtige verdeling moeten worden nagestreefd.</w:t>
      </w:r>
    </w:p>
    <w:p w:rsidR="00A93FE6" w:rsidRDefault="008C548F">
      <w:pPr>
        <w:pStyle w:val="ManualConsidrant"/>
        <w:rPr>
          <w:noProof/>
        </w:rPr>
      </w:pPr>
      <w:r>
        <w:t>(12)</w:t>
      </w:r>
      <w:r>
        <w:tab/>
      </w:r>
      <w:r>
        <w:rPr>
          <w:noProof/>
        </w:rPr>
        <w:t>De Verordeningen (EU) nr. 1316/2013 en (EU) nr. 283/2014 moeten derhalve dienovereenkomstig worden gewijzigd,</w:t>
      </w:r>
    </w:p>
    <w:p w:rsidR="00A93FE6" w:rsidRDefault="008C548F">
      <w:pPr>
        <w:pStyle w:val="Formuledadoption"/>
        <w:rPr>
          <w:noProof/>
        </w:rPr>
      </w:pPr>
      <w:r>
        <w:rPr>
          <w:noProof/>
        </w:rPr>
        <w:t>HEBBEN DE VOLGENDE VERORDENING VASTGESTELD:</w:t>
      </w:r>
    </w:p>
    <w:p w:rsidR="00A93FE6" w:rsidRDefault="008C548F">
      <w:pPr>
        <w:pStyle w:val="Titrearticle"/>
        <w:rPr>
          <w:noProof/>
        </w:rPr>
      </w:pPr>
      <w:r>
        <w:rPr>
          <w:noProof/>
        </w:rPr>
        <w:t>Artikel 1</w:t>
      </w:r>
    </w:p>
    <w:p w:rsidR="00A93FE6" w:rsidRDefault="008C548F">
      <w:pPr>
        <w:pStyle w:val="Titrearticle"/>
        <w:rPr>
          <w:b/>
          <w:noProof/>
        </w:rPr>
      </w:pPr>
      <w:r>
        <w:rPr>
          <w:b/>
          <w:i w:val="0"/>
          <w:noProof/>
        </w:rPr>
        <w:t>Wij</w:t>
      </w:r>
      <w:r>
        <w:rPr>
          <w:b/>
          <w:i w:val="0"/>
          <w:noProof/>
        </w:rPr>
        <w:t>ziging van Verordening (EU) nr. 1316/2013</w:t>
      </w:r>
    </w:p>
    <w:p w:rsidR="00A93FE6" w:rsidRDefault="008C548F">
      <w:pPr>
        <w:pStyle w:val="Text1"/>
        <w:ind w:left="0"/>
        <w:rPr>
          <w:noProof/>
        </w:rPr>
      </w:pPr>
      <w:r>
        <w:rPr>
          <w:noProof/>
        </w:rPr>
        <w:t>Verordening (EU) nr. 1316/2013 wordt als volgt gewijzigd:</w:t>
      </w:r>
    </w:p>
    <w:p w:rsidR="00A93FE6" w:rsidRDefault="008C548F">
      <w:pPr>
        <w:pStyle w:val="Text1"/>
        <w:ind w:left="0"/>
        <w:rPr>
          <w:noProof/>
        </w:rPr>
      </w:pPr>
      <w:r>
        <w:rPr>
          <w:noProof/>
        </w:rPr>
        <w:t>1. in artikel 5, lid 1, eerste alinea, wordt het bepaalde onder b) vervangen door:</w:t>
      </w:r>
    </w:p>
    <w:p w:rsidR="00A93FE6" w:rsidRDefault="008C548F">
      <w:pPr>
        <w:pStyle w:val="Text1"/>
        <w:ind w:left="360" w:firstLine="360"/>
        <w:rPr>
          <w:noProof/>
        </w:rPr>
      </w:pPr>
      <w:r>
        <w:rPr>
          <w:noProof/>
        </w:rPr>
        <w:t>"b) sector telecommunicatie: 1 091 602 000 EUR;";</w:t>
      </w:r>
    </w:p>
    <w:p w:rsidR="00A93FE6" w:rsidRDefault="008C548F">
      <w:pPr>
        <w:pStyle w:val="Text1"/>
        <w:ind w:left="0"/>
        <w:rPr>
          <w:noProof/>
        </w:rPr>
      </w:pPr>
      <w:r>
        <w:rPr>
          <w:noProof/>
        </w:rPr>
        <w:t xml:space="preserve">2. artikel 7 wordt als volgt gewijzigd: </w:t>
      </w:r>
    </w:p>
    <w:p w:rsidR="00A93FE6" w:rsidRDefault="008C548F">
      <w:pPr>
        <w:pStyle w:val="ManualNumPar3"/>
        <w:ind w:left="1200"/>
        <w:rPr>
          <w:noProof/>
        </w:rPr>
      </w:pPr>
      <w:r>
        <w:rPr>
          <w:noProof/>
        </w:rPr>
        <w:t>a)</w:t>
      </w:r>
      <w:r>
        <w:rPr>
          <w:noProof/>
        </w:rPr>
        <w:tab/>
        <w:t>lid 1 wordt vervangen door:</w:t>
      </w:r>
    </w:p>
    <w:p w:rsidR="00A93FE6" w:rsidRDefault="008C548F">
      <w:pPr>
        <w:pStyle w:val="Text1"/>
        <w:spacing w:after="240"/>
        <w:ind w:left="360"/>
        <w:rPr>
          <w:noProof/>
        </w:rPr>
      </w:pPr>
      <w:r>
        <w:rPr>
          <w:noProof/>
        </w:rPr>
        <w:t>"1. Alleen acties die bijdragen aan projecten van gemeenschappelijk belang overeenkomstig de Verordeningen (EU) nr. 1315/2013, (EU) nr. 347/2013 en een verordening betreffende richtsno</w:t>
      </w:r>
      <w:r>
        <w:rPr>
          <w:noProof/>
        </w:rPr>
        <w:t>eren voor trans-Europese netwerken op het gebied van telecommunicatie-infrastructuur, alsook programmaondersteunende acties, komen in aanmerking voor financiële bijstand van de Unie, met name in de vorm van subsidies, aanbestedingen en financiële instrumen</w:t>
      </w:r>
      <w:r>
        <w:rPr>
          <w:noProof/>
        </w:rPr>
        <w:t>ten.";</w:t>
      </w:r>
    </w:p>
    <w:p w:rsidR="00A93FE6" w:rsidRDefault="008C548F">
      <w:pPr>
        <w:pStyle w:val="ManualNumPar3"/>
        <w:ind w:left="1200"/>
        <w:rPr>
          <w:noProof/>
        </w:rPr>
      </w:pPr>
      <w:r>
        <w:rPr>
          <w:noProof/>
        </w:rPr>
        <w:t>b)</w:t>
      </w:r>
      <w:r>
        <w:rPr>
          <w:noProof/>
        </w:rPr>
        <w:tab/>
        <w:t xml:space="preserve">lid 4 wordt vervangen door: </w:t>
      </w:r>
    </w:p>
    <w:p w:rsidR="00A93FE6" w:rsidRDefault="008C548F">
      <w:pPr>
        <w:pStyle w:val="Text1"/>
        <w:ind w:left="360"/>
        <w:rPr>
          <w:noProof/>
        </w:rPr>
      </w:pPr>
      <w:r>
        <w:rPr>
          <w:noProof/>
        </w:rPr>
        <w:t xml:space="preserve">"4. In de sector telecommunicatie komen alle acties voor de uitvoering van projecten van gemeenschappelijk belang en programmaondersteunende acties, die zijn aangeduid in de toepasselijke verordening betreffende </w:t>
      </w:r>
      <w:r>
        <w:rPr>
          <w:noProof/>
        </w:rPr>
        <w:t>richtsnoeren voor trans-Europese netwerken op het gebied van telecommunicatie-infrastructuur en die voldoen aan de overeenkomstig die verordening vastgestelde criteria en/of voorwaarden, in aanmerking voor financiële bijstand van de Unie in het kader van d</w:t>
      </w:r>
      <w:r>
        <w:rPr>
          <w:noProof/>
        </w:rPr>
        <w:t>e onderhavige verordening, als volgt:</w:t>
      </w:r>
    </w:p>
    <w:p w:rsidR="00A93FE6" w:rsidRDefault="008C548F">
      <w:pPr>
        <w:pStyle w:val="Text1"/>
        <w:ind w:left="360"/>
        <w:rPr>
          <w:noProof/>
        </w:rPr>
      </w:pPr>
      <w:r>
        <w:rPr>
          <w:noProof/>
        </w:rPr>
        <w:t>a) algemene diensten, platforms van kerndiensten en programmaondersteunende acties worden gefinancierd door middel van subsidies en/of aanbestedingen;</w:t>
      </w:r>
    </w:p>
    <w:p w:rsidR="00A93FE6" w:rsidRDefault="008C548F">
      <w:pPr>
        <w:pStyle w:val="Text1"/>
        <w:ind w:left="360"/>
        <w:rPr>
          <w:noProof/>
        </w:rPr>
      </w:pPr>
      <w:r>
        <w:rPr>
          <w:noProof/>
        </w:rPr>
        <w:t xml:space="preserve">b) acties op het gebied van breedbandnetwerken worden gefinancierd </w:t>
      </w:r>
      <w:r>
        <w:rPr>
          <w:noProof/>
        </w:rPr>
        <w:t>door middel van financiële instrumenten;</w:t>
      </w:r>
    </w:p>
    <w:p w:rsidR="00A93FE6" w:rsidRDefault="008C548F">
      <w:pPr>
        <w:pStyle w:val="Text1"/>
        <w:spacing w:after="240"/>
        <w:ind w:left="360"/>
        <w:rPr>
          <w:noProof/>
        </w:rPr>
      </w:pPr>
      <w:r>
        <w:rPr>
          <w:noProof/>
        </w:rPr>
        <w:t>c) acties op het gebied van de kosteloze verstrekking van lokale draadloze connectiviteit in lokale gemeenschappen worden gefinancierd door middel van subsidies of andere vormen van financiële bijstand dan financiël</w:t>
      </w:r>
      <w:r>
        <w:rPr>
          <w:noProof/>
        </w:rPr>
        <w:t>e instrumenten.";</w:t>
      </w:r>
    </w:p>
    <w:p w:rsidR="00A93FE6" w:rsidRDefault="008C548F">
      <w:pPr>
        <w:pStyle w:val="Text1"/>
        <w:ind w:left="0"/>
        <w:rPr>
          <w:noProof/>
        </w:rPr>
      </w:pPr>
      <w:r>
        <w:rPr>
          <w:noProof/>
        </w:rPr>
        <w:t xml:space="preserve">3. in artikel 9 wordt het volgende lid toegevoegd: </w:t>
      </w:r>
    </w:p>
    <w:p w:rsidR="00A93FE6" w:rsidRDefault="008C548F">
      <w:pPr>
        <w:pStyle w:val="Text1"/>
        <w:ind w:left="0"/>
        <w:rPr>
          <w:noProof/>
        </w:rPr>
      </w:pPr>
      <w:r>
        <w:rPr>
          <w:noProof/>
        </w:rPr>
        <w:t xml:space="preserve">"1 bis. Waar dat gerechtvaardigd is om onnodige administratieve druk te voorkomen, met name in het geval van subsidies van kleine bedragen in de zin van artikel 185 van Verordening (EU) </w:t>
      </w:r>
      <w:r>
        <w:rPr>
          <w:noProof/>
        </w:rPr>
        <w:t>nr. 1268/2012, kunnen de lidstaten toestemming geven voor een bepaalde categorie van voorstellen in het kader van de werkprogramma’s als bedoeld in artikel 17, zonder de individuele aanvragers te vermelden.";</w:t>
      </w:r>
    </w:p>
    <w:p w:rsidR="00A93FE6" w:rsidRDefault="008C548F">
      <w:pPr>
        <w:pStyle w:val="Text1"/>
        <w:ind w:left="0"/>
        <w:rPr>
          <w:noProof/>
        </w:rPr>
      </w:pPr>
      <w:r>
        <w:rPr>
          <w:noProof/>
        </w:rPr>
        <w:t>4. in artikel 10, lid 4, wordt de volgende derd</w:t>
      </w:r>
      <w:r>
        <w:rPr>
          <w:noProof/>
        </w:rPr>
        <w:t xml:space="preserve">e alinea toegevoegd: </w:t>
      </w:r>
    </w:p>
    <w:p w:rsidR="00A93FE6" w:rsidRDefault="008C548F">
      <w:pPr>
        <w:pStyle w:val="Text1"/>
        <w:ind w:left="0"/>
        <w:rPr>
          <w:noProof/>
        </w:rPr>
      </w:pPr>
      <w:r>
        <w:rPr>
          <w:noProof/>
        </w:rPr>
        <w:t>"Acties op het gebied van de verstrekking van kosteloze lokale draadloze connectiviteit in lokale gemeenschappen worden gefinancierd met financiële bijstand van de Unie die tot 100 % van de in aanmerking komende kosten dekt, onvermind</w:t>
      </w:r>
      <w:r>
        <w:rPr>
          <w:noProof/>
        </w:rPr>
        <w:t>erd het medefinancieringsbeginsel.".</w:t>
      </w:r>
    </w:p>
    <w:p w:rsidR="00A93FE6" w:rsidRDefault="00A93FE6">
      <w:pPr>
        <w:pStyle w:val="Text1"/>
        <w:ind w:left="0"/>
        <w:rPr>
          <w:noProof/>
        </w:rPr>
      </w:pPr>
    </w:p>
    <w:p w:rsidR="00A93FE6" w:rsidRDefault="008C548F">
      <w:pPr>
        <w:pStyle w:val="Titrearticle"/>
        <w:rPr>
          <w:noProof/>
        </w:rPr>
      </w:pPr>
      <w:r>
        <w:rPr>
          <w:noProof/>
        </w:rPr>
        <w:t>Artikel 2</w:t>
      </w:r>
    </w:p>
    <w:p w:rsidR="00A93FE6" w:rsidRDefault="008C548F">
      <w:pPr>
        <w:pStyle w:val="Titrearticle"/>
        <w:rPr>
          <w:b/>
          <w:i w:val="0"/>
          <w:noProof/>
        </w:rPr>
      </w:pPr>
      <w:r>
        <w:rPr>
          <w:b/>
          <w:i w:val="0"/>
          <w:noProof/>
        </w:rPr>
        <w:t>Wijziging van Verordening (EU) nr. 283/2014</w:t>
      </w:r>
    </w:p>
    <w:p w:rsidR="00A93FE6" w:rsidRDefault="008C548F">
      <w:pPr>
        <w:pStyle w:val="Text1"/>
        <w:ind w:left="0"/>
        <w:rPr>
          <w:noProof/>
        </w:rPr>
      </w:pPr>
      <w:r>
        <w:rPr>
          <w:noProof/>
        </w:rPr>
        <w:t>Verordening (EU) nr. 283/2014 wordt als volgt gewijzigd:</w:t>
      </w:r>
    </w:p>
    <w:p w:rsidR="00A93FE6" w:rsidRDefault="008C548F">
      <w:pPr>
        <w:pStyle w:val="Text1"/>
        <w:ind w:left="0"/>
        <w:rPr>
          <w:bCs/>
          <w:noProof/>
        </w:rPr>
      </w:pPr>
      <w:r>
        <w:rPr>
          <w:noProof/>
        </w:rPr>
        <w:t>1. in artikel 2, lid 2, wordt het volgende punt h) toegevoegd:</w:t>
      </w:r>
    </w:p>
    <w:p w:rsidR="00A93FE6" w:rsidRDefault="008C548F">
      <w:pPr>
        <w:pStyle w:val="Text1"/>
        <w:spacing w:after="240"/>
        <w:ind w:left="0"/>
        <w:rPr>
          <w:bCs/>
          <w:noProof/>
        </w:rPr>
      </w:pPr>
      <w:r>
        <w:rPr>
          <w:noProof/>
        </w:rPr>
        <w:t xml:space="preserve">"h) "lokaal draadloos toegangspunt": kleine </w:t>
      </w:r>
      <w:r>
        <w:rPr>
          <w:noProof/>
        </w:rPr>
        <w:t>uitrusting met laag vermogen en beperkt bereik, die op niet-exclusieve basis radiospectrum gebruikt waarvan de voorwaarden voor de beschikbaarheid en het efficiënt gebruik ervan op Unieniveau zijn geharmoniseerd, en die gebruikers draadloze toegang geeft t</w:t>
      </w:r>
      <w:r>
        <w:rPr>
          <w:noProof/>
        </w:rPr>
        <w:t xml:space="preserve">ot een elektronischecommunicatienetwerk."; </w:t>
      </w:r>
    </w:p>
    <w:p w:rsidR="00A93FE6" w:rsidRDefault="008C548F">
      <w:pPr>
        <w:pStyle w:val="Text1"/>
        <w:spacing w:after="240"/>
        <w:ind w:left="0"/>
        <w:rPr>
          <w:bCs/>
          <w:noProof/>
        </w:rPr>
      </w:pPr>
      <w:r>
        <w:rPr>
          <w:noProof/>
        </w:rPr>
        <w:t>2. in artikel 4, lid 1, wordt het volgende punt c) toegevoegd:</w:t>
      </w:r>
    </w:p>
    <w:p w:rsidR="00A93FE6" w:rsidRDefault="008C548F">
      <w:pPr>
        <w:pStyle w:val="Text1"/>
        <w:spacing w:after="240"/>
        <w:ind w:left="0"/>
        <w:rPr>
          <w:bCs/>
          <w:noProof/>
        </w:rPr>
      </w:pPr>
      <w:r>
        <w:rPr>
          <w:noProof/>
        </w:rPr>
        <w:t>"c) zij ondersteunen de verstrekking kosteloze lokale draadloze connectiviteit in lokale gemeenschappen.";</w:t>
      </w:r>
    </w:p>
    <w:p w:rsidR="00A93FE6" w:rsidRDefault="008C548F">
      <w:pPr>
        <w:pStyle w:val="Text1"/>
        <w:ind w:left="0"/>
        <w:rPr>
          <w:bCs/>
          <w:noProof/>
        </w:rPr>
      </w:pPr>
      <w:r>
        <w:rPr>
          <w:noProof/>
        </w:rPr>
        <w:t xml:space="preserve">3. artikel 5 wordt als volgt gewijzigd: </w:t>
      </w:r>
    </w:p>
    <w:p w:rsidR="00A93FE6" w:rsidRDefault="008C548F">
      <w:pPr>
        <w:pStyle w:val="ManualNumPar1"/>
        <w:ind w:hanging="370"/>
        <w:rPr>
          <w:noProof/>
        </w:rPr>
      </w:pPr>
      <w:r>
        <w:rPr>
          <w:noProof/>
        </w:rPr>
        <w:t>a)</w:t>
      </w:r>
      <w:r>
        <w:rPr>
          <w:noProof/>
        </w:rPr>
        <w:tab/>
        <w:t>lid 7 wordt vervangen door:</w:t>
      </w:r>
    </w:p>
    <w:p w:rsidR="00A93FE6" w:rsidRDefault="008C548F">
      <w:pPr>
        <w:spacing w:after="240"/>
        <w:ind w:left="720"/>
        <w:rPr>
          <w:noProof/>
        </w:rPr>
      </w:pPr>
      <w:r>
        <w:rPr>
          <w:noProof/>
        </w:rPr>
        <w:t>"7. Het totale bedrag van de begrotingsmiddelen die worden toegewezen aan financiële instrumenten voor breedbandnetwerken, is niet hoger dan het minimumbedrag dat nodig is met het oog op kostenefficiënte interventies, op basi</w:t>
      </w:r>
      <w:r>
        <w:rPr>
          <w:noProof/>
        </w:rPr>
        <w:t xml:space="preserve">s van de in artikel 14, lid 1, van Verordening (EU) nr. 1316/2013 bedoelde voorafgaande beoordelingen. </w:t>
      </w:r>
    </w:p>
    <w:p w:rsidR="00A93FE6" w:rsidRDefault="008C548F">
      <w:pPr>
        <w:spacing w:after="240"/>
        <w:ind w:left="720"/>
        <w:rPr>
          <w:noProof/>
          <w:szCs w:val="24"/>
        </w:rPr>
      </w:pPr>
      <w:r>
        <w:rPr>
          <w:noProof/>
        </w:rPr>
        <w:t>Dat bedrag vertegenwoordigt tot 15 % van de financiële middelen voor de telecommunicatiesector, bedoeld in artikel 5, lid 1, onder b), van Verordening (</w:t>
      </w:r>
      <w:r>
        <w:rPr>
          <w:noProof/>
        </w:rPr>
        <w:t>EU) nr. 1316/2013.";</w:t>
      </w:r>
    </w:p>
    <w:p w:rsidR="00A93FE6" w:rsidRDefault="008C548F">
      <w:pPr>
        <w:pStyle w:val="ManualNumPar1"/>
        <w:ind w:hanging="370"/>
        <w:rPr>
          <w:noProof/>
        </w:rPr>
      </w:pPr>
      <w:r>
        <w:rPr>
          <w:noProof/>
        </w:rPr>
        <w:t>b)</w:t>
      </w:r>
      <w:r>
        <w:rPr>
          <w:noProof/>
        </w:rPr>
        <w:tab/>
        <w:t>het volgende lid wordt toegevoegd:</w:t>
      </w:r>
    </w:p>
    <w:p w:rsidR="00A93FE6" w:rsidRDefault="008C548F">
      <w:pPr>
        <w:pStyle w:val="Text1"/>
        <w:spacing w:after="240"/>
        <w:ind w:left="720"/>
        <w:rPr>
          <w:bCs/>
          <w:noProof/>
        </w:rPr>
      </w:pPr>
      <w:r>
        <w:rPr>
          <w:noProof/>
        </w:rPr>
        <w:t>"5 bis. Acties die bijdragen tot projecten van gemeenschappelijk belang op het gebied van de kosteloze verstrekking van lokale draadloze connectiviteit in lokale gemeenschappen worden ondersteund m</w:t>
      </w:r>
      <w:r>
        <w:rPr>
          <w:noProof/>
        </w:rPr>
        <w:t>et:</w:t>
      </w:r>
    </w:p>
    <w:p w:rsidR="00A93FE6" w:rsidRDefault="008C548F">
      <w:pPr>
        <w:pStyle w:val="Text1"/>
        <w:spacing w:after="240"/>
        <w:ind w:left="720"/>
        <w:rPr>
          <w:bCs/>
          <w:noProof/>
        </w:rPr>
      </w:pPr>
      <w:r>
        <w:rPr>
          <w:noProof/>
        </w:rPr>
        <w:t xml:space="preserve">a) subsidies; en/of </w:t>
      </w:r>
    </w:p>
    <w:p w:rsidR="00A93FE6" w:rsidRDefault="008C548F">
      <w:pPr>
        <w:pStyle w:val="Text1"/>
        <w:spacing w:after="240"/>
        <w:ind w:left="720"/>
        <w:rPr>
          <w:noProof/>
        </w:rPr>
      </w:pPr>
      <w:r>
        <w:rPr>
          <w:noProof/>
        </w:rPr>
        <w:t>b) andere vormen van financiële bijstand dan financiële instrumenten.";</w:t>
      </w:r>
    </w:p>
    <w:p w:rsidR="00A93FE6" w:rsidRDefault="008C548F">
      <w:pPr>
        <w:pStyle w:val="Text1"/>
        <w:ind w:left="0"/>
        <w:rPr>
          <w:bCs/>
          <w:noProof/>
        </w:rPr>
      </w:pPr>
      <w:r>
        <w:rPr>
          <w:noProof/>
        </w:rPr>
        <w:t>4. in artikel 6 wordt het volgende lid 8 bis toegevoegd:</w:t>
      </w:r>
    </w:p>
    <w:p w:rsidR="00A93FE6" w:rsidRDefault="008C548F">
      <w:pPr>
        <w:pStyle w:val="Text1"/>
        <w:spacing w:after="240"/>
        <w:ind w:left="0"/>
        <w:rPr>
          <w:bCs/>
          <w:noProof/>
        </w:rPr>
      </w:pPr>
      <w:r>
        <w:rPr>
          <w:noProof/>
        </w:rPr>
        <w:t xml:space="preserve">"8 bis. Acties die bijdragen tot de verwezenlijking van projecten van gemeenschappelijk belang op het </w:t>
      </w:r>
      <w:r>
        <w:rPr>
          <w:noProof/>
        </w:rPr>
        <w:t>gebied van de kosteloze verstrekking van lokale draadloze connectiviteit in lokale gemeenschappen voldoen aan de voorwaarden die in afdeling 4 van de bijlage zijn opgenomen.";</w:t>
      </w:r>
    </w:p>
    <w:p w:rsidR="00A93FE6" w:rsidRDefault="008C548F">
      <w:pPr>
        <w:pStyle w:val="Text1"/>
        <w:ind w:left="0"/>
        <w:rPr>
          <w:bCs/>
          <w:noProof/>
        </w:rPr>
      </w:pPr>
      <w:r>
        <w:rPr>
          <w:noProof/>
        </w:rPr>
        <w:t>5. in artikel 8, lid 9, wordt het volgende punt d) toegevoegd:</w:t>
      </w:r>
    </w:p>
    <w:p w:rsidR="00A93FE6" w:rsidRDefault="008C548F">
      <w:pPr>
        <w:pStyle w:val="Text1"/>
        <w:spacing w:after="240"/>
        <w:ind w:left="0"/>
        <w:rPr>
          <w:bCs/>
          <w:noProof/>
        </w:rPr>
      </w:pPr>
      <w:r>
        <w:rPr>
          <w:noProof/>
        </w:rPr>
        <w:t>"d) het aantal aa</w:t>
      </w:r>
      <w:r>
        <w:rPr>
          <w:noProof/>
        </w:rPr>
        <w:t>nsluitingen op lokale draadloze toegangspunten tot stand gebracht in het kader van acties ter uitvoering van afdeling 4 van de bijlage.";</w:t>
      </w:r>
    </w:p>
    <w:p w:rsidR="00A93FE6" w:rsidRDefault="008C548F">
      <w:pPr>
        <w:rPr>
          <w:noProof/>
          <w:szCs w:val="24"/>
        </w:rPr>
      </w:pPr>
      <w:r>
        <w:rPr>
          <w:noProof/>
        </w:rPr>
        <w:t xml:space="preserve">6. in de bijlage wordt de volgende afdeling ingevoegd: </w:t>
      </w:r>
    </w:p>
    <w:p w:rsidR="00A93FE6" w:rsidRDefault="008C548F">
      <w:pPr>
        <w:jc w:val="center"/>
        <w:rPr>
          <w:noProof/>
          <w:szCs w:val="24"/>
        </w:rPr>
      </w:pPr>
      <w:r>
        <w:rPr>
          <w:noProof/>
        </w:rPr>
        <w:t>"AFDELING 4. DRAADLOZE CONNECTIVITEIT IN LOKALE GEMEENSCHAPPEN</w:t>
      </w:r>
    </w:p>
    <w:p w:rsidR="00A93FE6" w:rsidRDefault="008C548F">
      <w:pPr>
        <w:rPr>
          <w:noProof/>
          <w:szCs w:val="24"/>
        </w:rPr>
      </w:pPr>
      <w:r>
        <w:rPr>
          <w:noProof/>
        </w:rPr>
        <w:t>Acties die gericht zijn op de verstrekking van kosteloze lokale draadloze connectiviteit in de centra van het lokale openbare leven, met inbegrip van openbare buitenruimten die een belangrijke rol spelen in het openbare leven van lokale gemeenschappen, ko</w:t>
      </w:r>
      <w:r>
        <w:rPr>
          <w:noProof/>
        </w:rPr>
        <w:t xml:space="preserve">men in aanmerking voor financiële bijstand. </w:t>
      </w:r>
    </w:p>
    <w:p w:rsidR="00A93FE6" w:rsidRDefault="008C548F">
      <w:pPr>
        <w:rPr>
          <w:noProof/>
          <w:szCs w:val="24"/>
        </w:rPr>
      </w:pPr>
      <w:r>
        <w:rPr>
          <w:noProof/>
        </w:rPr>
        <w:t>Financiële bijstand is beschikbaar voor entiteiten met een openbare opdracht, zoals lokale overheden en aanbieders van openbare diensten, die zich ertoe verbinden kosteloze lokale draadloze connectiviteit te ver</w:t>
      </w:r>
      <w:r>
        <w:rPr>
          <w:noProof/>
        </w:rPr>
        <w:t>strekken door middel van de installatie van lokale draadloze toegangspunten.</w:t>
      </w:r>
    </w:p>
    <w:p w:rsidR="00A93FE6" w:rsidRDefault="008C548F">
      <w:pPr>
        <w:rPr>
          <w:noProof/>
          <w:szCs w:val="24"/>
        </w:rPr>
      </w:pPr>
      <w:r>
        <w:rPr>
          <w:noProof/>
        </w:rPr>
        <w:t>Projecten voor de verstrekking van draadloze connectiviteit via vrij toegankelijke lokale draadloze toegangspunten kunnen financiering ontvangen indien deze:</w:t>
      </w:r>
    </w:p>
    <w:p w:rsidR="00A93FE6" w:rsidRDefault="008C548F">
      <w:pPr>
        <w:pStyle w:val="ManualNumPar1"/>
        <w:rPr>
          <w:noProof/>
        </w:rPr>
      </w:pPr>
      <w:r>
        <w:rPr>
          <w:noProof/>
        </w:rPr>
        <w:t>1)</w:t>
      </w:r>
      <w:r>
        <w:rPr>
          <w:noProof/>
        </w:rPr>
        <w:tab/>
        <w:t xml:space="preserve">worden uitgevoerd </w:t>
      </w:r>
      <w:r>
        <w:rPr>
          <w:noProof/>
        </w:rPr>
        <w:t>door een entiteit met een openbare opdracht die de installatie van lokale draadloze toegangspunten in openbare binnen- of buitenruimten kan plannen en controleren;</w:t>
      </w:r>
    </w:p>
    <w:p w:rsidR="00A93FE6" w:rsidRDefault="008C548F">
      <w:pPr>
        <w:pStyle w:val="ManualNumPar1"/>
        <w:rPr>
          <w:noProof/>
          <w:szCs w:val="24"/>
        </w:rPr>
      </w:pPr>
      <w:r>
        <w:rPr>
          <w:noProof/>
        </w:rPr>
        <w:t>2)</w:t>
      </w:r>
      <w:r>
        <w:rPr>
          <w:noProof/>
        </w:rPr>
        <w:tab/>
        <w:t>gebruikmaken van zeer snelle breedbandconnectiviteit die de gebruikers een kwalitatief ho</w:t>
      </w:r>
      <w:r>
        <w:rPr>
          <w:noProof/>
        </w:rPr>
        <w:t xml:space="preserve">ogwaardige internetervaring biedt die </w:t>
      </w:r>
    </w:p>
    <w:p w:rsidR="00A93FE6" w:rsidRDefault="008C548F">
      <w:pPr>
        <w:pStyle w:val="ManualNumPar4"/>
        <w:ind w:left="1560" w:hanging="720"/>
        <w:rPr>
          <w:noProof/>
        </w:rPr>
      </w:pPr>
      <w:r>
        <w:rPr>
          <w:noProof/>
        </w:rPr>
        <w:t>a.</w:t>
      </w:r>
      <w:r>
        <w:rPr>
          <w:noProof/>
        </w:rPr>
        <w:tab/>
        <w:t xml:space="preserve">kosteloos en gemakkelijk toegankelijk is en gebruikmaakt van hoogtechnologische uitrusting, en </w:t>
      </w:r>
    </w:p>
    <w:p w:rsidR="00A93FE6" w:rsidRDefault="008C548F">
      <w:pPr>
        <w:pStyle w:val="ManualNumPar4"/>
        <w:ind w:left="1560" w:hanging="720"/>
        <w:rPr>
          <w:noProof/>
          <w:szCs w:val="24"/>
        </w:rPr>
      </w:pPr>
      <w:r>
        <w:rPr>
          <w:noProof/>
        </w:rPr>
        <w:t>b.</w:t>
      </w:r>
      <w:r>
        <w:rPr>
          <w:noProof/>
        </w:rPr>
        <w:tab/>
        <w:t>de toegang tot innovatieve digitale diensten ondersteunt, zoals die welke worden aangeboden via infrastructuren voo</w:t>
      </w:r>
      <w:r>
        <w:rPr>
          <w:noProof/>
        </w:rPr>
        <w:t>r digitale diensten;</w:t>
      </w:r>
    </w:p>
    <w:p w:rsidR="00A93FE6" w:rsidRDefault="008C548F">
      <w:pPr>
        <w:pStyle w:val="ManualNumPar1"/>
        <w:rPr>
          <w:noProof/>
        </w:rPr>
      </w:pPr>
      <w:r>
        <w:rPr>
          <w:noProof/>
        </w:rPr>
        <w:t>3)</w:t>
      </w:r>
      <w:r>
        <w:rPr>
          <w:noProof/>
        </w:rPr>
        <w:tab/>
        <w:t>gebruikmaken van de door de Commissie te verstrekken gemeenschappelijke visuele identiteit en verwijzen naar de bijbehorende online instrumenten.</w:t>
      </w:r>
    </w:p>
    <w:p w:rsidR="00A93FE6" w:rsidRDefault="008C548F">
      <w:pPr>
        <w:rPr>
          <w:noProof/>
          <w:szCs w:val="24"/>
        </w:rPr>
      </w:pPr>
      <w:r>
        <w:rPr>
          <w:noProof/>
        </w:rPr>
        <w:t>Projecten die overlappen met een reeds bestaand particulier of publiek aanbod met soor</w:t>
      </w:r>
      <w:r>
        <w:rPr>
          <w:noProof/>
        </w:rPr>
        <w:t>tgelijke kenmerken, met inbegrip van kwaliteitskenmerken, in hetzelfde gebied, komen niet in aanmerking.</w:t>
      </w:r>
    </w:p>
    <w:p w:rsidR="00A93FE6" w:rsidRDefault="008C548F">
      <w:pPr>
        <w:rPr>
          <w:noProof/>
          <w:szCs w:val="24"/>
        </w:rPr>
      </w:pPr>
      <w:r>
        <w:rPr>
          <w:noProof/>
        </w:rPr>
        <w:t xml:space="preserve">Het beschikbare budget wordt op een geografisch evenwichtige wijze toegewezen aan projecten die aan de bovengenoemde voorwaarden voldoen, op basis van </w:t>
      </w:r>
      <w:r>
        <w:rPr>
          <w:noProof/>
        </w:rPr>
        <w:t>de ontvangen voorstellen en, in beginsel, volgens het principe "wie het eerst komt, het eerst maalt".".</w:t>
      </w:r>
    </w:p>
    <w:p w:rsidR="00A93FE6" w:rsidRDefault="008C548F">
      <w:pPr>
        <w:keepNext/>
        <w:spacing w:before="360"/>
        <w:jc w:val="center"/>
        <w:rPr>
          <w:i/>
          <w:noProof/>
        </w:rPr>
      </w:pPr>
      <w:r>
        <w:rPr>
          <w:i/>
          <w:noProof/>
        </w:rPr>
        <w:t>Artikel 3</w:t>
      </w:r>
    </w:p>
    <w:p w:rsidR="00A93FE6" w:rsidRDefault="008C548F">
      <w:pPr>
        <w:keepNext/>
        <w:spacing w:before="360"/>
        <w:jc w:val="center"/>
        <w:rPr>
          <w:i/>
          <w:noProof/>
        </w:rPr>
      </w:pPr>
      <w:r>
        <w:rPr>
          <w:b/>
          <w:noProof/>
        </w:rPr>
        <w:t>Inwerkingtreding</w:t>
      </w:r>
    </w:p>
    <w:p w:rsidR="00A93FE6" w:rsidRDefault="008C548F">
      <w:pPr>
        <w:rPr>
          <w:noProof/>
          <w:szCs w:val="24"/>
        </w:rPr>
      </w:pPr>
      <w:r>
        <w:rPr>
          <w:noProof/>
        </w:rPr>
        <w:t xml:space="preserve">Deze verordening treedt in werking op de twintigste dag na die van de bekendmaking ervan in het </w:t>
      </w:r>
      <w:r>
        <w:rPr>
          <w:i/>
          <w:noProof/>
        </w:rPr>
        <w:t xml:space="preserve">Publicatieblad van de </w:t>
      </w:r>
      <w:r>
        <w:rPr>
          <w:i/>
          <w:noProof/>
        </w:rPr>
        <w:t>Europese Unie</w:t>
      </w:r>
      <w:r>
        <w:rPr>
          <w:noProof/>
        </w:rPr>
        <w:t>.</w:t>
      </w:r>
    </w:p>
    <w:p w:rsidR="00A93FE6" w:rsidRDefault="00A93FE6">
      <w:pPr>
        <w:rPr>
          <w:noProof/>
          <w:szCs w:val="24"/>
        </w:rPr>
      </w:pPr>
    </w:p>
    <w:p w:rsidR="00A93FE6" w:rsidRDefault="008C548F">
      <w:pPr>
        <w:pStyle w:val="Applicationdirecte"/>
        <w:rPr>
          <w:noProof/>
        </w:rPr>
      </w:pPr>
      <w:r>
        <w:rPr>
          <w:noProof/>
        </w:rPr>
        <w:t>Deze verordening is verbindend in al haar onderdelen en is rechtstreeks toepasselijk in elke lidstaat.</w:t>
      </w:r>
    </w:p>
    <w:p w:rsidR="00A93FE6" w:rsidRDefault="008C548F" w:rsidP="008C548F">
      <w:pPr>
        <w:pStyle w:val="Fait"/>
        <w:rPr>
          <w:noProof/>
        </w:rPr>
      </w:pPr>
      <w:r w:rsidRPr="008C548F">
        <w:t>Gedaan te Brussel,</w:t>
      </w:r>
    </w:p>
    <w:p w:rsidR="00A93FE6" w:rsidRDefault="008C548F">
      <w:pPr>
        <w:pStyle w:val="Institutionquisigne"/>
        <w:rPr>
          <w:noProof/>
        </w:rPr>
      </w:pPr>
      <w:r>
        <w:rPr>
          <w:noProof/>
        </w:rPr>
        <w:t>Voor het Europees Parlement</w:t>
      </w:r>
      <w:r>
        <w:rPr>
          <w:noProof/>
        </w:rPr>
        <w:tab/>
        <w:t>Voor de Raad</w:t>
      </w:r>
    </w:p>
    <w:p w:rsidR="00A93FE6" w:rsidRDefault="008C548F">
      <w:pPr>
        <w:pStyle w:val="Personnequisigne"/>
        <w:rPr>
          <w:noProof/>
        </w:rPr>
      </w:pPr>
      <w:r>
        <w:rPr>
          <w:noProof/>
        </w:rPr>
        <w:t>De voorzitter</w:t>
      </w:r>
      <w:r>
        <w:rPr>
          <w:noProof/>
        </w:rPr>
        <w:tab/>
        <w:t>De voorzitter</w:t>
      </w:r>
    </w:p>
    <w:p w:rsidR="00A93FE6" w:rsidRDefault="00A93FE6">
      <w:pPr>
        <w:pStyle w:val="Institutionquisigne"/>
        <w:rPr>
          <w:rStyle w:val="CommentReference"/>
          <w:noProof/>
        </w:rPr>
        <w:sectPr w:rsidR="00A93FE6" w:rsidSect="008C548F">
          <w:pgSz w:w="11907" w:h="16840" w:code="9"/>
          <w:pgMar w:top="1134" w:right="1418" w:bottom="1134" w:left="1418" w:header="709" w:footer="709" w:gutter="0"/>
          <w:cols w:space="708"/>
          <w:docGrid w:linePitch="360"/>
        </w:sectPr>
      </w:pPr>
    </w:p>
    <w:p w:rsidR="00A93FE6" w:rsidRDefault="008C548F">
      <w:pPr>
        <w:pStyle w:val="Fichefinanciretitre"/>
        <w:rPr>
          <w:noProof/>
        </w:rPr>
      </w:pPr>
      <w:r>
        <w:rPr>
          <w:noProof/>
        </w:rPr>
        <w:t>BIJLAGE</w:t>
      </w:r>
      <w:r>
        <w:rPr>
          <w:noProof/>
        </w:rPr>
        <w:br/>
      </w:r>
      <w:r>
        <w:rPr>
          <w:noProof/>
        </w:rPr>
        <w:br/>
        <w:t>Financieel memor</w:t>
      </w:r>
      <w:r>
        <w:rPr>
          <w:noProof/>
        </w:rPr>
        <w:t>andum</w:t>
      </w:r>
      <w:r>
        <w:rPr>
          <w:noProof/>
        </w:rPr>
        <w:br/>
      </w:r>
      <w:r>
        <w:rPr>
          <w:noProof/>
        </w:rPr>
        <w:br/>
        <w:t xml:space="preserve">Voorstel voor een verordening tot wijziging van de Verordeningen (EU) nr. 1316/2013 en </w:t>
      </w:r>
      <w:r>
        <w:rPr>
          <w:noProof/>
        </w:rPr>
        <w:br/>
        <w:t>(EU) nr. 283/2014 wat de bevordering van internetconnectiviteit in lokale gemeenschappen betreft</w:t>
      </w:r>
    </w:p>
    <w:p w:rsidR="00A93FE6" w:rsidRDefault="008C548F">
      <w:pPr>
        <w:pStyle w:val="ManualHeading1"/>
        <w:rPr>
          <w:noProof/>
        </w:rPr>
      </w:pPr>
      <w:r>
        <w:rPr>
          <w:noProof/>
        </w:rPr>
        <w:t>1.</w:t>
      </w:r>
      <w:r>
        <w:rPr>
          <w:noProof/>
        </w:rPr>
        <w:tab/>
        <w:t xml:space="preserve">KADER VAN HET VOORSTEL/INITIATIEF </w:t>
      </w:r>
    </w:p>
    <w:p w:rsidR="00A93FE6" w:rsidRDefault="008C548F">
      <w:pPr>
        <w:pStyle w:val="ManualHeading2"/>
        <w:rPr>
          <w:b w:val="0"/>
          <w:noProof/>
        </w:rPr>
      </w:pPr>
      <w:r>
        <w:rPr>
          <w:noProof/>
        </w:rPr>
        <w:tab/>
      </w:r>
      <w:r>
        <w:rPr>
          <w:b w:val="0"/>
          <w:noProof/>
        </w:rPr>
        <w:t>1.1.</w:t>
      </w:r>
      <w:r>
        <w:rPr>
          <w:noProof/>
        </w:rPr>
        <w:tab/>
      </w:r>
      <w:r>
        <w:rPr>
          <w:b w:val="0"/>
          <w:noProof/>
        </w:rPr>
        <w:t>Benaming van het voo</w:t>
      </w:r>
      <w:r>
        <w:rPr>
          <w:b w:val="0"/>
          <w:noProof/>
        </w:rPr>
        <w:t xml:space="preserve">rstel/initiatief </w:t>
      </w:r>
    </w:p>
    <w:p w:rsidR="00A93FE6" w:rsidRDefault="008C548F">
      <w:pPr>
        <w:pStyle w:val="ManualHeading2"/>
        <w:rPr>
          <w:b w:val="0"/>
          <w:noProof/>
        </w:rPr>
      </w:pPr>
      <w:r>
        <w:rPr>
          <w:noProof/>
        </w:rPr>
        <w:tab/>
      </w:r>
      <w:r>
        <w:rPr>
          <w:b w:val="0"/>
          <w:noProof/>
        </w:rPr>
        <w:t>1.2.</w:t>
      </w:r>
      <w:r>
        <w:rPr>
          <w:noProof/>
        </w:rPr>
        <w:tab/>
      </w:r>
      <w:r>
        <w:rPr>
          <w:b w:val="0"/>
          <w:noProof/>
        </w:rPr>
        <w:t>Betrokken beleidsterrein(en) in de ABM/ABB-structuur</w:t>
      </w:r>
    </w:p>
    <w:p w:rsidR="00A93FE6" w:rsidRDefault="008C548F">
      <w:pPr>
        <w:pStyle w:val="ManualHeading2"/>
        <w:rPr>
          <w:b w:val="0"/>
          <w:noProof/>
        </w:rPr>
      </w:pPr>
      <w:r>
        <w:rPr>
          <w:noProof/>
        </w:rPr>
        <w:tab/>
      </w:r>
      <w:r>
        <w:rPr>
          <w:b w:val="0"/>
          <w:noProof/>
        </w:rPr>
        <w:t>1.3.</w:t>
      </w:r>
      <w:r>
        <w:rPr>
          <w:noProof/>
        </w:rPr>
        <w:tab/>
      </w:r>
      <w:r>
        <w:rPr>
          <w:b w:val="0"/>
          <w:noProof/>
        </w:rPr>
        <w:t xml:space="preserve">Aard van het voorstel/initiatief </w:t>
      </w:r>
    </w:p>
    <w:p w:rsidR="00A93FE6" w:rsidRDefault="008C548F">
      <w:pPr>
        <w:pStyle w:val="ManualHeading2"/>
        <w:rPr>
          <w:b w:val="0"/>
          <w:noProof/>
        </w:rPr>
      </w:pPr>
      <w:r>
        <w:rPr>
          <w:noProof/>
        </w:rPr>
        <w:tab/>
      </w:r>
      <w:r>
        <w:rPr>
          <w:b w:val="0"/>
          <w:noProof/>
        </w:rPr>
        <w:t>1.4.</w:t>
      </w:r>
      <w:r>
        <w:rPr>
          <w:noProof/>
        </w:rPr>
        <w:tab/>
      </w:r>
      <w:r>
        <w:rPr>
          <w:b w:val="0"/>
          <w:noProof/>
        </w:rPr>
        <w:t xml:space="preserve">Doelstelling(en) </w:t>
      </w:r>
    </w:p>
    <w:p w:rsidR="00A93FE6" w:rsidRDefault="008C548F">
      <w:pPr>
        <w:pStyle w:val="ManualHeading2"/>
        <w:rPr>
          <w:b w:val="0"/>
          <w:noProof/>
        </w:rPr>
      </w:pPr>
      <w:r>
        <w:rPr>
          <w:noProof/>
        </w:rPr>
        <w:tab/>
      </w:r>
      <w:r>
        <w:rPr>
          <w:b w:val="0"/>
          <w:noProof/>
        </w:rPr>
        <w:t>1.5.</w:t>
      </w:r>
      <w:r>
        <w:rPr>
          <w:noProof/>
        </w:rPr>
        <w:tab/>
      </w:r>
      <w:r>
        <w:rPr>
          <w:b w:val="0"/>
          <w:noProof/>
        </w:rPr>
        <w:t xml:space="preserve">Motivering van het voorstel/initiatief </w:t>
      </w:r>
    </w:p>
    <w:p w:rsidR="00A93FE6" w:rsidRDefault="008C548F">
      <w:pPr>
        <w:pStyle w:val="ManualHeading2"/>
        <w:rPr>
          <w:b w:val="0"/>
          <w:noProof/>
        </w:rPr>
      </w:pPr>
      <w:r>
        <w:rPr>
          <w:noProof/>
        </w:rPr>
        <w:tab/>
      </w:r>
      <w:r>
        <w:rPr>
          <w:b w:val="0"/>
          <w:noProof/>
        </w:rPr>
        <w:t>1.6.</w:t>
      </w:r>
      <w:r>
        <w:rPr>
          <w:noProof/>
        </w:rPr>
        <w:tab/>
      </w:r>
      <w:r>
        <w:rPr>
          <w:b w:val="0"/>
          <w:noProof/>
        </w:rPr>
        <w:t xml:space="preserve">Duur en financiële gevolgen </w:t>
      </w:r>
    </w:p>
    <w:p w:rsidR="00A93FE6" w:rsidRDefault="008C548F">
      <w:pPr>
        <w:pStyle w:val="ManualHeading2"/>
        <w:rPr>
          <w:b w:val="0"/>
          <w:noProof/>
        </w:rPr>
      </w:pPr>
      <w:r>
        <w:rPr>
          <w:noProof/>
        </w:rPr>
        <w:tab/>
      </w:r>
      <w:r>
        <w:rPr>
          <w:b w:val="0"/>
          <w:noProof/>
        </w:rPr>
        <w:t>1.7.</w:t>
      </w:r>
      <w:r>
        <w:rPr>
          <w:noProof/>
        </w:rPr>
        <w:tab/>
      </w:r>
      <w:r>
        <w:rPr>
          <w:b w:val="0"/>
          <w:noProof/>
        </w:rPr>
        <w:t xml:space="preserve">Beheersvorm(en) </w:t>
      </w:r>
    </w:p>
    <w:p w:rsidR="00A93FE6" w:rsidRDefault="008C548F">
      <w:pPr>
        <w:pStyle w:val="ManualHeading1"/>
        <w:rPr>
          <w:noProof/>
        </w:rPr>
      </w:pPr>
      <w:r>
        <w:rPr>
          <w:noProof/>
        </w:rPr>
        <w:t>2.</w:t>
      </w:r>
      <w:r>
        <w:rPr>
          <w:noProof/>
        </w:rPr>
        <w:tab/>
        <w:t>BEHEERSM</w:t>
      </w:r>
      <w:r>
        <w:rPr>
          <w:noProof/>
        </w:rPr>
        <w:t xml:space="preserve">AATREGELEN </w:t>
      </w:r>
    </w:p>
    <w:p w:rsidR="00A93FE6" w:rsidRDefault="008C548F">
      <w:pPr>
        <w:pStyle w:val="ManualHeading2"/>
        <w:rPr>
          <w:b w:val="0"/>
          <w:noProof/>
        </w:rPr>
      </w:pPr>
      <w:r>
        <w:rPr>
          <w:noProof/>
        </w:rPr>
        <w:tab/>
      </w:r>
      <w:r>
        <w:rPr>
          <w:b w:val="0"/>
          <w:noProof/>
        </w:rPr>
        <w:t>2.1.</w:t>
      </w:r>
      <w:r>
        <w:rPr>
          <w:noProof/>
        </w:rPr>
        <w:tab/>
      </w:r>
      <w:r>
        <w:rPr>
          <w:b w:val="0"/>
          <w:noProof/>
        </w:rPr>
        <w:t xml:space="preserve">Regels inzake het toezicht en de verslagen </w:t>
      </w:r>
    </w:p>
    <w:p w:rsidR="00A93FE6" w:rsidRDefault="008C548F">
      <w:pPr>
        <w:pStyle w:val="ManualHeading2"/>
        <w:rPr>
          <w:b w:val="0"/>
          <w:noProof/>
        </w:rPr>
      </w:pPr>
      <w:r>
        <w:rPr>
          <w:noProof/>
        </w:rPr>
        <w:tab/>
      </w:r>
      <w:r>
        <w:rPr>
          <w:b w:val="0"/>
          <w:noProof/>
        </w:rPr>
        <w:t>2.2.</w:t>
      </w:r>
      <w:r>
        <w:rPr>
          <w:noProof/>
        </w:rPr>
        <w:tab/>
      </w:r>
      <w:r>
        <w:rPr>
          <w:b w:val="0"/>
          <w:noProof/>
        </w:rPr>
        <w:t xml:space="preserve">Beheers- en controlesysteem </w:t>
      </w:r>
    </w:p>
    <w:p w:rsidR="00A93FE6" w:rsidRDefault="008C548F">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rsidR="00A93FE6" w:rsidRDefault="008C548F">
      <w:pPr>
        <w:pStyle w:val="ManualHeading1"/>
        <w:rPr>
          <w:noProof/>
        </w:rPr>
      </w:pPr>
      <w:r>
        <w:rPr>
          <w:noProof/>
        </w:rPr>
        <w:t>3.</w:t>
      </w:r>
      <w:r>
        <w:rPr>
          <w:noProof/>
        </w:rPr>
        <w:tab/>
        <w:t xml:space="preserve">GERAAMDE FINANCIËLE GEVOLGEN VAN HET VOORSTEL/INITIATIEF </w:t>
      </w:r>
    </w:p>
    <w:p w:rsidR="00A93FE6" w:rsidRDefault="008C548F">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rsidR="00A93FE6" w:rsidRDefault="008C548F">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rsidR="00A93FE6" w:rsidRDefault="008C548F">
      <w:pPr>
        <w:pStyle w:val="ManualHeading3"/>
        <w:rPr>
          <w:noProof/>
        </w:rPr>
      </w:pPr>
      <w:r>
        <w:rPr>
          <w:noProof/>
        </w:rPr>
        <w:tab/>
        <w:t>3.2.1.</w:t>
      </w:r>
      <w:r>
        <w:rPr>
          <w:noProof/>
        </w:rPr>
        <w:tab/>
        <w:t xml:space="preserve">Samenvatting van de geraamde gevolgen voor de uitgaven </w:t>
      </w:r>
    </w:p>
    <w:p w:rsidR="00A93FE6" w:rsidRDefault="008C548F">
      <w:pPr>
        <w:pStyle w:val="ManualHeading3"/>
        <w:rPr>
          <w:noProof/>
        </w:rPr>
      </w:pPr>
      <w:r>
        <w:rPr>
          <w:noProof/>
        </w:rPr>
        <w:tab/>
        <w:t>3.2.2.</w:t>
      </w:r>
      <w:r>
        <w:rPr>
          <w:noProof/>
        </w:rPr>
        <w:tab/>
      </w:r>
      <w:r>
        <w:rPr>
          <w:noProof/>
        </w:rPr>
        <w:t xml:space="preserve">Geraamde gevolgen voor de beleidskredieten </w:t>
      </w:r>
    </w:p>
    <w:p w:rsidR="00A93FE6" w:rsidRDefault="008C548F">
      <w:pPr>
        <w:pStyle w:val="ManualHeading3"/>
        <w:rPr>
          <w:noProof/>
        </w:rPr>
      </w:pPr>
      <w:r>
        <w:rPr>
          <w:noProof/>
        </w:rPr>
        <w:tab/>
        <w:t>3.2.3.</w:t>
      </w:r>
      <w:r>
        <w:rPr>
          <w:noProof/>
        </w:rPr>
        <w:tab/>
        <w:t>Geraamde gevolgen voor de administratieve kredieten</w:t>
      </w:r>
    </w:p>
    <w:p w:rsidR="00A93FE6" w:rsidRDefault="008C548F">
      <w:pPr>
        <w:pStyle w:val="ManualHeading3"/>
        <w:rPr>
          <w:noProof/>
        </w:rPr>
      </w:pPr>
      <w:r>
        <w:rPr>
          <w:noProof/>
        </w:rPr>
        <w:tab/>
        <w:t>3.2.4.</w:t>
      </w:r>
      <w:r>
        <w:rPr>
          <w:noProof/>
        </w:rPr>
        <w:tab/>
        <w:t>Verenigbaarheid met het huidige meerjarige financiële kader</w:t>
      </w:r>
    </w:p>
    <w:p w:rsidR="00A93FE6" w:rsidRDefault="008C548F">
      <w:pPr>
        <w:pStyle w:val="ManualHeading3"/>
        <w:rPr>
          <w:noProof/>
        </w:rPr>
      </w:pPr>
      <w:r>
        <w:rPr>
          <w:noProof/>
        </w:rPr>
        <w:tab/>
        <w:t>3.2.5.</w:t>
      </w:r>
      <w:r>
        <w:rPr>
          <w:noProof/>
        </w:rPr>
        <w:tab/>
        <w:t xml:space="preserve">Bijdragen van derden </w:t>
      </w:r>
    </w:p>
    <w:p w:rsidR="00A93FE6" w:rsidRDefault="008C548F">
      <w:pPr>
        <w:pStyle w:val="ManualHeading2"/>
        <w:jc w:val="left"/>
        <w:rPr>
          <w:b w:val="0"/>
          <w:noProof/>
        </w:rPr>
        <w:sectPr w:rsidR="00A93FE6" w:rsidSect="008C548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w:t>
      </w:r>
      <w:r>
        <w:rPr>
          <w:b w:val="0"/>
          <w:noProof/>
        </w:rPr>
        <w:t xml:space="preserve"> ontvangsten</w:t>
      </w:r>
    </w:p>
    <w:p w:rsidR="00A93FE6" w:rsidRDefault="008C548F">
      <w:pPr>
        <w:jc w:val="center"/>
        <w:rPr>
          <w:b/>
          <w:noProof/>
          <w:u w:val="single"/>
        </w:rPr>
      </w:pPr>
      <w:r>
        <w:rPr>
          <w:b/>
          <w:noProof/>
          <w:u w:val="single"/>
        </w:rPr>
        <w:t>FINANCIEEL MEMORANDUM</w:t>
      </w:r>
    </w:p>
    <w:p w:rsidR="00A93FE6" w:rsidRDefault="008C548F">
      <w:pPr>
        <w:pStyle w:val="ManualHeading1"/>
        <w:rPr>
          <w:noProof/>
        </w:rPr>
      </w:pPr>
      <w:r>
        <w:t>1.</w:t>
      </w:r>
      <w:r>
        <w:tab/>
      </w:r>
      <w:r>
        <w:rPr>
          <w:noProof/>
        </w:rPr>
        <w:t xml:space="preserve">KADER VAN HET VOORSTEL/INITIATIEF </w:t>
      </w:r>
    </w:p>
    <w:p w:rsidR="00A93FE6" w:rsidRDefault="008C548F">
      <w:pPr>
        <w:pStyle w:val="ManualHeading2"/>
        <w:rPr>
          <w:noProof/>
        </w:rPr>
      </w:pPr>
      <w:r>
        <w:t>1.1.</w:t>
      </w:r>
      <w:r>
        <w:tab/>
      </w:r>
      <w:r>
        <w:rPr>
          <w:noProof/>
        </w:rPr>
        <w:t xml:space="preserve">Benaming van het voorstel/initiatief </w:t>
      </w:r>
    </w:p>
    <w:p w:rsidR="00A93FE6" w:rsidRDefault="008C548F">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Voorstel voor een verordening tot wijziging van de Verordeningen (EU) nr. 1316/2013 en </w:t>
      </w:r>
      <w:r>
        <w:rPr>
          <w:noProof/>
        </w:rPr>
        <w:br/>
        <w:t>(EU) nr. 283/2014 wat de bevordering van internetcon</w:t>
      </w:r>
      <w:r>
        <w:rPr>
          <w:noProof/>
        </w:rPr>
        <w:t>nectiviteit in lokale gemeenschappen betreft</w:t>
      </w:r>
    </w:p>
    <w:p w:rsidR="00A93FE6" w:rsidRDefault="008C548F">
      <w:pPr>
        <w:pStyle w:val="ManualHeading2"/>
        <w:rPr>
          <w:noProof/>
          <w:szCs w:val="24"/>
        </w:rPr>
      </w:pPr>
      <w:r>
        <w:t>1.2.</w:t>
      </w:r>
      <w:r>
        <w:tab/>
      </w:r>
      <w:r>
        <w:rPr>
          <w:noProof/>
        </w:rPr>
        <w:t>Betrokken beleidsterrein(en) in de ABM/ABB-structuur</w:t>
      </w:r>
      <w:r>
        <w:rPr>
          <w:rStyle w:val="FootnoteReference"/>
          <w:noProof/>
        </w:rPr>
        <w:footnoteReference w:id="17"/>
      </w:r>
      <w:r>
        <w:rPr>
          <w:i/>
          <w:noProof/>
        </w:rPr>
        <w:t xml:space="preserve"> </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09. Communicatienetwerken, inhoud en technologie</w:t>
      </w:r>
    </w:p>
    <w:p w:rsidR="00A93FE6" w:rsidRDefault="008C548F">
      <w:pPr>
        <w:pStyle w:val="ManualHeading2"/>
        <w:rPr>
          <w:bCs/>
          <w:noProof/>
          <w:szCs w:val="24"/>
        </w:rPr>
      </w:pPr>
      <w:r>
        <w:t>1.3.</w:t>
      </w:r>
      <w:r>
        <w:tab/>
      </w:r>
      <w:r>
        <w:rPr>
          <w:noProof/>
        </w:rPr>
        <w:t xml:space="preserve">Aard van het voorstel/initiatief </w:t>
      </w:r>
    </w:p>
    <w:p w:rsidR="00A93FE6" w:rsidRDefault="008C548F">
      <w:pPr>
        <w:pStyle w:val="Text1"/>
        <w:rPr>
          <w:b/>
          <w:noProof/>
          <w:sz w:val="22"/>
        </w:rPr>
      </w:pPr>
      <w:r>
        <w:rPr>
          <w:noProof/>
          <w:sz w:val="22"/>
        </w:rPr>
        <w:t>x</w:t>
      </w:r>
      <w:r>
        <w:rPr>
          <w:b/>
          <w:i/>
          <w:noProof/>
          <w:sz w:val="22"/>
        </w:rPr>
        <w:t xml:space="preserve"> </w:t>
      </w:r>
      <w:r>
        <w:rPr>
          <w:noProof/>
        </w:rPr>
        <w:t xml:space="preserve">Het voorstel/initiatief betreft </w:t>
      </w:r>
      <w:r>
        <w:rPr>
          <w:b/>
          <w:noProof/>
        </w:rPr>
        <w:t>een nieuwe actie</w:t>
      </w:r>
      <w:r>
        <w:rPr>
          <w:b/>
          <w:noProof/>
          <w:sz w:val="22"/>
        </w:rPr>
        <w:t xml:space="preserve"> </w:t>
      </w:r>
    </w:p>
    <w:p w:rsidR="00A93FE6" w:rsidRDefault="008C548F">
      <w:pPr>
        <w:pStyle w:val="Text1"/>
        <w:rPr>
          <w:noProof/>
          <w:sz w:val="22"/>
        </w:rPr>
      </w:pPr>
      <w:r>
        <w:rPr>
          <w:noProof/>
          <w:sz w:val="22"/>
        </w:rPr>
        <w:sym w:font="Wingdings" w:char="F0A8"/>
      </w:r>
      <w:r>
        <w:rPr>
          <w:noProof/>
        </w:rPr>
        <w:t xml:space="preserve">Het voorstel/initiatief betreft </w:t>
      </w:r>
      <w:r>
        <w:rPr>
          <w:b/>
          <w:noProof/>
        </w:rPr>
        <w:t>een nieuwe actie na een proefproject/een voorbereidende actie</w:t>
      </w:r>
      <w:r>
        <w:rPr>
          <w:rStyle w:val="FootnoteReference"/>
          <w:b/>
          <w:noProof/>
        </w:rPr>
        <w:footnoteReference w:id="18"/>
      </w:r>
      <w:r>
        <w:rPr>
          <w:noProof/>
          <w:sz w:val="22"/>
        </w:rPr>
        <w:t xml:space="preserve"> </w:t>
      </w:r>
    </w:p>
    <w:p w:rsidR="00A93FE6" w:rsidRDefault="008C548F">
      <w:pPr>
        <w:pStyle w:val="Text1"/>
        <w:rPr>
          <w:noProof/>
          <w:sz w:val="22"/>
        </w:rPr>
      </w:pPr>
      <w:r>
        <w:rPr>
          <w:noProof/>
          <w:sz w:val="22"/>
        </w:rPr>
        <w:sym w:font="Wingdings" w:char="F0A8"/>
      </w:r>
      <w:r>
        <w:rPr>
          <w:noProof/>
        </w:rPr>
        <w:t xml:space="preserve"> Het voorstel/initiatief betreft </w:t>
      </w:r>
      <w:r>
        <w:rPr>
          <w:b/>
          <w:noProof/>
        </w:rPr>
        <w:t>de verlenging van een bestaande actie</w:t>
      </w:r>
      <w:r>
        <w:rPr>
          <w:noProof/>
          <w:sz w:val="22"/>
        </w:rPr>
        <w:t xml:space="preserve"> </w:t>
      </w:r>
    </w:p>
    <w:p w:rsidR="00A93FE6" w:rsidRDefault="008C548F">
      <w:pPr>
        <w:pStyle w:val="Text1"/>
        <w:rPr>
          <w:noProof/>
        </w:rPr>
      </w:pPr>
      <w:r>
        <w:rPr>
          <w:noProof/>
          <w:sz w:val="22"/>
        </w:rPr>
        <w:sym w:font="Wingdings" w:char="F0A8"/>
      </w:r>
      <w:r>
        <w:rPr>
          <w:noProof/>
        </w:rPr>
        <w:t xml:space="preserve"> Het voorstel/initiatief betreft </w:t>
      </w:r>
      <w:r>
        <w:rPr>
          <w:b/>
          <w:noProof/>
        </w:rPr>
        <w:t>een actie die wordt omgebogen naar een nieuwe actie</w:t>
      </w:r>
      <w:r>
        <w:rPr>
          <w:noProof/>
        </w:rPr>
        <w:t xml:space="preserve"> </w:t>
      </w:r>
    </w:p>
    <w:p w:rsidR="00A93FE6" w:rsidRDefault="008C548F">
      <w:pPr>
        <w:pStyle w:val="ManualHeading2"/>
        <w:rPr>
          <w:bCs/>
          <w:noProof/>
          <w:szCs w:val="24"/>
        </w:rPr>
      </w:pPr>
      <w:r>
        <w:t>1.4.</w:t>
      </w:r>
      <w:r>
        <w:tab/>
      </w:r>
      <w:r>
        <w:rPr>
          <w:noProof/>
        </w:rPr>
        <w:t>Doelstelling(en)</w:t>
      </w:r>
    </w:p>
    <w:p w:rsidR="00A93FE6" w:rsidRDefault="008C548F">
      <w:pPr>
        <w:pStyle w:val="ManualHeading3"/>
        <w:rPr>
          <w:noProof/>
        </w:rPr>
      </w:pPr>
      <w:r>
        <w:t>1.4.1.</w:t>
      </w:r>
      <w:r>
        <w:tab/>
      </w:r>
      <w:r>
        <w:rPr>
          <w:noProof/>
        </w:rPr>
        <w:t xml:space="preserve">De met het voorstel/initiatief beoogde strategische meerjarendoelstelling(en) van de Commissie </w:t>
      </w:r>
    </w:p>
    <w:p w:rsidR="00A93FE6" w:rsidRDefault="008C548F">
      <w:pPr>
        <w:rPr>
          <w:noProof/>
          <w:szCs w:val="24"/>
        </w:rPr>
      </w:pPr>
      <w:r>
        <w:rPr>
          <w:noProof/>
        </w:rPr>
        <w:t>Het nieuwe telecompakket, dat de Commissie op 13 september 2016 zal goedkeuren, omvat een mededeling over een Europese visie op internetconnectiviteit voor burgers en ondernemingen, alsmede een wetgevingsvoorstel ter herziening van het regelgevingskader vo</w:t>
      </w:r>
      <w:r>
        <w:rPr>
          <w:noProof/>
        </w:rPr>
        <w:t>or telecommunicatie. In de voorstellen van de Commissie worden de hervormingen omschreven die nodig zijn om meer stimulansen te creëren voor de uitrol van de netwerken van de toekomst en om ervoor zorgen dat geen enkele persoon of regio buiten de boot valt</w:t>
      </w:r>
      <w:r>
        <w:rPr>
          <w:noProof/>
        </w:rPr>
        <w:t xml:space="preserve">. </w:t>
      </w:r>
    </w:p>
    <w:p w:rsidR="00A93FE6" w:rsidRDefault="008C548F">
      <w:pPr>
        <w:rPr>
          <w:noProof/>
          <w:szCs w:val="24"/>
        </w:rPr>
      </w:pPr>
      <w:r>
        <w:rPr>
          <w:noProof/>
        </w:rPr>
        <w:t xml:space="preserve">Dit voorstel zal </w:t>
      </w:r>
      <w:r>
        <w:rPr>
          <w:b/>
          <w:noProof/>
        </w:rPr>
        <w:t>entiteiten met een openbare opdracht, zoals plaatselijke overheden, aanmoedigen en ondersteunen om kosteloze wifiverbindingen aan te bieden in de centra van het openbare leven</w:t>
      </w:r>
      <w:r>
        <w:rPr>
          <w:noProof/>
        </w:rPr>
        <w:t xml:space="preserve"> (bv. in en rond openbare gebouwen, gezondheidscentra, parken</w:t>
      </w:r>
      <w:r>
        <w:rPr>
          <w:noProof/>
        </w:rPr>
        <w:t xml:space="preserve"> en pleinen).</w:t>
      </w:r>
    </w:p>
    <w:p w:rsidR="00A93FE6" w:rsidRDefault="008C548F">
      <w:pPr>
        <w:pStyle w:val="ManualHeading3"/>
        <w:rPr>
          <w:bCs/>
          <w:noProof/>
          <w:szCs w:val="24"/>
        </w:rPr>
      </w:pPr>
      <w:r>
        <w:t>1.4.2.</w:t>
      </w:r>
      <w:r>
        <w:tab/>
      </w:r>
      <w:r>
        <w:rPr>
          <w:noProof/>
        </w:rPr>
        <w:t xml:space="preserve">Specifieke doelstelling(en) en betrokken ABM/ABB-activiteit(en) </w:t>
      </w:r>
    </w:p>
    <w:p w:rsidR="00A93FE6" w:rsidRDefault="008C548F">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Specifieke doelstelling </w:t>
      </w:r>
    </w:p>
    <w:p w:rsidR="00A93FE6" w:rsidRDefault="008C548F">
      <w:pPr>
        <w:rPr>
          <w:noProof/>
          <w:szCs w:val="24"/>
        </w:rPr>
      </w:pPr>
      <w:r>
        <w:rPr>
          <w:noProof/>
        </w:rPr>
        <w:t>Het nieuwe pakket voorziet in financiële stimulansen voor projecten die worden voorgesteld door entiteiten met een openbare opdracht, zoals overh</w:t>
      </w:r>
      <w:r>
        <w:rPr>
          <w:noProof/>
        </w:rPr>
        <w:t>eidsinstanties en aanbieders van openbare diensten, waarbij draadloze toegangspunten worden geïnstalleerd en kosteloos connectiviteit wordt aangeboden in de centra van het openbare leven binnen hun rechtsgebied of in en rond hun gebouwen (bv. overheidsgebo</w:t>
      </w:r>
      <w:r>
        <w:rPr>
          <w:noProof/>
        </w:rPr>
        <w:t xml:space="preserve">uwen, bibliotheken, gezondheidscentra en openbare buitenruimten). </w:t>
      </w:r>
    </w:p>
    <w:p w:rsidR="00A93FE6" w:rsidRDefault="008C548F">
      <w:pPr>
        <w:spacing w:before="0" w:after="200"/>
        <w:rPr>
          <w:rFonts w:ascii="Calibri" w:hAnsi="Calibri"/>
          <w:noProof/>
          <w:sz w:val="22"/>
        </w:rPr>
      </w:pPr>
      <w:r>
        <w:rPr>
          <w:noProof/>
        </w:rPr>
        <w:t>Naast het stimuleren van de vraag naar snelle breedbandverbindingen en het aanmoedigen van het grootschalige gebruik ervan op Unieniveau, zal het initiatief ook een reeks positieve kettingr</w:t>
      </w:r>
      <w:r>
        <w:rPr>
          <w:noProof/>
        </w:rPr>
        <w:t>eacties teweegbrengen, gaande van een betere toegang tot innovatieve digitale diensten tot de vroege voordelen van de gigabitmaatschappij die met de nieuwe strategie van de Commissie worden beoogd.</w:t>
      </w:r>
    </w:p>
    <w:p w:rsidR="00A93FE6" w:rsidRDefault="008C548F">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Financieringsfaciliteit v</w:t>
      </w:r>
      <w:r>
        <w:rPr>
          <w:noProof/>
        </w:rPr>
        <w:t>oor Europese verbindingen – telecommunicatienetwerken</w:t>
      </w:r>
    </w:p>
    <w:p w:rsidR="00A93FE6" w:rsidRDefault="008C548F">
      <w:pPr>
        <w:pStyle w:val="ManualHeading3"/>
        <w:rPr>
          <w:bCs/>
          <w:noProof/>
          <w:szCs w:val="24"/>
        </w:rPr>
      </w:pPr>
      <w:r>
        <w:t>1.4.3.</w:t>
      </w:r>
      <w:r>
        <w:tab/>
      </w:r>
      <w:r>
        <w:rPr>
          <w:noProof/>
        </w:rPr>
        <w:t>Verwachte resulta(a)t(en) en gevolg(en)</w:t>
      </w:r>
    </w:p>
    <w:p w:rsidR="00A93FE6" w:rsidRDefault="008C548F">
      <w:pPr>
        <w:pStyle w:val="Text1"/>
        <w:rPr>
          <w:i/>
          <w:noProof/>
          <w:sz w:val="20"/>
        </w:rPr>
      </w:pPr>
      <w:r>
        <w:rPr>
          <w:i/>
          <w:noProof/>
          <w:sz w:val="20"/>
        </w:rPr>
        <w:t>Vermeld de gevolgen die het voorstel/initiatief zou moeten hebben op de begunstigden/doelgroepen.</w:t>
      </w:r>
    </w:p>
    <w:p w:rsidR="00A93FE6" w:rsidRDefault="008C548F">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Het initiatief zal naar verwachting de volgende gevolgen </w:t>
      </w:r>
      <w:r>
        <w:rPr>
          <w:noProof/>
        </w:rPr>
        <w:t>hebben:</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Het systeem kan potentieel leiden tot connectiviteit in duizenden openbare ruimten, wat zou kunnen resulteren in 40 à 50 miljoen wifiverbindingen per dag. Dergelijke plaatselijke verbindingen zullen overheidsinstanties en lokale ondernemingen helpe</w:t>
      </w:r>
      <w:r>
        <w:rPr>
          <w:noProof/>
        </w:rPr>
        <w:t>n om een ruimere waaier van lokale digitale diensten, toepassingen en producten aan te bieden aan zowel hun eigen bevolking als hun bezoekers, en zich op die manier beter te integreren in de digitale eengemaakte markt.</w:t>
      </w:r>
    </w:p>
    <w:p w:rsidR="00A93FE6" w:rsidRDefault="008C548F">
      <w:pPr>
        <w:pStyle w:val="ManualHeading3"/>
        <w:rPr>
          <w:bCs/>
          <w:noProof/>
          <w:szCs w:val="24"/>
        </w:rPr>
      </w:pPr>
      <w:r>
        <w:t>1.4.4.</w:t>
      </w:r>
      <w:r>
        <w:tab/>
      </w:r>
      <w:r>
        <w:rPr>
          <w:noProof/>
        </w:rPr>
        <w:t>Resultaat- en effectindicatore</w:t>
      </w:r>
      <w:r>
        <w:rPr>
          <w:noProof/>
        </w:rPr>
        <w:t xml:space="preserve">n </w:t>
      </w:r>
    </w:p>
    <w:p w:rsidR="00A93FE6" w:rsidRDefault="008C548F">
      <w:pPr>
        <w:pStyle w:val="Text1"/>
        <w:rPr>
          <w:i/>
          <w:noProof/>
          <w:sz w:val="20"/>
        </w:rPr>
      </w:pPr>
      <w:r>
        <w:rPr>
          <w:i/>
          <w:noProof/>
          <w:sz w:val="20"/>
        </w:rPr>
        <w:t>Vermeld de indicatoren aan de hand waarvan kan worden nagegaan in hoeverre het voorstel/initiatief is uitgevoerd.</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 xml:space="preserve">De voornaamste indicatoren voor het toezicht zijn: a) het aantal geïnstalleerde toegangspunten; en b) het aantal verbindingen die deze </w:t>
      </w:r>
      <w:r>
        <w:rPr>
          <w:noProof/>
        </w:rPr>
        <w:t>genereren.</w:t>
      </w:r>
    </w:p>
    <w:p w:rsidR="00A93FE6" w:rsidRDefault="008C548F">
      <w:pPr>
        <w:pStyle w:val="ManualHeading2"/>
        <w:rPr>
          <w:bCs/>
          <w:noProof/>
          <w:szCs w:val="24"/>
        </w:rPr>
      </w:pPr>
      <w:r>
        <w:t>1.5.</w:t>
      </w:r>
      <w:r>
        <w:tab/>
      </w:r>
      <w:r>
        <w:rPr>
          <w:noProof/>
        </w:rPr>
        <w:t xml:space="preserve">Motivering van het voorstel/initiatief </w:t>
      </w:r>
    </w:p>
    <w:p w:rsidR="00A93FE6" w:rsidRDefault="008C548F">
      <w:pPr>
        <w:pStyle w:val="ManualHeading3"/>
        <w:rPr>
          <w:noProof/>
        </w:rPr>
      </w:pPr>
      <w:r>
        <w:t>1.5.1.</w:t>
      </w:r>
      <w:r>
        <w:tab/>
      </w:r>
      <w:r>
        <w:rPr>
          <w:noProof/>
        </w:rPr>
        <w:t xml:space="preserve">Behoefte(n) waarin op korte of lange termijn moet worden voorzien </w:t>
      </w:r>
    </w:p>
    <w:p w:rsidR="00A93FE6" w:rsidRDefault="008C548F">
      <w:pPr>
        <w:autoSpaceDE w:val="0"/>
        <w:autoSpaceDN w:val="0"/>
        <w:adjustRightInd w:val="0"/>
        <w:rPr>
          <w:noProof/>
          <w:szCs w:val="24"/>
        </w:rPr>
      </w:pPr>
      <w:r>
        <w:rPr>
          <w:noProof/>
        </w:rPr>
        <w:t>Het initiatief valt binnen het actiekader op het gebied van het trans-Europese vervoersnetwerk, als bepaald in artikel 170 van</w:t>
      </w:r>
      <w:r>
        <w:rPr>
          <w:noProof/>
        </w:rPr>
        <w:t xml:space="preserve"> het Verdrag betreffende de werking van de Europese Unie.</w:t>
      </w:r>
    </w:p>
    <w:p w:rsidR="00A93FE6" w:rsidRDefault="008C548F">
      <w:pPr>
        <w:autoSpaceDE w:val="0"/>
        <w:autoSpaceDN w:val="0"/>
        <w:adjustRightInd w:val="0"/>
        <w:rPr>
          <w:noProof/>
          <w:szCs w:val="24"/>
        </w:rPr>
      </w:pPr>
      <w:r>
        <w:rPr>
          <w:noProof/>
        </w:rPr>
        <w:t>Tegelijkertijd zal een voorstel voor een nieuw wetboek voor elektronische communicatie, ter modernisering van het huidige regelgevingskader voor elektronischecommunicatiediensten, met name juridisch</w:t>
      </w:r>
      <w:r>
        <w:rPr>
          <w:noProof/>
        </w:rPr>
        <w:t>e belemmeringen wegnemen voor het installeren en openstellen van wifitoegangspunten in Europa, wanneer bepaalde lokale gemeenschappen of particuliere entiteiten hun ingezetenen wifitoegang willen aanbieden.</w:t>
      </w:r>
    </w:p>
    <w:p w:rsidR="00A93FE6" w:rsidRDefault="008C548F">
      <w:pPr>
        <w:autoSpaceDE w:val="0"/>
        <w:autoSpaceDN w:val="0"/>
        <w:adjustRightInd w:val="0"/>
        <w:rPr>
          <w:noProof/>
          <w:szCs w:val="24"/>
        </w:rPr>
      </w:pPr>
      <w:r>
        <w:rPr>
          <w:noProof/>
        </w:rPr>
        <w:t>Een van de strategische doelstellingen van de Uni</w:t>
      </w:r>
      <w:r>
        <w:rPr>
          <w:noProof/>
        </w:rPr>
        <w:t>e voor 2025 (zie mededeling over connectiviteit voor een Europese gigabitmaatschappij) is om de voornaamste sociaaleconomische actoren, zoals scholen, de voornaamste vervoersknooppunten, de voornaamste aanbieders van openbare diensten</w:t>
      </w:r>
      <w:r>
        <w:rPr>
          <w:rStyle w:val="FootnoteReference"/>
          <w:noProof/>
        </w:rPr>
        <w:footnoteReference w:id="19"/>
      </w:r>
      <w:r>
        <w:rPr>
          <w:noProof/>
        </w:rPr>
        <w:t xml:space="preserve"> en ondernemingen die</w:t>
      </w:r>
      <w:r>
        <w:rPr>
          <w:noProof/>
        </w:rPr>
        <w:t xml:space="preserve"> in sterke mate digitaal werken, uit te rusten met gigabitverbindingen. Het initiatief ter bevordering van gratis wifitoegang in de belangrijkste centra van het openbare leven, inclusief openbare buitenruimten, is dan ook een concreet voorbeeld van een reg</w:t>
      </w:r>
      <w:r>
        <w:rPr>
          <w:noProof/>
        </w:rPr>
        <w:t>eling ter bevordering van dergelijke connectiviteit door middel van de modernste digitale infrastructuren.</w:t>
      </w:r>
    </w:p>
    <w:p w:rsidR="00A93FE6" w:rsidRDefault="008C548F">
      <w:pPr>
        <w:pStyle w:val="ManualHeading3"/>
        <w:rPr>
          <w:noProof/>
        </w:rPr>
      </w:pPr>
      <w:r>
        <w:t>1.5.2.</w:t>
      </w:r>
      <w:r>
        <w:tab/>
      </w:r>
      <w:r>
        <w:rPr>
          <w:noProof/>
        </w:rPr>
        <w:t>Toegevoegde waarde van de deelname van de EU</w:t>
      </w:r>
    </w:p>
    <w:p w:rsidR="00A93FE6" w:rsidRDefault="008C548F">
      <w:pPr>
        <w:rPr>
          <w:bCs/>
          <w:i/>
          <w:noProof/>
          <w:szCs w:val="24"/>
        </w:rPr>
      </w:pPr>
      <w:r>
        <w:rPr>
          <w:noProof/>
        </w:rPr>
        <w:t>Door gebruik te maken van vouchers zal het initiatief op een zeer efficiënte manier worden uitgev</w:t>
      </w:r>
      <w:r>
        <w:rPr>
          <w:noProof/>
        </w:rPr>
        <w:t>oerd en zal de financieringsfaciliteit voor Europese verbindingen nieuwe soorten projectontwikkelaars aantrekken – in het bijzonder lokale autoriteiten. Door het in het nieuwe telecompakket vast te stellen EU-netwerk van adviesbureaus voor breedband zal de</w:t>
      </w:r>
      <w:r>
        <w:rPr>
          <w:noProof/>
        </w:rPr>
        <w:t xml:space="preserve"> navolging onder lokale autoriteiten of andere aanbieders van openbare diensten worden bevorderd. Globaal gezien zal het initiatief ertoe bijdragen dat alle overheidsniveaus zich sneller bewust worden van de nieuwe prioriteiten van de Commissie m.b.t. de g</w:t>
      </w:r>
      <w:r>
        <w:rPr>
          <w:noProof/>
        </w:rPr>
        <w:t>igabitmaatschappij, en zal het zorgen voor een grote mate van merkbekendheid, zichtbaarheid en vertrouwen in het vermogen van de EU om digitale diensten voor burgers op het hele Europese continent mogelijk te maken. De toegangspunten zullen op een uniforme</w:t>
      </w:r>
      <w:r>
        <w:rPr>
          <w:noProof/>
        </w:rPr>
        <w:t xml:space="preserve"> manier worden uitgerold en zullen beste praktijken opleveren voor entiteiten die wifi willen aanbieden; hierdoor worden deze punten een innovatief model dat reproduceerbaar is in de hele EU. </w:t>
      </w:r>
    </w:p>
    <w:p w:rsidR="00A93FE6" w:rsidRDefault="008C548F">
      <w:pPr>
        <w:pStyle w:val="ManualHeading3"/>
        <w:rPr>
          <w:noProof/>
        </w:rPr>
      </w:pPr>
      <w:r>
        <w:t>1.5.3.</w:t>
      </w:r>
      <w:r>
        <w:tab/>
      </w:r>
      <w:r>
        <w:rPr>
          <w:noProof/>
        </w:rPr>
        <w:t>Nuttige ervaring die bij soortgelijke activiteiten in he</w:t>
      </w:r>
      <w:r>
        <w:rPr>
          <w:noProof/>
        </w:rPr>
        <w:t>t verleden is opgedaan</w:t>
      </w:r>
    </w:p>
    <w:p w:rsidR="00A93FE6" w:rsidRDefault="008C548F">
      <w:pPr>
        <w:rPr>
          <w:noProof/>
        </w:rPr>
      </w:pPr>
      <w:r>
        <w:rPr>
          <w:noProof/>
        </w:rPr>
        <w:t>In de afgelopen jaren zijn op veel plaatsen in Europa dergelijke projecten opgedoken, waarbij gemeentelijke overheden gratis wifitoegang bevorderen. Deze regeling zal dus voortbouwen op deze ervaring en de reproduceerbaarheid van dit</w:t>
      </w:r>
      <w:r>
        <w:rPr>
          <w:noProof/>
        </w:rPr>
        <w:t xml:space="preserve"> model versterken door het naar alle EU-lidstaten tegelijk uit te breiden.</w:t>
      </w:r>
    </w:p>
    <w:p w:rsidR="00A93FE6" w:rsidRDefault="008C548F">
      <w:pPr>
        <w:pStyle w:val="ManualHeading3"/>
        <w:rPr>
          <w:noProof/>
        </w:rPr>
      </w:pPr>
      <w:r>
        <w:t>1.5.4.</w:t>
      </w:r>
      <w:r>
        <w:tab/>
      </w:r>
      <w:r>
        <w:rPr>
          <w:noProof/>
        </w:rPr>
        <w:t>Verenigbaarheid en eventuele synergie met andere passende instrumenten</w:t>
      </w:r>
    </w:p>
    <w:p w:rsidR="00A93FE6" w:rsidRDefault="008C548F">
      <w:pPr>
        <w:rPr>
          <w:noProof/>
        </w:rPr>
      </w:pPr>
      <w:r>
        <w:rPr>
          <w:noProof/>
        </w:rPr>
        <w:t>Het initiatief zal een aanvulling zijn op de uitrol van digitale netwerken gefinancierd door de Europes</w:t>
      </w:r>
      <w:r>
        <w:rPr>
          <w:noProof/>
        </w:rPr>
        <w:t xml:space="preserve">e structuur- en investeringsfondsen (voornamelijk EFRO en Elfpo) waardoor ook gebieden waar telecomexploitanten niet in willen investeren over backhaul- en toegangsbreedbandnetwerken kunnen beschikken. Daarom zal dit lokale overheden verder aanmoedigen om </w:t>
      </w:r>
      <w:r>
        <w:rPr>
          <w:noProof/>
        </w:rPr>
        <w:t>hun hele grondgebied uit te rusten met en aan te sluiten op netwerken met zeer hoge backhaulcapaciteit.</w:t>
      </w:r>
    </w:p>
    <w:p w:rsidR="00A93FE6" w:rsidRDefault="008C548F">
      <w:pPr>
        <w:spacing w:after="0"/>
        <w:rPr>
          <w:noProof/>
        </w:rPr>
      </w:pPr>
      <w:r>
        <w:rPr>
          <w:noProof/>
        </w:rPr>
        <w:t xml:space="preserve">Het initiatief zal tevens de ontwikkeling van innovatieve digitale diensten en toepassingen aanmoedigen die lokaal – vaak door het plaatselijke midden- </w:t>
      </w:r>
      <w:r>
        <w:rPr>
          <w:noProof/>
        </w:rPr>
        <w:t>en kleinbedrijf – worden ontwikkeld. Door gebruik te maken van gedigitaliseerde lokale content of andere historische bronnen, kan een museum of erfgoedsite bijvoorbeeld apps met enhanced reality ontwikkelen om de bezoekerservaring te verrijken. Hetzelfde g</w:t>
      </w:r>
      <w:r>
        <w:rPr>
          <w:noProof/>
        </w:rPr>
        <w:t>eldt voor apps voor e-toerisme, die de lokale handel en gemeentelijke activiteiten ten goede kunnen komen. Dit initiatief zal daarom ten grondslag liggen aan het beleid inzake digitaal ondernemerschap van de Europese Commissie.</w:t>
      </w:r>
    </w:p>
    <w:p w:rsidR="00A93FE6" w:rsidRDefault="00A93FE6">
      <w:pPr>
        <w:spacing w:after="0"/>
        <w:rPr>
          <w:noProof/>
        </w:rPr>
      </w:pPr>
    </w:p>
    <w:p w:rsidR="00A93FE6" w:rsidRDefault="008C548F">
      <w:pPr>
        <w:pStyle w:val="ManualHeading2"/>
        <w:rPr>
          <w:bCs/>
          <w:noProof/>
          <w:szCs w:val="24"/>
        </w:rPr>
      </w:pPr>
      <w:r>
        <w:t>1.6.</w:t>
      </w:r>
      <w:r>
        <w:tab/>
      </w:r>
      <w:r>
        <w:rPr>
          <w:noProof/>
        </w:rPr>
        <w:t>Duur en financiële gev</w:t>
      </w:r>
      <w:r>
        <w:rPr>
          <w:noProof/>
        </w:rPr>
        <w:t xml:space="preserve">olgen </w:t>
      </w:r>
    </w:p>
    <w:p w:rsidR="00A93FE6" w:rsidRDefault="008C548F">
      <w:pPr>
        <w:pStyle w:val="Text1"/>
        <w:rPr>
          <w:noProof/>
        </w:rPr>
      </w:pPr>
      <w:r>
        <w:rPr>
          <w:noProof/>
        </w:rPr>
        <w:t xml:space="preserve">x Voorstel/initiatief met een </w:t>
      </w:r>
      <w:r>
        <w:rPr>
          <w:b/>
          <w:noProof/>
        </w:rPr>
        <w:t xml:space="preserve">beperkte geldigheidsduur </w:t>
      </w:r>
    </w:p>
    <w:p w:rsidR="00A93FE6" w:rsidRDefault="008C548F">
      <w:pPr>
        <w:pStyle w:val="ListDash2"/>
        <w:rPr>
          <w:noProof/>
        </w:rPr>
      </w:pPr>
      <w:r>
        <w:rPr>
          <w:noProof/>
        </w:rPr>
        <w:t>x</w:t>
      </w:r>
      <w:r>
        <w:rPr>
          <w:noProof/>
        </w:rPr>
        <w:tab/>
        <w:t>Voorstel/initiatief is van kracht vanaf 2017 tot en met 2020</w:t>
      </w:r>
    </w:p>
    <w:p w:rsidR="00A93FE6" w:rsidRDefault="008C548F">
      <w:pPr>
        <w:pStyle w:val="ListDash2"/>
        <w:rPr>
          <w:noProof/>
        </w:rPr>
      </w:pPr>
      <w:r>
        <w:rPr>
          <w:noProof/>
        </w:rPr>
        <w:t>x</w:t>
      </w:r>
      <w:r>
        <w:rPr>
          <w:noProof/>
        </w:rPr>
        <w:tab/>
        <w:t xml:space="preserve">Financiële gevolgen vanaf 2017 tot en met 2020 </w:t>
      </w:r>
    </w:p>
    <w:p w:rsidR="00A93FE6" w:rsidRDefault="008C548F">
      <w:pPr>
        <w:pStyle w:val="Text1"/>
        <w:rPr>
          <w:noProof/>
        </w:rPr>
      </w:pPr>
      <w:r>
        <w:rPr>
          <w:noProof/>
          <w:szCs w:val="24"/>
        </w:rPr>
        <w:sym w:font="Wingdings" w:char="F0A8"/>
      </w:r>
      <w:r>
        <w:rPr>
          <w:noProof/>
        </w:rPr>
        <w:t xml:space="preserve"> Voorstel/initiatief met een </w:t>
      </w:r>
      <w:r>
        <w:rPr>
          <w:b/>
          <w:noProof/>
        </w:rPr>
        <w:t>onbeperkte geldigheidsduur</w:t>
      </w:r>
    </w:p>
    <w:p w:rsidR="00A93FE6" w:rsidRDefault="008C548F">
      <w:pPr>
        <w:pStyle w:val="ListDash1"/>
        <w:rPr>
          <w:noProof/>
        </w:rPr>
      </w:pPr>
      <w:r>
        <w:rPr>
          <w:noProof/>
        </w:rPr>
        <w:t>Uitvoering met een opst</w:t>
      </w:r>
      <w:r>
        <w:rPr>
          <w:noProof/>
        </w:rPr>
        <w:t>artperiode vanaf XXX tot en met XXX,</w:t>
      </w:r>
    </w:p>
    <w:p w:rsidR="00A93FE6" w:rsidRDefault="008C548F">
      <w:pPr>
        <w:pStyle w:val="ListDash1"/>
        <w:rPr>
          <w:noProof/>
        </w:rPr>
      </w:pPr>
      <w:r>
        <w:rPr>
          <w:noProof/>
        </w:rPr>
        <w:t>gevolgd door een volledige uitvoering.</w:t>
      </w:r>
    </w:p>
    <w:p w:rsidR="00A93FE6" w:rsidRDefault="008C548F">
      <w:pPr>
        <w:pStyle w:val="ManualHeading2"/>
        <w:rPr>
          <w:bCs/>
          <w:noProof/>
          <w:szCs w:val="24"/>
        </w:rPr>
      </w:pPr>
      <w:r>
        <w:t>1.7.</w:t>
      </w:r>
      <w:r>
        <w:tab/>
      </w:r>
      <w:r>
        <w:rPr>
          <w:noProof/>
        </w:rPr>
        <w:t>Beheersvorm(en)</w:t>
      </w:r>
      <w:r>
        <w:rPr>
          <w:rStyle w:val="FootnoteReference"/>
          <w:noProof/>
        </w:rPr>
        <w:footnoteReference w:id="20"/>
      </w:r>
      <w:r>
        <w:rPr>
          <w:rStyle w:val="FootnoteReference"/>
          <w:noProof/>
        </w:rPr>
        <w:t xml:space="preserve"> </w:t>
      </w:r>
    </w:p>
    <w:p w:rsidR="00A93FE6" w:rsidRDefault="008C548F">
      <w:pPr>
        <w:pStyle w:val="Text1"/>
        <w:rPr>
          <w:noProof/>
        </w:rPr>
      </w:pPr>
      <w:r>
        <w:rPr>
          <w:noProof/>
          <w:szCs w:val="24"/>
        </w:rPr>
        <w:sym w:font="Wingdings" w:char="F0A8"/>
      </w:r>
      <w:r>
        <w:rPr>
          <w:noProof/>
        </w:rPr>
        <w:t xml:space="preserve"> </w:t>
      </w:r>
      <w:r>
        <w:rPr>
          <w:b/>
          <w:noProof/>
        </w:rPr>
        <w:t>Direct beheer</w:t>
      </w:r>
      <w:r>
        <w:rPr>
          <w:noProof/>
        </w:rPr>
        <w:t xml:space="preserve"> door de Commissie</w:t>
      </w:r>
    </w:p>
    <w:p w:rsidR="00A93FE6" w:rsidRDefault="008C548F">
      <w:pPr>
        <w:pStyle w:val="ListDash2"/>
        <w:rPr>
          <w:rFonts w:cs="EUAlbertina"/>
          <w:noProof/>
        </w:rPr>
      </w:pPr>
      <w:r>
        <w:rPr>
          <w:noProof/>
          <w:szCs w:val="24"/>
        </w:rPr>
        <w:sym w:font="Wingdings" w:char="F0A8"/>
      </w:r>
      <w:r>
        <w:rPr>
          <w:noProof/>
        </w:rPr>
        <w:t xml:space="preserve"> door haar diensten, waaronder het personeel in de delegaties van de Unie; </w:t>
      </w:r>
    </w:p>
    <w:p w:rsidR="00A93FE6" w:rsidRDefault="008C548F">
      <w:pPr>
        <w:pStyle w:val="ListDash2"/>
        <w:rPr>
          <w:noProof/>
        </w:rPr>
      </w:pPr>
      <w:r>
        <w:rPr>
          <w:noProof/>
        </w:rPr>
        <w:t>x</w:t>
      </w:r>
      <w:r>
        <w:rPr>
          <w:noProof/>
        </w:rPr>
        <w:tab/>
        <w:t xml:space="preserve">door de uitvoerende agentschappen </w:t>
      </w:r>
    </w:p>
    <w:p w:rsidR="00A93FE6" w:rsidRDefault="008C548F">
      <w:pPr>
        <w:pStyle w:val="Text1"/>
        <w:rPr>
          <w:noProof/>
        </w:rPr>
      </w:pPr>
      <w:r>
        <w:rPr>
          <w:noProof/>
          <w:szCs w:val="24"/>
        </w:rPr>
        <w:sym w:font="Wingdings" w:char="F0A8"/>
      </w:r>
      <w:r>
        <w:rPr>
          <w:noProof/>
        </w:rPr>
        <w:t xml:space="preserve"> </w:t>
      </w:r>
      <w:r>
        <w:rPr>
          <w:b/>
          <w:noProof/>
        </w:rPr>
        <w:t>Gedeeld</w:t>
      </w:r>
      <w:r>
        <w:rPr>
          <w:b/>
          <w:noProof/>
        </w:rPr>
        <w:t xml:space="preserve"> beheer</w:t>
      </w:r>
      <w:r>
        <w:rPr>
          <w:noProof/>
        </w:rPr>
        <w:t xml:space="preserve"> met de lidstaten </w:t>
      </w:r>
    </w:p>
    <w:p w:rsidR="00A93FE6" w:rsidRDefault="008C548F">
      <w:pPr>
        <w:pStyle w:val="Text1"/>
        <w:rPr>
          <w:noProof/>
        </w:rPr>
      </w:pPr>
      <w:r>
        <w:rPr>
          <w:noProof/>
          <w:szCs w:val="24"/>
        </w:rPr>
        <w:sym w:font="Wingdings" w:char="F0A8"/>
      </w:r>
      <w:r>
        <w:rPr>
          <w:noProof/>
        </w:rPr>
        <w:t xml:space="preserve"> </w:t>
      </w:r>
      <w:r>
        <w:rPr>
          <w:b/>
          <w:noProof/>
        </w:rPr>
        <w:t>Indirect beheer</w:t>
      </w:r>
      <w:r>
        <w:rPr>
          <w:noProof/>
        </w:rPr>
        <w:t xml:space="preserve"> door begrotingsuitvoeringstaken te delegeren aan:</w:t>
      </w:r>
    </w:p>
    <w:p w:rsidR="00A93FE6" w:rsidRDefault="008C548F">
      <w:pPr>
        <w:pStyle w:val="ListDash2"/>
        <w:rPr>
          <w:noProof/>
        </w:rPr>
      </w:pPr>
      <w:r>
        <w:rPr>
          <w:noProof/>
          <w:szCs w:val="24"/>
        </w:rPr>
        <w:sym w:font="Wingdings" w:char="F0A8"/>
      </w:r>
      <w:r>
        <w:rPr>
          <w:noProof/>
        </w:rPr>
        <w:t xml:space="preserve"> derde landen of de door hen aangewezen organen;</w:t>
      </w:r>
    </w:p>
    <w:p w:rsidR="00A93FE6" w:rsidRDefault="008C548F">
      <w:pPr>
        <w:pStyle w:val="ListDash2"/>
        <w:rPr>
          <w:noProof/>
        </w:rPr>
      </w:pPr>
      <w:r>
        <w:rPr>
          <w:noProof/>
          <w:szCs w:val="24"/>
        </w:rPr>
        <w:sym w:font="Wingdings" w:char="F0A8"/>
      </w:r>
      <w:r>
        <w:rPr>
          <w:noProof/>
        </w:rPr>
        <w:t xml:space="preserve"> internationale organisaties en hun agentschappen (geef aan welke);</w:t>
      </w:r>
    </w:p>
    <w:p w:rsidR="00A93FE6" w:rsidRDefault="008C548F">
      <w:pPr>
        <w:pStyle w:val="ListDash2"/>
        <w:rPr>
          <w:noProof/>
        </w:rPr>
      </w:pPr>
      <w:r>
        <w:rPr>
          <w:noProof/>
          <w:szCs w:val="24"/>
        </w:rPr>
        <w:sym w:font="Wingdings" w:char="F0A8"/>
      </w:r>
      <w:r>
        <w:rPr>
          <w:noProof/>
        </w:rPr>
        <w:t xml:space="preserve"> de EIB en het Europees Investeringsfonds;</w:t>
      </w:r>
    </w:p>
    <w:p w:rsidR="00A93FE6" w:rsidRDefault="008C548F">
      <w:pPr>
        <w:pStyle w:val="ListDash2"/>
        <w:rPr>
          <w:noProof/>
        </w:rPr>
      </w:pPr>
      <w:r>
        <w:rPr>
          <w:noProof/>
          <w:szCs w:val="24"/>
        </w:rPr>
        <w:sym w:font="Wingdings" w:char="F0A8"/>
      </w:r>
      <w:r>
        <w:rPr>
          <w:noProof/>
        </w:rPr>
        <w:t xml:space="preserve"> de in de artikelen 208 en 209 van het Financieel Reglement bedoelde organen;</w:t>
      </w:r>
    </w:p>
    <w:p w:rsidR="00A93FE6" w:rsidRDefault="008C548F">
      <w:pPr>
        <w:pStyle w:val="ListDash2"/>
        <w:rPr>
          <w:noProof/>
        </w:rPr>
      </w:pPr>
      <w:r>
        <w:rPr>
          <w:noProof/>
          <w:szCs w:val="24"/>
        </w:rPr>
        <w:sym w:font="Wingdings" w:char="F0A8"/>
      </w:r>
      <w:r>
        <w:rPr>
          <w:noProof/>
        </w:rPr>
        <w:t xml:space="preserve"> publiekrechtelijke organen;</w:t>
      </w:r>
    </w:p>
    <w:p w:rsidR="00A93FE6" w:rsidRDefault="008C548F">
      <w:pPr>
        <w:pStyle w:val="ListDash2"/>
        <w:rPr>
          <w:noProof/>
        </w:rPr>
      </w:pPr>
      <w:r>
        <w:rPr>
          <w:noProof/>
          <w:szCs w:val="24"/>
        </w:rPr>
        <w:sym w:font="Wingdings" w:char="F0A8"/>
      </w:r>
      <w:r>
        <w:rPr>
          <w:noProof/>
        </w:rPr>
        <w:t xml:space="preserve"> privaatrechtelijke organen met een openbaredienstverleningstaak, voor zover zij voldoende financiële garanties bieden;</w:t>
      </w:r>
    </w:p>
    <w:p w:rsidR="00A93FE6" w:rsidRDefault="008C548F">
      <w:pPr>
        <w:pStyle w:val="ListDash2"/>
        <w:rPr>
          <w:noProof/>
        </w:rPr>
      </w:pPr>
      <w:r>
        <w:rPr>
          <w:noProof/>
          <w:szCs w:val="24"/>
        </w:rPr>
        <w:sym w:font="Wingdings" w:char="F0A8"/>
      </w:r>
      <w:r>
        <w:rPr>
          <w:noProof/>
        </w:rPr>
        <w:t xml:space="preserve"> privaatrechtelijke orga</w:t>
      </w:r>
      <w:r>
        <w:rPr>
          <w:noProof/>
        </w:rPr>
        <w:t>nen van een lidstaat, waaraan de uitvoering van een publiek-privaat partnerschap is toevertrouwd en die voldoende financiële garanties bieden;</w:t>
      </w:r>
    </w:p>
    <w:p w:rsidR="00A93FE6" w:rsidRDefault="008C548F">
      <w:pPr>
        <w:pStyle w:val="ListDash2"/>
        <w:rPr>
          <w:noProof/>
        </w:rPr>
      </w:pPr>
      <w:r>
        <w:rPr>
          <w:noProof/>
          <w:szCs w:val="24"/>
        </w:rPr>
        <w:sym w:font="Wingdings" w:char="F0A8"/>
      </w:r>
      <w:r>
        <w:rPr>
          <w:noProof/>
        </w:rPr>
        <w:t xml:space="preserve"> personen aan wie de uitvoering van specifieke maatregelen op het gebied van het GBVB in het kader van titel V v</w:t>
      </w:r>
      <w:r>
        <w:rPr>
          <w:noProof/>
        </w:rPr>
        <w:t>an het VEU is toevertrouwd en die worden genoemd in de betrokken basishandeling.</w:t>
      </w:r>
    </w:p>
    <w:p w:rsidR="00A93FE6" w:rsidRDefault="008C548F">
      <w:pPr>
        <w:pStyle w:val="ListDash2"/>
        <w:rPr>
          <w:i/>
          <w:noProof/>
          <w:sz w:val="18"/>
          <w:u w:val="single"/>
        </w:rPr>
      </w:pPr>
      <w:r>
        <w:rPr>
          <w:i/>
          <w:noProof/>
          <w:sz w:val="18"/>
        </w:rPr>
        <w:t>Verstrek, indien meer dan een beheersvorm is aangekruist, extra informatie onder "Opmerkingen".</w:t>
      </w:r>
    </w:p>
    <w:p w:rsidR="00A93FE6" w:rsidRDefault="008C548F">
      <w:pPr>
        <w:rPr>
          <w:noProof/>
        </w:rPr>
      </w:pPr>
      <w:r>
        <w:rPr>
          <w:noProof/>
        </w:rPr>
        <w:t xml:space="preserve">Opmerkingen </w:t>
      </w:r>
    </w:p>
    <w:p w:rsidR="00A93FE6" w:rsidRDefault="00A93FE6">
      <w:pPr>
        <w:rPr>
          <w:noProof/>
        </w:rPr>
        <w:sectPr w:rsidR="00A93FE6" w:rsidSect="008C548F">
          <w:pgSz w:w="11907" w:h="16840" w:code="9"/>
          <w:pgMar w:top="1134" w:right="1418" w:bottom="1134" w:left="1418" w:header="709" w:footer="709" w:gutter="0"/>
          <w:cols w:space="708"/>
          <w:rtlGutter/>
          <w:docGrid w:linePitch="360"/>
        </w:sectPr>
      </w:pPr>
    </w:p>
    <w:p w:rsidR="00A93FE6" w:rsidRDefault="008C548F">
      <w:pPr>
        <w:pStyle w:val="ManualHeading1"/>
        <w:rPr>
          <w:bCs/>
          <w:noProof/>
          <w:szCs w:val="24"/>
        </w:rPr>
      </w:pPr>
      <w:r>
        <w:t>2.</w:t>
      </w:r>
      <w:r>
        <w:tab/>
      </w:r>
      <w:r>
        <w:rPr>
          <w:noProof/>
        </w:rPr>
        <w:t xml:space="preserve">BEHEERSMAATREGELEN </w:t>
      </w:r>
    </w:p>
    <w:p w:rsidR="00A93FE6" w:rsidRDefault="008C548F">
      <w:pPr>
        <w:pStyle w:val="ManualHeading2"/>
        <w:rPr>
          <w:noProof/>
        </w:rPr>
      </w:pPr>
      <w:r>
        <w:t>2.1.</w:t>
      </w:r>
      <w:r>
        <w:tab/>
      </w:r>
      <w:r>
        <w:rPr>
          <w:noProof/>
        </w:rPr>
        <w:t xml:space="preserve">Regels inzake het toezicht en de verslagen </w:t>
      </w:r>
    </w:p>
    <w:p w:rsidR="00A93FE6" w:rsidRDefault="008C548F">
      <w:pPr>
        <w:pStyle w:val="Text1"/>
        <w:rPr>
          <w:i/>
          <w:noProof/>
          <w:sz w:val="20"/>
        </w:rPr>
      </w:pPr>
      <w:r>
        <w:rPr>
          <w:i/>
          <w:noProof/>
          <w:sz w:val="20"/>
        </w:rPr>
        <w:t>Vermeld frequentie en voorwaarden.</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Er zal een controlesysteem worden opgezet om ervoor te zorgen dat dit initiatief snel wordt uitgevoerd en onmiddellijke resultaten oplevert. Voor dit systeem zal voornamelijk wo</w:t>
      </w:r>
      <w:r>
        <w:rPr>
          <w:noProof/>
        </w:rPr>
        <w:t>rden gebruikgemaakt van online instrumenten en steekproefsgewijze controles van installaties op het niveau van de lokale draadloze toegangspunten.</w:t>
      </w:r>
    </w:p>
    <w:p w:rsidR="00A93FE6" w:rsidRDefault="008C548F">
      <w:pPr>
        <w:pStyle w:val="ManualHeading2"/>
        <w:rPr>
          <w:bCs/>
          <w:noProof/>
          <w:szCs w:val="24"/>
        </w:rPr>
      </w:pPr>
      <w:r>
        <w:t>2.2.</w:t>
      </w:r>
      <w:r>
        <w:tab/>
      </w:r>
      <w:r>
        <w:rPr>
          <w:noProof/>
        </w:rPr>
        <w:t xml:space="preserve">Beheers- en controlesysteem </w:t>
      </w:r>
    </w:p>
    <w:p w:rsidR="00A93FE6" w:rsidRDefault="008C548F">
      <w:pPr>
        <w:pStyle w:val="ManualHeading3"/>
        <w:rPr>
          <w:noProof/>
        </w:rPr>
      </w:pPr>
      <w:r>
        <w:t>2.2.1.</w:t>
      </w:r>
      <w:r>
        <w:tab/>
      </w:r>
      <w:r>
        <w:rPr>
          <w:noProof/>
        </w:rPr>
        <w:t xml:space="preserve">Mogelijke risico's </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 xml:space="preserve">Uitvoeringsrisico: met het niet-bureaucratische </w:t>
      </w:r>
      <w:r>
        <w:rPr>
          <w:noProof/>
        </w:rPr>
        <w:t xml:space="preserve">karakter van de voucherregeling wordt voortgebouwd op ervaringen met soortgelijke initiatieven (bv. ICT-innovatie voor het midden- en kleinbedrijf, satellietconnectiviteit, enz.) die op regionaal en nationaal en regionaal niveau zijn opgedaan, maar die op </w:t>
      </w:r>
      <w:r>
        <w:rPr>
          <w:noProof/>
        </w:rPr>
        <w:t>Unieniveau zullen worden toegepast.</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Gebruiksrisico: aangezien wordt gebruikgemaakt van het principe "wie het eerst komt, het eerst maalt", bestaat het risico dat het gebruik geografisch onevenwichtig zal zijn verdeeld. De Commissie is echter vastbesloten t</w:t>
      </w:r>
      <w:r>
        <w:rPr>
          <w:noProof/>
        </w:rPr>
        <w:t>e zorgen voor een geografisch evenwichtig effect en rekening te houden met de specifieke behoeften van kleinere lidstaten en regio's met een economische achterstand.</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Beveiligings- en gegevensbeschermingsrisico: de regeling zal volledige persoonsgegevensbes</w:t>
      </w:r>
      <w:r>
        <w:rPr>
          <w:noProof/>
        </w:rPr>
        <w:t>cherming en een voldoende hoog authenticatieniveau garanderen met het oog op gebruiksvriendelijke verbindingen aan de toegangspunten.</w:t>
      </w:r>
    </w:p>
    <w:p w:rsidR="00A93FE6" w:rsidRDefault="008C548F">
      <w:pPr>
        <w:pStyle w:val="Text1"/>
        <w:pBdr>
          <w:top w:val="single" w:sz="4" w:space="1" w:color="auto"/>
          <w:left w:val="single" w:sz="4" w:space="4" w:color="auto"/>
          <w:bottom w:val="single" w:sz="4" w:space="1" w:color="auto"/>
          <w:right w:val="single" w:sz="4" w:space="4" w:color="auto"/>
        </w:pBdr>
        <w:rPr>
          <w:noProof/>
          <w:szCs w:val="24"/>
        </w:rPr>
      </w:pPr>
      <w:r>
        <w:rPr>
          <w:noProof/>
        </w:rPr>
        <w:t>Risico op reputatieschade: de kwaliteit van de dienstverlening wordt gewaarborgd doordat de begunstigden zich ertoe verbin</w:t>
      </w:r>
      <w:r>
        <w:rPr>
          <w:noProof/>
        </w:rPr>
        <w:t>den gebruik te maken van zeer snelle breedbandverbindingen om de gebruiker een hoogwaardige internetervaring te bieden. De kwaliteit zal ook op regelmatige basis worden gecontroleerd.</w:t>
      </w:r>
    </w:p>
    <w:p w:rsidR="00A93FE6" w:rsidRDefault="008C548F">
      <w:pPr>
        <w:pStyle w:val="ManualHeading3"/>
        <w:rPr>
          <w:bCs/>
          <w:noProof/>
          <w:szCs w:val="24"/>
        </w:rPr>
      </w:pPr>
      <w:r>
        <w:t>2.2.2.</w:t>
      </w:r>
      <w:r>
        <w:tab/>
      </w:r>
      <w:r>
        <w:rPr>
          <w:noProof/>
        </w:rPr>
        <w:t>#Informatie over het ingestelde systeem voor interne controle</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rPr>
        <w:t>De overeenkomsten en de besluiten ter uitvoering van de acties in het kader van de financieringsfaciliteit voor Europese verbindingen zullen voorzien in toezicht en financiële controle door de Commissie of door een andere door de Commissie gemachtigde vert</w:t>
      </w:r>
      <w:r>
        <w:rPr>
          <w:noProof/>
        </w:rPr>
        <w:t>egenwoordiger, en in audits door de Rekenkamer en controles ter plaatse door het Europees Bureau voor fraudebestrijding (OLAF), in overeenstemming met de procedures van Verordening van de Raad (Euratom, EG) nr. 2185/96 van 11 november 1996 betreffende de c</w:t>
      </w:r>
      <w:r>
        <w:rPr>
          <w:noProof/>
        </w:rPr>
        <w:t>ontroles en verificaties ter plaatse die door de Commissie worden uitgevoerd ter bescherming van de financiële belangen van de Europese Gemeenschappen tegen fraudes en andere onregelmatigheden en Verordening (EG) nr. 1073/1999 van het Europees Parlement en</w:t>
      </w:r>
      <w:r>
        <w:rPr>
          <w:noProof/>
        </w:rPr>
        <w:t xml:space="preserve"> van de Raad van 25 mei 1999 betreffende onderzoeken door het Europees Bureau voor fraudebestrijding (OLAF). </w:t>
      </w:r>
    </w:p>
    <w:p w:rsidR="00A93FE6" w:rsidRDefault="008C548F">
      <w:pPr>
        <w:pStyle w:val="ManualHeading3"/>
        <w:rPr>
          <w:noProof/>
        </w:rPr>
      </w:pPr>
      <w:r>
        <w:t>2.2.3.</w:t>
      </w:r>
      <w:r>
        <w:tab/>
      </w:r>
      <w:r>
        <w:rPr>
          <w:noProof/>
        </w:rPr>
        <w:t xml:space="preserve">Raming van de kosten en baten van de controles en evaluatie van het verwachte foutenrisico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A93FE6">
        <w:trPr>
          <w:trHeight w:val="680"/>
        </w:trPr>
        <w:tc>
          <w:tcPr>
            <w:tcW w:w="1920" w:type="dxa"/>
          </w:tcPr>
          <w:p w:rsidR="00A93FE6" w:rsidRDefault="008C548F">
            <w:pPr>
              <w:spacing w:before="0" w:after="0"/>
              <w:jc w:val="left"/>
              <w:rPr>
                <w:b/>
                <w:noProof/>
                <w:sz w:val="20"/>
                <w:szCs w:val="24"/>
              </w:rPr>
            </w:pPr>
            <w:r>
              <w:rPr>
                <w:b/>
                <w:noProof/>
                <w:sz w:val="20"/>
              </w:rPr>
              <w:t>Overzicht van controles</w:t>
            </w:r>
          </w:p>
        </w:tc>
        <w:tc>
          <w:tcPr>
            <w:tcW w:w="1320" w:type="dxa"/>
          </w:tcPr>
          <w:p w:rsidR="00A93FE6" w:rsidRDefault="008C548F">
            <w:pPr>
              <w:spacing w:before="0" w:after="0"/>
              <w:jc w:val="left"/>
              <w:rPr>
                <w:b/>
                <w:noProof/>
                <w:sz w:val="20"/>
                <w:szCs w:val="24"/>
              </w:rPr>
            </w:pPr>
            <w:r>
              <w:rPr>
                <w:b/>
                <w:noProof/>
                <w:sz w:val="20"/>
              </w:rPr>
              <w:t>Bedrag in MEUR</w:t>
            </w:r>
          </w:p>
        </w:tc>
        <w:tc>
          <w:tcPr>
            <w:tcW w:w="2040" w:type="dxa"/>
          </w:tcPr>
          <w:p w:rsidR="00A93FE6" w:rsidRDefault="008C548F">
            <w:pPr>
              <w:spacing w:before="0" w:after="0"/>
              <w:jc w:val="left"/>
              <w:rPr>
                <w:b/>
                <w:noProof/>
                <w:sz w:val="20"/>
                <w:szCs w:val="24"/>
              </w:rPr>
            </w:pPr>
            <w:r>
              <w:rPr>
                <w:b/>
                <w:noProof/>
                <w:sz w:val="20"/>
              </w:rPr>
              <w:t>Aantal b</w:t>
            </w:r>
            <w:r>
              <w:rPr>
                <w:b/>
                <w:noProof/>
                <w:sz w:val="20"/>
              </w:rPr>
              <w:t>egunstigden: transacties (% van het totaal)</w:t>
            </w:r>
          </w:p>
        </w:tc>
        <w:tc>
          <w:tcPr>
            <w:tcW w:w="1942" w:type="dxa"/>
          </w:tcPr>
          <w:p w:rsidR="00A93FE6" w:rsidRDefault="008C548F">
            <w:pPr>
              <w:spacing w:before="0" w:after="0"/>
              <w:jc w:val="left"/>
              <w:rPr>
                <w:b/>
                <w:noProof/>
                <w:sz w:val="20"/>
                <w:szCs w:val="24"/>
              </w:rPr>
            </w:pPr>
            <w:r>
              <w:rPr>
                <w:b/>
                <w:noProof/>
                <w:sz w:val="20"/>
              </w:rPr>
              <w:t>Grondigheid van controle * (beoordeling 1-4)</w:t>
            </w:r>
          </w:p>
        </w:tc>
        <w:tc>
          <w:tcPr>
            <w:tcW w:w="1237" w:type="dxa"/>
          </w:tcPr>
          <w:p w:rsidR="00A93FE6" w:rsidRDefault="008C548F">
            <w:pPr>
              <w:spacing w:before="0" w:after="0"/>
              <w:jc w:val="left"/>
              <w:rPr>
                <w:b/>
                <w:noProof/>
                <w:sz w:val="20"/>
                <w:szCs w:val="24"/>
              </w:rPr>
            </w:pPr>
            <w:r>
              <w:rPr>
                <w:b/>
                <w:noProof/>
                <w:sz w:val="20"/>
              </w:rPr>
              <w:t>Dekking (% van de waarde)</w:t>
            </w:r>
          </w:p>
        </w:tc>
      </w:tr>
      <w:tr w:rsidR="00A93FE6">
        <w:trPr>
          <w:trHeight w:val="555"/>
        </w:trPr>
        <w:tc>
          <w:tcPr>
            <w:tcW w:w="1920" w:type="dxa"/>
            <w:vMerge w:val="restart"/>
          </w:tcPr>
          <w:p w:rsidR="00A93FE6" w:rsidRDefault="008C548F">
            <w:pPr>
              <w:spacing w:before="0" w:after="0"/>
              <w:jc w:val="center"/>
              <w:rPr>
                <w:noProof/>
                <w:sz w:val="20"/>
                <w:szCs w:val="24"/>
              </w:rPr>
            </w:pPr>
            <w:r>
              <w:rPr>
                <w:noProof/>
                <w:sz w:val="20"/>
              </w:rPr>
              <w:t>Beheer van acties van beoordelingen tot ex-postbeoordelingen</w:t>
            </w:r>
          </w:p>
        </w:tc>
        <w:tc>
          <w:tcPr>
            <w:tcW w:w="1320" w:type="dxa"/>
            <w:vMerge w:val="restart"/>
          </w:tcPr>
          <w:p w:rsidR="00A93FE6" w:rsidRDefault="00A93FE6">
            <w:pPr>
              <w:spacing w:before="0" w:after="0"/>
              <w:jc w:val="center"/>
              <w:rPr>
                <w:noProof/>
                <w:sz w:val="20"/>
                <w:szCs w:val="24"/>
              </w:rPr>
            </w:pPr>
          </w:p>
          <w:p w:rsidR="00A93FE6" w:rsidRDefault="008C548F">
            <w:pPr>
              <w:spacing w:before="0" w:after="0"/>
              <w:jc w:val="center"/>
              <w:rPr>
                <w:noProof/>
                <w:sz w:val="20"/>
                <w:szCs w:val="24"/>
              </w:rPr>
            </w:pPr>
            <w:r>
              <w:rPr>
                <w:noProof/>
                <w:sz w:val="20"/>
              </w:rPr>
              <w:t>0,060</w:t>
            </w:r>
          </w:p>
        </w:tc>
        <w:tc>
          <w:tcPr>
            <w:tcW w:w="2040" w:type="dxa"/>
          </w:tcPr>
          <w:p w:rsidR="00A93FE6" w:rsidRDefault="008C548F">
            <w:pPr>
              <w:spacing w:before="0" w:after="0"/>
              <w:jc w:val="left"/>
              <w:rPr>
                <w:noProof/>
                <w:sz w:val="20"/>
                <w:szCs w:val="24"/>
              </w:rPr>
            </w:pPr>
            <w:r>
              <w:rPr>
                <w:noProof/>
                <w:sz w:val="20"/>
              </w:rPr>
              <w:t>1) algemene monitoring van alle projecten: 100 %</w:t>
            </w:r>
          </w:p>
        </w:tc>
        <w:tc>
          <w:tcPr>
            <w:tcW w:w="1942" w:type="dxa"/>
          </w:tcPr>
          <w:p w:rsidR="00A93FE6" w:rsidRDefault="008C548F">
            <w:pPr>
              <w:spacing w:before="0" w:after="0"/>
              <w:jc w:val="center"/>
              <w:rPr>
                <w:noProof/>
                <w:sz w:val="20"/>
                <w:szCs w:val="24"/>
              </w:rPr>
            </w:pPr>
            <w:r>
              <w:rPr>
                <w:noProof/>
                <w:sz w:val="20"/>
              </w:rPr>
              <w:t>1</w:t>
            </w:r>
          </w:p>
        </w:tc>
        <w:tc>
          <w:tcPr>
            <w:tcW w:w="1237" w:type="dxa"/>
          </w:tcPr>
          <w:p w:rsidR="00A93FE6" w:rsidRDefault="008C548F">
            <w:pPr>
              <w:spacing w:before="0" w:after="0"/>
              <w:jc w:val="center"/>
              <w:rPr>
                <w:noProof/>
                <w:sz w:val="20"/>
                <w:szCs w:val="24"/>
              </w:rPr>
            </w:pPr>
            <w:r>
              <w:rPr>
                <w:noProof/>
                <w:sz w:val="20"/>
              </w:rPr>
              <w:t>100 %</w:t>
            </w:r>
          </w:p>
        </w:tc>
      </w:tr>
      <w:tr w:rsidR="00A93FE6">
        <w:trPr>
          <w:trHeight w:val="555"/>
        </w:trPr>
        <w:tc>
          <w:tcPr>
            <w:tcW w:w="1920" w:type="dxa"/>
            <w:vMerge/>
          </w:tcPr>
          <w:p w:rsidR="00A93FE6" w:rsidRDefault="00A93FE6">
            <w:pPr>
              <w:spacing w:before="0" w:after="0"/>
              <w:jc w:val="center"/>
              <w:rPr>
                <w:noProof/>
                <w:sz w:val="20"/>
                <w:szCs w:val="24"/>
              </w:rPr>
            </w:pPr>
          </w:p>
        </w:tc>
        <w:tc>
          <w:tcPr>
            <w:tcW w:w="1320" w:type="dxa"/>
            <w:vMerge/>
          </w:tcPr>
          <w:p w:rsidR="00A93FE6" w:rsidRDefault="00A93FE6">
            <w:pPr>
              <w:spacing w:before="0" w:after="0"/>
              <w:jc w:val="center"/>
              <w:rPr>
                <w:noProof/>
                <w:sz w:val="20"/>
                <w:szCs w:val="24"/>
              </w:rPr>
            </w:pPr>
          </w:p>
        </w:tc>
        <w:tc>
          <w:tcPr>
            <w:tcW w:w="2040" w:type="dxa"/>
          </w:tcPr>
          <w:p w:rsidR="00A93FE6" w:rsidRDefault="008C548F">
            <w:pPr>
              <w:spacing w:before="0" w:after="0"/>
              <w:jc w:val="left"/>
              <w:rPr>
                <w:noProof/>
                <w:sz w:val="20"/>
                <w:szCs w:val="24"/>
              </w:rPr>
            </w:pPr>
            <w:r>
              <w:rPr>
                <w:noProof/>
                <w:sz w:val="20"/>
              </w:rPr>
              <w:t>2) audit van</w:t>
            </w:r>
            <w:r>
              <w:rPr>
                <w:noProof/>
                <w:sz w:val="20"/>
              </w:rPr>
              <w:t xml:space="preserve"> geselecteerde projecten: 5 %</w:t>
            </w:r>
          </w:p>
        </w:tc>
        <w:tc>
          <w:tcPr>
            <w:tcW w:w="1942" w:type="dxa"/>
          </w:tcPr>
          <w:p w:rsidR="00A93FE6" w:rsidRDefault="008C548F">
            <w:pPr>
              <w:spacing w:before="0" w:after="0"/>
              <w:jc w:val="center"/>
              <w:rPr>
                <w:noProof/>
                <w:sz w:val="20"/>
                <w:szCs w:val="24"/>
              </w:rPr>
            </w:pPr>
            <w:r>
              <w:rPr>
                <w:noProof/>
                <w:sz w:val="20"/>
              </w:rPr>
              <w:t>4</w:t>
            </w:r>
          </w:p>
        </w:tc>
        <w:tc>
          <w:tcPr>
            <w:tcW w:w="1237" w:type="dxa"/>
          </w:tcPr>
          <w:p w:rsidR="00A93FE6" w:rsidRDefault="008C548F">
            <w:pPr>
              <w:spacing w:before="0" w:after="0"/>
              <w:jc w:val="center"/>
              <w:rPr>
                <w:noProof/>
                <w:sz w:val="20"/>
                <w:szCs w:val="24"/>
              </w:rPr>
            </w:pPr>
            <w:r>
              <w:rPr>
                <w:noProof/>
                <w:sz w:val="20"/>
              </w:rPr>
              <w:t>10 %</w:t>
            </w:r>
          </w:p>
        </w:tc>
      </w:tr>
    </w:tbl>
    <w:p w:rsidR="00A93FE6" w:rsidRDefault="008C548F">
      <w:pPr>
        <w:pStyle w:val="ManualHeading2"/>
        <w:rPr>
          <w:bCs/>
          <w:noProof/>
          <w:szCs w:val="24"/>
        </w:rPr>
      </w:pPr>
      <w:r>
        <w:t>2.3.</w:t>
      </w:r>
      <w:r>
        <w:tab/>
      </w:r>
      <w:r>
        <w:rPr>
          <w:noProof/>
        </w:rPr>
        <w:t xml:space="preserve">Maatregelen ter voorkoming van fraude en onregelmatigheden </w:t>
      </w:r>
    </w:p>
    <w:p w:rsidR="00A93FE6" w:rsidRDefault="008C548F">
      <w:pPr>
        <w:pStyle w:val="Text1"/>
        <w:rPr>
          <w:i/>
          <w:noProof/>
          <w:sz w:val="20"/>
        </w:rPr>
      </w:pPr>
      <w:r>
        <w:rPr>
          <w:i/>
          <w:noProof/>
          <w:sz w:val="20"/>
        </w:rPr>
        <w:t>Vermeld de bestaande en geplande preventie- en beschermingsmaatregelen.</w:t>
      </w:r>
    </w:p>
    <w:p w:rsidR="00A93FE6" w:rsidRDefault="008C548F">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De Commissie draagt er bij de uitvoering van uit hoofde van deze verordening </w:t>
      </w:r>
      <w:r>
        <w:rPr>
          <w:noProof/>
        </w:rPr>
        <w:t>gefinancierde activiteiten zorg voor dat de financiële belangen van de Unie beschermd worden door de toepassing van preventieve maatregelen tegen fraude, corruptie en andere illegale activiteiten, door daadwerkelijke controles en door de terugvordering van</w:t>
      </w:r>
      <w:r>
        <w:rPr>
          <w:noProof/>
        </w:rPr>
        <w:t xml:space="preserve"> ten onrechte betaalde bedragen, en, indien er onregelmatigheden aan het licht komen, door doeltreffende, evenredige en afschrikkende sancties overeenkomstig Verordening (EG, Euratom) nr. 2988/95 van de Raad, Verordening (Euratom, EG) nr. 2185/96 van de Ra</w:t>
      </w:r>
      <w:r>
        <w:rPr>
          <w:noProof/>
        </w:rPr>
        <w:t>ad en Verordening (EG) nr. 1073/1999 van het Europees Parlement en de Raad.</w:t>
      </w:r>
    </w:p>
    <w:p w:rsidR="00A93FE6" w:rsidRDefault="008C548F">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Contracten worden gebaseerd op standaardmodellen waarin de algemeen geldende fraudebestrijdingsmaatregelen zijn vervat.</w:t>
      </w:r>
    </w:p>
    <w:p w:rsidR="00A93FE6" w:rsidRDefault="008C548F">
      <w:pPr>
        <w:pStyle w:val="ManualHeading1"/>
        <w:rPr>
          <w:bCs/>
          <w:noProof/>
          <w:szCs w:val="24"/>
        </w:rPr>
      </w:pPr>
      <w:r>
        <w:t>3.</w:t>
      </w:r>
      <w:r>
        <w:tab/>
      </w:r>
      <w:r>
        <w:rPr>
          <w:noProof/>
        </w:rPr>
        <w:t xml:space="preserve">GERAAMDE FINANCIËLE GEVOLGEN VAN HET VOORSTEL/INITIATIEF </w:t>
      </w:r>
    </w:p>
    <w:p w:rsidR="00A93FE6" w:rsidRDefault="008C548F">
      <w:pPr>
        <w:pStyle w:val="ManualHeading2"/>
        <w:rPr>
          <w:noProof/>
        </w:rPr>
      </w:pPr>
      <w:r>
        <w:t>3.1.</w:t>
      </w:r>
      <w:r>
        <w:tab/>
      </w:r>
      <w:r>
        <w:rPr>
          <w:noProof/>
        </w:rPr>
        <w:t xml:space="preserve">Rubriek(en) van het meerjarige financiële kader en betrokken begrotingsonderde(e)l(en) voor uitgaven </w:t>
      </w:r>
    </w:p>
    <w:p w:rsidR="00A93FE6" w:rsidRDefault="008C548F">
      <w:pPr>
        <w:pStyle w:val="ListBullet1"/>
        <w:rPr>
          <w:noProof/>
        </w:rPr>
      </w:pPr>
      <w:r>
        <w:rPr>
          <w:noProof/>
        </w:rPr>
        <w:t xml:space="preserve">Te creëren nieuwe begrotingsonderdelen </w:t>
      </w:r>
    </w:p>
    <w:p w:rsidR="00A93FE6" w:rsidRDefault="008C548F">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93FE6">
        <w:tc>
          <w:tcPr>
            <w:tcW w:w="1080" w:type="dxa"/>
            <w:vMerge w:val="restart"/>
            <w:vAlign w:val="center"/>
          </w:tcPr>
          <w:p w:rsidR="00A93FE6" w:rsidRDefault="008C548F">
            <w:pPr>
              <w:spacing w:before="60" w:after="60"/>
              <w:jc w:val="center"/>
              <w:rPr>
                <w:noProof/>
                <w:sz w:val="18"/>
                <w:szCs w:val="18"/>
              </w:rPr>
            </w:pPr>
            <w:r>
              <w:rPr>
                <w:noProof/>
                <w:sz w:val="18"/>
              </w:rPr>
              <w:t>Rubriek van het</w:t>
            </w:r>
            <w:r>
              <w:rPr>
                <w:noProof/>
                <w:sz w:val="18"/>
              </w:rPr>
              <w:t xml:space="preserve"> meerjarig financieel kader</w:t>
            </w:r>
          </w:p>
        </w:tc>
        <w:tc>
          <w:tcPr>
            <w:tcW w:w="3960" w:type="dxa"/>
            <w:vAlign w:val="center"/>
          </w:tcPr>
          <w:p w:rsidR="00A93FE6" w:rsidRDefault="008C548F">
            <w:pPr>
              <w:spacing w:before="60" w:after="60"/>
              <w:jc w:val="center"/>
              <w:rPr>
                <w:noProof/>
              </w:rPr>
            </w:pPr>
            <w:r>
              <w:rPr>
                <w:noProof/>
                <w:sz w:val="20"/>
              </w:rPr>
              <w:t>Begrotingsonderdeel</w:t>
            </w:r>
          </w:p>
        </w:tc>
        <w:tc>
          <w:tcPr>
            <w:tcW w:w="1080" w:type="dxa"/>
            <w:vAlign w:val="center"/>
          </w:tcPr>
          <w:p w:rsidR="00A93FE6" w:rsidRDefault="008C548F">
            <w:pPr>
              <w:spacing w:before="60" w:after="60"/>
              <w:jc w:val="center"/>
              <w:rPr>
                <w:noProof/>
              </w:rPr>
            </w:pPr>
            <w:r>
              <w:rPr>
                <w:noProof/>
                <w:sz w:val="18"/>
              </w:rPr>
              <w:t>Soort</w:t>
            </w:r>
            <w:r>
              <w:rPr>
                <w:noProof/>
                <w:sz w:val="22"/>
              </w:rPr>
              <w:br/>
            </w:r>
            <w:r>
              <w:rPr>
                <w:noProof/>
                <w:sz w:val="18"/>
              </w:rPr>
              <w:t>uitgave</w:t>
            </w:r>
          </w:p>
        </w:tc>
        <w:tc>
          <w:tcPr>
            <w:tcW w:w="4440" w:type="dxa"/>
            <w:gridSpan w:val="4"/>
            <w:vAlign w:val="center"/>
          </w:tcPr>
          <w:p w:rsidR="00A93FE6" w:rsidRDefault="008C548F">
            <w:pPr>
              <w:spacing w:before="60" w:after="60"/>
              <w:jc w:val="center"/>
              <w:rPr>
                <w:noProof/>
              </w:rPr>
            </w:pPr>
            <w:r>
              <w:rPr>
                <w:noProof/>
                <w:sz w:val="20"/>
              </w:rPr>
              <w:t xml:space="preserve">Bijdrage </w:t>
            </w:r>
          </w:p>
        </w:tc>
      </w:tr>
      <w:tr w:rsidR="00A93FE6">
        <w:tc>
          <w:tcPr>
            <w:tcW w:w="1080" w:type="dxa"/>
            <w:vMerge/>
            <w:vAlign w:val="center"/>
          </w:tcPr>
          <w:p w:rsidR="00A93FE6" w:rsidRDefault="00A93FE6">
            <w:pPr>
              <w:jc w:val="center"/>
              <w:rPr>
                <w:noProof/>
              </w:rPr>
            </w:pPr>
          </w:p>
        </w:tc>
        <w:tc>
          <w:tcPr>
            <w:tcW w:w="3960" w:type="dxa"/>
            <w:vAlign w:val="center"/>
          </w:tcPr>
          <w:p w:rsidR="00A93FE6" w:rsidRDefault="008C548F">
            <w:pPr>
              <w:rPr>
                <w:noProof/>
              </w:rPr>
            </w:pPr>
            <w:r>
              <w:rPr>
                <w:noProof/>
                <w:sz w:val="20"/>
              </w:rPr>
              <w:t>1a Concurrentievermogen voor groei en werkgelegenheid</w:t>
            </w:r>
          </w:p>
        </w:tc>
        <w:tc>
          <w:tcPr>
            <w:tcW w:w="1080" w:type="dxa"/>
            <w:vAlign w:val="center"/>
          </w:tcPr>
          <w:p w:rsidR="00A93FE6" w:rsidRDefault="008C548F">
            <w:pPr>
              <w:jc w:val="center"/>
              <w:rPr>
                <w:noProof/>
              </w:rPr>
            </w:pPr>
            <w:r>
              <w:rPr>
                <w:noProof/>
                <w:sz w:val="18"/>
              </w:rPr>
              <w:t>GK/NGK</w:t>
            </w:r>
          </w:p>
        </w:tc>
        <w:tc>
          <w:tcPr>
            <w:tcW w:w="956" w:type="dxa"/>
            <w:vAlign w:val="center"/>
          </w:tcPr>
          <w:p w:rsidR="00A93FE6" w:rsidRDefault="008C548F">
            <w:pPr>
              <w:jc w:val="center"/>
              <w:rPr>
                <w:noProof/>
                <w:sz w:val="18"/>
              </w:rPr>
            </w:pPr>
            <w:r>
              <w:rPr>
                <w:noProof/>
                <w:sz w:val="18"/>
              </w:rPr>
              <w:t>van EVA-landen</w:t>
            </w:r>
          </w:p>
        </w:tc>
        <w:tc>
          <w:tcPr>
            <w:tcW w:w="1080" w:type="dxa"/>
            <w:vAlign w:val="center"/>
          </w:tcPr>
          <w:p w:rsidR="00A93FE6" w:rsidRDefault="008C548F">
            <w:pPr>
              <w:jc w:val="center"/>
              <w:rPr>
                <w:noProof/>
                <w:sz w:val="18"/>
              </w:rPr>
            </w:pPr>
            <w:r>
              <w:rPr>
                <w:noProof/>
                <w:sz w:val="18"/>
              </w:rPr>
              <w:t>van kandidaat-lidstaten</w:t>
            </w:r>
          </w:p>
        </w:tc>
        <w:tc>
          <w:tcPr>
            <w:tcW w:w="956" w:type="dxa"/>
            <w:vAlign w:val="center"/>
          </w:tcPr>
          <w:p w:rsidR="00A93FE6" w:rsidRDefault="008C548F">
            <w:pPr>
              <w:jc w:val="center"/>
              <w:rPr>
                <w:noProof/>
                <w:sz w:val="18"/>
              </w:rPr>
            </w:pPr>
            <w:r>
              <w:rPr>
                <w:noProof/>
                <w:sz w:val="18"/>
              </w:rPr>
              <w:t>van derde landen</w:t>
            </w:r>
          </w:p>
        </w:tc>
        <w:tc>
          <w:tcPr>
            <w:tcW w:w="1448" w:type="dxa"/>
            <w:vAlign w:val="center"/>
          </w:tcPr>
          <w:p w:rsidR="00A93FE6" w:rsidRDefault="008C548F">
            <w:pPr>
              <w:jc w:val="center"/>
              <w:rPr>
                <w:noProof/>
              </w:rPr>
            </w:pPr>
            <w:r>
              <w:rPr>
                <w:noProof/>
                <w:sz w:val="16"/>
              </w:rPr>
              <w:t>in de zin van artikel 21, lid 2, onder b), van het Financieel Reg</w:t>
            </w:r>
            <w:r>
              <w:rPr>
                <w:noProof/>
                <w:sz w:val="16"/>
              </w:rPr>
              <w:t xml:space="preserve">lement </w:t>
            </w:r>
          </w:p>
        </w:tc>
      </w:tr>
      <w:tr w:rsidR="00A93FE6">
        <w:tc>
          <w:tcPr>
            <w:tcW w:w="1080" w:type="dxa"/>
            <w:vAlign w:val="center"/>
          </w:tcPr>
          <w:p w:rsidR="00A93FE6" w:rsidRDefault="00A93FE6">
            <w:pPr>
              <w:jc w:val="center"/>
              <w:rPr>
                <w:noProof/>
                <w:color w:val="0000FF"/>
              </w:rPr>
            </w:pPr>
          </w:p>
        </w:tc>
        <w:tc>
          <w:tcPr>
            <w:tcW w:w="3960" w:type="dxa"/>
            <w:vAlign w:val="center"/>
          </w:tcPr>
          <w:p w:rsidR="00A93FE6" w:rsidRDefault="008C548F">
            <w:pPr>
              <w:spacing w:after="60"/>
              <w:rPr>
                <w:noProof/>
              </w:rPr>
            </w:pPr>
            <w:r>
              <w:rPr>
                <w:b/>
                <w:noProof/>
                <w:sz w:val="20"/>
              </w:rPr>
              <w:t xml:space="preserve">09 03 04 Wireless for EU (W4EU)  </w:t>
            </w:r>
          </w:p>
        </w:tc>
        <w:tc>
          <w:tcPr>
            <w:tcW w:w="1080" w:type="dxa"/>
            <w:vAlign w:val="center"/>
          </w:tcPr>
          <w:p w:rsidR="00A93FE6" w:rsidRDefault="008C548F">
            <w:pPr>
              <w:jc w:val="center"/>
              <w:rPr>
                <w:noProof/>
              </w:rPr>
            </w:pPr>
            <w:r>
              <w:rPr>
                <w:noProof/>
              </w:rPr>
              <w:t>GK</w:t>
            </w:r>
          </w:p>
        </w:tc>
        <w:tc>
          <w:tcPr>
            <w:tcW w:w="956" w:type="dxa"/>
            <w:vAlign w:val="center"/>
          </w:tcPr>
          <w:p w:rsidR="00A93FE6" w:rsidRDefault="008C548F">
            <w:pPr>
              <w:jc w:val="center"/>
              <w:rPr>
                <w:noProof/>
              </w:rPr>
            </w:pPr>
            <w:r>
              <w:rPr>
                <w:noProof/>
                <w:sz w:val="22"/>
              </w:rPr>
              <w:t>JA</w:t>
            </w:r>
          </w:p>
        </w:tc>
        <w:tc>
          <w:tcPr>
            <w:tcW w:w="1080" w:type="dxa"/>
            <w:vAlign w:val="center"/>
          </w:tcPr>
          <w:p w:rsidR="00A93FE6" w:rsidRDefault="008C548F">
            <w:pPr>
              <w:jc w:val="center"/>
              <w:rPr>
                <w:noProof/>
                <w:color w:val="0000FF"/>
                <w:sz w:val="18"/>
              </w:rPr>
            </w:pPr>
            <w:r>
              <w:rPr>
                <w:noProof/>
                <w:sz w:val="22"/>
              </w:rPr>
              <w:t>NEE</w:t>
            </w:r>
          </w:p>
        </w:tc>
        <w:tc>
          <w:tcPr>
            <w:tcW w:w="956" w:type="dxa"/>
            <w:vAlign w:val="center"/>
          </w:tcPr>
          <w:p w:rsidR="00A93FE6" w:rsidRDefault="008C548F">
            <w:pPr>
              <w:jc w:val="center"/>
              <w:rPr>
                <w:noProof/>
                <w:color w:val="0000FF"/>
                <w:sz w:val="18"/>
              </w:rPr>
            </w:pPr>
            <w:r>
              <w:rPr>
                <w:noProof/>
                <w:sz w:val="22"/>
              </w:rPr>
              <w:t>NEE</w:t>
            </w:r>
          </w:p>
        </w:tc>
        <w:tc>
          <w:tcPr>
            <w:tcW w:w="1448" w:type="dxa"/>
            <w:vAlign w:val="center"/>
          </w:tcPr>
          <w:p w:rsidR="00A93FE6" w:rsidRDefault="008C548F">
            <w:pPr>
              <w:jc w:val="center"/>
              <w:rPr>
                <w:noProof/>
              </w:rPr>
            </w:pPr>
            <w:r>
              <w:rPr>
                <w:noProof/>
                <w:sz w:val="22"/>
              </w:rPr>
              <w:t>NEE</w:t>
            </w:r>
          </w:p>
        </w:tc>
      </w:tr>
    </w:tbl>
    <w:p w:rsidR="00A93FE6" w:rsidRDefault="00A93FE6">
      <w:pPr>
        <w:rPr>
          <w:noProof/>
        </w:rPr>
        <w:sectPr w:rsidR="00A93FE6" w:rsidSect="008C548F">
          <w:pgSz w:w="11907" w:h="16840" w:code="1"/>
          <w:pgMar w:top="1134" w:right="1418" w:bottom="1134" w:left="1418" w:header="709" w:footer="709" w:gutter="0"/>
          <w:cols w:space="708"/>
          <w:docGrid w:linePitch="360"/>
        </w:sectPr>
      </w:pPr>
    </w:p>
    <w:p w:rsidR="00A93FE6" w:rsidRDefault="008C548F">
      <w:pPr>
        <w:pStyle w:val="ManualHeading2"/>
        <w:rPr>
          <w:bCs/>
          <w:noProof/>
          <w:szCs w:val="24"/>
        </w:rPr>
      </w:pPr>
      <w:r>
        <w:t>3.2.</w:t>
      </w:r>
      <w:r>
        <w:tab/>
      </w:r>
      <w:r>
        <w:rPr>
          <w:noProof/>
        </w:rPr>
        <w:t xml:space="preserve">Geraamde gevolgen voor de uitgaven </w:t>
      </w:r>
    </w:p>
    <w:p w:rsidR="00A93FE6" w:rsidRDefault="008C548F">
      <w:pPr>
        <w:pStyle w:val="Text1"/>
        <w:rPr>
          <w:noProof/>
        </w:rPr>
      </w:pPr>
      <w:r>
        <w:rPr>
          <w:noProof/>
          <w:highlight w:val="lightGray"/>
        </w:rPr>
        <w:t xml:space="preserve">[Dit deel moet worden ingevuld op de </w:t>
      </w:r>
      <w:hyperlink r:id="rId18">
        <w:r>
          <w:rPr>
            <w:rStyle w:val="Hyperlink"/>
            <w:rFonts w:ascii="Times New Roman" w:hAnsi="Times New Roman"/>
            <w:b/>
            <w:noProof/>
          </w:rPr>
          <w:t>spreadsheet</w:t>
        </w:r>
        <w:r>
          <w:rPr>
            <w:rStyle w:val="Hyperlink"/>
            <w:rFonts w:ascii="Times New Roman" w:hAnsi="Times New Roman"/>
            <w:b/>
            <w:noProof/>
          </w:rPr>
          <w:t xml:space="preserve"> met administratieve begrotingsgegevens</w:t>
        </w:r>
      </w:hyperlink>
      <w:r>
        <w:rPr>
          <w:noProof/>
          <w:highlight w:val="lightGray"/>
        </w:rPr>
        <w:t xml:space="preserve"> (tweede document in de bijlage bij dit financieel memorandum), te uploaden in DECIDE met het oog op overleg tussen de diensten.]</w:t>
      </w:r>
    </w:p>
    <w:p w:rsidR="00A93FE6" w:rsidRDefault="008C548F">
      <w:pPr>
        <w:pStyle w:val="ManualHeading3"/>
        <w:rPr>
          <w:noProof/>
          <w:u w:val="single"/>
        </w:rPr>
      </w:pPr>
      <w:r>
        <w:t>3.2.1.</w:t>
      </w:r>
      <w:r>
        <w:tab/>
      </w:r>
      <w:r>
        <w:rPr>
          <w:noProof/>
        </w:rPr>
        <w:t xml:space="preserve">Samenvatting van de geraamde gevolgen voor de uitgaven </w:t>
      </w:r>
    </w:p>
    <w:p w:rsidR="00A93FE6" w:rsidRDefault="008C548F">
      <w:pPr>
        <w:jc w:val="right"/>
        <w:rPr>
          <w:noProof/>
          <w:sz w:val="20"/>
        </w:rPr>
      </w:pPr>
      <w:r>
        <w:rPr>
          <w:noProof/>
          <w:sz w:val="20"/>
        </w:rPr>
        <w:t xml:space="preserve">in miljoen EUR (tot op </w:t>
      </w:r>
      <w:r>
        <w:rPr>
          <w:noProof/>
          <w:sz w:val="20"/>
        </w:rPr>
        <w:t>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A93FE6">
        <w:trPr>
          <w:jc w:val="center"/>
        </w:trPr>
        <w:tc>
          <w:tcPr>
            <w:tcW w:w="5579" w:type="dxa"/>
            <w:shd w:val="thinDiagStripe" w:color="C0C0C0" w:fill="auto"/>
            <w:vAlign w:val="center"/>
          </w:tcPr>
          <w:p w:rsidR="00A93FE6" w:rsidRDefault="008C548F">
            <w:pPr>
              <w:spacing w:before="60" w:after="60"/>
              <w:jc w:val="center"/>
              <w:rPr>
                <w:b/>
                <w:noProof/>
              </w:rPr>
            </w:pPr>
            <w:r>
              <w:rPr>
                <w:b/>
                <w:noProof/>
                <w:sz w:val="22"/>
              </w:rPr>
              <w:t xml:space="preserve">Rubriek van het meerjarig financieel </w:t>
            </w:r>
            <w:r>
              <w:rPr>
                <w:noProof/>
                <w:sz w:val="22"/>
              </w:rPr>
              <w:br/>
            </w:r>
            <w:r>
              <w:rPr>
                <w:b/>
                <w:noProof/>
                <w:sz w:val="22"/>
              </w:rPr>
              <w:t xml:space="preserve">kader </w:t>
            </w:r>
          </w:p>
        </w:tc>
        <w:tc>
          <w:tcPr>
            <w:tcW w:w="960" w:type="dxa"/>
            <w:vAlign w:val="center"/>
          </w:tcPr>
          <w:p w:rsidR="00A93FE6" w:rsidRDefault="008C548F">
            <w:pPr>
              <w:spacing w:before="60" w:after="60"/>
              <w:jc w:val="center"/>
              <w:rPr>
                <w:b/>
                <w:noProof/>
                <w:sz w:val="22"/>
              </w:rPr>
            </w:pPr>
            <w:r>
              <w:rPr>
                <w:b/>
                <w:noProof/>
                <w:sz w:val="22"/>
              </w:rPr>
              <w:t>1a</w:t>
            </w:r>
          </w:p>
        </w:tc>
        <w:tc>
          <w:tcPr>
            <w:tcW w:w="7102" w:type="dxa"/>
            <w:vAlign w:val="center"/>
          </w:tcPr>
          <w:p w:rsidR="00A93FE6" w:rsidRDefault="008C548F">
            <w:pPr>
              <w:spacing w:before="60" w:after="60"/>
              <w:rPr>
                <w:noProof/>
              </w:rPr>
            </w:pPr>
            <w:r>
              <w:rPr>
                <w:noProof/>
              </w:rPr>
              <w:t xml:space="preserve"> </w:t>
            </w:r>
            <w:r>
              <w:rPr>
                <w:noProof/>
                <w:sz w:val="22"/>
              </w:rPr>
              <w:t>Concurrentievermogen ter bevordering van groei en werkgelegenheid</w:t>
            </w:r>
          </w:p>
        </w:tc>
      </w:tr>
    </w:tbl>
    <w:p w:rsidR="00A93FE6" w:rsidRDefault="00A93FE6">
      <w:pPr>
        <w:rPr>
          <w:noProof/>
          <w:sz w:val="16"/>
        </w:rPr>
      </w:pPr>
    </w:p>
    <w:p w:rsidR="00A93FE6" w:rsidRDefault="008C548F">
      <w:pPr>
        <w:pStyle w:val="Text1"/>
        <w:ind w:right="804"/>
        <w:rPr>
          <w:noProof/>
        </w:rPr>
      </w:pPr>
      <w:r>
        <w:rPr>
          <w:noProof/>
        </w:rPr>
        <w:t>De voor dit voorstel vereiste kredieten zullen volledig worden gefinancierd met middelen die in het meerjarig financieel kader 2014-2020 zijn uitgetrokken. Zoals hieronder aangegeven, zal 70 miljoen EUR worden herschikt binnen de geprogrammeerde bedragen v</w:t>
      </w:r>
      <w:r>
        <w:rPr>
          <w:noProof/>
        </w:rPr>
        <w:t xml:space="preserve">oor het onderdeel telecommunicatie van de financieringsfaciliteit voor Europese verbindingen voor de periode 2017-2020 en zal 50 miljoen EUR worden gefinancierd met behulp van de niet-toegewezen marge. </w:t>
      </w:r>
    </w:p>
    <w:p w:rsidR="00A93FE6" w:rsidRDefault="00A93FE6">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A93FE6">
        <w:trPr>
          <w:trHeight w:val="416"/>
        </w:trPr>
        <w:tc>
          <w:tcPr>
            <w:tcW w:w="5520" w:type="dxa"/>
            <w:shd w:val="clear" w:color="auto" w:fill="auto"/>
          </w:tcPr>
          <w:p w:rsidR="00A93FE6" w:rsidRDefault="008C548F">
            <w:pPr>
              <w:pStyle w:val="Text1"/>
              <w:ind w:left="0"/>
              <w:rPr>
                <w:b/>
                <w:noProof/>
                <w:sz w:val="18"/>
                <w:szCs w:val="18"/>
              </w:rPr>
            </w:pPr>
            <w:r>
              <w:rPr>
                <w:b/>
                <w:noProof/>
                <w:sz w:val="22"/>
              </w:rPr>
              <w:t>Financieringsbronnen voor het initiatief</w:t>
            </w:r>
          </w:p>
        </w:tc>
        <w:tc>
          <w:tcPr>
            <w:tcW w:w="1560" w:type="dxa"/>
          </w:tcPr>
          <w:p w:rsidR="00A93FE6" w:rsidRDefault="008C548F">
            <w:pPr>
              <w:jc w:val="center"/>
              <w:rPr>
                <w:b/>
                <w:noProof/>
                <w:sz w:val="20"/>
              </w:rPr>
            </w:pPr>
            <w:r>
              <w:rPr>
                <w:b/>
                <w:noProof/>
                <w:sz w:val="20"/>
              </w:rPr>
              <w:t>2017</w:t>
            </w:r>
          </w:p>
        </w:tc>
        <w:tc>
          <w:tcPr>
            <w:tcW w:w="1680" w:type="dxa"/>
          </w:tcPr>
          <w:p w:rsidR="00A93FE6" w:rsidRDefault="008C548F">
            <w:pPr>
              <w:jc w:val="center"/>
              <w:rPr>
                <w:b/>
                <w:noProof/>
                <w:sz w:val="20"/>
              </w:rPr>
            </w:pPr>
            <w:r>
              <w:rPr>
                <w:b/>
                <w:noProof/>
                <w:sz w:val="20"/>
              </w:rPr>
              <w:t>2018</w:t>
            </w:r>
          </w:p>
        </w:tc>
        <w:tc>
          <w:tcPr>
            <w:tcW w:w="1560" w:type="dxa"/>
            <w:shd w:val="clear" w:color="auto" w:fill="auto"/>
          </w:tcPr>
          <w:p w:rsidR="00A93FE6" w:rsidRDefault="008C548F">
            <w:pPr>
              <w:jc w:val="center"/>
              <w:rPr>
                <w:b/>
                <w:noProof/>
                <w:sz w:val="20"/>
              </w:rPr>
            </w:pPr>
            <w:r>
              <w:rPr>
                <w:b/>
                <w:noProof/>
                <w:sz w:val="20"/>
              </w:rPr>
              <w:t>2</w:t>
            </w:r>
            <w:r>
              <w:rPr>
                <w:b/>
                <w:noProof/>
                <w:sz w:val="20"/>
              </w:rPr>
              <w:t>019</w:t>
            </w:r>
          </w:p>
        </w:tc>
        <w:tc>
          <w:tcPr>
            <w:tcW w:w="1680" w:type="dxa"/>
            <w:shd w:val="clear" w:color="auto" w:fill="auto"/>
          </w:tcPr>
          <w:p w:rsidR="00A93FE6" w:rsidRDefault="008C548F">
            <w:pPr>
              <w:jc w:val="center"/>
              <w:rPr>
                <w:b/>
                <w:noProof/>
                <w:sz w:val="20"/>
              </w:rPr>
            </w:pPr>
            <w:r>
              <w:rPr>
                <w:b/>
                <w:noProof/>
                <w:sz w:val="20"/>
              </w:rPr>
              <w:t>2020</w:t>
            </w:r>
          </w:p>
        </w:tc>
        <w:tc>
          <w:tcPr>
            <w:tcW w:w="1560" w:type="dxa"/>
            <w:shd w:val="clear" w:color="auto" w:fill="auto"/>
          </w:tcPr>
          <w:p w:rsidR="00A93FE6" w:rsidRDefault="008C548F">
            <w:pPr>
              <w:jc w:val="center"/>
              <w:rPr>
                <w:b/>
                <w:noProof/>
                <w:sz w:val="20"/>
              </w:rPr>
            </w:pPr>
            <w:r>
              <w:rPr>
                <w:b/>
                <w:noProof/>
                <w:sz w:val="20"/>
              </w:rPr>
              <w:t>Totaal</w:t>
            </w:r>
          </w:p>
        </w:tc>
      </w:tr>
      <w:tr w:rsidR="00A93FE6">
        <w:trPr>
          <w:trHeight w:val="488"/>
        </w:trPr>
        <w:tc>
          <w:tcPr>
            <w:tcW w:w="5520" w:type="dxa"/>
            <w:shd w:val="clear" w:color="auto" w:fill="auto"/>
            <w:vAlign w:val="center"/>
          </w:tcPr>
          <w:p w:rsidR="00A93FE6" w:rsidRDefault="008C548F">
            <w:pPr>
              <w:pStyle w:val="Text1"/>
              <w:ind w:left="0"/>
              <w:jc w:val="left"/>
              <w:rPr>
                <w:b/>
                <w:noProof/>
                <w:sz w:val="20"/>
                <w:szCs w:val="18"/>
              </w:rPr>
            </w:pPr>
            <w:r>
              <w:rPr>
                <w:b/>
                <w:noProof/>
                <w:sz w:val="20"/>
              </w:rPr>
              <w:t>09 03 02 Een gunstiger klimaat voor particuliere investeringen in infrastructuurprojecten op het gebied van telecommunicatie creëren — CEF Breedband</w:t>
            </w:r>
          </w:p>
        </w:tc>
        <w:tc>
          <w:tcPr>
            <w:tcW w:w="1560" w:type="dxa"/>
            <w:vAlign w:val="center"/>
          </w:tcPr>
          <w:p w:rsidR="00A93FE6" w:rsidRDefault="008C548F">
            <w:pPr>
              <w:pStyle w:val="Text1"/>
              <w:ind w:left="0"/>
              <w:jc w:val="left"/>
              <w:rPr>
                <w:noProof/>
                <w:sz w:val="18"/>
                <w:szCs w:val="18"/>
              </w:rPr>
            </w:pPr>
            <w:r>
              <w:rPr>
                <w:noProof/>
                <w:sz w:val="18"/>
              </w:rPr>
              <w:t>19,422</w:t>
            </w:r>
          </w:p>
        </w:tc>
        <w:tc>
          <w:tcPr>
            <w:tcW w:w="1680" w:type="dxa"/>
            <w:vAlign w:val="center"/>
          </w:tcPr>
          <w:p w:rsidR="00A93FE6" w:rsidRDefault="008C548F">
            <w:pPr>
              <w:pStyle w:val="Text1"/>
              <w:ind w:left="0"/>
              <w:jc w:val="left"/>
              <w:rPr>
                <w:noProof/>
                <w:sz w:val="18"/>
                <w:szCs w:val="18"/>
              </w:rPr>
            </w:pPr>
            <w:r>
              <w:rPr>
                <w:noProof/>
                <w:sz w:val="18"/>
              </w:rPr>
              <w:t>19,967</w:t>
            </w:r>
          </w:p>
        </w:tc>
        <w:tc>
          <w:tcPr>
            <w:tcW w:w="1560" w:type="dxa"/>
            <w:shd w:val="clear" w:color="auto" w:fill="auto"/>
            <w:vAlign w:val="center"/>
          </w:tcPr>
          <w:p w:rsidR="00A93FE6" w:rsidRDefault="00A93FE6">
            <w:pPr>
              <w:pStyle w:val="Text1"/>
              <w:ind w:left="0"/>
              <w:jc w:val="left"/>
              <w:rPr>
                <w:noProof/>
                <w:sz w:val="18"/>
                <w:szCs w:val="18"/>
              </w:rPr>
            </w:pPr>
          </w:p>
        </w:tc>
        <w:tc>
          <w:tcPr>
            <w:tcW w:w="1680" w:type="dxa"/>
            <w:shd w:val="clear" w:color="auto" w:fill="auto"/>
            <w:vAlign w:val="center"/>
          </w:tcPr>
          <w:p w:rsidR="00A93FE6" w:rsidRDefault="00A93FE6">
            <w:pPr>
              <w:pStyle w:val="Text1"/>
              <w:ind w:left="0"/>
              <w:jc w:val="left"/>
              <w:rPr>
                <w:noProof/>
                <w:sz w:val="18"/>
                <w:szCs w:val="18"/>
              </w:rPr>
            </w:pPr>
          </w:p>
        </w:tc>
        <w:tc>
          <w:tcPr>
            <w:tcW w:w="1560" w:type="dxa"/>
            <w:shd w:val="clear" w:color="auto" w:fill="auto"/>
            <w:vAlign w:val="center"/>
          </w:tcPr>
          <w:p w:rsidR="00A93FE6" w:rsidRDefault="008C548F">
            <w:pPr>
              <w:pStyle w:val="Text1"/>
              <w:ind w:left="0"/>
              <w:jc w:val="left"/>
              <w:rPr>
                <w:noProof/>
                <w:sz w:val="18"/>
                <w:szCs w:val="18"/>
              </w:rPr>
            </w:pPr>
            <w:r>
              <w:rPr>
                <w:noProof/>
                <w:sz w:val="18"/>
              </w:rPr>
              <w:t>39,389</w:t>
            </w:r>
          </w:p>
        </w:tc>
      </w:tr>
      <w:tr w:rsidR="00A93FE6">
        <w:trPr>
          <w:trHeight w:val="801"/>
        </w:trPr>
        <w:tc>
          <w:tcPr>
            <w:tcW w:w="5520" w:type="dxa"/>
            <w:shd w:val="clear" w:color="auto" w:fill="auto"/>
            <w:vAlign w:val="center"/>
          </w:tcPr>
          <w:p w:rsidR="00A93FE6" w:rsidRDefault="008C548F">
            <w:pPr>
              <w:jc w:val="left"/>
              <w:rPr>
                <w:b/>
                <w:noProof/>
                <w:sz w:val="20"/>
                <w:szCs w:val="18"/>
              </w:rPr>
            </w:pPr>
            <w:r>
              <w:rPr>
                <w:b/>
                <w:noProof/>
                <w:sz w:val="20"/>
              </w:rPr>
              <w:t xml:space="preserve">09 03 03 Interoperabiliteit, duurzame introductie, exploitatie en </w:t>
            </w:r>
            <w:r>
              <w:rPr>
                <w:b/>
                <w:noProof/>
                <w:sz w:val="20"/>
              </w:rPr>
              <w:t>opwaardering van trans-Europese digitalediensteninfrastructuren, alsmede coördinatie op Europees niveau bevorderen</w:t>
            </w:r>
          </w:p>
        </w:tc>
        <w:tc>
          <w:tcPr>
            <w:tcW w:w="1560" w:type="dxa"/>
            <w:vAlign w:val="center"/>
          </w:tcPr>
          <w:p w:rsidR="00A93FE6" w:rsidRDefault="008C548F">
            <w:pPr>
              <w:pStyle w:val="Text1"/>
              <w:ind w:left="0"/>
              <w:jc w:val="left"/>
              <w:rPr>
                <w:noProof/>
                <w:sz w:val="18"/>
                <w:szCs w:val="18"/>
              </w:rPr>
            </w:pPr>
            <w:r>
              <w:rPr>
                <w:noProof/>
                <w:sz w:val="18"/>
              </w:rPr>
              <w:t>0,578</w:t>
            </w:r>
          </w:p>
        </w:tc>
        <w:tc>
          <w:tcPr>
            <w:tcW w:w="1680" w:type="dxa"/>
            <w:vAlign w:val="center"/>
          </w:tcPr>
          <w:p w:rsidR="00A93FE6" w:rsidRDefault="00A93FE6">
            <w:pPr>
              <w:pStyle w:val="Text1"/>
              <w:ind w:left="0"/>
              <w:jc w:val="left"/>
              <w:rPr>
                <w:noProof/>
                <w:sz w:val="18"/>
                <w:szCs w:val="18"/>
              </w:rPr>
            </w:pPr>
          </w:p>
        </w:tc>
        <w:tc>
          <w:tcPr>
            <w:tcW w:w="1560" w:type="dxa"/>
            <w:shd w:val="clear" w:color="auto" w:fill="auto"/>
            <w:vAlign w:val="center"/>
          </w:tcPr>
          <w:p w:rsidR="00A93FE6" w:rsidRDefault="00A93FE6">
            <w:pPr>
              <w:pStyle w:val="Text1"/>
              <w:ind w:left="0"/>
              <w:jc w:val="left"/>
              <w:rPr>
                <w:noProof/>
                <w:sz w:val="18"/>
                <w:szCs w:val="18"/>
              </w:rPr>
            </w:pPr>
          </w:p>
        </w:tc>
        <w:tc>
          <w:tcPr>
            <w:tcW w:w="1680" w:type="dxa"/>
            <w:shd w:val="clear" w:color="auto" w:fill="auto"/>
            <w:vAlign w:val="center"/>
          </w:tcPr>
          <w:p w:rsidR="00A93FE6" w:rsidRDefault="008C548F">
            <w:pPr>
              <w:pStyle w:val="Text1"/>
              <w:ind w:left="0"/>
              <w:jc w:val="left"/>
              <w:rPr>
                <w:noProof/>
                <w:sz w:val="18"/>
                <w:szCs w:val="18"/>
              </w:rPr>
            </w:pPr>
            <w:r>
              <w:rPr>
                <w:noProof/>
                <w:sz w:val="18"/>
              </w:rPr>
              <w:t>0,350</w:t>
            </w:r>
          </w:p>
        </w:tc>
        <w:tc>
          <w:tcPr>
            <w:tcW w:w="1560" w:type="dxa"/>
            <w:shd w:val="clear" w:color="auto" w:fill="auto"/>
            <w:vAlign w:val="center"/>
          </w:tcPr>
          <w:p w:rsidR="00A93FE6" w:rsidRDefault="008C548F">
            <w:pPr>
              <w:pStyle w:val="Text1"/>
              <w:ind w:left="0"/>
              <w:jc w:val="left"/>
              <w:rPr>
                <w:noProof/>
                <w:sz w:val="18"/>
                <w:szCs w:val="18"/>
              </w:rPr>
            </w:pPr>
            <w:r>
              <w:rPr>
                <w:noProof/>
                <w:sz w:val="18"/>
              </w:rPr>
              <w:t>0,928</w:t>
            </w:r>
          </w:p>
        </w:tc>
      </w:tr>
      <w:tr w:rsidR="00A93FE6">
        <w:trPr>
          <w:trHeight w:val="464"/>
        </w:trPr>
        <w:tc>
          <w:tcPr>
            <w:tcW w:w="5520" w:type="dxa"/>
            <w:shd w:val="clear" w:color="auto" w:fill="auto"/>
            <w:vAlign w:val="center"/>
          </w:tcPr>
          <w:p w:rsidR="00A93FE6" w:rsidRDefault="008C548F">
            <w:pPr>
              <w:jc w:val="left"/>
              <w:rPr>
                <w:b/>
                <w:noProof/>
                <w:sz w:val="20"/>
                <w:szCs w:val="18"/>
              </w:rPr>
            </w:pPr>
            <w:r>
              <w:rPr>
                <w:b/>
                <w:noProof/>
                <w:sz w:val="20"/>
              </w:rPr>
              <w:t>09 04 02 01 Leiderschap op het gebied van de informatie- en communicatietechnologie</w:t>
            </w:r>
          </w:p>
        </w:tc>
        <w:tc>
          <w:tcPr>
            <w:tcW w:w="1560" w:type="dxa"/>
            <w:vAlign w:val="center"/>
          </w:tcPr>
          <w:p w:rsidR="00A93FE6" w:rsidRDefault="00A93FE6">
            <w:pPr>
              <w:pStyle w:val="Text1"/>
              <w:ind w:left="0"/>
              <w:jc w:val="left"/>
              <w:rPr>
                <w:noProof/>
                <w:sz w:val="18"/>
                <w:szCs w:val="18"/>
              </w:rPr>
            </w:pPr>
          </w:p>
        </w:tc>
        <w:tc>
          <w:tcPr>
            <w:tcW w:w="1680" w:type="dxa"/>
            <w:vAlign w:val="center"/>
          </w:tcPr>
          <w:p w:rsidR="00A93FE6" w:rsidRDefault="008C548F">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A93FE6" w:rsidRDefault="00A93FE6">
            <w:pPr>
              <w:pStyle w:val="Text1"/>
              <w:ind w:left="0"/>
              <w:jc w:val="left"/>
              <w:rPr>
                <w:noProof/>
                <w:sz w:val="18"/>
                <w:szCs w:val="18"/>
              </w:rPr>
            </w:pPr>
          </w:p>
        </w:tc>
        <w:tc>
          <w:tcPr>
            <w:tcW w:w="1680" w:type="dxa"/>
            <w:shd w:val="clear" w:color="auto" w:fill="auto"/>
            <w:vAlign w:val="center"/>
          </w:tcPr>
          <w:p w:rsidR="00A93FE6" w:rsidRDefault="00A93FE6">
            <w:pPr>
              <w:pStyle w:val="Text1"/>
              <w:ind w:left="0"/>
              <w:jc w:val="left"/>
              <w:rPr>
                <w:noProof/>
                <w:sz w:val="18"/>
                <w:szCs w:val="18"/>
              </w:rPr>
            </w:pPr>
          </w:p>
        </w:tc>
        <w:tc>
          <w:tcPr>
            <w:tcW w:w="1560" w:type="dxa"/>
            <w:shd w:val="clear" w:color="auto" w:fill="auto"/>
            <w:vAlign w:val="center"/>
          </w:tcPr>
          <w:p w:rsidR="00A93FE6" w:rsidRDefault="008C548F">
            <w:pPr>
              <w:pStyle w:val="Text1"/>
              <w:ind w:left="0"/>
              <w:jc w:val="left"/>
              <w:rPr>
                <w:noProof/>
                <w:sz w:val="18"/>
                <w:szCs w:val="18"/>
              </w:rPr>
            </w:pPr>
            <w:r>
              <w:rPr>
                <w:noProof/>
                <w:sz w:val="18"/>
              </w:rPr>
              <w:t>30,033</w:t>
            </w:r>
          </w:p>
        </w:tc>
      </w:tr>
      <w:tr w:rsidR="00A93FE6">
        <w:trPr>
          <w:trHeight w:val="464"/>
        </w:trPr>
        <w:tc>
          <w:tcPr>
            <w:tcW w:w="5520" w:type="dxa"/>
            <w:shd w:val="clear" w:color="auto" w:fill="auto"/>
            <w:vAlign w:val="center"/>
          </w:tcPr>
          <w:p w:rsidR="00A93FE6" w:rsidRDefault="008C548F">
            <w:pPr>
              <w:jc w:val="left"/>
              <w:rPr>
                <w:b/>
                <w:noProof/>
                <w:sz w:val="20"/>
                <w:szCs w:val="18"/>
              </w:rPr>
            </w:pPr>
            <w:r>
              <w:rPr>
                <w:b/>
                <w:noProof/>
                <w:sz w:val="20"/>
              </w:rPr>
              <w:t xml:space="preserve">Niet-toegewezen </w:t>
            </w:r>
            <w:r>
              <w:rPr>
                <w:b/>
                <w:noProof/>
                <w:sz w:val="20"/>
              </w:rPr>
              <w:t>marge rubriek 1a</w:t>
            </w:r>
          </w:p>
        </w:tc>
        <w:tc>
          <w:tcPr>
            <w:tcW w:w="1560" w:type="dxa"/>
            <w:vAlign w:val="center"/>
          </w:tcPr>
          <w:p w:rsidR="00A93FE6" w:rsidRDefault="00A93FE6">
            <w:pPr>
              <w:pStyle w:val="Text1"/>
              <w:ind w:left="0"/>
              <w:jc w:val="left"/>
              <w:rPr>
                <w:noProof/>
                <w:sz w:val="18"/>
                <w:szCs w:val="18"/>
              </w:rPr>
            </w:pPr>
          </w:p>
        </w:tc>
        <w:tc>
          <w:tcPr>
            <w:tcW w:w="1680" w:type="dxa"/>
            <w:vAlign w:val="center"/>
          </w:tcPr>
          <w:p w:rsidR="00A93FE6" w:rsidRDefault="00A93FE6">
            <w:pPr>
              <w:pStyle w:val="Text1"/>
              <w:ind w:left="0"/>
              <w:jc w:val="left"/>
              <w:rPr>
                <w:noProof/>
                <w:sz w:val="18"/>
                <w:szCs w:val="18"/>
              </w:rPr>
            </w:pPr>
          </w:p>
        </w:tc>
        <w:tc>
          <w:tcPr>
            <w:tcW w:w="1560" w:type="dxa"/>
            <w:shd w:val="clear" w:color="auto" w:fill="auto"/>
            <w:vAlign w:val="center"/>
          </w:tcPr>
          <w:p w:rsidR="00A93FE6" w:rsidRDefault="008C548F">
            <w:pPr>
              <w:pStyle w:val="Text1"/>
              <w:ind w:left="0"/>
              <w:jc w:val="left"/>
              <w:rPr>
                <w:noProof/>
                <w:sz w:val="18"/>
                <w:szCs w:val="18"/>
              </w:rPr>
            </w:pPr>
            <w:r>
              <w:rPr>
                <w:noProof/>
                <w:sz w:val="18"/>
              </w:rPr>
              <w:t>49,650</w:t>
            </w:r>
          </w:p>
        </w:tc>
        <w:tc>
          <w:tcPr>
            <w:tcW w:w="1680" w:type="dxa"/>
            <w:shd w:val="clear" w:color="auto" w:fill="auto"/>
            <w:vAlign w:val="center"/>
          </w:tcPr>
          <w:p w:rsidR="00A93FE6" w:rsidRDefault="00A93FE6">
            <w:pPr>
              <w:pStyle w:val="Text1"/>
              <w:ind w:left="0"/>
              <w:jc w:val="left"/>
              <w:rPr>
                <w:noProof/>
                <w:sz w:val="18"/>
                <w:szCs w:val="18"/>
              </w:rPr>
            </w:pPr>
          </w:p>
        </w:tc>
        <w:tc>
          <w:tcPr>
            <w:tcW w:w="1560" w:type="dxa"/>
            <w:shd w:val="clear" w:color="auto" w:fill="auto"/>
            <w:vAlign w:val="center"/>
          </w:tcPr>
          <w:p w:rsidR="00A93FE6" w:rsidRDefault="008C548F">
            <w:pPr>
              <w:pStyle w:val="Text1"/>
              <w:ind w:left="0"/>
              <w:jc w:val="left"/>
              <w:rPr>
                <w:noProof/>
                <w:sz w:val="18"/>
                <w:szCs w:val="18"/>
              </w:rPr>
            </w:pPr>
            <w:r>
              <w:rPr>
                <w:noProof/>
                <w:sz w:val="18"/>
              </w:rPr>
              <w:t>49,650</w:t>
            </w:r>
          </w:p>
        </w:tc>
      </w:tr>
      <w:tr w:rsidR="00A93FE6">
        <w:trPr>
          <w:trHeight w:val="344"/>
        </w:trPr>
        <w:tc>
          <w:tcPr>
            <w:tcW w:w="5520" w:type="dxa"/>
            <w:shd w:val="clear" w:color="auto" w:fill="auto"/>
            <w:vAlign w:val="center"/>
          </w:tcPr>
          <w:p w:rsidR="00A93FE6" w:rsidRDefault="008C548F">
            <w:pPr>
              <w:jc w:val="left"/>
              <w:rPr>
                <w:b/>
                <w:noProof/>
                <w:sz w:val="22"/>
                <w:szCs w:val="18"/>
              </w:rPr>
            </w:pPr>
            <w:r>
              <w:rPr>
                <w:b/>
                <w:caps/>
                <w:noProof/>
                <w:sz w:val="22"/>
              </w:rPr>
              <w:t xml:space="preserve">Totaal </w:t>
            </w:r>
          </w:p>
        </w:tc>
        <w:tc>
          <w:tcPr>
            <w:tcW w:w="1560" w:type="dxa"/>
            <w:vAlign w:val="center"/>
          </w:tcPr>
          <w:p w:rsidR="00A93FE6" w:rsidRDefault="008C548F">
            <w:pPr>
              <w:pStyle w:val="Text1"/>
              <w:ind w:left="0"/>
              <w:jc w:val="left"/>
              <w:rPr>
                <w:b/>
                <w:noProof/>
                <w:sz w:val="22"/>
                <w:szCs w:val="18"/>
              </w:rPr>
            </w:pPr>
            <w:r>
              <w:rPr>
                <w:b/>
                <w:noProof/>
                <w:sz w:val="22"/>
              </w:rPr>
              <w:t>20,000</w:t>
            </w:r>
          </w:p>
        </w:tc>
        <w:tc>
          <w:tcPr>
            <w:tcW w:w="1680" w:type="dxa"/>
            <w:vAlign w:val="center"/>
          </w:tcPr>
          <w:p w:rsidR="00A93FE6" w:rsidRDefault="008C548F">
            <w:pPr>
              <w:pStyle w:val="Text1"/>
              <w:ind w:left="0"/>
              <w:jc w:val="left"/>
              <w:rPr>
                <w:b/>
                <w:noProof/>
                <w:sz w:val="22"/>
                <w:szCs w:val="18"/>
              </w:rPr>
            </w:pPr>
            <w:r>
              <w:rPr>
                <w:b/>
                <w:noProof/>
                <w:sz w:val="22"/>
              </w:rPr>
              <w:t>50,000</w:t>
            </w:r>
          </w:p>
        </w:tc>
        <w:tc>
          <w:tcPr>
            <w:tcW w:w="1560" w:type="dxa"/>
            <w:shd w:val="clear" w:color="auto" w:fill="auto"/>
            <w:vAlign w:val="center"/>
          </w:tcPr>
          <w:p w:rsidR="00A93FE6" w:rsidRDefault="008C548F">
            <w:pPr>
              <w:pStyle w:val="Text1"/>
              <w:ind w:left="0"/>
              <w:jc w:val="left"/>
              <w:rPr>
                <w:b/>
                <w:noProof/>
                <w:sz w:val="22"/>
                <w:szCs w:val="18"/>
              </w:rPr>
            </w:pPr>
            <w:r>
              <w:rPr>
                <w:b/>
                <w:noProof/>
                <w:sz w:val="22"/>
              </w:rPr>
              <w:t>49,650</w:t>
            </w:r>
          </w:p>
        </w:tc>
        <w:tc>
          <w:tcPr>
            <w:tcW w:w="1680" w:type="dxa"/>
            <w:shd w:val="clear" w:color="auto" w:fill="auto"/>
            <w:vAlign w:val="center"/>
          </w:tcPr>
          <w:p w:rsidR="00A93FE6" w:rsidRDefault="008C548F">
            <w:pPr>
              <w:pStyle w:val="Text1"/>
              <w:ind w:left="0"/>
              <w:jc w:val="left"/>
              <w:rPr>
                <w:b/>
                <w:noProof/>
                <w:sz w:val="22"/>
                <w:szCs w:val="18"/>
              </w:rPr>
            </w:pPr>
            <w:r>
              <w:rPr>
                <w:b/>
                <w:noProof/>
                <w:sz w:val="22"/>
              </w:rPr>
              <w:t>0,350</w:t>
            </w:r>
          </w:p>
        </w:tc>
        <w:tc>
          <w:tcPr>
            <w:tcW w:w="1560" w:type="dxa"/>
            <w:shd w:val="clear" w:color="auto" w:fill="auto"/>
            <w:vAlign w:val="center"/>
          </w:tcPr>
          <w:p w:rsidR="00A93FE6" w:rsidRDefault="008C548F">
            <w:pPr>
              <w:pStyle w:val="Text1"/>
              <w:ind w:left="0"/>
              <w:jc w:val="left"/>
              <w:rPr>
                <w:b/>
                <w:noProof/>
                <w:sz w:val="22"/>
                <w:szCs w:val="18"/>
              </w:rPr>
            </w:pPr>
            <w:r>
              <w:rPr>
                <w:b/>
                <w:noProof/>
                <w:sz w:val="22"/>
              </w:rPr>
              <w:t>120,000</w:t>
            </w:r>
          </w:p>
        </w:tc>
      </w:tr>
    </w:tbl>
    <w:p w:rsidR="00A93FE6" w:rsidRDefault="00A93FE6">
      <w:pPr>
        <w:rPr>
          <w:noProof/>
          <w:sz w:val="16"/>
        </w:rPr>
      </w:pPr>
    </w:p>
    <w:p w:rsidR="00A93FE6" w:rsidRDefault="00A93FE6">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A93FE6">
        <w:tc>
          <w:tcPr>
            <w:tcW w:w="3360" w:type="dxa"/>
            <w:vAlign w:val="center"/>
          </w:tcPr>
          <w:p w:rsidR="00A93FE6" w:rsidRDefault="008C548F">
            <w:pPr>
              <w:ind w:left="612" w:hanging="600"/>
              <w:jc w:val="left"/>
              <w:rPr>
                <w:noProof/>
              </w:rPr>
            </w:pPr>
            <w:r>
              <w:rPr>
                <w:noProof/>
                <w:sz w:val="22"/>
              </w:rPr>
              <w:t xml:space="preserve">DG:  CNECT / </w:t>
            </w:r>
            <w:r>
              <w:rPr>
                <w:noProof/>
              </w:rPr>
              <w:t>MOVE</w:t>
            </w:r>
          </w:p>
        </w:tc>
        <w:tc>
          <w:tcPr>
            <w:tcW w:w="1320" w:type="dxa"/>
          </w:tcPr>
          <w:p w:rsidR="00A93FE6" w:rsidRDefault="00A93FE6">
            <w:pPr>
              <w:rPr>
                <w:noProof/>
                <w:sz w:val="20"/>
              </w:rPr>
            </w:pPr>
          </w:p>
        </w:tc>
        <w:tc>
          <w:tcPr>
            <w:tcW w:w="840" w:type="dxa"/>
          </w:tcPr>
          <w:p w:rsidR="00A93FE6" w:rsidRDefault="00A93FE6">
            <w:pPr>
              <w:jc w:val="center"/>
              <w:rPr>
                <w:noProof/>
                <w:sz w:val="20"/>
              </w:rPr>
            </w:pPr>
          </w:p>
        </w:tc>
        <w:tc>
          <w:tcPr>
            <w:tcW w:w="1555" w:type="dxa"/>
            <w:vAlign w:val="center"/>
          </w:tcPr>
          <w:p w:rsidR="00A93FE6" w:rsidRDefault="008C548F">
            <w:pPr>
              <w:jc w:val="center"/>
              <w:rPr>
                <w:noProof/>
                <w:sz w:val="20"/>
              </w:rPr>
            </w:pPr>
            <w:r>
              <w:rPr>
                <w:b/>
                <w:noProof/>
                <w:sz w:val="20"/>
              </w:rPr>
              <w:t>2017</w:t>
            </w:r>
          </w:p>
        </w:tc>
        <w:tc>
          <w:tcPr>
            <w:tcW w:w="1621" w:type="dxa"/>
            <w:vAlign w:val="center"/>
          </w:tcPr>
          <w:p w:rsidR="00A93FE6" w:rsidRDefault="008C548F">
            <w:pPr>
              <w:jc w:val="center"/>
              <w:rPr>
                <w:b/>
                <w:noProof/>
                <w:sz w:val="20"/>
              </w:rPr>
            </w:pPr>
            <w:r>
              <w:rPr>
                <w:b/>
                <w:noProof/>
                <w:sz w:val="20"/>
              </w:rPr>
              <w:t>2018</w:t>
            </w:r>
          </w:p>
        </w:tc>
        <w:tc>
          <w:tcPr>
            <w:tcW w:w="1621" w:type="dxa"/>
            <w:vAlign w:val="center"/>
          </w:tcPr>
          <w:p w:rsidR="00A93FE6" w:rsidRDefault="008C548F">
            <w:pPr>
              <w:jc w:val="center"/>
              <w:rPr>
                <w:b/>
                <w:noProof/>
                <w:sz w:val="20"/>
              </w:rPr>
            </w:pPr>
            <w:r>
              <w:rPr>
                <w:b/>
                <w:noProof/>
                <w:sz w:val="20"/>
              </w:rPr>
              <w:t>2019</w:t>
            </w:r>
          </w:p>
        </w:tc>
        <w:tc>
          <w:tcPr>
            <w:tcW w:w="1621" w:type="dxa"/>
            <w:vAlign w:val="center"/>
          </w:tcPr>
          <w:p w:rsidR="00A93FE6" w:rsidRDefault="008C548F">
            <w:pPr>
              <w:jc w:val="center"/>
              <w:rPr>
                <w:b/>
                <w:noProof/>
                <w:sz w:val="20"/>
              </w:rPr>
            </w:pPr>
            <w:r>
              <w:rPr>
                <w:b/>
                <w:noProof/>
                <w:sz w:val="20"/>
              </w:rPr>
              <w:t>2020</w:t>
            </w:r>
          </w:p>
        </w:tc>
        <w:tc>
          <w:tcPr>
            <w:tcW w:w="1622" w:type="dxa"/>
            <w:vAlign w:val="center"/>
          </w:tcPr>
          <w:p w:rsidR="00A93FE6" w:rsidRDefault="008C548F">
            <w:pPr>
              <w:jc w:val="center"/>
              <w:rPr>
                <w:b/>
                <w:noProof/>
                <w:sz w:val="20"/>
              </w:rPr>
            </w:pPr>
            <w:r>
              <w:rPr>
                <w:b/>
                <w:noProof/>
                <w:sz w:val="20"/>
              </w:rPr>
              <w:t>TOTAAL</w:t>
            </w:r>
          </w:p>
        </w:tc>
      </w:tr>
      <w:tr w:rsidR="00A93FE6">
        <w:trPr>
          <w:trHeight w:val="213"/>
        </w:trPr>
        <w:tc>
          <w:tcPr>
            <w:tcW w:w="13560" w:type="dxa"/>
            <w:gridSpan w:val="8"/>
            <w:vAlign w:val="center"/>
          </w:tcPr>
          <w:p w:rsidR="00A93FE6" w:rsidRDefault="008C548F">
            <w:pPr>
              <w:rPr>
                <w:b/>
                <w:noProof/>
                <w:sz w:val="20"/>
              </w:rPr>
            </w:pPr>
            <w:r>
              <w:rPr>
                <w:noProof/>
                <w:sz w:val="21"/>
              </w:rPr>
              <w:t>Beleidskredieten in miljoen EUR</w:t>
            </w:r>
          </w:p>
        </w:tc>
      </w:tr>
      <w:tr w:rsidR="00A93FE6">
        <w:trPr>
          <w:trHeight w:val="277"/>
        </w:trPr>
        <w:tc>
          <w:tcPr>
            <w:tcW w:w="3360" w:type="dxa"/>
            <w:vMerge w:val="restart"/>
            <w:vAlign w:val="center"/>
          </w:tcPr>
          <w:p w:rsidR="00A93FE6" w:rsidRDefault="008C548F">
            <w:pPr>
              <w:rPr>
                <w:b/>
                <w:noProof/>
              </w:rPr>
            </w:pPr>
            <w:r>
              <w:rPr>
                <w:b/>
                <w:noProof/>
                <w:sz w:val="20"/>
              </w:rPr>
              <w:t xml:space="preserve">09 03 04 Wireless for EU (W4EU)  </w:t>
            </w:r>
          </w:p>
        </w:tc>
        <w:tc>
          <w:tcPr>
            <w:tcW w:w="1320" w:type="dxa"/>
            <w:vAlign w:val="center"/>
          </w:tcPr>
          <w:p w:rsidR="00A93FE6" w:rsidRDefault="008C548F">
            <w:pPr>
              <w:spacing w:before="20" w:after="20"/>
              <w:rPr>
                <w:noProof/>
                <w:sz w:val="18"/>
              </w:rPr>
            </w:pPr>
            <w:r>
              <w:rPr>
                <w:noProof/>
                <w:sz w:val="18"/>
              </w:rPr>
              <w:t>Vastleggingen</w:t>
            </w:r>
          </w:p>
        </w:tc>
        <w:tc>
          <w:tcPr>
            <w:tcW w:w="840" w:type="dxa"/>
            <w:vAlign w:val="center"/>
          </w:tcPr>
          <w:p w:rsidR="00A93FE6" w:rsidRDefault="008C548F">
            <w:pPr>
              <w:spacing w:before="20" w:after="20"/>
              <w:jc w:val="center"/>
              <w:rPr>
                <w:noProof/>
                <w:sz w:val="14"/>
              </w:rPr>
            </w:pPr>
            <w:r>
              <w:rPr>
                <w:noProof/>
                <w:sz w:val="14"/>
              </w:rPr>
              <w:t>1)</w:t>
            </w:r>
          </w:p>
        </w:tc>
        <w:tc>
          <w:tcPr>
            <w:tcW w:w="1555" w:type="dxa"/>
            <w:vAlign w:val="bottom"/>
          </w:tcPr>
          <w:p w:rsidR="00A93FE6" w:rsidRDefault="008C548F">
            <w:pPr>
              <w:spacing w:before="20" w:after="20"/>
              <w:jc w:val="right"/>
              <w:rPr>
                <w:noProof/>
                <w:sz w:val="20"/>
                <w:szCs w:val="20"/>
              </w:rPr>
            </w:pPr>
            <w:r>
              <w:rPr>
                <w:noProof/>
                <w:color w:val="000000"/>
                <w:sz w:val="20"/>
              </w:rPr>
              <w:t>19,330</w:t>
            </w:r>
          </w:p>
        </w:tc>
        <w:tc>
          <w:tcPr>
            <w:tcW w:w="1621" w:type="dxa"/>
            <w:vAlign w:val="bottom"/>
          </w:tcPr>
          <w:p w:rsidR="00A93FE6" w:rsidRDefault="008C548F">
            <w:pPr>
              <w:spacing w:before="20" w:after="20"/>
              <w:jc w:val="right"/>
              <w:rPr>
                <w:noProof/>
                <w:sz w:val="20"/>
                <w:szCs w:val="20"/>
              </w:rPr>
            </w:pPr>
            <w:r>
              <w:rPr>
                <w:noProof/>
                <w:color w:val="000000"/>
                <w:sz w:val="20"/>
              </w:rPr>
              <w:t>49,610</w:t>
            </w:r>
          </w:p>
        </w:tc>
        <w:tc>
          <w:tcPr>
            <w:tcW w:w="1621" w:type="dxa"/>
            <w:vAlign w:val="bottom"/>
          </w:tcPr>
          <w:p w:rsidR="00A93FE6" w:rsidRDefault="008C548F">
            <w:pPr>
              <w:spacing w:before="20" w:after="20"/>
              <w:jc w:val="right"/>
              <w:rPr>
                <w:noProof/>
                <w:sz w:val="20"/>
                <w:szCs w:val="20"/>
              </w:rPr>
            </w:pPr>
            <w:r>
              <w:rPr>
                <w:noProof/>
                <w:color w:val="000000"/>
                <w:sz w:val="20"/>
              </w:rPr>
              <w:t>49,260</w:t>
            </w:r>
          </w:p>
        </w:tc>
        <w:tc>
          <w:tcPr>
            <w:tcW w:w="1621" w:type="dxa"/>
            <w:vAlign w:val="center"/>
          </w:tcPr>
          <w:p w:rsidR="00A93FE6" w:rsidRDefault="00A93FE6">
            <w:pPr>
              <w:spacing w:before="20" w:after="20"/>
              <w:jc w:val="right"/>
              <w:rPr>
                <w:noProof/>
                <w:sz w:val="20"/>
                <w:szCs w:val="20"/>
              </w:rPr>
            </w:pPr>
          </w:p>
        </w:tc>
        <w:tc>
          <w:tcPr>
            <w:tcW w:w="1622" w:type="dxa"/>
            <w:vAlign w:val="center"/>
          </w:tcPr>
          <w:p w:rsidR="00A93FE6" w:rsidRDefault="008C548F">
            <w:pPr>
              <w:spacing w:before="20" w:after="20"/>
              <w:jc w:val="right"/>
              <w:rPr>
                <w:b/>
                <w:noProof/>
                <w:sz w:val="20"/>
                <w:szCs w:val="20"/>
              </w:rPr>
            </w:pPr>
            <w:r>
              <w:rPr>
                <w:b/>
                <w:noProof/>
                <w:sz w:val="20"/>
              </w:rPr>
              <w:t>118,200</w:t>
            </w:r>
          </w:p>
        </w:tc>
      </w:tr>
      <w:tr w:rsidR="00A93FE6">
        <w:tc>
          <w:tcPr>
            <w:tcW w:w="3360" w:type="dxa"/>
            <w:vMerge/>
          </w:tcPr>
          <w:p w:rsidR="00A93FE6" w:rsidRDefault="00A93FE6">
            <w:pPr>
              <w:jc w:val="center"/>
              <w:rPr>
                <w:noProof/>
                <w:sz w:val="20"/>
              </w:rPr>
            </w:pPr>
          </w:p>
        </w:tc>
        <w:tc>
          <w:tcPr>
            <w:tcW w:w="1320" w:type="dxa"/>
            <w:vAlign w:val="center"/>
          </w:tcPr>
          <w:p w:rsidR="00A93FE6" w:rsidRDefault="008C548F">
            <w:pPr>
              <w:spacing w:before="20" w:after="20"/>
              <w:rPr>
                <w:noProof/>
                <w:sz w:val="18"/>
              </w:rPr>
            </w:pPr>
            <w:r>
              <w:rPr>
                <w:noProof/>
                <w:sz w:val="18"/>
              </w:rPr>
              <w:t>Betalingen</w:t>
            </w:r>
          </w:p>
        </w:tc>
        <w:tc>
          <w:tcPr>
            <w:tcW w:w="840" w:type="dxa"/>
            <w:vAlign w:val="center"/>
          </w:tcPr>
          <w:p w:rsidR="00A93FE6" w:rsidRDefault="008C548F">
            <w:pPr>
              <w:spacing w:before="20" w:after="20"/>
              <w:jc w:val="center"/>
              <w:rPr>
                <w:noProof/>
                <w:sz w:val="14"/>
              </w:rPr>
            </w:pPr>
            <w:r>
              <w:rPr>
                <w:noProof/>
                <w:sz w:val="14"/>
              </w:rPr>
              <w:t>2)</w:t>
            </w:r>
          </w:p>
        </w:tc>
        <w:tc>
          <w:tcPr>
            <w:tcW w:w="1555" w:type="dxa"/>
            <w:vAlign w:val="bottom"/>
          </w:tcPr>
          <w:p w:rsidR="00A93FE6" w:rsidRDefault="008C548F">
            <w:pPr>
              <w:spacing w:before="20" w:after="20"/>
              <w:jc w:val="right"/>
              <w:rPr>
                <w:noProof/>
                <w:sz w:val="20"/>
                <w:szCs w:val="20"/>
              </w:rPr>
            </w:pPr>
            <w:r>
              <w:rPr>
                <w:noProof/>
                <w:color w:val="000000"/>
                <w:sz w:val="20"/>
              </w:rPr>
              <w:t>0</w:t>
            </w:r>
          </w:p>
        </w:tc>
        <w:tc>
          <w:tcPr>
            <w:tcW w:w="1621" w:type="dxa"/>
            <w:vAlign w:val="bottom"/>
          </w:tcPr>
          <w:p w:rsidR="00A93FE6" w:rsidRDefault="008C548F">
            <w:pPr>
              <w:spacing w:before="20" w:after="20"/>
              <w:jc w:val="right"/>
              <w:rPr>
                <w:noProof/>
                <w:sz w:val="20"/>
                <w:szCs w:val="20"/>
              </w:rPr>
            </w:pPr>
            <w:r>
              <w:rPr>
                <w:noProof/>
                <w:color w:val="000000"/>
                <w:sz w:val="20"/>
              </w:rPr>
              <w:t>44,135</w:t>
            </w:r>
          </w:p>
        </w:tc>
        <w:tc>
          <w:tcPr>
            <w:tcW w:w="1621" w:type="dxa"/>
            <w:vAlign w:val="bottom"/>
          </w:tcPr>
          <w:p w:rsidR="00A93FE6" w:rsidRDefault="008C548F">
            <w:pPr>
              <w:spacing w:before="20" w:after="20"/>
              <w:jc w:val="right"/>
              <w:rPr>
                <w:noProof/>
                <w:sz w:val="20"/>
                <w:szCs w:val="20"/>
              </w:rPr>
            </w:pPr>
            <w:r>
              <w:rPr>
                <w:noProof/>
                <w:color w:val="000000"/>
                <w:sz w:val="20"/>
              </w:rPr>
              <w:t>49,435</w:t>
            </w:r>
          </w:p>
        </w:tc>
        <w:tc>
          <w:tcPr>
            <w:tcW w:w="1621" w:type="dxa"/>
            <w:vAlign w:val="bottom"/>
          </w:tcPr>
          <w:p w:rsidR="00A93FE6" w:rsidRDefault="008C548F">
            <w:pPr>
              <w:spacing w:before="20" w:after="20"/>
              <w:jc w:val="right"/>
              <w:rPr>
                <w:noProof/>
                <w:sz w:val="20"/>
                <w:szCs w:val="20"/>
              </w:rPr>
            </w:pPr>
            <w:r>
              <w:rPr>
                <w:noProof/>
                <w:color w:val="000000"/>
                <w:sz w:val="20"/>
              </w:rPr>
              <w:t>24,630</w:t>
            </w:r>
          </w:p>
        </w:tc>
        <w:tc>
          <w:tcPr>
            <w:tcW w:w="1622" w:type="dxa"/>
            <w:vAlign w:val="center"/>
          </w:tcPr>
          <w:p w:rsidR="00A93FE6" w:rsidRDefault="008C548F">
            <w:pPr>
              <w:spacing w:before="20" w:after="20"/>
              <w:jc w:val="right"/>
              <w:rPr>
                <w:b/>
                <w:noProof/>
                <w:sz w:val="20"/>
                <w:szCs w:val="20"/>
              </w:rPr>
            </w:pPr>
            <w:r>
              <w:rPr>
                <w:b/>
                <w:noProof/>
                <w:sz w:val="20"/>
              </w:rPr>
              <w:t>118,200</w:t>
            </w:r>
          </w:p>
        </w:tc>
      </w:tr>
      <w:tr w:rsidR="00A93FE6">
        <w:trPr>
          <w:trHeight w:val="231"/>
        </w:trPr>
        <w:tc>
          <w:tcPr>
            <w:tcW w:w="13560" w:type="dxa"/>
            <w:gridSpan w:val="8"/>
            <w:vAlign w:val="center"/>
          </w:tcPr>
          <w:p w:rsidR="00A93FE6" w:rsidRDefault="008C548F">
            <w:pPr>
              <w:rPr>
                <w:b/>
                <w:noProof/>
                <w:sz w:val="20"/>
                <w:szCs w:val="20"/>
              </w:rPr>
            </w:pPr>
            <w:r>
              <w:rPr>
                <w:noProof/>
                <w:sz w:val="20"/>
              </w:rPr>
              <w:t>Uit het budget van specifieke programma's gefinancierde administratieve kredieten</w:t>
            </w:r>
            <w:r>
              <w:rPr>
                <w:rStyle w:val="FootnoteReference"/>
                <w:noProof/>
                <w:sz w:val="20"/>
              </w:rPr>
              <w:footnoteReference w:id="22"/>
            </w:r>
            <w:r>
              <w:rPr>
                <w:noProof/>
                <w:sz w:val="20"/>
              </w:rPr>
              <w:t xml:space="preserve"> </w:t>
            </w:r>
          </w:p>
        </w:tc>
      </w:tr>
      <w:tr w:rsidR="00A93FE6">
        <w:trPr>
          <w:trHeight w:val="488"/>
        </w:trPr>
        <w:tc>
          <w:tcPr>
            <w:tcW w:w="3360" w:type="dxa"/>
            <w:vMerge w:val="restart"/>
            <w:vAlign w:val="center"/>
          </w:tcPr>
          <w:p w:rsidR="00A93FE6" w:rsidRDefault="008C548F">
            <w:pPr>
              <w:jc w:val="left"/>
              <w:rPr>
                <w:b/>
                <w:noProof/>
                <w:sz w:val="20"/>
              </w:rPr>
            </w:pPr>
            <w:r>
              <w:rPr>
                <w:b/>
                <w:noProof/>
                <w:sz w:val="20"/>
              </w:rPr>
              <w:t>06 01 06 01 Uitvoerend Agentschap innovatie en netwerken – bijdrage van de CEF</w:t>
            </w:r>
          </w:p>
        </w:tc>
        <w:tc>
          <w:tcPr>
            <w:tcW w:w="1320" w:type="dxa"/>
            <w:vAlign w:val="center"/>
          </w:tcPr>
          <w:p w:rsidR="00A93FE6" w:rsidRDefault="008C548F">
            <w:pPr>
              <w:spacing w:before="0" w:after="0"/>
              <w:rPr>
                <w:noProof/>
                <w:sz w:val="18"/>
              </w:rPr>
            </w:pPr>
            <w:r>
              <w:rPr>
                <w:noProof/>
                <w:sz w:val="18"/>
              </w:rPr>
              <w:t>Vastleggingen</w:t>
            </w:r>
          </w:p>
        </w:tc>
        <w:tc>
          <w:tcPr>
            <w:tcW w:w="840" w:type="dxa"/>
            <w:vAlign w:val="center"/>
          </w:tcPr>
          <w:p w:rsidR="00A93FE6" w:rsidRDefault="00A93FE6">
            <w:pPr>
              <w:spacing w:before="0" w:after="0"/>
              <w:jc w:val="center"/>
              <w:rPr>
                <w:noProof/>
                <w:sz w:val="14"/>
              </w:rPr>
            </w:pPr>
          </w:p>
        </w:tc>
        <w:tc>
          <w:tcPr>
            <w:tcW w:w="1555" w:type="dxa"/>
            <w:vAlign w:val="bottom"/>
          </w:tcPr>
          <w:p w:rsidR="00A93FE6" w:rsidRDefault="008C548F">
            <w:pPr>
              <w:spacing w:before="0" w:after="0"/>
              <w:jc w:val="right"/>
              <w:rPr>
                <w:noProof/>
                <w:sz w:val="20"/>
                <w:szCs w:val="20"/>
              </w:rPr>
            </w:pPr>
            <w:r>
              <w:rPr>
                <w:noProof/>
                <w:color w:val="000000"/>
                <w:sz w:val="20"/>
              </w:rPr>
              <w:t>0,580</w:t>
            </w:r>
          </w:p>
        </w:tc>
        <w:tc>
          <w:tcPr>
            <w:tcW w:w="1621" w:type="dxa"/>
            <w:vAlign w:val="bottom"/>
          </w:tcPr>
          <w:p w:rsidR="00A93FE6" w:rsidRDefault="008C548F">
            <w:pPr>
              <w:spacing w:before="0" w:after="0"/>
              <w:jc w:val="right"/>
              <w:rPr>
                <w:noProof/>
                <w:sz w:val="20"/>
                <w:szCs w:val="20"/>
              </w:rPr>
            </w:pPr>
            <w:r>
              <w:rPr>
                <w:noProof/>
                <w:color w:val="000000"/>
                <w:sz w:val="20"/>
              </w:rPr>
              <w:t>0,365</w:t>
            </w:r>
          </w:p>
        </w:tc>
        <w:tc>
          <w:tcPr>
            <w:tcW w:w="1621" w:type="dxa"/>
            <w:vAlign w:val="bottom"/>
          </w:tcPr>
          <w:p w:rsidR="00A93FE6" w:rsidRDefault="008C548F">
            <w:pPr>
              <w:spacing w:before="0" w:after="0"/>
              <w:jc w:val="right"/>
              <w:rPr>
                <w:noProof/>
                <w:sz w:val="20"/>
                <w:szCs w:val="20"/>
              </w:rPr>
            </w:pPr>
            <w:r>
              <w:rPr>
                <w:noProof/>
                <w:color w:val="000000"/>
                <w:sz w:val="20"/>
              </w:rPr>
              <w:t>0,365</w:t>
            </w:r>
          </w:p>
        </w:tc>
        <w:tc>
          <w:tcPr>
            <w:tcW w:w="1621" w:type="dxa"/>
            <w:vAlign w:val="bottom"/>
          </w:tcPr>
          <w:p w:rsidR="00A93FE6" w:rsidRDefault="008C548F">
            <w:pPr>
              <w:spacing w:before="0" w:after="0"/>
              <w:jc w:val="right"/>
              <w:rPr>
                <w:noProof/>
                <w:sz w:val="20"/>
                <w:szCs w:val="20"/>
              </w:rPr>
            </w:pPr>
            <w:r>
              <w:rPr>
                <w:noProof/>
                <w:color w:val="000000"/>
                <w:sz w:val="20"/>
              </w:rPr>
              <w:t>0,290</w:t>
            </w:r>
          </w:p>
        </w:tc>
        <w:tc>
          <w:tcPr>
            <w:tcW w:w="1622" w:type="dxa"/>
            <w:vAlign w:val="center"/>
          </w:tcPr>
          <w:p w:rsidR="00A93FE6" w:rsidRDefault="008C548F">
            <w:pPr>
              <w:spacing w:before="0" w:after="0"/>
              <w:jc w:val="right"/>
              <w:rPr>
                <w:b/>
                <w:noProof/>
                <w:sz w:val="20"/>
                <w:szCs w:val="20"/>
              </w:rPr>
            </w:pPr>
            <w:r>
              <w:rPr>
                <w:b/>
                <w:noProof/>
                <w:sz w:val="20"/>
              </w:rPr>
              <w:t>1,600</w:t>
            </w:r>
          </w:p>
        </w:tc>
      </w:tr>
      <w:tr w:rsidR="00A93FE6">
        <w:trPr>
          <w:trHeight w:val="344"/>
        </w:trPr>
        <w:tc>
          <w:tcPr>
            <w:tcW w:w="3360" w:type="dxa"/>
            <w:vMerge/>
            <w:vAlign w:val="center"/>
          </w:tcPr>
          <w:p w:rsidR="00A93FE6" w:rsidRDefault="00A93FE6">
            <w:pPr>
              <w:jc w:val="left"/>
              <w:rPr>
                <w:b/>
                <w:noProof/>
                <w:sz w:val="20"/>
              </w:rPr>
            </w:pPr>
          </w:p>
        </w:tc>
        <w:tc>
          <w:tcPr>
            <w:tcW w:w="1320" w:type="dxa"/>
            <w:vAlign w:val="center"/>
          </w:tcPr>
          <w:p w:rsidR="00A93FE6" w:rsidRDefault="008C548F">
            <w:pPr>
              <w:spacing w:before="0" w:after="0"/>
              <w:rPr>
                <w:noProof/>
                <w:sz w:val="18"/>
              </w:rPr>
            </w:pPr>
            <w:r>
              <w:rPr>
                <w:noProof/>
                <w:sz w:val="18"/>
              </w:rPr>
              <w:t>Betalingen</w:t>
            </w:r>
          </w:p>
        </w:tc>
        <w:tc>
          <w:tcPr>
            <w:tcW w:w="840" w:type="dxa"/>
            <w:vAlign w:val="center"/>
          </w:tcPr>
          <w:p w:rsidR="00A93FE6" w:rsidRDefault="00A93FE6">
            <w:pPr>
              <w:spacing w:before="0" w:after="0"/>
              <w:jc w:val="center"/>
              <w:rPr>
                <w:noProof/>
                <w:sz w:val="14"/>
              </w:rPr>
            </w:pPr>
          </w:p>
        </w:tc>
        <w:tc>
          <w:tcPr>
            <w:tcW w:w="1555" w:type="dxa"/>
            <w:vAlign w:val="bottom"/>
          </w:tcPr>
          <w:p w:rsidR="00A93FE6" w:rsidRDefault="008C548F">
            <w:pPr>
              <w:spacing w:before="0" w:after="0"/>
              <w:jc w:val="right"/>
              <w:rPr>
                <w:noProof/>
                <w:sz w:val="20"/>
                <w:szCs w:val="20"/>
              </w:rPr>
            </w:pPr>
            <w:r>
              <w:rPr>
                <w:noProof/>
                <w:color w:val="000000"/>
                <w:sz w:val="20"/>
              </w:rPr>
              <w:t>0,580</w:t>
            </w:r>
          </w:p>
        </w:tc>
        <w:tc>
          <w:tcPr>
            <w:tcW w:w="1621" w:type="dxa"/>
            <w:vAlign w:val="bottom"/>
          </w:tcPr>
          <w:p w:rsidR="00A93FE6" w:rsidRDefault="008C548F">
            <w:pPr>
              <w:spacing w:before="0" w:after="0"/>
              <w:jc w:val="right"/>
              <w:rPr>
                <w:noProof/>
                <w:sz w:val="20"/>
                <w:szCs w:val="20"/>
              </w:rPr>
            </w:pPr>
            <w:r>
              <w:rPr>
                <w:noProof/>
                <w:color w:val="000000"/>
                <w:sz w:val="20"/>
              </w:rPr>
              <w:t>0,365</w:t>
            </w:r>
          </w:p>
        </w:tc>
        <w:tc>
          <w:tcPr>
            <w:tcW w:w="1621" w:type="dxa"/>
            <w:vAlign w:val="bottom"/>
          </w:tcPr>
          <w:p w:rsidR="00A93FE6" w:rsidRDefault="008C548F">
            <w:pPr>
              <w:spacing w:before="0" w:after="0"/>
              <w:jc w:val="right"/>
              <w:rPr>
                <w:noProof/>
                <w:sz w:val="20"/>
                <w:szCs w:val="20"/>
              </w:rPr>
            </w:pPr>
            <w:r>
              <w:rPr>
                <w:noProof/>
                <w:color w:val="000000"/>
                <w:sz w:val="20"/>
              </w:rPr>
              <w:t>0,365</w:t>
            </w:r>
          </w:p>
        </w:tc>
        <w:tc>
          <w:tcPr>
            <w:tcW w:w="1621" w:type="dxa"/>
            <w:vAlign w:val="bottom"/>
          </w:tcPr>
          <w:p w:rsidR="00A93FE6" w:rsidRDefault="008C548F">
            <w:pPr>
              <w:spacing w:before="0" w:after="0"/>
              <w:jc w:val="right"/>
              <w:rPr>
                <w:noProof/>
                <w:sz w:val="20"/>
                <w:szCs w:val="20"/>
              </w:rPr>
            </w:pPr>
            <w:r>
              <w:rPr>
                <w:noProof/>
                <w:color w:val="000000"/>
                <w:sz w:val="20"/>
              </w:rPr>
              <w:t>0,290</w:t>
            </w:r>
          </w:p>
        </w:tc>
        <w:tc>
          <w:tcPr>
            <w:tcW w:w="1622" w:type="dxa"/>
            <w:vAlign w:val="center"/>
          </w:tcPr>
          <w:p w:rsidR="00A93FE6" w:rsidRDefault="008C548F">
            <w:pPr>
              <w:spacing w:before="0" w:after="0"/>
              <w:jc w:val="right"/>
              <w:rPr>
                <w:b/>
                <w:noProof/>
                <w:sz w:val="20"/>
                <w:szCs w:val="20"/>
              </w:rPr>
            </w:pPr>
            <w:r>
              <w:rPr>
                <w:b/>
                <w:noProof/>
                <w:sz w:val="20"/>
              </w:rPr>
              <w:t>1,600</w:t>
            </w:r>
          </w:p>
        </w:tc>
      </w:tr>
      <w:tr w:rsidR="00A93FE6">
        <w:trPr>
          <w:trHeight w:val="512"/>
        </w:trPr>
        <w:tc>
          <w:tcPr>
            <w:tcW w:w="3360" w:type="dxa"/>
            <w:vMerge w:val="restart"/>
            <w:vAlign w:val="center"/>
          </w:tcPr>
          <w:p w:rsidR="00A93FE6" w:rsidRDefault="008C548F">
            <w:pPr>
              <w:jc w:val="left"/>
              <w:rPr>
                <w:b/>
                <w:noProof/>
                <w:sz w:val="20"/>
              </w:rPr>
            </w:pPr>
            <w:r>
              <w:rPr>
                <w:b/>
                <w:noProof/>
                <w:sz w:val="20"/>
              </w:rPr>
              <w:t>09 01 04 01</w:t>
            </w:r>
            <w:r>
              <w:rPr>
                <w:noProof/>
                <w:sz w:val="20"/>
              </w:rPr>
              <w:t xml:space="preserve"> </w:t>
            </w:r>
            <w:r>
              <w:rPr>
                <w:b/>
                <w:noProof/>
                <w:sz w:val="20"/>
              </w:rPr>
              <w:t>Uitgaven ter ondersteuning van de CEF</w:t>
            </w:r>
          </w:p>
        </w:tc>
        <w:tc>
          <w:tcPr>
            <w:tcW w:w="1320" w:type="dxa"/>
            <w:vAlign w:val="center"/>
          </w:tcPr>
          <w:p w:rsidR="00A93FE6" w:rsidRDefault="008C548F">
            <w:pPr>
              <w:spacing w:before="0" w:after="0"/>
              <w:rPr>
                <w:noProof/>
                <w:sz w:val="18"/>
              </w:rPr>
            </w:pPr>
            <w:r>
              <w:rPr>
                <w:noProof/>
                <w:sz w:val="18"/>
              </w:rPr>
              <w:t>Vastleggingen</w:t>
            </w:r>
          </w:p>
        </w:tc>
        <w:tc>
          <w:tcPr>
            <w:tcW w:w="840" w:type="dxa"/>
            <w:vAlign w:val="center"/>
          </w:tcPr>
          <w:p w:rsidR="00A93FE6" w:rsidRDefault="00A93FE6">
            <w:pPr>
              <w:spacing w:before="0" w:after="0"/>
              <w:jc w:val="center"/>
              <w:rPr>
                <w:noProof/>
                <w:sz w:val="14"/>
              </w:rPr>
            </w:pPr>
          </w:p>
        </w:tc>
        <w:tc>
          <w:tcPr>
            <w:tcW w:w="1555" w:type="dxa"/>
            <w:vAlign w:val="bottom"/>
          </w:tcPr>
          <w:p w:rsidR="00A93FE6" w:rsidRDefault="008C548F">
            <w:pPr>
              <w:spacing w:before="0" w:after="0"/>
              <w:jc w:val="right"/>
              <w:rPr>
                <w:noProof/>
                <w:sz w:val="20"/>
                <w:szCs w:val="20"/>
              </w:rPr>
            </w:pPr>
            <w:r>
              <w:rPr>
                <w:noProof/>
                <w:color w:val="000000"/>
                <w:sz w:val="20"/>
              </w:rPr>
              <w:t>0,090</w:t>
            </w:r>
          </w:p>
        </w:tc>
        <w:tc>
          <w:tcPr>
            <w:tcW w:w="1621" w:type="dxa"/>
            <w:vAlign w:val="bottom"/>
          </w:tcPr>
          <w:p w:rsidR="00A93FE6" w:rsidRDefault="008C548F">
            <w:pPr>
              <w:spacing w:before="0" w:after="0"/>
              <w:jc w:val="right"/>
              <w:rPr>
                <w:noProof/>
                <w:sz w:val="20"/>
                <w:szCs w:val="20"/>
              </w:rPr>
            </w:pPr>
            <w:r>
              <w:rPr>
                <w:noProof/>
                <w:color w:val="000000"/>
                <w:sz w:val="20"/>
              </w:rPr>
              <w:t>0,025</w:t>
            </w:r>
          </w:p>
        </w:tc>
        <w:tc>
          <w:tcPr>
            <w:tcW w:w="1621" w:type="dxa"/>
            <w:vAlign w:val="bottom"/>
          </w:tcPr>
          <w:p w:rsidR="00A93FE6" w:rsidRDefault="008C548F">
            <w:pPr>
              <w:spacing w:before="0" w:after="0"/>
              <w:jc w:val="right"/>
              <w:rPr>
                <w:noProof/>
                <w:sz w:val="20"/>
                <w:szCs w:val="20"/>
              </w:rPr>
            </w:pPr>
            <w:r>
              <w:rPr>
                <w:noProof/>
                <w:color w:val="000000"/>
                <w:sz w:val="20"/>
              </w:rPr>
              <w:t>0,025</w:t>
            </w:r>
          </w:p>
        </w:tc>
        <w:tc>
          <w:tcPr>
            <w:tcW w:w="1621" w:type="dxa"/>
            <w:vAlign w:val="bottom"/>
          </w:tcPr>
          <w:p w:rsidR="00A93FE6" w:rsidRDefault="008C548F">
            <w:pPr>
              <w:spacing w:before="0" w:after="0"/>
              <w:jc w:val="right"/>
              <w:rPr>
                <w:noProof/>
                <w:sz w:val="20"/>
                <w:szCs w:val="20"/>
              </w:rPr>
            </w:pPr>
            <w:r>
              <w:rPr>
                <w:noProof/>
                <w:color w:val="000000"/>
                <w:sz w:val="20"/>
              </w:rPr>
              <w:t>0,060</w:t>
            </w:r>
          </w:p>
        </w:tc>
        <w:tc>
          <w:tcPr>
            <w:tcW w:w="1622" w:type="dxa"/>
            <w:vAlign w:val="bottom"/>
          </w:tcPr>
          <w:p w:rsidR="00A93FE6" w:rsidRDefault="008C548F">
            <w:pPr>
              <w:spacing w:before="0" w:after="0"/>
              <w:jc w:val="right"/>
              <w:rPr>
                <w:b/>
                <w:noProof/>
                <w:sz w:val="20"/>
                <w:szCs w:val="20"/>
              </w:rPr>
            </w:pPr>
            <w:r>
              <w:rPr>
                <w:b/>
                <w:noProof/>
                <w:color w:val="000000"/>
                <w:sz w:val="20"/>
              </w:rPr>
              <w:t>0,200</w:t>
            </w:r>
          </w:p>
        </w:tc>
      </w:tr>
      <w:tr w:rsidR="00A93FE6">
        <w:tc>
          <w:tcPr>
            <w:tcW w:w="3360" w:type="dxa"/>
            <w:vMerge/>
            <w:vAlign w:val="center"/>
          </w:tcPr>
          <w:p w:rsidR="00A93FE6" w:rsidRDefault="00A93FE6">
            <w:pPr>
              <w:jc w:val="left"/>
              <w:rPr>
                <w:b/>
                <w:noProof/>
              </w:rPr>
            </w:pPr>
          </w:p>
        </w:tc>
        <w:tc>
          <w:tcPr>
            <w:tcW w:w="1320" w:type="dxa"/>
            <w:vAlign w:val="center"/>
          </w:tcPr>
          <w:p w:rsidR="00A93FE6" w:rsidRDefault="008C548F">
            <w:pPr>
              <w:spacing w:before="0" w:after="0"/>
              <w:rPr>
                <w:noProof/>
                <w:sz w:val="18"/>
              </w:rPr>
            </w:pPr>
            <w:r>
              <w:rPr>
                <w:noProof/>
                <w:sz w:val="18"/>
              </w:rPr>
              <w:t>Betalingen</w:t>
            </w:r>
          </w:p>
        </w:tc>
        <w:tc>
          <w:tcPr>
            <w:tcW w:w="840" w:type="dxa"/>
            <w:vAlign w:val="center"/>
          </w:tcPr>
          <w:p w:rsidR="00A93FE6" w:rsidRDefault="00A93FE6">
            <w:pPr>
              <w:spacing w:before="0" w:after="0"/>
              <w:jc w:val="center"/>
              <w:rPr>
                <w:noProof/>
                <w:sz w:val="14"/>
              </w:rPr>
            </w:pPr>
          </w:p>
        </w:tc>
        <w:tc>
          <w:tcPr>
            <w:tcW w:w="1555" w:type="dxa"/>
            <w:vAlign w:val="bottom"/>
          </w:tcPr>
          <w:p w:rsidR="00A93FE6" w:rsidRDefault="008C548F">
            <w:pPr>
              <w:spacing w:before="0" w:after="0"/>
              <w:jc w:val="right"/>
              <w:rPr>
                <w:noProof/>
                <w:sz w:val="20"/>
                <w:szCs w:val="20"/>
              </w:rPr>
            </w:pPr>
            <w:r>
              <w:rPr>
                <w:noProof/>
                <w:color w:val="000000"/>
                <w:sz w:val="20"/>
              </w:rPr>
              <w:t>0,090</w:t>
            </w:r>
          </w:p>
        </w:tc>
        <w:tc>
          <w:tcPr>
            <w:tcW w:w="1621" w:type="dxa"/>
            <w:vAlign w:val="bottom"/>
          </w:tcPr>
          <w:p w:rsidR="00A93FE6" w:rsidRDefault="008C548F">
            <w:pPr>
              <w:spacing w:before="0" w:after="0"/>
              <w:jc w:val="right"/>
              <w:rPr>
                <w:noProof/>
                <w:sz w:val="20"/>
                <w:szCs w:val="20"/>
              </w:rPr>
            </w:pPr>
            <w:r>
              <w:rPr>
                <w:noProof/>
                <w:color w:val="000000"/>
                <w:sz w:val="20"/>
              </w:rPr>
              <w:t>0,025</w:t>
            </w:r>
          </w:p>
        </w:tc>
        <w:tc>
          <w:tcPr>
            <w:tcW w:w="1621" w:type="dxa"/>
            <w:vAlign w:val="bottom"/>
          </w:tcPr>
          <w:p w:rsidR="00A93FE6" w:rsidRDefault="008C548F">
            <w:pPr>
              <w:spacing w:before="0" w:after="0"/>
              <w:jc w:val="right"/>
              <w:rPr>
                <w:noProof/>
                <w:sz w:val="20"/>
                <w:szCs w:val="20"/>
              </w:rPr>
            </w:pPr>
            <w:r>
              <w:rPr>
                <w:noProof/>
                <w:color w:val="000000"/>
                <w:sz w:val="20"/>
              </w:rPr>
              <w:t>0,025</w:t>
            </w:r>
          </w:p>
        </w:tc>
        <w:tc>
          <w:tcPr>
            <w:tcW w:w="1621" w:type="dxa"/>
            <w:vAlign w:val="bottom"/>
          </w:tcPr>
          <w:p w:rsidR="00A93FE6" w:rsidRDefault="008C548F">
            <w:pPr>
              <w:spacing w:before="0" w:after="0"/>
              <w:jc w:val="right"/>
              <w:rPr>
                <w:noProof/>
                <w:sz w:val="20"/>
                <w:szCs w:val="20"/>
              </w:rPr>
            </w:pPr>
            <w:r>
              <w:rPr>
                <w:noProof/>
                <w:color w:val="000000"/>
                <w:sz w:val="20"/>
              </w:rPr>
              <w:t>0,060</w:t>
            </w:r>
          </w:p>
        </w:tc>
        <w:tc>
          <w:tcPr>
            <w:tcW w:w="1622" w:type="dxa"/>
            <w:vAlign w:val="bottom"/>
          </w:tcPr>
          <w:p w:rsidR="00A93FE6" w:rsidRDefault="008C548F">
            <w:pPr>
              <w:spacing w:before="0" w:after="0"/>
              <w:jc w:val="right"/>
              <w:rPr>
                <w:b/>
                <w:noProof/>
                <w:sz w:val="20"/>
                <w:szCs w:val="20"/>
              </w:rPr>
            </w:pPr>
            <w:r>
              <w:rPr>
                <w:b/>
                <w:noProof/>
                <w:color w:val="000000"/>
                <w:sz w:val="20"/>
              </w:rPr>
              <w:t>0,200</w:t>
            </w:r>
          </w:p>
        </w:tc>
      </w:tr>
      <w:tr w:rsidR="00A93FE6">
        <w:trPr>
          <w:trHeight w:val="404"/>
        </w:trPr>
        <w:tc>
          <w:tcPr>
            <w:tcW w:w="3360" w:type="dxa"/>
            <w:vMerge w:val="restart"/>
            <w:vAlign w:val="center"/>
          </w:tcPr>
          <w:p w:rsidR="00A93FE6" w:rsidRDefault="008C548F">
            <w:pPr>
              <w:jc w:val="left"/>
              <w:rPr>
                <w:b/>
                <w:noProof/>
              </w:rPr>
            </w:pPr>
            <w:r>
              <w:rPr>
                <w:b/>
                <w:noProof/>
                <w:sz w:val="22"/>
              </w:rPr>
              <w:t>TOTAAL kredieten</w:t>
            </w:r>
            <w:r>
              <w:rPr>
                <w:noProof/>
                <w:sz w:val="22"/>
              </w:rPr>
              <w:br/>
            </w:r>
            <w:r>
              <w:rPr>
                <w:b/>
                <w:noProof/>
                <w:sz w:val="22"/>
              </w:rPr>
              <w:t>voor DG CNECT/MOVE</w:t>
            </w:r>
          </w:p>
        </w:tc>
        <w:tc>
          <w:tcPr>
            <w:tcW w:w="1320" w:type="dxa"/>
            <w:vAlign w:val="center"/>
          </w:tcPr>
          <w:p w:rsidR="00A93FE6" w:rsidRDefault="008C548F">
            <w:pPr>
              <w:spacing w:before="0" w:after="0"/>
              <w:rPr>
                <w:noProof/>
                <w:sz w:val="18"/>
              </w:rPr>
            </w:pPr>
            <w:r>
              <w:rPr>
                <w:noProof/>
                <w:sz w:val="18"/>
              </w:rPr>
              <w:t>Vastleggingen</w:t>
            </w:r>
          </w:p>
        </w:tc>
        <w:tc>
          <w:tcPr>
            <w:tcW w:w="840" w:type="dxa"/>
            <w:vAlign w:val="center"/>
          </w:tcPr>
          <w:p w:rsidR="00A93FE6" w:rsidRDefault="008C548F">
            <w:pPr>
              <w:spacing w:before="0" w:after="0"/>
              <w:jc w:val="center"/>
              <w:rPr>
                <w:noProof/>
                <w:sz w:val="14"/>
              </w:rPr>
            </w:pPr>
            <w:r>
              <w:rPr>
                <w:noProof/>
                <w:sz w:val="14"/>
              </w:rPr>
              <w:t>=1+1a +3</w:t>
            </w:r>
          </w:p>
        </w:tc>
        <w:tc>
          <w:tcPr>
            <w:tcW w:w="1555" w:type="dxa"/>
            <w:vAlign w:val="bottom"/>
          </w:tcPr>
          <w:p w:rsidR="00A93FE6" w:rsidRDefault="008C548F">
            <w:pPr>
              <w:spacing w:before="0" w:after="0"/>
              <w:jc w:val="right"/>
              <w:rPr>
                <w:b/>
                <w:noProof/>
                <w:sz w:val="20"/>
                <w:szCs w:val="20"/>
              </w:rPr>
            </w:pPr>
            <w:r>
              <w:rPr>
                <w:b/>
                <w:noProof/>
                <w:color w:val="000000"/>
                <w:sz w:val="20"/>
              </w:rPr>
              <w:t>20,000</w:t>
            </w:r>
          </w:p>
        </w:tc>
        <w:tc>
          <w:tcPr>
            <w:tcW w:w="1621" w:type="dxa"/>
            <w:vAlign w:val="bottom"/>
          </w:tcPr>
          <w:p w:rsidR="00A93FE6" w:rsidRDefault="008C548F">
            <w:pPr>
              <w:spacing w:before="0" w:after="0"/>
              <w:jc w:val="right"/>
              <w:rPr>
                <w:b/>
                <w:noProof/>
                <w:sz w:val="20"/>
                <w:szCs w:val="20"/>
              </w:rPr>
            </w:pPr>
            <w:r>
              <w:rPr>
                <w:b/>
                <w:noProof/>
                <w:color w:val="000000"/>
                <w:sz w:val="20"/>
              </w:rPr>
              <w:t>50,000</w:t>
            </w:r>
          </w:p>
        </w:tc>
        <w:tc>
          <w:tcPr>
            <w:tcW w:w="1621" w:type="dxa"/>
            <w:vAlign w:val="bottom"/>
          </w:tcPr>
          <w:p w:rsidR="00A93FE6" w:rsidRDefault="008C548F">
            <w:pPr>
              <w:spacing w:before="0" w:after="0"/>
              <w:jc w:val="right"/>
              <w:rPr>
                <w:b/>
                <w:noProof/>
                <w:sz w:val="20"/>
                <w:szCs w:val="20"/>
              </w:rPr>
            </w:pPr>
            <w:r>
              <w:rPr>
                <w:b/>
                <w:noProof/>
                <w:color w:val="000000"/>
                <w:sz w:val="20"/>
              </w:rPr>
              <w:t>49,650</w:t>
            </w:r>
          </w:p>
        </w:tc>
        <w:tc>
          <w:tcPr>
            <w:tcW w:w="1621" w:type="dxa"/>
            <w:vAlign w:val="bottom"/>
          </w:tcPr>
          <w:p w:rsidR="00A93FE6" w:rsidRDefault="008C548F">
            <w:pPr>
              <w:spacing w:before="0" w:after="0"/>
              <w:jc w:val="right"/>
              <w:rPr>
                <w:b/>
                <w:noProof/>
                <w:sz w:val="20"/>
                <w:szCs w:val="20"/>
              </w:rPr>
            </w:pPr>
            <w:r>
              <w:rPr>
                <w:b/>
                <w:noProof/>
                <w:color w:val="000000"/>
                <w:sz w:val="20"/>
              </w:rPr>
              <w:t>0,350</w:t>
            </w:r>
          </w:p>
        </w:tc>
        <w:tc>
          <w:tcPr>
            <w:tcW w:w="1622" w:type="dxa"/>
            <w:vAlign w:val="center"/>
          </w:tcPr>
          <w:p w:rsidR="00A93FE6" w:rsidRDefault="008C548F">
            <w:pPr>
              <w:spacing w:before="0" w:after="0"/>
              <w:jc w:val="right"/>
              <w:rPr>
                <w:b/>
                <w:noProof/>
                <w:sz w:val="20"/>
                <w:szCs w:val="20"/>
              </w:rPr>
            </w:pPr>
            <w:r>
              <w:rPr>
                <w:b/>
                <w:noProof/>
                <w:sz w:val="20"/>
              </w:rPr>
              <w:t>120,000</w:t>
            </w:r>
          </w:p>
        </w:tc>
      </w:tr>
      <w:tr w:rsidR="00A93FE6">
        <w:trPr>
          <w:trHeight w:val="368"/>
        </w:trPr>
        <w:tc>
          <w:tcPr>
            <w:tcW w:w="3360" w:type="dxa"/>
            <w:vMerge/>
          </w:tcPr>
          <w:p w:rsidR="00A93FE6" w:rsidRDefault="00A93FE6">
            <w:pPr>
              <w:rPr>
                <w:noProof/>
                <w:sz w:val="20"/>
              </w:rPr>
            </w:pPr>
          </w:p>
        </w:tc>
        <w:tc>
          <w:tcPr>
            <w:tcW w:w="1320" w:type="dxa"/>
            <w:vAlign w:val="center"/>
          </w:tcPr>
          <w:p w:rsidR="00A93FE6" w:rsidRDefault="008C548F">
            <w:pPr>
              <w:spacing w:before="0" w:after="0"/>
              <w:rPr>
                <w:noProof/>
                <w:sz w:val="18"/>
              </w:rPr>
            </w:pPr>
            <w:r>
              <w:rPr>
                <w:noProof/>
                <w:sz w:val="18"/>
              </w:rPr>
              <w:t>Betalingen</w:t>
            </w:r>
          </w:p>
        </w:tc>
        <w:tc>
          <w:tcPr>
            <w:tcW w:w="840" w:type="dxa"/>
            <w:vAlign w:val="center"/>
          </w:tcPr>
          <w:p w:rsidR="00A93FE6" w:rsidRDefault="008C548F">
            <w:pPr>
              <w:spacing w:before="0" w:after="0"/>
              <w:jc w:val="center"/>
              <w:rPr>
                <w:noProof/>
                <w:sz w:val="14"/>
              </w:rPr>
            </w:pPr>
            <w:r>
              <w:rPr>
                <w:noProof/>
                <w:sz w:val="14"/>
              </w:rPr>
              <w:t>=2+2a</w:t>
            </w:r>
          </w:p>
          <w:p w:rsidR="00A93FE6" w:rsidRDefault="008C548F">
            <w:pPr>
              <w:spacing w:before="0" w:after="0"/>
              <w:jc w:val="center"/>
              <w:rPr>
                <w:noProof/>
                <w:sz w:val="14"/>
              </w:rPr>
            </w:pPr>
            <w:r>
              <w:rPr>
                <w:noProof/>
                <w:sz w:val="14"/>
              </w:rPr>
              <w:t>+3</w:t>
            </w:r>
          </w:p>
        </w:tc>
        <w:tc>
          <w:tcPr>
            <w:tcW w:w="1555" w:type="dxa"/>
            <w:vAlign w:val="bottom"/>
          </w:tcPr>
          <w:p w:rsidR="00A93FE6" w:rsidRDefault="008C548F">
            <w:pPr>
              <w:spacing w:before="0" w:after="0"/>
              <w:jc w:val="right"/>
              <w:rPr>
                <w:b/>
                <w:noProof/>
                <w:sz w:val="20"/>
                <w:szCs w:val="20"/>
              </w:rPr>
            </w:pPr>
            <w:r>
              <w:rPr>
                <w:b/>
                <w:noProof/>
                <w:color w:val="000000"/>
                <w:sz w:val="20"/>
              </w:rPr>
              <w:t>0,670</w:t>
            </w:r>
          </w:p>
        </w:tc>
        <w:tc>
          <w:tcPr>
            <w:tcW w:w="1621" w:type="dxa"/>
            <w:vAlign w:val="bottom"/>
          </w:tcPr>
          <w:p w:rsidR="00A93FE6" w:rsidRDefault="008C548F">
            <w:pPr>
              <w:spacing w:before="0" w:after="0"/>
              <w:jc w:val="right"/>
              <w:rPr>
                <w:b/>
                <w:noProof/>
                <w:sz w:val="20"/>
                <w:szCs w:val="20"/>
              </w:rPr>
            </w:pPr>
            <w:r>
              <w:rPr>
                <w:b/>
                <w:noProof/>
                <w:color w:val="000000"/>
                <w:sz w:val="20"/>
              </w:rPr>
              <w:t>44,525</w:t>
            </w:r>
          </w:p>
        </w:tc>
        <w:tc>
          <w:tcPr>
            <w:tcW w:w="1621" w:type="dxa"/>
            <w:vAlign w:val="bottom"/>
          </w:tcPr>
          <w:p w:rsidR="00A93FE6" w:rsidRDefault="008C548F">
            <w:pPr>
              <w:spacing w:before="0" w:after="0"/>
              <w:jc w:val="right"/>
              <w:rPr>
                <w:b/>
                <w:noProof/>
                <w:sz w:val="20"/>
                <w:szCs w:val="20"/>
              </w:rPr>
            </w:pPr>
            <w:r>
              <w:rPr>
                <w:b/>
                <w:noProof/>
                <w:color w:val="000000"/>
                <w:sz w:val="20"/>
              </w:rPr>
              <w:t>49,825</w:t>
            </w:r>
          </w:p>
        </w:tc>
        <w:tc>
          <w:tcPr>
            <w:tcW w:w="1621" w:type="dxa"/>
            <w:vAlign w:val="bottom"/>
          </w:tcPr>
          <w:p w:rsidR="00A93FE6" w:rsidRDefault="008C548F">
            <w:pPr>
              <w:spacing w:before="0" w:after="0"/>
              <w:jc w:val="right"/>
              <w:rPr>
                <w:b/>
                <w:noProof/>
                <w:sz w:val="20"/>
                <w:szCs w:val="20"/>
              </w:rPr>
            </w:pPr>
            <w:r>
              <w:rPr>
                <w:b/>
                <w:noProof/>
                <w:color w:val="000000"/>
                <w:sz w:val="20"/>
              </w:rPr>
              <w:t>24,980</w:t>
            </w:r>
          </w:p>
        </w:tc>
        <w:tc>
          <w:tcPr>
            <w:tcW w:w="1622" w:type="dxa"/>
            <w:vAlign w:val="center"/>
          </w:tcPr>
          <w:p w:rsidR="00A93FE6" w:rsidRDefault="008C548F">
            <w:pPr>
              <w:spacing w:before="0" w:after="0"/>
              <w:jc w:val="right"/>
              <w:rPr>
                <w:b/>
                <w:noProof/>
                <w:sz w:val="20"/>
                <w:szCs w:val="20"/>
              </w:rPr>
            </w:pPr>
            <w:r>
              <w:rPr>
                <w:b/>
                <w:noProof/>
                <w:sz w:val="20"/>
              </w:rPr>
              <w:t>120,000</w:t>
            </w:r>
          </w:p>
        </w:tc>
      </w:tr>
    </w:tbl>
    <w:p w:rsidR="00A93FE6" w:rsidRDefault="008C548F">
      <w:pPr>
        <w:rPr>
          <w:noProof/>
        </w:rPr>
      </w:pPr>
      <w:r>
        <w:rPr>
          <w:noProof/>
        </w:rPr>
        <w:br/>
      </w:r>
    </w:p>
    <w:p w:rsidR="00A93FE6" w:rsidRDefault="00A93FE6">
      <w:pPr>
        <w:rPr>
          <w:strike/>
          <w:noProof/>
        </w:rPr>
      </w:pPr>
    </w:p>
    <w:p w:rsidR="00A93FE6" w:rsidRDefault="008C548F">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93FE6">
        <w:trPr>
          <w:jc w:val="center"/>
        </w:trPr>
        <w:tc>
          <w:tcPr>
            <w:tcW w:w="4744" w:type="dxa"/>
            <w:shd w:val="thinDiagStripe" w:color="C0C0C0" w:fill="auto"/>
            <w:vAlign w:val="center"/>
          </w:tcPr>
          <w:p w:rsidR="00A93FE6" w:rsidRDefault="008C548F">
            <w:pPr>
              <w:spacing w:before="60" w:after="60"/>
              <w:jc w:val="center"/>
              <w:rPr>
                <w:b/>
                <w:noProof/>
              </w:rPr>
            </w:pPr>
            <w:r>
              <w:rPr>
                <w:noProof/>
              </w:rPr>
              <w:br w:type="page"/>
            </w:r>
            <w:r>
              <w:rPr>
                <w:b/>
                <w:noProof/>
                <w:sz w:val="22"/>
              </w:rPr>
              <w:t xml:space="preserve">Rubriek van het meerjarig financieel </w:t>
            </w:r>
            <w:r>
              <w:rPr>
                <w:noProof/>
                <w:sz w:val="22"/>
              </w:rPr>
              <w:br/>
            </w:r>
            <w:r>
              <w:rPr>
                <w:b/>
                <w:noProof/>
                <w:sz w:val="22"/>
              </w:rPr>
              <w:t xml:space="preserve">kader </w:t>
            </w:r>
          </w:p>
        </w:tc>
        <w:tc>
          <w:tcPr>
            <w:tcW w:w="1080" w:type="dxa"/>
            <w:shd w:val="thinDiagStripe" w:color="C0C0C0" w:fill="auto"/>
            <w:vAlign w:val="center"/>
          </w:tcPr>
          <w:p w:rsidR="00A93FE6" w:rsidRDefault="008C548F">
            <w:pPr>
              <w:spacing w:before="60" w:after="60"/>
              <w:jc w:val="center"/>
              <w:rPr>
                <w:noProof/>
              </w:rPr>
            </w:pPr>
            <w:r>
              <w:rPr>
                <w:b/>
                <w:noProof/>
                <w:sz w:val="22"/>
              </w:rPr>
              <w:t>5</w:t>
            </w:r>
          </w:p>
        </w:tc>
        <w:tc>
          <w:tcPr>
            <w:tcW w:w="7817" w:type="dxa"/>
            <w:vAlign w:val="center"/>
          </w:tcPr>
          <w:p w:rsidR="00A93FE6" w:rsidRDefault="008C548F">
            <w:pPr>
              <w:spacing w:before="60" w:after="60"/>
              <w:rPr>
                <w:noProof/>
              </w:rPr>
            </w:pPr>
            <w:r>
              <w:rPr>
                <w:noProof/>
                <w:sz w:val="22"/>
              </w:rPr>
              <w:t>"Administratieve uitgaven"</w:t>
            </w:r>
          </w:p>
        </w:tc>
      </w:tr>
    </w:tbl>
    <w:p w:rsidR="00A93FE6" w:rsidRDefault="008C548F">
      <w:pPr>
        <w:jc w:val="right"/>
        <w:rPr>
          <w:noProof/>
          <w:sz w:val="20"/>
        </w:rPr>
      </w:pPr>
      <w:r>
        <w:rPr>
          <w:noProof/>
          <w:sz w:val="20"/>
        </w:rPr>
        <w:t>in miljoen EUR (tot op drie decimalen)</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A93FE6">
        <w:tc>
          <w:tcPr>
            <w:tcW w:w="6000" w:type="dxa"/>
            <w:gridSpan w:val="2"/>
            <w:tcBorders>
              <w:top w:val="nil"/>
              <w:left w:val="nil"/>
              <w:right w:val="nil"/>
            </w:tcBorders>
            <w:vAlign w:val="center"/>
          </w:tcPr>
          <w:p w:rsidR="00A93FE6" w:rsidRDefault="00A93FE6">
            <w:pPr>
              <w:jc w:val="center"/>
              <w:rPr>
                <w:noProof/>
              </w:rPr>
            </w:pPr>
          </w:p>
        </w:tc>
        <w:tc>
          <w:tcPr>
            <w:tcW w:w="1560" w:type="dxa"/>
            <w:vAlign w:val="center"/>
          </w:tcPr>
          <w:p w:rsidR="00A93FE6" w:rsidRDefault="008C548F">
            <w:pPr>
              <w:jc w:val="center"/>
              <w:rPr>
                <w:noProof/>
                <w:sz w:val="20"/>
              </w:rPr>
            </w:pPr>
            <w:r>
              <w:rPr>
                <w:b/>
                <w:noProof/>
                <w:sz w:val="20"/>
              </w:rPr>
              <w:t>2017</w:t>
            </w:r>
          </w:p>
        </w:tc>
        <w:tc>
          <w:tcPr>
            <w:tcW w:w="1800" w:type="dxa"/>
            <w:vAlign w:val="center"/>
          </w:tcPr>
          <w:p w:rsidR="00A93FE6" w:rsidRDefault="008C548F">
            <w:pPr>
              <w:jc w:val="center"/>
              <w:rPr>
                <w:noProof/>
                <w:sz w:val="20"/>
              </w:rPr>
            </w:pPr>
            <w:r>
              <w:rPr>
                <w:b/>
                <w:noProof/>
                <w:sz w:val="20"/>
              </w:rPr>
              <w:t>2018</w:t>
            </w:r>
          </w:p>
        </w:tc>
        <w:tc>
          <w:tcPr>
            <w:tcW w:w="1680" w:type="dxa"/>
            <w:vAlign w:val="center"/>
          </w:tcPr>
          <w:p w:rsidR="00A93FE6" w:rsidRDefault="008C548F">
            <w:pPr>
              <w:jc w:val="center"/>
              <w:rPr>
                <w:noProof/>
                <w:sz w:val="20"/>
              </w:rPr>
            </w:pPr>
            <w:r>
              <w:rPr>
                <w:b/>
                <w:noProof/>
                <w:sz w:val="20"/>
              </w:rPr>
              <w:t>2019</w:t>
            </w:r>
          </w:p>
        </w:tc>
        <w:tc>
          <w:tcPr>
            <w:tcW w:w="1560" w:type="dxa"/>
            <w:vAlign w:val="center"/>
          </w:tcPr>
          <w:p w:rsidR="00A93FE6" w:rsidRDefault="008C548F">
            <w:pPr>
              <w:jc w:val="center"/>
              <w:rPr>
                <w:noProof/>
                <w:sz w:val="20"/>
              </w:rPr>
            </w:pPr>
            <w:r>
              <w:rPr>
                <w:b/>
                <w:noProof/>
                <w:sz w:val="20"/>
              </w:rPr>
              <w:t>2020</w:t>
            </w:r>
          </w:p>
        </w:tc>
        <w:tc>
          <w:tcPr>
            <w:tcW w:w="1560" w:type="dxa"/>
            <w:vAlign w:val="center"/>
          </w:tcPr>
          <w:p w:rsidR="00A93FE6" w:rsidRDefault="008C548F">
            <w:pPr>
              <w:jc w:val="center"/>
              <w:rPr>
                <w:b/>
                <w:noProof/>
                <w:sz w:val="20"/>
              </w:rPr>
            </w:pPr>
            <w:r>
              <w:rPr>
                <w:b/>
                <w:noProof/>
                <w:sz w:val="20"/>
              </w:rPr>
              <w:t>TOTAAL</w:t>
            </w:r>
          </w:p>
        </w:tc>
      </w:tr>
      <w:tr w:rsidR="00A93FE6">
        <w:trPr>
          <w:gridAfter w:val="5"/>
          <w:wAfter w:w="8160" w:type="dxa"/>
        </w:trPr>
        <w:tc>
          <w:tcPr>
            <w:tcW w:w="6000" w:type="dxa"/>
            <w:gridSpan w:val="2"/>
            <w:vAlign w:val="center"/>
          </w:tcPr>
          <w:p w:rsidR="00A93FE6" w:rsidRDefault="008C548F">
            <w:pPr>
              <w:spacing w:before="60" w:after="60"/>
              <w:jc w:val="center"/>
              <w:rPr>
                <w:noProof/>
              </w:rPr>
            </w:pPr>
            <w:r>
              <w:rPr>
                <w:noProof/>
                <w:sz w:val="22"/>
              </w:rPr>
              <w:t>DG: &lt;CNECT …….&gt;</w:t>
            </w:r>
          </w:p>
        </w:tc>
      </w:tr>
      <w:tr w:rsidR="00A93FE6">
        <w:trPr>
          <w:trHeight w:val="313"/>
        </w:trPr>
        <w:tc>
          <w:tcPr>
            <w:tcW w:w="6000" w:type="dxa"/>
            <w:gridSpan w:val="2"/>
            <w:vAlign w:val="center"/>
          </w:tcPr>
          <w:p w:rsidR="00A93FE6" w:rsidRDefault="008C548F">
            <w:pPr>
              <w:spacing w:before="20" w:after="20"/>
              <w:rPr>
                <w:noProof/>
              </w:rPr>
            </w:pPr>
            <w:r>
              <w:rPr>
                <w:noProof/>
                <w:sz w:val="22"/>
              </w:rPr>
              <w:sym w:font="Wingdings" w:char="F09F"/>
            </w:r>
            <w:r>
              <w:rPr>
                <w:noProof/>
                <w:sz w:val="22"/>
              </w:rPr>
              <w:t xml:space="preserve"> Personele middelen </w:t>
            </w:r>
          </w:p>
        </w:tc>
        <w:tc>
          <w:tcPr>
            <w:tcW w:w="1560" w:type="dxa"/>
            <w:vAlign w:val="center"/>
          </w:tcPr>
          <w:p w:rsidR="00A93FE6" w:rsidRDefault="008C548F">
            <w:pPr>
              <w:spacing w:before="20" w:after="20"/>
              <w:jc w:val="right"/>
              <w:rPr>
                <w:noProof/>
                <w:sz w:val="20"/>
              </w:rPr>
            </w:pPr>
            <w:r>
              <w:rPr>
                <w:noProof/>
                <w:sz w:val="20"/>
              </w:rPr>
              <w:t>0,204</w:t>
            </w:r>
          </w:p>
        </w:tc>
        <w:tc>
          <w:tcPr>
            <w:tcW w:w="1800" w:type="dxa"/>
            <w:vAlign w:val="center"/>
          </w:tcPr>
          <w:p w:rsidR="00A93FE6" w:rsidRDefault="008C548F">
            <w:pPr>
              <w:spacing w:before="20" w:after="20"/>
              <w:jc w:val="right"/>
              <w:rPr>
                <w:noProof/>
                <w:sz w:val="20"/>
              </w:rPr>
            </w:pPr>
            <w:r>
              <w:rPr>
                <w:noProof/>
                <w:sz w:val="20"/>
              </w:rPr>
              <w:t>0,204</w:t>
            </w:r>
          </w:p>
        </w:tc>
        <w:tc>
          <w:tcPr>
            <w:tcW w:w="1680" w:type="dxa"/>
            <w:vAlign w:val="center"/>
          </w:tcPr>
          <w:p w:rsidR="00A93FE6" w:rsidRDefault="008C548F">
            <w:pPr>
              <w:spacing w:before="20" w:after="20"/>
              <w:jc w:val="right"/>
              <w:rPr>
                <w:noProof/>
                <w:sz w:val="20"/>
              </w:rPr>
            </w:pPr>
            <w:r>
              <w:rPr>
                <w:noProof/>
                <w:sz w:val="20"/>
              </w:rPr>
              <w:t>0,204</w:t>
            </w:r>
          </w:p>
        </w:tc>
        <w:tc>
          <w:tcPr>
            <w:tcW w:w="1560" w:type="dxa"/>
            <w:vAlign w:val="center"/>
          </w:tcPr>
          <w:p w:rsidR="00A93FE6" w:rsidRDefault="008C548F">
            <w:pPr>
              <w:spacing w:before="20" w:after="20"/>
              <w:jc w:val="right"/>
              <w:rPr>
                <w:noProof/>
                <w:sz w:val="20"/>
              </w:rPr>
            </w:pPr>
            <w:r>
              <w:rPr>
                <w:noProof/>
                <w:sz w:val="20"/>
              </w:rPr>
              <w:t>0,204</w:t>
            </w:r>
          </w:p>
        </w:tc>
        <w:tc>
          <w:tcPr>
            <w:tcW w:w="1560" w:type="dxa"/>
            <w:vAlign w:val="center"/>
          </w:tcPr>
          <w:p w:rsidR="00A93FE6" w:rsidRDefault="008C548F">
            <w:pPr>
              <w:spacing w:before="20" w:after="20"/>
              <w:jc w:val="right"/>
              <w:rPr>
                <w:b/>
                <w:noProof/>
                <w:sz w:val="20"/>
              </w:rPr>
            </w:pPr>
            <w:r>
              <w:rPr>
                <w:b/>
                <w:noProof/>
                <w:sz w:val="20"/>
              </w:rPr>
              <w:t>0,816</w:t>
            </w:r>
          </w:p>
        </w:tc>
      </w:tr>
      <w:tr w:rsidR="00A93FE6">
        <w:trPr>
          <w:trHeight w:val="351"/>
        </w:trPr>
        <w:tc>
          <w:tcPr>
            <w:tcW w:w="6000" w:type="dxa"/>
            <w:gridSpan w:val="2"/>
            <w:vAlign w:val="center"/>
          </w:tcPr>
          <w:p w:rsidR="00A93FE6" w:rsidRDefault="008C548F">
            <w:pPr>
              <w:spacing w:before="20" w:after="20"/>
              <w:rPr>
                <w:noProof/>
              </w:rPr>
            </w:pPr>
            <w:r>
              <w:rPr>
                <w:noProof/>
                <w:sz w:val="22"/>
              </w:rPr>
              <w:sym w:font="Wingdings" w:char="F09F"/>
            </w:r>
            <w:r>
              <w:rPr>
                <w:noProof/>
                <w:sz w:val="22"/>
              </w:rPr>
              <w:t xml:space="preserve"> Andere administratieve uitgaven </w:t>
            </w:r>
          </w:p>
        </w:tc>
        <w:tc>
          <w:tcPr>
            <w:tcW w:w="1560" w:type="dxa"/>
            <w:vAlign w:val="center"/>
          </w:tcPr>
          <w:p w:rsidR="00A93FE6" w:rsidRDefault="008C548F">
            <w:pPr>
              <w:spacing w:before="20" w:after="20"/>
              <w:jc w:val="right"/>
              <w:rPr>
                <w:noProof/>
                <w:sz w:val="20"/>
              </w:rPr>
            </w:pPr>
            <w:r>
              <w:rPr>
                <w:noProof/>
                <w:sz w:val="20"/>
              </w:rPr>
              <w:t>0,020</w:t>
            </w:r>
          </w:p>
        </w:tc>
        <w:tc>
          <w:tcPr>
            <w:tcW w:w="1800" w:type="dxa"/>
            <w:vAlign w:val="center"/>
          </w:tcPr>
          <w:p w:rsidR="00A93FE6" w:rsidRDefault="008C548F">
            <w:pPr>
              <w:spacing w:before="20" w:after="20"/>
              <w:jc w:val="right"/>
              <w:rPr>
                <w:noProof/>
                <w:sz w:val="20"/>
              </w:rPr>
            </w:pPr>
            <w:r>
              <w:rPr>
                <w:noProof/>
                <w:sz w:val="20"/>
              </w:rPr>
              <w:t>0,020</w:t>
            </w:r>
          </w:p>
        </w:tc>
        <w:tc>
          <w:tcPr>
            <w:tcW w:w="1680" w:type="dxa"/>
            <w:vAlign w:val="center"/>
          </w:tcPr>
          <w:p w:rsidR="00A93FE6" w:rsidRDefault="008C548F">
            <w:pPr>
              <w:spacing w:before="20" w:after="20"/>
              <w:jc w:val="right"/>
              <w:rPr>
                <w:noProof/>
                <w:sz w:val="20"/>
              </w:rPr>
            </w:pPr>
            <w:r>
              <w:rPr>
                <w:noProof/>
                <w:sz w:val="20"/>
              </w:rPr>
              <w:t>0,010</w:t>
            </w:r>
          </w:p>
        </w:tc>
        <w:tc>
          <w:tcPr>
            <w:tcW w:w="1560" w:type="dxa"/>
            <w:vAlign w:val="center"/>
          </w:tcPr>
          <w:p w:rsidR="00A93FE6" w:rsidRDefault="008C548F">
            <w:pPr>
              <w:spacing w:before="20" w:after="20"/>
              <w:jc w:val="right"/>
              <w:rPr>
                <w:noProof/>
                <w:sz w:val="20"/>
              </w:rPr>
            </w:pPr>
            <w:r>
              <w:rPr>
                <w:noProof/>
                <w:sz w:val="20"/>
              </w:rPr>
              <w:t>0,010</w:t>
            </w:r>
          </w:p>
        </w:tc>
        <w:tc>
          <w:tcPr>
            <w:tcW w:w="1560" w:type="dxa"/>
            <w:vAlign w:val="center"/>
          </w:tcPr>
          <w:p w:rsidR="00A93FE6" w:rsidRDefault="008C548F">
            <w:pPr>
              <w:spacing w:before="20" w:after="20"/>
              <w:jc w:val="right"/>
              <w:rPr>
                <w:b/>
                <w:noProof/>
                <w:sz w:val="20"/>
              </w:rPr>
            </w:pPr>
            <w:r>
              <w:rPr>
                <w:b/>
                <w:noProof/>
                <w:sz w:val="20"/>
              </w:rPr>
              <w:t>0,060</w:t>
            </w:r>
          </w:p>
        </w:tc>
      </w:tr>
      <w:tr w:rsidR="00A93FE6">
        <w:tc>
          <w:tcPr>
            <w:tcW w:w="3858" w:type="dxa"/>
            <w:vAlign w:val="center"/>
          </w:tcPr>
          <w:p w:rsidR="00A93FE6" w:rsidRDefault="008C548F">
            <w:pPr>
              <w:jc w:val="center"/>
              <w:rPr>
                <w:b/>
                <w:noProof/>
              </w:rPr>
            </w:pPr>
            <w:r>
              <w:rPr>
                <w:b/>
                <w:noProof/>
                <w:sz w:val="22"/>
              </w:rPr>
              <w:t>TOTAAL DG</w:t>
            </w:r>
            <w:r>
              <w:rPr>
                <w:noProof/>
              </w:rPr>
              <w:t xml:space="preserve"> </w:t>
            </w:r>
            <w:r>
              <w:rPr>
                <w:noProof/>
                <w:sz w:val="22"/>
              </w:rPr>
              <w:t>CNECT</w:t>
            </w:r>
          </w:p>
        </w:tc>
        <w:tc>
          <w:tcPr>
            <w:tcW w:w="2142" w:type="dxa"/>
            <w:vAlign w:val="center"/>
          </w:tcPr>
          <w:p w:rsidR="00A93FE6" w:rsidRDefault="008C548F">
            <w:pPr>
              <w:rPr>
                <w:noProof/>
                <w:sz w:val="14"/>
              </w:rPr>
            </w:pPr>
            <w:r>
              <w:rPr>
                <w:noProof/>
                <w:sz w:val="18"/>
              </w:rPr>
              <w:t xml:space="preserve">Kredieten </w:t>
            </w:r>
          </w:p>
        </w:tc>
        <w:tc>
          <w:tcPr>
            <w:tcW w:w="1560" w:type="dxa"/>
            <w:vAlign w:val="center"/>
          </w:tcPr>
          <w:p w:rsidR="00A93FE6" w:rsidRDefault="008C548F">
            <w:pPr>
              <w:spacing w:before="60" w:after="60"/>
              <w:jc w:val="right"/>
              <w:rPr>
                <w:b/>
                <w:noProof/>
                <w:sz w:val="20"/>
              </w:rPr>
            </w:pPr>
            <w:r>
              <w:rPr>
                <w:b/>
                <w:noProof/>
                <w:sz w:val="20"/>
              </w:rPr>
              <w:t>0,224</w:t>
            </w:r>
          </w:p>
        </w:tc>
        <w:tc>
          <w:tcPr>
            <w:tcW w:w="1800" w:type="dxa"/>
            <w:vAlign w:val="center"/>
          </w:tcPr>
          <w:p w:rsidR="00A93FE6" w:rsidRDefault="008C548F">
            <w:pPr>
              <w:spacing w:before="20" w:after="20"/>
              <w:jc w:val="right"/>
              <w:rPr>
                <w:b/>
                <w:noProof/>
                <w:sz w:val="20"/>
              </w:rPr>
            </w:pPr>
            <w:r>
              <w:rPr>
                <w:b/>
                <w:noProof/>
                <w:sz w:val="20"/>
              </w:rPr>
              <w:t>0,224</w:t>
            </w:r>
          </w:p>
        </w:tc>
        <w:tc>
          <w:tcPr>
            <w:tcW w:w="1680" w:type="dxa"/>
            <w:vAlign w:val="center"/>
          </w:tcPr>
          <w:p w:rsidR="00A93FE6" w:rsidRDefault="008C548F">
            <w:pPr>
              <w:spacing w:before="20" w:after="20"/>
              <w:jc w:val="right"/>
              <w:rPr>
                <w:b/>
                <w:noProof/>
                <w:sz w:val="20"/>
              </w:rPr>
            </w:pPr>
            <w:r>
              <w:rPr>
                <w:b/>
                <w:noProof/>
                <w:sz w:val="20"/>
              </w:rPr>
              <w:t>0,214</w:t>
            </w:r>
          </w:p>
        </w:tc>
        <w:tc>
          <w:tcPr>
            <w:tcW w:w="1560" w:type="dxa"/>
            <w:vAlign w:val="center"/>
          </w:tcPr>
          <w:p w:rsidR="00A93FE6" w:rsidRDefault="008C548F">
            <w:pPr>
              <w:spacing w:before="20" w:after="20"/>
              <w:jc w:val="right"/>
              <w:rPr>
                <w:b/>
                <w:noProof/>
                <w:sz w:val="20"/>
              </w:rPr>
            </w:pPr>
            <w:r>
              <w:rPr>
                <w:b/>
                <w:noProof/>
                <w:sz w:val="20"/>
              </w:rPr>
              <w:t>0,214</w:t>
            </w:r>
          </w:p>
        </w:tc>
        <w:tc>
          <w:tcPr>
            <w:tcW w:w="1560" w:type="dxa"/>
            <w:vAlign w:val="center"/>
          </w:tcPr>
          <w:p w:rsidR="00A93FE6" w:rsidRDefault="008C548F">
            <w:pPr>
              <w:spacing w:before="20" w:after="20"/>
              <w:jc w:val="right"/>
              <w:rPr>
                <w:b/>
                <w:noProof/>
                <w:sz w:val="20"/>
              </w:rPr>
            </w:pPr>
            <w:r>
              <w:rPr>
                <w:b/>
                <w:noProof/>
                <w:sz w:val="20"/>
              </w:rPr>
              <w:t>0,876</w:t>
            </w:r>
          </w:p>
        </w:tc>
      </w:tr>
    </w:tbl>
    <w:p w:rsidR="00A93FE6" w:rsidRDefault="008C548F">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A93FE6">
        <w:tc>
          <w:tcPr>
            <w:tcW w:w="3960" w:type="dxa"/>
            <w:shd w:val="thinDiagStripe" w:color="C0C0C0" w:fill="auto"/>
            <w:vAlign w:val="center"/>
          </w:tcPr>
          <w:p w:rsidR="00A93FE6" w:rsidRDefault="008C548F">
            <w:pPr>
              <w:jc w:val="center"/>
              <w:rPr>
                <w:b/>
                <w:noProof/>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40" w:type="dxa"/>
            <w:vAlign w:val="center"/>
          </w:tcPr>
          <w:p w:rsidR="00A93FE6" w:rsidRDefault="008C548F">
            <w:pPr>
              <w:spacing w:before="40" w:after="40"/>
              <w:rPr>
                <w:noProof/>
              </w:rPr>
            </w:pPr>
            <w:r>
              <w:rPr>
                <w:noProof/>
                <w:sz w:val="18"/>
              </w:rPr>
              <w:t xml:space="preserve">(totaal </w:t>
            </w:r>
            <w:r>
              <w:rPr>
                <w:noProof/>
                <w:sz w:val="18"/>
              </w:rPr>
              <w:t>vastleggingen = totaal betalingen)</w:t>
            </w:r>
          </w:p>
        </w:tc>
        <w:tc>
          <w:tcPr>
            <w:tcW w:w="1560" w:type="dxa"/>
            <w:vAlign w:val="center"/>
          </w:tcPr>
          <w:p w:rsidR="00A93FE6" w:rsidRDefault="008C548F">
            <w:pPr>
              <w:spacing w:before="20" w:after="20"/>
              <w:jc w:val="right"/>
              <w:rPr>
                <w:b/>
                <w:noProof/>
                <w:sz w:val="20"/>
              </w:rPr>
            </w:pPr>
            <w:r>
              <w:rPr>
                <w:b/>
                <w:noProof/>
                <w:sz w:val="20"/>
              </w:rPr>
              <w:t>0,224</w:t>
            </w:r>
          </w:p>
        </w:tc>
        <w:tc>
          <w:tcPr>
            <w:tcW w:w="1800" w:type="dxa"/>
            <w:vAlign w:val="center"/>
          </w:tcPr>
          <w:p w:rsidR="00A93FE6" w:rsidRDefault="008C548F">
            <w:pPr>
              <w:spacing w:before="20" w:after="20"/>
              <w:jc w:val="right"/>
              <w:rPr>
                <w:b/>
                <w:noProof/>
                <w:sz w:val="20"/>
              </w:rPr>
            </w:pPr>
            <w:r>
              <w:rPr>
                <w:b/>
                <w:noProof/>
                <w:sz w:val="20"/>
              </w:rPr>
              <w:t>0,224</w:t>
            </w:r>
          </w:p>
        </w:tc>
        <w:tc>
          <w:tcPr>
            <w:tcW w:w="1680" w:type="dxa"/>
            <w:vAlign w:val="center"/>
          </w:tcPr>
          <w:p w:rsidR="00A93FE6" w:rsidRDefault="008C548F">
            <w:pPr>
              <w:spacing w:before="20" w:after="20"/>
              <w:jc w:val="right"/>
              <w:rPr>
                <w:b/>
                <w:noProof/>
                <w:sz w:val="20"/>
              </w:rPr>
            </w:pPr>
            <w:r>
              <w:rPr>
                <w:b/>
                <w:noProof/>
                <w:sz w:val="20"/>
              </w:rPr>
              <w:t>0,214</w:t>
            </w:r>
          </w:p>
        </w:tc>
        <w:tc>
          <w:tcPr>
            <w:tcW w:w="1560" w:type="dxa"/>
            <w:vAlign w:val="center"/>
          </w:tcPr>
          <w:p w:rsidR="00A93FE6" w:rsidRDefault="008C548F">
            <w:pPr>
              <w:spacing w:before="20" w:after="20"/>
              <w:jc w:val="right"/>
              <w:rPr>
                <w:b/>
                <w:noProof/>
                <w:sz w:val="20"/>
              </w:rPr>
            </w:pPr>
            <w:r>
              <w:rPr>
                <w:b/>
                <w:noProof/>
                <w:sz w:val="20"/>
              </w:rPr>
              <w:t>0,214</w:t>
            </w:r>
          </w:p>
        </w:tc>
        <w:tc>
          <w:tcPr>
            <w:tcW w:w="1560" w:type="dxa"/>
            <w:vAlign w:val="center"/>
          </w:tcPr>
          <w:p w:rsidR="00A93FE6" w:rsidRDefault="008C548F">
            <w:pPr>
              <w:spacing w:before="20" w:after="20"/>
              <w:jc w:val="right"/>
              <w:rPr>
                <w:b/>
                <w:noProof/>
                <w:sz w:val="20"/>
              </w:rPr>
            </w:pPr>
            <w:r>
              <w:rPr>
                <w:b/>
                <w:noProof/>
                <w:sz w:val="20"/>
              </w:rPr>
              <w:t>0,876</w:t>
            </w:r>
          </w:p>
        </w:tc>
      </w:tr>
    </w:tbl>
    <w:p w:rsidR="00A93FE6" w:rsidRDefault="008C548F">
      <w:pPr>
        <w:jc w:val="right"/>
        <w:rPr>
          <w:noProof/>
          <w:sz w:val="20"/>
        </w:rPr>
      </w:pPr>
      <w:r>
        <w:rPr>
          <w:noProof/>
          <w:sz w:val="20"/>
        </w:rPr>
        <w:t>in 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A93FE6">
        <w:tc>
          <w:tcPr>
            <w:tcW w:w="3960" w:type="dxa"/>
            <w:tcBorders>
              <w:top w:val="nil"/>
              <w:left w:val="nil"/>
              <w:right w:val="nil"/>
            </w:tcBorders>
            <w:vAlign w:val="center"/>
          </w:tcPr>
          <w:p w:rsidR="00A93FE6" w:rsidRDefault="00A93FE6">
            <w:pPr>
              <w:jc w:val="center"/>
              <w:rPr>
                <w:noProof/>
              </w:rPr>
            </w:pPr>
          </w:p>
        </w:tc>
        <w:tc>
          <w:tcPr>
            <w:tcW w:w="1560" w:type="dxa"/>
            <w:tcBorders>
              <w:top w:val="nil"/>
              <w:left w:val="nil"/>
              <w:right w:val="nil"/>
            </w:tcBorders>
          </w:tcPr>
          <w:p w:rsidR="00A93FE6" w:rsidRDefault="00A93FE6">
            <w:pPr>
              <w:rPr>
                <w:noProof/>
                <w:sz w:val="20"/>
              </w:rPr>
            </w:pPr>
          </w:p>
        </w:tc>
        <w:tc>
          <w:tcPr>
            <w:tcW w:w="480" w:type="dxa"/>
            <w:tcBorders>
              <w:top w:val="nil"/>
              <w:left w:val="nil"/>
            </w:tcBorders>
          </w:tcPr>
          <w:p w:rsidR="00A93FE6" w:rsidRDefault="00A93FE6">
            <w:pPr>
              <w:jc w:val="center"/>
              <w:rPr>
                <w:noProof/>
                <w:sz w:val="20"/>
              </w:rPr>
            </w:pPr>
          </w:p>
        </w:tc>
        <w:tc>
          <w:tcPr>
            <w:tcW w:w="1560" w:type="dxa"/>
            <w:vAlign w:val="center"/>
          </w:tcPr>
          <w:p w:rsidR="00A93FE6" w:rsidRDefault="008C548F">
            <w:pPr>
              <w:jc w:val="center"/>
              <w:rPr>
                <w:noProof/>
                <w:sz w:val="20"/>
              </w:rPr>
            </w:pPr>
            <w:r>
              <w:rPr>
                <w:b/>
                <w:noProof/>
                <w:sz w:val="20"/>
              </w:rPr>
              <w:t>2017</w:t>
            </w:r>
          </w:p>
        </w:tc>
        <w:tc>
          <w:tcPr>
            <w:tcW w:w="1800" w:type="dxa"/>
            <w:vAlign w:val="center"/>
          </w:tcPr>
          <w:p w:rsidR="00A93FE6" w:rsidRDefault="008C548F">
            <w:pPr>
              <w:jc w:val="center"/>
              <w:rPr>
                <w:noProof/>
                <w:sz w:val="20"/>
              </w:rPr>
            </w:pPr>
            <w:r>
              <w:rPr>
                <w:b/>
                <w:noProof/>
                <w:sz w:val="20"/>
              </w:rPr>
              <w:t>2018</w:t>
            </w:r>
          </w:p>
        </w:tc>
        <w:tc>
          <w:tcPr>
            <w:tcW w:w="1680" w:type="dxa"/>
            <w:vAlign w:val="center"/>
          </w:tcPr>
          <w:p w:rsidR="00A93FE6" w:rsidRDefault="008C548F">
            <w:pPr>
              <w:jc w:val="center"/>
              <w:rPr>
                <w:noProof/>
                <w:sz w:val="20"/>
              </w:rPr>
            </w:pPr>
            <w:r>
              <w:rPr>
                <w:b/>
                <w:noProof/>
                <w:sz w:val="20"/>
              </w:rPr>
              <w:t>2019</w:t>
            </w:r>
          </w:p>
        </w:tc>
        <w:tc>
          <w:tcPr>
            <w:tcW w:w="1560" w:type="dxa"/>
            <w:vAlign w:val="center"/>
          </w:tcPr>
          <w:p w:rsidR="00A93FE6" w:rsidRDefault="008C548F">
            <w:pPr>
              <w:jc w:val="center"/>
              <w:rPr>
                <w:noProof/>
                <w:sz w:val="20"/>
              </w:rPr>
            </w:pPr>
            <w:r>
              <w:rPr>
                <w:b/>
                <w:noProof/>
                <w:sz w:val="20"/>
              </w:rPr>
              <w:t>2020</w:t>
            </w:r>
          </w:p>
        </w:tc>
        <w:tc>
          <w:tcPr>
            <w:tcW w:w="1560" w:type="dxa"/>
            <w:vAlign w:val="center"/>
          </w:tcPr>
          <w:p w:rsidR="00A93FE6" w:rsidRDefault="008C548F">
            <w:pPr>
              <w:jc w:val="center"/>
              <w:rPr>
                <w:b/>
                <w:noProof/>
                <w:sz w:val="20"/>
              </w:rPr>
            </w:pPr>
            <w:r>
              <w:rPr>
                <w:b/>
                <w:noProof/>
                <w:sz w:val="20"/>
              </w:rPr>
              <w:t>TOTAAL</w:t>
            </w:r>
          </w:p>
        </w:tc>
      </w:tr>
      <w:tr w:rsidR="00A93FE6">
        <w:tc>
          <w:tcPr>
            <w:tcW w:w="3960" w:type="dxa"/>
            <w:vMerge w:val="restart"/>
            <w:shd w:val="clear" w:color="auto" w:fill="C0C0C0"/>
            <w:vAlign w:val="center"/>
          </w:tcPr>
          <w:p w:rsidR="00A93FE6" w:rsidRDefault="008C548F">
            <w:pPr>
              <w:jc w:val="center"/>
              <w:rPr>
                <w:b/>
                <w:noProof/>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40" w:type="dxa"/>
            <w:gridSpan w:val="2"/>
            <w:vAlign w:val="center"/>
          </w:tcPr>
          <w:p w:rsidR="00A93FE6" w:rsidRDefault="008C548F">
            <w:pPr>
              <w:rPr>
                <w:noProof/>
                <w:sz w:val="14"/>
              </w:rPr>
            </w:pPr>
            <w:r>
              <w:rPr>
                <w:noProof/>
                <w:sz w:val="18"/>
              </w:rPr>
              <w:t>Vastleggingen</w:t>
            </w:r>
          </w:p>
        </w:tc>
        <w:tc>
          <w:tcPr>
            <w:tcW w:w="1560" w:type="dxa"/>
            <w:vAlign w:val="bottom"/>
          </w:tcPr>
          <w:p w:rsidR="00A93FE6" w:rsidRDefault="008C548F">
            <w:pPr>
              <w:spacing w:before="60" w:after="60"/>
              <w:jc w:val="right"/>
              <w:rPr>
                <w:b/>
                <w:noProof/>
                <w:sz w:val="20"/>
              </w:rPr>
            </w:pPr>
            <w:r>
              <w:rPr>
                <w:b/>
                <w:noProof/>
                <w:color w:val="000000"/>
                <w:sz w:val="20"/>
              </w:rPr>
              <w:t>20,224</w:t>
            </w:r>
          </w:p>
        </w:tc>
        <w:tc>
          <w:tcPr>
            <w:tcW w:w="1800" w:type="dxa"/>
            <w:vAlign w:val="bottom"/>
          </w:tcPr>
          <w:p w:rsidR="00A93FE6" w:rsidRDefault="008C548F">
            <w:pPr>
              <w:spacing w:before="60" w:after="60"/>
              <w:jc w:val="right"/>
              <w:rPr>
                <w:b/>
                <w:noProof/>
                <w:sz w:val="20"/>
              </w:rPr>
            </w:pPr>
            <w:r>
              <w:rPr>
                <w:b/>
                <w:noProof/>
                <w:color w:val="000000"/>
                <w:sz w:val="20"/>
              </w:rPr>
              <w:t>50,224</w:t>
            </w:r>
          </w:p>
        </w:tc>
        <w:tc>
          <w:tcPr>
            <w:tcW w:w="1680" w:type="dxa"/>
            <w:vAlign w:val="bottom"/>
          </w:tcPr>
          <w:p w:rsidR="00A93FE6" w:rsidRDefault="008C548F">
            <w:pPr>
              <w:spacing w:before="60" w:after="60"/>
              <w:jc w:val="right"/>
              <w:rPr>
                <w:b/>
                <w:noProof/>
                <w:sz w:val="20"/>
              </w:rPr>
            </w:pPr>
            <w:r>
              <w:rPr>
                <w:b/>
                <w:noProof/>
                <w:color w:val="000000"/>
                <w:sz w:val="20"/>
              </w:rPr>
              <w:t>49,864</w:t>
            </w:r>
          </w:p>
        </w:tc>
        <w:tc>
          <w:tcPr>
            <w:tcW w:w="1560" w:type="dxa"/>
            <w:vAlign w:val="bottom"/>
          </w:tcPr>
          <w:p w:rsidR="00A93FE6" w:rsidRDefault="008C548F">
            <w:pPr>
              <w:spacing w:before="60" w:after="60"/>
              <w:jc w:val="right"/>
              <w:rPr>
                <w:b/>
                <w:noProof/>
                <w:sz w:val="20"/>
              </w:rPr>
            </w:pPr>
            <w:r>
              <w:rPr>
                <w:b/>
                <w:noProof/>
                <w:color w:val="000000"/>
                <w:sz w:val="20"/>
              </w:rPr>
              <w:t>0,564</w:t>
            </w:r>
          </w:p>
        </w:tc>
        <w:tc>
          <w:tcPr>
            <w:tcW w:w="1560" w:type="dxa"/>
            <w:vAlign w:val="bottom"/>
          </w:tcPr>
          <w:p w:rsidR="00A93FE6" w:rsidRDefault="008C548F">
            <w:pPr>
              <w:spacing w:before="60" w:after="60"/>
              <w:jc w:val="right"/>
              <w:rPr>
                <w:b/>
                <w:noProof/>
                <w:sz w:val="20"/>
              </w:rPr>
            </w:pPr>
            <w:r>
              <w:rPr>
                <w:b/>
                <w:noProof/>
                <w:color w:val="000000"/>
                <w:sz w:val="20"/>
              </w:rPr>
              <w:t>120,876</w:t>
            </w:r>
          </w:p>
        </w:tc>
      </w:tr>
      <w:tr w:rsidR="00A93FE6">
        <w:tc>
          <w:tcPr>
            <w:tcW w:w="3960" w:type="dxa"/>
            <w:vMerge/>
            <w:shd w:val="clear" w:color="auto" w:fill="C0C0C0"/>
          </w:tcPr>
          <w:p w:rsidR="00A93FE6" w:rsidRDefault="00A93FE6">
            <w:pPr>
              <w:rPr>
                <w:noProof/>
                <w:sz w:val="20"/>
              </w:rPr>
            </w:pPr>
          </w:p>
        </w:tc>
        <w:tc>
          <w:tcPr>
            <w:tcW w:w="2040" w:type="dxa"/>
            <w:gridSpan w:val="2"/>
            <w:vAlign w:val="center"/>
          </w:tcPr>
          <w:p w:rsidR="00A93FE6" w:rsidRDefault="008C548F">
            <w:pPr>
              <w:rPr>
                <w:noProof/>
                <w:sz w:val="14"/>
              </w:rPr>
            </w:pPr>
            <w:r>
              <w:rPr>
                <w:noProof/>
                <w:sz w:val="18"/>
              </w:rPr>
              <w:t>Betalingen</w:t>
            </w:r>
          </w:p>
        </w:tc>
        <w:tc>
          <w:tcPr>
            <w:tcW w:w="1560" w:type="dxa"/>
            <w:vAlign w:val="bottom"/>
          </w:tcPr>
          <w:p w:rsidR="00A93FE6" w:rsidRDefault="008C548F">
            <w:pPr>
              <w:spacing w:before="60" w:after="60"/>
              <w:jc w:val="right"/>
              <w:rPr>
                <w:b/>
                <w:noProof/>
                <w:sz w:val="20"/>
              </w:rPr>
            </w:pPr>
            <w:r>
              <w:rPr>
                <w:b/>
                <w:noProof/>
                <w:color w:val="000000"/>
                <w:sz w:val="20"/>
              </w:rPr>
              <w:t>0,894</w:t>
            </w:r>
          </w:p>
        </w:tc>
        <w:tc>
          <w:tcPr>
            <w:tcW w:w="1800" w:type="dxa"/>
            <w:vAlign w:val="bottom"/>
          </w:tcPr>
          <w:p w:rsidR="00A93FE6" w:rsidRDefault="008C548F">
            <w:pPr>
              <w:spacing w:before="60" w:after="60"/>
              <w:jc w:val="right"/>
              <w:rPr>
                <w:b/>
                <w:noProof/>
                <w:sz w:val="20"/>
              </w:rPr>
            </w:pPr>
            <w:r>
              <w:rPr>
                <w:b/>
                <w:noProof/>
                <w:color w:val="000000"/>
                <w:sz w:val="20"/>
              </w:rPr>
              <w:t>44,749</w:t>
            </w:r>
          </w:p>
        </w:tc>
        <w:tc>
          <w:tcPr>
            <w:tcW w:w="1680" w:type="dxa"/>
            <w:vAlign w:val="bottom"/>
          </w:tcPr>
          <w:p w:rsidR="00A93FE6" w:rsidRDefault="008C548F">
            <w:pPr>
              <w:spacing w:before="60" w:after="60"/>
              <w:jc w:val="right"/>
              <w:rPr>
                <w:b/>
                <w:noProof/>
                <w:sz w:val="20"/>
              </w:rPr>
            </w:pPr>
            <w:r>
              <w:rPr>
                <w:b/>
                <w:noProof/>
                <w:color w:val="000000"/>
                <w:sz w:val="20"/>
              </w:rPr>
              <w:t>50,039</w:t>
            </w:r>
          </w:p>
        </w:tc>
        <w:tc>
          <w:tcPr>
            <w:tcW w:w="1560" w:type="dxa"/>
            <w:vAlign w:val="bottom"/>
          </w:tcPr>
          <w:p w:rsidR="00A93FE6" w:rsidRDefault="008C548F">
            <w:pPr>
              <w:spacing w:before="60" w:after="60"/>
              <w:jc w:val="right"/>
              <w:rPr>
                <w:b/>
                <w:noProof/>
                <w:sz w:val="20"/>
              </w:rPr>
            </w:pPr>
            <w:r>
              <w:rPr>
                <w:b/>
                <w:noProof/>
                <w:color w:val="000000"/>
                <w:sz w:val="20"/>
              </w:rPr>
              <w:t>25,194</w:t>
            </w:r>
          </w:p>
        </w:tc>
        <w:tc>
          <w:tcPr>
            <w:tcW w:w="1560" w:type="dxa"/>
            <w:vAlign w:val="bottom"/>
          </w:tcPr>
          <w:p w:rsidR="00A93FE6" w:rsidRDefault="008C548F">
            <w:pPr>
              <w:spacing w:before="60" w:after="60"/>
              <w:jc w:val="right"/>
              <w:rPr>
                <w:b/>
                <w:noProof/>
                <w:sz w:val="20"/>
              </w:rPr>
            </w:pPr>
            <w:r>
              <w:rPr>
                <w:b/>
                <w:noProof/>
                <w:color w:val="000000"/>
                <w:sz w:val="20"/>
              </w:rPr>
              <w:t>120,876</w:t>
            </w:r>
          </w:p>
        </w:tc>
      </w:tr>
    </w:tbl>
    <w:p w:rsidR="00A93FE6" w:rsidRDefault="00A93FE6">
      <w:pPr>
        <w:rPr>
          <w:noProof/>
        </w:rPr>
        <w:sectPr w:rsidR="00A93FE6" w:rsidSect="008C548F">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A93FE6" w:rsidRDefault="008C548F">
      <w:pPr>
        <w:pStyle w:val="ManualHeading3"/>
        <w:rPr>
          <w:bCs/>
          <w:noProof/>
          <w:szCs w:val="24"/>
        </w:rPr>
      </w:pPr>
      <w:r>
        <w:t>3.2.2.</w:t>
      </w:r>
      <w:r>
        <w:tab/>
      </w:r>
      <w:r>
        <w:rPr>
          <w:noProof/>
        </w:rPr>
        <w:t xml:space="preserve">Geraamde gevolgen voor de beleidskredieten </w:t>
      </w:r>
    </w:p>
    <w:p w:rsidR="00A93FE6" w:rsidRDefault="008C548F">
      <w:pPr>
        <w:pStyle w:val="ListDash1"/>
        <w:rPr>
          <w:noProof/>
        </w:rPr>
      </w:pPr>
      <w:r>
        <w:rPr>
          <w:noProof/>
          <w:szCs w:val="24"/>
        </w:rPr>
        <w:sym w:font="Wingdings" w:char="F0A8"/>
      </w:r>
      <w:r>
        <w:rPr>
          <w:noProof/>
        </w:rPr>
        <w:tab/>
      </w:r>
      <w:r>
        <w:rPr>
          <w:noProof/>
          <w:szCs w:val="24"/>
        </w:rPr>
        <w:sym w:font="Wingdings" w:char="F0A8"/>
      </w:r>
      <w:r>
        <w:rPr>
          <w:noProof/>
        </w:rPr>
        <w:t xml:space="preserve">Voor het voorstel/initiatief zijn geen beleidskredieten nodig </w:t>
      </w:r>
    </w:p>
    <w:p w:rsidR="00A93FE6" w:rsidRDefault="008C548F">
      <w:pPr>
        <w:pStyle w:val="ListDash1"/>
        <w:rPr>
          <w:noProof/>
        </w:rPr>
      </w:pPr>
      <w:r>
        <w:rPr>
          <w:noProof/>
        </w:rPr>
        <w:t>x</w:t>
      </w:r>
      <w:r>
        <w:rPr>
          <w:noProof/>
        </w:rPr>
        <w:tab/>
        <w:t>Voor het voorstel/initiatief zijn beleidskredieten nodig, zoals hieronder nader wordt beschreven:</w:t>
      </w:r>
    </w:p>
    <w:p w:rsidR="00A93FE6" w:rsidRDefault="008C548F">
      <w:pPr>
        <w:jc w:val="right"/>
        <w:rPr>
          <w:noProof/>
          <w:sz w:val="20"/>
        </w:rPr>
      </w:pPr>
      <w:r>
        <w:rPr>
          <w:noProof/>
          <w:sz w:val="20"/>
        </w:rPr>
        <w:t>Vastleggingskredieten, in miljoen EUR (tot op drie decimalen)</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A93FE6">
        <w:tc>
          <w:tcPr>
            <w:tcW w:w="1423" w:type="dxa"/>
            <w:vMerge w:val="restart"/>
            <w:vAlign w:val="center"/>
          </w:tcPr>
          <w:p w:rsidR="00A93FE6" w:rsidRDefault="008C548F">
            <w:pPr>
              <w:ind w:right="-29"/>
              <w:jc w:val="center"/>
              <w:rPr>
                <w:b/>
                <w:noProof/>
                <w:sz w:val="18"/>
                <w:szCs w:val="18"/>
              </w:rPr>
            </w:pPr>
            <w:r>
              <w:rPr>
                <w:b/>
                <w:noProof/>
                <w:sz w:val="18"/>
              </w:rPr>
              <w:t>Vermeld doelstellingen en outpu</w:t>
            </w:r>
            <w:r>
              <w:rPr>
                <w:b/>
                <w:noProof/>
                <w:sz w:val="18"/>
              </w:rPr>
              <w:t xml:space="preserve">ts </w:t>
            </w:r>
          </w:p>
          <w:p w:rsidR="00A93FE6" w:rsidRDefault="00A93FE6">
            <w:pPr>
              <w:ind w:right="-29"/>
              <w:jc w:val="center"/>
              <w:rPr>
                <w:b/>
                <w:noProof/>
                <w:sz w:val="18"/>
                <w:szCs w:val="18"/>
              </w:rPr>
            </w:pPr>
          </w:p>
          <w:p w:rsidR="00A93FE6" w:rsidRDefault="008C548F">
            <w:pPr>
              <w:ind w:right="-29"/>
              <w:jc w:val="center"/>
              <w:rPr>
                <w:noProof/>
                <w:sz w:val="18"/>
                <w:szCs w:val="18"/>
              </w:rPr>
            </w:pPr>
            <w:r>
              <w:rPr>
                <w:noProof/>
                <w:sz w:val="18"/>
                <w:szCs w:val="18"/>
              </w:rPr>
              <w:sym w:font="Wingdings" w:char="F0F2"/>
            </w:r>
          </w:p>
        </w:tc>
        <w:tc>
          <w:tcPr>
            <w:tcW w:w="720" w:type="dxa"/>
            <w:vAlign w:val="center"/>
          </w:tcPr>
          <w:p w:rsidR="00A93FE6" w:rsidRDefault="00A93FE6">
            <w:pPr>
              <w:ind w:right="-29"/>
              <w:jc w:val="center"/>
              <w:rPr>
                <w:noProof/>
                <w:sz w:val="18"/>
                <w:szCs w:val="18"/>
              </w:rPr>
            </w:pPr>
          </w:p>
        </w:tc>
        <w:tc>
          <w:tcPr>
            <w:tcW w:w="1325" w:type="dxa"/>
            <w:vAlign w:val="center"/>
          </w:tcPr>
          <w:p w:rsidR="00A93FE6" w:rsidRDefault="00A93FE6">
            <w:pPr>
              <w:ind w:right="-29"/>
              <w:jc w:val="center"/>
              <w:rPr>
                <w:noProof/>
                <w:sz w:val="18"/>
                <w:szCs w:val="18"/>
              </w:rPr>
            </w:pPr>
          </w:p>
        </w:tc>
        <w:tc>
          <w:tcPr>
            <w:tcW w:w="2040" w:type="dxa"/>
            <w:gridSpan w:val="2"/>
            <w:vAlign w:val="center"/>
          </w:tcPr>
          <w:p w:rsidR="00A93FE6" w:rsidRDefault="008C548F">
            <w:pPr>
              <w:ind w:right="-29"/>
              <w:jc w:val="center"/>
              <w:rPr>
                <w:noProof/>
                <w:sz w:val="18"/>
                <w:szCs w:val="18"/>
              </w:rPr>
            </w:pPr>
            <w:r>
              <w:rPr>
                <w:b/>
                <w:noProof/>
                <w:sz w:val="20"/>
              </w:rPr>
              <w:t>2017</w:t>
            </w:r>
          </w:p>
        </w:tc>
        <w:tc>
          <w:tcPr>
            <w:tcW w:w="2160" w:type="dxa"/>
            <w:gridSpan w:val="2"/>
            <w:vAlign w:val="center"/>
          </w:tcPr>
          <w:p w:rsidR="00A93FE6" w:rsidRDefault="008C548F">
            <w:pPr>
              <w:ind w:right="-29"/>
              <w:jc w:val="center"/>
              <w:rPr>
                <w:noProof/>
                <w:sz w:val="18"/>
                <w:szCs w:val="18"/>
              </w:rPr>
            </w:pPr>
            <w:r>
              <w:rPr>
                <w:b/>
                <w:noProof/>
                <w:sz w:val="20"/>
              </w:rPr>
              <w:t>2018</w:t>
            </w:r>
          </w:p>
        </w:tc>
        <w:tc>
          <w:tcPr>
            <w:tcW w:w="2160" w:type="dxa"/>
            <w:gridSpan w:val="2"/>
            <w:vAlign w:val="center"/>
          </w:tcPr>
          <w:p w:rsidR="00A93FE6" w:rsidRDefault="008C548F">
            <w:pPr>
              <w:ind w:right="-29"/>
              <w:jc w:val="center"/>
              <w:rPr>
                <w:noProof/>
                <w:sz w:val="18"/>
                <w:szCs w:val="18"/>
              </w:rPr>
            </w:pPr>
            <w:r>
              <w:rPr>
                <w:b/>
                <w:noProof/>
                <w:sz w:val="20"/>
              </w:rPr>
              <w:t>2019</w:t>
            </w:r>
          </w:p>
        </w:tc>
        <w:tc>
          <w:tcPr>
            <w:tcW w:w="1800" w:type="dxa"/>
            <w:gridSpan w:val="2"/>
            <w:vAlign w:val="center"/>
          </w:tcPr>
          <w:p w:rsidR="00A93FE6" w:rsidRDefault="008C548F">
            <w:pPr>
              <w:ind w:right="-29"/>
              <w:jc w:val="center"/>
              <w:rPr>
                <w:noProof/>
                <w:sz w:val="18"/>
                <w:szCs w:val="18"/>
              </w:rPr>
            </w:pPr>
            <w:r>
              <w:rPr>
                <w:b/>
                <w:noProof/>
                <w:sz w:val="20"/>
              </w:rPr>
              <w:t>2020</w:t>
            </w:r>
          </w:p>
        </w:tc>
        <w:tc>
          <w:tcPr>
            <w:tcW w:w="2280" w:type="dxa"/>
            <w:gridSpan w:val="2"/>
            <w:vAlign w:val="center"/>
          </w:tcPr>
          <w:p w:rsidR="00A93FE6" w:rsidRDefault="008C548F">
            <w:pPr>
              <w:ind w:right="-29"/>
              <w:jc w:val="center"/>
              <w:rPr>
                <w:noProof/>
                <w:sz w:val="18"/>
                <w:szCs w:val="18"/>
              </w:rPr>
            </w:pPr>
            <w:r>
              <w:rPr>
                <w:b/>
                <w:noProof/>
                <w:sz w:val="18"/>
              </w:rPr>
              <w:t>TOTAAL</w:t>
            </w:r>
          </w:p>
        </w:tc>
      </w:tr>
      <w:tr w:rsidR="00A93FE6">
        <w:tc>
          <w:tcPr>
            <w:tcW w:w="1423" w:type="dxa"/>
            <w:vMerge/>
            <w:vAlign w:val="center"/>
          </w:tcPr>
          <w:p w:rsidR="00A93FE6" w:rsidRDefault="00A93FE6">
            <w:pPr>
              <w:ind w:right="-29"/>
              <w:jc w:val="center"/>
              <w:rPr>
                <w:noProof/>
                <w:sz w:val="18"/>
                <w:szCs w:val="18"/>
              </w:rPr>
            </w:pPr>
          </w:p>
        </w:tc>
        <w:tc>
          <w:tcPr>
            <w:tcW w:w="12485" w:type="dxa"/>
            <w:gridSpan w:val="12"/>
            <w:vAlign w:val="center"/>
          </w:tcPr>
          <w:p w:rsidR="00A93FE6" w:rsidRDefault="008C548F">
            <w:pPr>
              <w:spacing w:before="60" w:after="60"/>
              <w:ind w:right="-29"/>
              <w:jc w:val="center"/>
              <w:rPr>
                <w:noProof/>
                <w:sz w:val="18"/>
                <w:szCs w:val="18"/>
              </w:rPr>
            </w:pPr>
            <w:r>
              <w:rPr>
                <w:b/>
                <w:noProof/>
                <w:sz w:val="18"/>
              </w:rPr>
              <w:t>OUTPUTS</w:t>
            </w:r>
          </w:p>
        </w:tc>
      </w:tr>
      <w:tr w:rsidR="00A93FE6">
        <w:trPr>
          <w:trHeight w:val="1134"/>
        </w:trPr>
        <w:tc>
          <w:tcPr>
            <w:tcW w:w="1423" w:type="dxa"/>
            <w:vMerge/>
          </w:tcPr>
          <w:p w:rsidR="00A93FE6" w:rsidRDefault="00A93FE6">
            <w:pPr>
              <w:rPr>
                <w:noProof/>
                <w:sz w:val="18"/>
                <w:szCs w:val="18"/>
              </w:rPr>
            </w:pPr>
          </w:p>
        </w:tc>
        <w:tc>
          <w:tcPr>
            <w:tcW w:w="720" w:type="dxa"/>
          </w:tcPr>
          <w:p w:rsidR="00A93FE6" w:rsidRDefault="008C548F">
            <w:pPr>
              <w:jc w:val="center"/>
              <w:rPr>
                <w:noProof/>
                <w:sz w:val="18"/>
                <w:szCs w:val="18"/>
              </w:rPr>
            </w:pPr>
            <w:r>
              <w:rPr>
                <w:noProof/>
                <w:sz w:val="18"/>
              </w:rPr>
              <w:t>Soort</w:t>
            </w:r>
            <w:r>
              <w:rPr>
                <w:rStyle w:val="FootnoteReference"/>
                <w:noProof/>
                <w:sz w:val="18"/>
              </w:rPr>
              <w:footnoteReference w:id="23"/>
            </w:r>
          </w:p>
          <w:p w:rsidR="00A93FE6" w:rsidRDefault="00A93FE6">
            <w:pPr>
              <w:spacing w:before="0" w:after="0"/>
              <w:jc w:val="center"/>
              <w:rPr>
                <w:noProof/>
                <w:sz w:val="18"/>
                <w:szCs w:val="18"/>
              </w:rPr>
            </w:pPr>
          </w:p>
        </w:tc>
        <w:tc>
          <w:tcPr>
            <w:tcW w:w="1325" w:type="dxa"/>
          </w:tcPr>
          <w:p w:rsidR="00A93FE6" w:rsidRDefault="008C548F">
            <w:pPr>
              <w:jc w:val="center"/>
              <w:rPr>
                <w:noProof/>
                <w:sz w:val="18"/>
                <w:szCs w:val="18"/>
              </w:rPr>
            </w:pPr>
            <w:r>
              <w:rPr>
                <w:noProof/>
                <w:sz w:val="18"/>
              </w:rPr>
              <w:t>Gem. kosten</w:t>
            </w:r>
          </w:p>
        </w:tc>
        <w:tc>
          <w:tcPr>
            <w:tcW w:w="960" w:type="dxa"/>
            <w:textDirection w:val="btLr"/>
          </w:tcPr>
          <w:p w:rsidR="00A93FE6" w:rsidRDefault="008C548F">
            <w:pPr>
              <w:ind w:left="113" w:right="113"/>
              <w:jc w:val="center"/>
              <w:rPr>
                <w:noProof/>
                <w:sz w:val="18"/>
                <w:szCs w:val="18"/>
              </w:rPr>
            </w:pPr>
            <w:r>
              <w:rPr>
                <w:noProof/>
                <w:sz w:val="18"/>
              </w:rPr>
              <w:t>Aantal</w:t>
            </w:r>
          </w:p>
        </w:tc>
        <w:tc>
          <w:tcPr>
            <w:tcW w:w="1080" w:type="dxa"/>
          </w:tcPr>
          <w:p w:rsidR="00A93FE6" w:rsidRDefault="008C548F">
            <w:pPr>
              <w:jc w:val="center"/>
              <w:rPr>
                <w:noProof/>
                <w:sz w:val="18"/>
                <w:szCs w:val="18"/>
              </w:rPr>
            </w:pPr>
            <w:r>
              <w:rPr>
                <w:noProof/>
                <w:sz w:val="18"/>
              </w:rPr>
              <w:t>Kosten</w:t>
            </w:r>
          </w:p>
        </w:tc>
        <w:tc>
          <w:tcPr>
            <w:tcW w:w="960" w:type="dxa"/>
            <w:textDirection w:val="btLr"/>
          </w:tcPr>
          <w:p w:rsidR="00A93FE6" w:rsidRDefault="008C548F">
            <w:pPr>
              <w:ind w:left="113" w:right="113"/>
              <w:jc w:val="center"/>
              <w:rPr>
                <w:noProof/>
                <w:sz w:val="18"/>
                <w:szCs w:val="18"/>
              </w:rPr>
            </w:pPr>
            <w:r>
              <w:rPr>
                <w:noProof/>
                <w:sz w:val="18"/>
              </w:rPr>
              <w:t>Aantal</w:t>
            </w:r>
          </w:p>
        </w:tc>
        <w:tc>
          <w:tcPr>
            <w:tcW w:w="1200" w:type="dxa"/>
          </w:tcPr>
          <w:p w:rsidR="00A93FE6" w:rsidRDefault="008C548F">
            <w:pPr>
              <w:jc w:val="center"/>
              <w:rPr>
                <w:noProof/>
                <w:sz w:val="18"/>
                <w:szCs w:val="18"/>
              </w:rPr>
            </w:pPr>
            <w:r>
              <w:rPr>
                <w:noProof/>
                <w:sz w:val="18"/>
              </w:rPr>
              <w:t>Kosten</w:t>
            </w:r>
          </w:p>
        </w:tc>
        <w:tc>
          <w:tcPr>
            <w:tcW w:w="1080" w:type="dxa"/>
            <w:textDirection w:val="btLr"/>
          </w:tcPr>
          <w:p w:rsidR="00A93FE6" w:rsidRDefault="008C548F">
            <w:pPr>
              <w:ind w:left="113" w:right="113"/>
              <w:jc w:val="center"/>
              <w:rPr>
                <w:noProof/>
                <w:sz w:val="18"/>
                <w:szCs w:val="18"/>
              </w:rPr>
            </w:pPr>
            <w:r>
              <w:rPr>
                <w:noProof/>
                <w:sz w:val="18"/>
              </w:rPr>
              <w:t>Aantal</w:t>
            </w:r>
          </w:p>
        </w:tc>
        <w:tc>
          <w:tcPr>
            <w:tcW w:w="1080" w:type="dxa"/>
          </w:tcPr>
          <w:p w:rsidR="00A93FE6" w:rsidRDefault="008C548F">
            <w:pPr>
              <w:jc w:val="center"/>
              <w:rPr>
                <w:noProof/>
                <w:sz w:val="18"/>
                <w:szCs w:val="18"/>
              </w:rPr>
            </w:pPr>
            <w:r>
              <w:rPr>
                <w:noProof/>
                <w:sz w:val="18"/>
              </w:rPr>
              <w:t>Kosten</w:t>
            </w:r>
          </w:p>
        </w:tc>
        <w:tc>
          <w:tcPr>
            <w:tcW w:w="840" w:type="dxa"/>
            <w:textDirection w:val="btLr"/>
          </w:tcPr>
          <w:p w:rsidR="00A93FE6" w:rsidRDefault="008C548F">
            <w:pPr>
              <w:ind w:left="113" w:right="113"/>
              <w:jc w:val="center"/>
              <w:rPr>
                <w:noProof/>
                <w:sz w:val="18"/>
                <w:szCs w:val="18"/>
              </w:rPr>
            </w:pPr>
            <w:r>
              <w:rPr>
                <w:noProof/>
                <w:sz w:val="18"/>
              </w:rPr>
              <w:t>Aantal</w:t>
            </w:r>
          </w:p>
        </w:tc>
        <w:tc>
          <w:tcPr>
            <w:tcW w:w="960" w:type="dxa"/>
          </w:tcPr>
          <w:p w:rsidR="00A93FE6" w:rsidRDefault="008C548F">
            <w:pPr>
              <w:jc w:val="center"/>
              <w:rPr>
                <w:noProof/>
                <w:sz w:val="18"/>
                <w:szCs w:val="18"/>
              </w:rPr>
            </w:pPr>
            <w:r>
              <w:rPr>
                <w:noProof/>
                <w:sz w:val="18"/>
              </w:rPr>
              <w:t>Kosten</w:t>
            </w:r>
          </w:p>
        </w:tc>
        <w:tc>
          <w:tcPr>
            <w:tcW w:w="1080" w:type="dxa"/>
          </w:tcPr>
          <w:p w:rsidR="00A93FE6" w:rsidRDefault="008C548F">
            <w:pPr>
              <w:jc w:val="center"/>
              <w:rPr>
                <w:noProof/>
                <w:sz w:val="18"/>
                <w:szCs w:val="18"/>
              </w:rPr>
            </w:pPr>
            <w:r>
              <w:rPr>
                <w:noProof/>
                <w:sz w:val="18"/>
              </w:rPr>
              <w:t>Totaal aantal</w:t>
            </w:r>
          </w:p>
        </w:tc>
        <w:tc>
          <w:tcPr>
            <w:tcW w:w="1200" w:type="dxa"/>
          </w:tcPr>
          <w:p w:rsidR="00A93FE6" w:rsidRDefault="008C548F">
            <w:pPr>
              <w:jc w:val="center"/>
              <w:rPr>
                <w:noProof/>
                <w:sz w:val="18"/>
                <w:szCs w:val="18"/>
              </w:rPr>
            </w:pPr>
            <w:r>
              <w:rPr>
                <w:noProof/>
                <w:sz w:val="18"/>
              </w:rPr>
              <w:t>Totale kosten</w:t>
            </w:r>
          </w:p>
        </w:tc>
      </w:tr>
      <w:tr w:rsidR="00A93FE6">
        <w:tc>
          <w:tcPr>
            <w:tcW w:w="3468" w:type="dxa"/>
            <w:gridSpan w:val="3"/>
          </w:tcPr>
          <w:p w:rsidR="00A93FE6" w:rsidRDefault="008C548F">
            <w:pPr>
              <w:spacing w:before="60" w:after="60"/>
              <w:ind w:right="-29"/>
              <w:jc w:val="center"/>
              <w:rPr>
                <w:noProof/>
                <w:sz w:val="18"/>
                <w:szCs w:val="18"/>
              </w:rPr>
            </w:pPr>
            <w:r>
              <w:rPr>
                <w:noProof/>
                <w:sz w:val="18"/>
              </w:rPr>
              <w:t xml:space="preserve">SPECIFIEKE DOELSTELLING </w:t>
            </w:r>
          </w:p>
        </w:tc>
        <w:tc>
          <w:tcPr>
            <w:tcW w:w="960" w:type="dxa"/>
          </w:tcPr>
          <w:p w:rsidR="00A93FE6" w:rsidRDefault="00A93FE6">
            <w:pPr>
              <w:spacing w:before="60" w:after="60"/>
              <w:ind w:right="-29"/>
              <w:jc w:val="center"/>
              <w:rPr>
                <w:noProof/>
                <w:sz w:val="18"/>
                <w:szCs w:val="18"/>
              </w:rPr>
            </w:pPr>
          </w:p>
        </w:tc>
        <w:tc>
          <w:tcPr>
            <w:tcW w:w="1080" w:type="dxa"/>
          </w:tcPr>
          <w:p w:rsidR="00A93FE6" w:rsidRDefault="00A93FE6">
            <w:pPr>
              <w:spacing w:before="60" w:after="60"/>
              <w:ind w:right="-29"/>
              <w:jc w:val="center"/>
              <w:rPr>
                <w:noProof/>
                <w:sz w:val="18"/>
                <w:szCs w:val="18"/>
              </w:rPr>
            </w:pPr>
          </w:p>
        </w:tc>
        <w:tc>
          <w:tcPr>
            <w:tcW w:w="960" w:type="dxa"/>
          </w:tcPr>
          <w:p w:rsidR="00A93FE6" w:rsidRDefault="00A93FE6">
            <w:pPr>
              <w:spacing w:before="60" w:after="60"/>
              <w:ind w:right="-29"/>
              <w:jc w:val="center"/>
              <w:rPr>
                <w:noProof/>
                <w:sz w:val="18"/>
                <w:szCs w:val="18"/>
              </w:rPr>
            </w:pPr>
          </w:p>
        </w:tc>
        <w:tc>
          <w:tcPr>
            <w:tcW w:w="1200" w:type="dxa"/>
          </w:tcPr>
          <w:p w:rsidR="00A93FE6" w:rsidRDefault="00A93FE6">
            <w:pPr>
              <w:spacing w:before="60" w:after="60"/>
              <w:ind w:right="-29"/>
              <w:jc w:val="center"/>
              <w:rPr>
                <w:noProof/>
                <w:sz w:val="18"/>
                <w:szCs w:val="18"/>
              </w:rPr>
            </w:pPr>
          </w:p>
        </w:tc>
        <w:tc>
          <w:tcPr>
            <w:tcW w:w="1080" w:type="dxa"/>
          </w:tcPr>
          <w:p w:rsidR="00A93FE6" w:rsidRDefault="00A93FE6">
            <w:pPr>
              <w:spacing w:before="60" w:after="60"/>
              <w:ind w:right="-29"/>
              <w:jc w:val="center"/>
              <w:rPr>
                <w:noProof/>
                <w:sz w:val="18"/>
                <w:szCs w:val="18"/>
              </w:rPr>
            </w:pPr>
          </w:p>
        </w:tc>
        <w:tc>
          <w:tcPr>
            <w:tcW w:w="1080" w:type="dxa"/>
          </w:tcPr>
          <w:p w:rsidR="00A93FE6" w:rsidRDefault="00A93FE6">
            <w:pPr>
              <w:spacing w:before="60" w:after="60"/>
              <w:ind w:right="-29"/>
              <w:jc w:val="center"/>
              <w:rPr>
                <w:noProof/>
                <w:sz w:val="18"/>
                <w:szCs w:val="18"/>
              </w:rPr>
            </w:pPr>
          </w:p>
        </w:tc>
        <w:tc>
          <w:tcPr>
            <w:tcW w:w="840" w:type="dxa"/>
          </w:tcPr>
          <w:p w:rsidR="00A93FE6" w:rsidRDefault="00A93FE6">
            <w:pPr>
              <w:spacing w:before="60" w:after="60"/>
              <w:ind w:right="-29"/>
              <w:jc w:val="center"/>
              <w:rPr>
                <w:noProof/>
                <w:sz w:val="18"/>
                <w:szCs w:val="18"/>
              </w:rPr>
            </w:pPr>
          </w:p>
        </w:tc>
        <w:tc>
          <w:tcPr>
            <w:tcW w:w="960" w:type="dxa"/>
          </w:tcPr>
          <w:p w:rsidR="00A93FE6" w:rsidRDefault="00A93FE6">
            <w:pPr>
              <w:spacing w:before="60" w:after="60"/>
              <w:ind w:right="-29"/>
              <w:jc w:val="center"/>
              <w:rPr>
                <w:noProof/>
                <w:sz w:val="18"/>
                <w:szCs w:val="18"/>
              </w:rPr>
            </w:pPr>
          </w:p>
        </w:tc>
        <w:tc>
          <w:tcPr>
            <w:tcW w:w="1080" w:type="dxa"/>
          </w:tcPr>
          <w:p w:rsidR="00A93FE6" w:rsidRDefault="00A93FE6">
            <w:pPr>
              <w:spacing w:before="60" w:after="60"/>
              <w:ind w:right="-29"/>
              <w:jc w:val="center"/>
              <w:rPr>
                <w:noProof/>
                <w:sz w:val="18"/>
                <w:szCs w:val="18"/>
              </w:rPr>
            </w:pPr>
          </w:p>
        </w:tc>
        <w:tc>
          <w:tcPr>
            <w:tcW w:w="1200" w:type="dxa"/>
          </w:tcPr>
          <w:p w:rsidR="00A93FE6" w:rsidRDefault="00A93FE6">
            <w:pPr>
              <w:spacing w:before="60" w:after="60"/>
              <w:ind w:right="-29"/>
              <w:jc w:val="center"/>
              <w:rPr>
                <w:noProof/>
                <w:sz w:val="18"/>
                <w:szCs w:val="18"/>
              </w:rPr>
            </w:pPr>
          </w:p>
        </w:tc>
      </w:tr>
      <w:tr w:rsidR="00A93FE6">
        <w:trPr>
          <w:trHeight w:hRule="exact" w:val="369"/>
        </w:trPr>
        <w:tc>
          <w:tcPr>
            <w:tcW w:w="3468" w:type="dxa"/>
            <w:gridSpan w:val="3"/>
          </w:tcPr>
          <w:p w:rsidR="00A93FE6" w:rsidRDefault="008C548F">
            <w:pPr>
              <w:spacing w:before="0" w:after="0"/>
              <w:ind w:right="-29"/>
              <w:jc w:val="center"/>
              <w:rPr>
                <w:noProof/>
                <w:sz w:val="18"/>
                <w:szCs w:val="18"/>
              </w:rPr>
            </w:pPr>
            <w:r>
              <w:rPr>
                <w:noProof/>
                <w:sz w:val="18"/>
              </w:rPr>
              <w:t>Toegangen</w:t>
            </w:r>
          </w:p>
        </w:tc>
        <w:tc>
          <w:tcPr>
            <w:tcW w:w="960" w:type="dxa"/>
          </w:tcPr>
          <w:p w:rsidR="00A93FE6" w:rsidRDefault="008C548F">
            <w:pPr>
              <w:spacing w:before="0" w:after="0"/>
              <w:ind w:right="-29"/>
              <w:jc w:val="center"/>
              <w:rPr>
                <w:noProof/>
                <w:sz w:val="18"/>
                <w:szCs w:val="18"/>
              </w:rPr>
            </w:pPr>
            <w:r>
              <w:rPr>
                <w:noProof/>
                <w:sz w:val="18"/>
              </w:rPr>
              <w:t>967</w:t>
            </w:r>
          </w:p>
        </w:tc>
        <w:tc>
          <w:tcPr>
            <w:tcW w:w="1080" w:type="dxa"/>
          </w:tcPr>
          <w:p w:rsidR="00A93FE6" w:rsidRDefault="008C548F">
            <w:pPr>
              <w:spacing w:before="0" w:after="0"/>
              <w:ind w:right="-29"/>
              <w:jc w:val="center"/>
              <w:rPr>
                <w:noProof/>
                <w:sz w:val="18"/>
                <w:szCs w:val="18"/>
              </w:rPr>
            </w:pPr>
            <w:r>
              <w:rPr>
                <w:noProof/>
                <w:sz w:val="18"/>
              </w:rPr>
              <w:t>0,02</w:t>
            </w:r>
          </w:p>
        </w:tc>
        <w:tc>
          <w:tcPr>
            <w:tcW w:w="960" w:type="dxa"/>
          </w:tcPr>
          <w:p w:rsidR="00A93FE6" w:rsidRDefault="008C548F">
            <w:pPr>
              <w:spacing w:before="0" w:after="0"/>
              <w:ind w:right="-29"/>
              <w:jc w:val="center"/>
              <w:rPr>
                <w:noProof/>
                <w:sz w:val="18"/>
                <w:szCs w:val="18"/>
              </w:rPr>
            </w:pPr>
            <w:r>
              <w:rPr>
                <w:noProof/>
                <w:sz w:val="18"/>
              </w:rPr>
              <w:t>2480</w:t>
            </w:r>
          </w:p>
        </w:tc>
        <w:tc>
          <w:tcPr>
            <w:tcW w:w="1200" w:type="dxa"/>
          </w:tcPr>
          <w:p w:rsidR="00A93FE6" w:rsidRDefault="008C548F">
            <w:pPr>
              <w:spacing w:before="0" w:after="0"/>
              <w:ind w:right="-29"/>
              <w:jc w:val="center"/>
              <w:rPr>
                <w:noProof/>
                <w:sz w:val="18"/>
                <w:szCs w:val="18"/>
              </w:rPr>
            </w:pPr>
            <w:r>
              <w:rPr>
                <w:noProof/>
                <w:sz w:val="18"/>
              </w:rPr>
              <w:t>0,02</w:t>
            </w:r>
          </w:p>
        </w:tc>
        <w:tc>
          <w:tcPr>
            <w:tcW w:w="1080" w:type="dxa"/>
          </w:tcPr>
          <w:p w:rsidR="00A93FE6" w:rsidRDefault="008C548F">
            <w:pPr>
              <w:spacing w:before="0" w:after="0"/>
              <w:ind w:right="-29"/>
              <w:jc w:val="center"/>
              <w:rPr>
                <w:noProof/>
                <w:sz w:val="18"/>
                <w:szCs w:val="18"/>
              </w:rPr>
            </w:pPr>
            <w:r>
              <w:rPr>
                <w:noProof/>
                <w:sz w:val="18"/>
              </w:rPr>
              <w:t>2463</w:t>
            </w:r>
          </w:p>
        </w:tc>
        <w:tc>
          <w:tcPr>
            <w:tcW w:w="1080" w:type="dxa"/>
          </w:tcPr>
          <w:p w:rsidR="00A93FE6" w:rsidRDefault="008C548F">
            <w:pPr>
              <w:spacing w:before="0" w:after="0"/>
              <w:ind w:right="-29"/>
              <w:jc w:val="center"/>
              <w:rPr>
                <w:noProof/>
                <w:sz w:val="18"/>
                <w:szCs w:val="18"/>
              </w:rPr>
            </w:pPr>
            <w:r>
              <w:rPr>
                <w:noProof/>
                <w:sz w:val="18"/>
              </w:rPr>
              <w:t>0,02</w:t>
            </w:r>
          </w:p>
        </w:tc>
        <w:tc>
          <w:tcPr>
            <w:tcW w:w="840" w:type="dxa"/>
          </w:tcPr>
          <w:p w:rsidR="00A93FE6" w:rsidRDefault="00A93FE6">
            <w:pPr>
              <w:spacing w:before="0" w:after="0"/>
              <w:ind w:right="-29"/>
              <w:jc w:val="center"/>
              <w:rPr>
                <w:noProof/>
                <w:sz w:val="18"/>
                <w:szCs w:val="18"/>
              </w:rPr>
            </w:pPr>
          </w:p>
        </w:tc>
        <w:tc>
          <w:tcPr>
            <w:tcW w:w="960" w:type="dxa"/>
          </w:tcPr>
          <w:p w:rsidR="00A93FE6" w:rsidRDefault="00A93FE6">
            <w:pPr>
              <w:spacing w:before="0" w:after="0"/>
              <w:ind w:right="-29"/>
              <w:jc w:val="center"/>
              <w:rPr>
                <w:noProof/>
                <w:sz w:val="18"/>
                <w:szCs w:val="18"/>
              </w:rPr>
            </w:pPr>
          </w:p>
        </w:tc>
        <w:tc>
          <w:tcPr>
            <w:tcW w:w="1080" w:type="dxa"/>
          </w:tcPr>
          <w:p w:rsidR="00A93FE6" w:rsidRDefault="008C548F">
            <w:pPr>
              <w:spacing w:before="0" w:after="0"/>
              <w:ind w:right="-29"/>
              <w:jc w:val="center"/>
              <w:rPr>
                <w:noProof/>
                <w:sz w:val="18"/>
                <w:szCs w:val="18"/>
              </w:rPr>
            </w:pPr>
            <w:r>
              <w:rPr>
                <w:noProof/>
                <w:sz w:val="18"/>
              </w:rPr>
              <w:t>5910</w:t>
            </w:r>
          </w:p>
        </w:tc>
        <w:tc>
          <w:tcPr>
            <w:tcW w:w="1200" w:type="dxa"/>
          </w:tcPr>
          <w:p w:rsidR="00A93FE6" w:rsidRDefault="008C548F">
            <w:pPr>
              <w:spacing w:before="0" w:after="0"/>
              <w:ind w:right="-29"/>
              <w:jc w:val="center"/>
              <w:rPr>
                <w:noProof/>
                <w:sz w:val="18"/>
                <w:szCs w:val="18"/>
              </w:rPr>
            </w:pPr>
            <w:r>
              <w:rPr>
                <w:noProof/>
                <w:sz w:val="18"/>
              </w:rPr>
              <w:t>118,200</w:t>
            </w:r>
          </w:p>
        </w:tc>
      </w:tr>
      <w:tr w:rsidR="00A93FE6">
        <w:tc>
          <w:tcPr>
            <w:tcW w:w="3468" w:type="dxa"/>
            <w:gridSpan w:val="3"/>
          </w:tcPr>
          <w:p w:rsidR="00A93FE6" w:rsidRDefault="008C548F">
            <w:pPr>
              <w:spacing w:before="0" w:after="0"/>
              <w:ind w:right="-29"/>
              <w:jc w:val="center"/>
              <w:rPr>
                <w:noProof/>
                <w:sz w:val="18"/>
                <w:szCs w:val="18"/>
              </w:rPr>
            </w:pPr>
            <w:r>
              <w:rPr>
                <w:b/>
                <w:noProof/>
                <w:sz w:val="18"/>
              </w:rPr>
              <w:t xml:space="preserve">TOTALE </w:t>
            </w:r>
            <w:r>
              <w:rPr>
                <w:b/>
                <w:noProof/>
                <w:sz w:val="18"/>
              </w:rPr>
              <w:t>KOSTEN</w:t>
            </w:r>
          </w:p>
        </w:tc>
        <w:tc>
          <w:tcPr>
            <w:tcW w:w="960" w:type="dxa"/>
          </w:tcPr>
          <w:p w:rsidR="00A93FE6" w:rsidRDefault="008C548F">
            <w:pPr>
              <w:spacing w:before="0" w:after="0"/>
              <w:ind w:right="-29"/>
              <w:jc w:val="center"/>
              <w:rPr>
                <w:noProof/>
                <w:sz w:val="18"/>
                <w:szCs w:val="18"/>
              </w:rPr>
            </w:pPr>
            <w:r>
              <w:rPr>
                <w:noProof/>
                <w:sz w:val="18"/>
              </w:rPr>
              <w:t>967</w:t>
            </w:r>
          </w:p>
        </w:tc>
        <w:tc>
          <w:tcPr>
            <w:tcW w:w="1080" w:type="dxa"/>
          </w:tcPr>
          <w:p w:rsidR="00A93FE6" w:rsidRDefault="008C548F">
            <w:pPr>
              <w:spacing w:before="0" w:after="0"/>
              <w:ind w:right="-29"/>
              <w:jc w:val="center"/>
              <w:rPr>
                <w:noProof/>
                <w:sz w:val="18"/>
                <w:szCs w:val="18"/>
              </w:rPr>
            </w:pPr>
            <w:r>
              <w:rPr>
                <w:noProof/>
                <w:sz w:val="18"/>
              </w:rPr>
              <w:t>19,330</w:t>
            </w:r>
          </w:p>
        </w:tc>
        <w:tc>
          <w:tcPr>
            <w:tcW w:w="960" w:type="dxa"/>
          </w:tcPr>
          <w:p w:rsidR="00A93FE6" w:rsidRDefault="008C548F">
            <w:pPr>
              <w:spacing w:before="0" w:after="0"/>
              <w:ind w:right="-29"/>
              <w:jc w:val="center"/>
              <w:rPr>
                <w:noProof/>
                <w:sz w:val="18"/>
                <w:szCs w:val="18"/>
              </w:rPr>
            </w:pPr>
            <w:r>
              <w:rPr>
                <w:noProof/>
                <w:sz w:val="18"/>
              </w:rPr>
              <w:t>2480</w:t>
            </w:r>
          </w:p>
        </w:tc>
        <w:tc>
          <w:tcPr>
            <w:tcW w:w="1200" w:type="dxa"/>
          </w:tcPr>
          <w:p w:rsidR="00A93FE6" w:rsidRDefault="008C548F">
            <w:pPr>
              <w:spacing w:before="0" w:after="0"/>
              <w:ind w:right="-29"/>
              <w:jc w:val="center"/>
              <w:rPr>
                <w:noProof/>
                <w:sz w:val="18"/>
                <w:szCs w:val="18"/>
              </w:rPr>
            </w:pPr>
            <w:r>
              <w:rPr>
                <w:noProof/>
                <w:sz w:val="18"/>
              </w:rPr>
              <w:t>49,610</w:t>
            </w:r>
          </w:p>
        </w:tc>
        <w:tc>
          <w:tcPr>
            <w:tcW w:w="1080" w:type="dxa"/>
          </w:tcPr>
          <w:p w:rsidR="00A93FE6" w:rsidRDefault="008C548F">
            <w:pPr>
              <w:spacing w:before="0" w:after="0"/>
              <w:ind w:right="-29"/>
              <w:jc w:val="center"/>
              <w:rPr>
                <w:noProof/>
                <w:sz w:val="18"/>
                <w:szCs w:val="18"/>
              </w:rPr>
            </w:pPr>
            <w:r>
              <w:rPr>
                <w:noProof/>
                <w:sz w:val="18"/>
              </w:rPr>
              <w:t>2463</w:t>
            </w:r>
          </w:p>
        </w:tc>
        <w:tc>
          <w:tcPr>
            <w:tcW w:w="1080" w:type="dxa"/>
          </w:tcPr>
          <w:p w:rsidR="00A93FE6" w:rsidRDefault="008C548F">
            <w:pPr>
              <w:spacing w:before="0" w:after="0"/>
              <w:ind w:right="-29"/>
              <w:jc w:val="center"/>
              <w:rPr>
                <w:noProof/>
                <w:sz w:val="18"/>
                <w:szCs w:val="18"/>
              </w:rPr>
            </w:pPr>
            <w:r>
              <w:rPr>
                <w:noProof/>
                <w:sz w:val="18"/>
              </w:rPr>
              <w:t>49,260</w:t>
            </w:r>
          </w:p>
        </w:tc>
        <w:tc>
          <w:tcPr>
            <w:tcW w:w="840" w:type="dxa"/>
          </w:tcPr>
          <w:p w:rsidR="00A93FE6" w:rsidRDefault="00A93FE6">
            <w:pPr>
              <w:spacing w:before="0" w:after="0"/>
              <w:ind w:right="-29"/>
              <w:jc w:val="center"/>
              <w:rPr>
                <w:noProof/>
                <w:sz w:val="18"/>
                <w:szCs w:val="18"/>
              </w:rPr>
            </w:pPr>
          </w:p>
        </w:tc>
        <w:tc>
          <w:tcPr>
            <w:tcW w:w="960" w:type="dxa"/>
          </w:tcPr>
          <w:p w:rsidR="00A93FE6" w:rsidRDefault="00A93FE6">
            <w:pPr>
              <w:spacing w:before="0" w:after="0"/>
              <w:ind w:right="-29"/>
              <w:jc w:val="center"/>
              <w:rPr>
                <w:noProof/>
                <w:sz w:val="18"/>
                <w:szCs w:val="18"/>
              </w:rPr>
            </w:pPr>
          </w:p>
        </w:tc>
        <w:tc>
          <w:tcPr>
            <w:tcW w:w="1080" w:type="dxa"/>
          </w:tcPr>
          <w:p w:rsidR="00A93FE6" w:rsidRDefault="008C548F">
            <w:pPr>
              <w:spacing w:before="0" w:after="0"/>
              <w:ind w:right="-29"/>
              <w:jc w:val="center"/>
              <w:rPr>
                <w:noProof/>
                <w:sz w:val="18"/>
                <w:szCs w:val="18"/>
              </w:rPr>
            </w:pPr>
            <w:r>
              <w:rPr>
                <w:noProof/>
                <w:sz w:val="18"/>
              </w:rPr>
              <w:t>5910</w:t>
            </w:r>
          </w:p>
        </w:tc>
        <w:tc>
          <w:tcPr>
            <w:tcW w:w="1200" w:type="dxa"/>
          </w:tcPr>
          <w:p w:rsidR="00A93FE6" w:rsidRDefault="008C548F">
            <w:pPr>
              <w:spacing w:before="0" w:after="0"/>
              <w:ind w:right="-29"/>
              <w:jc w:val="center"/>
              <w:rPr>
                <w:noProof/>
                <w:sz w:val="18"/>
                <w:szCs w:val="18"/>
              </w:rPr>
            </w:pPr>
            <w:r>
              <w:rPr>
                <w:noProof/>
                <w:sz w:val="18"/>
              </w:rPr>
              <w:t>118,200</w:t>
            </w:r>
          </w:p>
        </w:tc>
      </w:tr>
    </w:tbl>
    <w:p w:rsidR="00A93FE6" w:rsidRDefault="00A93FE6">
      <w:pPr>
        <w:rPr>
          <w:noProof/>
        </w:rPr>
        <w:sectPr w:rsidR="00A93FE6" w:rsidSect="008C548F">
          <w:pgSz w:w="16840" w:h="11907" w:orient="landscape" w:code="9"/>
          <w:pgMar w:top="1134" w:right="1418" w:bottom="567" w:left="1418" w:header="709" w:footer="709" w:gutter="0"/>
          <w:cols w:space="708"/>
          <w:docGrid w:linePitch="360"/>
        </w:sectPr>
      </w:pPr>
    </w:p>
    <w:p w:rsidR="00A93FE6" w:rsidRDefault="008C548F">
      <w:pPr>
        <w:pStyle w:val="ManualHeading3"/>
        <w:rPr>
          <w:bCs/>
          <w:noProof/>
          <w:szCs w:val="24"/>
        </w:rPr>
      </w:pPr>
      <w:r>
        <w:t>3.2.3.</w:t>
      </w:r>
      <w:r>
        <w:tab/>
      </w:r>
      <w:r>
        <w:rPr>
          <w:noProof/>
        </w:rPr>
        <w:t>Geraamde gevolgen voor de administratieve kredieten</w:t>
      </w:r>
    </w:p>
    <w:p w:rsidR="00A93FE6" w:rsidRDefault="008C548F">
      <w:pPr>
        <w:pStyle w:val="ManualHeading4"/>
        <w:rPr>
          <w:noProof/>
        </w:rPr>
      </w:pPr>
      <w:r>
        <w:t>3.2.3.1.</w:t>
      </w:r>
      <w:r>
        <w:tab/>
      </w:r>
      <w:r>
        <w:rPr>
          <w:noProof/>
        </w:rPr>
        <w:t xml:space="preserve">Samenvatting </w:t>
      </w:r>
    </w:p>
    <w:p w:rsidR="00A93FE6" w:rsidRDefault="008C548F">
      <w:pPr>
        <w:pStyle w:val="ListDash1"/>
        <w:rPr>
          <w:noProof/>
        </w:rPr>
      </w:pPr>
      <w:r>
        <w:rPr>
          <w:noProof/>
          <w:szCs w:val="24"/>
        </w:rPr>
        <w:sym w:font="Wingdings" w:char="F0A8"/>
      </w:r>
      <w:r>
        <w:rPr>
          <w:noProof/>
        </w:rPr>
        <w:tab/>
      </w:r>
      <w:r>
        <w:rPr>
          <w:noProof/>
          <w:szCs w:val="24"/>
        </w:rPr>
        <w:sym w:font="Wingdings" w:char="F0A8"/>
      </w:r>
      <w:r>
        <w:rPr>
          <w:noProof/>
        </w:rPr>
        <w:t xml:space="preserve">Voor het voorstel/initiatief zijn geen administratieve kredieten nodig </w:t>
      </w:r>
    </w:p>
    <w:p w:rsidR="00A93FE6" w:rsidRDefault="008C548F">
      <w:pPr>
        <w:pStyle w:val="ListDash1"/>
        <w:rPr>
          <w:noProof/>
        </w:rPr>
      </w:pPr>
      <w:r>
        <w:rPr>
          <w:noProof/>
        </w:rPr>
        <w:t>x</w:t>
      </w:r>
      <w:r>
        <w:rPr>
          <w:noProof/>
        </w:rPr>
        <w:tab/>
        <w:t xml:space="preserve">Voor het </w:t>
      </w:r>
      <w:r>
        <w:rPr>
          <w:noProof/>
        </w:rPr>
        <w:t>voorstel/initiatief zijn administratieve kredieten nodig, zoals hieronder nader wordt beschreven:</w:t>
      </w:r>
    </w:p>
    <w:p w:rsidR="00A93FE6" w:rsidRDefault="008C548F">
      <w:pPr>
        <w:rPr>
          <w:noProof/>
          <w:sz w:val="20"/>
        </w:rPr>
      </w:pPr>
      <w:r>
        <w:rPr>
          <w:noProof/>
          <w:sz w:val="20"/>
        </w:rPr>
        <w:t>in miljoen EUR (tot op drie decimalen)</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A93FE6">
        <w:trPr>
          <w:trHeight w:val="585"/>
        </w:trPr>
        <w:tc>
          <w:tcPr>
            <w:tcW w:w="2400" w:type="dxa"/>
          </w:tcPr>
          <w:p w:rsidR="00A93FE6" w:rsidRDefault="00A93FE6">
            <w:pPr>
              <w:spacing w:before="60" w:after="60" w:line="200" w:lineRule="exact"/>
              <w:rPr>
                <w:noProof/>
                <w:sz w:val="16"/>
                <w:szCs w:val="16"/>
              </w:rPr>
            </w:pPr>
          </w:p>
        </w:tc>
        <w:tc>
          <w:tcPr>
            <w:tcW w:w="1416" w:type="dxa"/>
            <w:vAlign w:val="center"/>
          </w:tcPr>
          <w:p w:rsidR="00A93FE6" w:rsidRDefault="008C548F">
            <w:pPr>
              <w:spacing w:before="60" w:after="60" w:line="200" w:lineRule="exact"/>
              <w:jc w:val="center"/>
              <w:rPr>
                <w:noProof/>
                <w:sz w:val="16"/>
                <w:szCs w:val="16"/>
              </w:rPr>
            </w:pPr>
            <w:r>
              <w:rPr>
                <w:b/>
                <w:noProof/>
                <w:sz w:val="20"/>
              </w:rPr>
              <w:t>2017</w:t>
            </w:r>
          </w:p>
        </w:tc>
        <w:tc>
          <w:tcPr>
            <w:tcW w:w="1416" w:type="dxa"/>
            <w:vAlign w:val="center"/>
          </w:tcPr>
          <w:p w:rsidR="00A93FE6" w:rsidRDefault="008C548F">
            <w:pPr>
              <w:spacing w:before="60" w:after="60" w:line="200" w:lineRule="exact"/>
              <w:jc w:val="center"/>
              <w:rPr>
                <w:noProof/>
                <w:sz w:val="16"/>
                <w:szCs w:val="16"/>
              </w:rPr>
            </w:pPr>
            <w:r>
              <w:rPr>
                <w:b/>
                <w:noProof/>
                <w:sz w:val="20"/>
              </w:rPr>
              <w:t>2018</w:t>
            </w:r>
          </w:p>
        </w:tc>
        <w:tc>
          <w:tcPr>
            <w:tcW w:w="1416" w:type="dxa"/>
            <w:vAlign w:val="center"/>
          </w:tcPr>
          <w:p w:rsidR="00A93FE6" w:rsidRDefault="008C548F">
            <w:pPr>
              <w:spacing w:before="60" w:after="60" w:line="200" w:lineRule="exact"/>
              <w:jc w:val="center"/>
              <w:rPr>
                <w:noProof/>
                <w:sz w:val="16"/>
                <w:szCs w:val="16"/>
              </w:rPr>
            </w:pPr>
            <w:r>
              <w:rPr>
                <w:b/>
                <w:noProof/>
                <w:sz w:val="20"/>
              </w:rPr>
              <w:t>2019</w:t>
            </w:r>
          </w:p>
        </w:tc>
        <w:tc>
          <w:tcPr>
            <w:tcW w:w="1416" w:type="dxa"/>
            <w:vAlign w:val="center"/>
          </w:tcPr>
          <w:p w:rsidR="00A93FE6" w:rsidRDefault="008C548F">
            <w:pPr>
              <w:spacing w:before="60" w:after="60" w:line="200" w:lineRule="exact"/>
              <w:jc w:val="center"/>
              <w:rPr>
                <w:noProof/>
                <w:sz w:val="16"/>
                <w:szCs w:val="16"/>
              </w:rPr>
            </w:pPr>
            <w:r>
              <w:rPr>
                <w:b/>
                <w:noProof/>
                <w:sz w:val="20"/>
              </w:rPr>
              <w:t>2020</w:t>
            </w:r>
          </w:p>
        </w:tc>
        <w:tc>
          <w:tcPr>
            <w:tcW w:w="1416" w:type="dxa"/>
            <w:vAlign w:val="center"/>
          </w:tcPr>
          <w:p w:rsidR="00A93FE6" w:rsidRDefault="008C548F">
            <w:pPr>
              <w:spacing w:before="60" w:after="60" w:line="200" w:lineRule="exact"/>
              <w:jc w:val="center"/>
              <w:rPr>
                <w:b/>
                <w:noProof/>
                <w:sz w:val="16"/>
                <w:szCs w:val="16"/>
              </w:rPr>
            </w:pPr>
            <w:r>
              <w:rPr>
                <w:b/>
                <w:noProof/>
                <w:sz w:val="16"/>
              </w:rPr>
              <w:t>TOTAAL</w:t>
            </w:r>
          </w:p>
        </w:tc>
      </w:tr>
    </w:tbl>
    <w:p w:rsidR="00A93FE6" w:rsidRDefault="00A93FE6">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A93FE6">
        <w:trPr>
          <w:trHeight w:val="585"/>
        </w:trPr>
        <w:tc>
          <w:tcPr>
            <w:tcW w:w="2400" w:type="dxa"/>
            <w:shd w:val="clear" w:color="auto" w:fill="CCCCCC"/>
            <w:vAlign w:val="center"/>
          </w:tcPr>
          <w:p w:rsidR="00A93FE6" w:rsidRDefault="008C548F">
            <w:pPr>
              <w:spacing w:before="60" w:after="60" w:line="200" w:lineRule="exact"/>
              <w:jc w:val="left"/>
              <w:rPr>
                <w:b/>
                <w:noProof/>
                <w:sz w:val="16"/>
                <w:szCs w:val="16"/>
              </w:rPr>
            </w:pPr>
            <w:r>
              <w:rPr>
                <w:b/>
                <w:noProof/>
                <w:sz w:val="16"/>
              </w:rPr>
              <w:t>RUBRIEK 5</w:t>
            </w:r>
            <w:r>
              <w:rPr>
                <w:noProof/>
                <w:sz w:val="22"/>
              </w:rPr>
              <w:br/>
            </w:r>
            <w:r>
              <w:rPr>
                <w:b/>
                <w:noProof/>
                <w:sz w:val="16"/>
              </w:rPr>
              <w:t>van het meerjarige financiële kader</w:t>
            </w: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b/>
                <w:noProof/>
                <w:sz w:val="16"/>
                <w:szCs w:val="16"/>
              </w:rPr>
            </w:pPr>
          </w:p>
        </w:tc>
      </w:tr>
      <w:tr w:rsidR="00A93FE6">
        <w:trPr>
          <w:trHeight w:val="585"/>
        </w:trPr>
        <w:tc>
          <w:tcPr>
            <w:tcW w:w="2400" w:type="dxa"/>
            <w:vAlign w:val="center"/>
          </w:tcPr>
          <w:p w:rsidR="00A93FE6" w:rsidRDefault="008C548F">
            <w:pPr>
              <w:spacing w:before="60" w:after="60" w:line="200" w:lineRule="exact"/>
              <w:ind w:left="72"/>
              <w:jc w:val="left"/>
              <w:rPr>
                <w:noProof/>
                <w:sz w:val="16"/>
                <w:szCs w:val="16"/>
              </w:rPr>
            </w:pPr>
            <w:r>
              <w:rPr>
                <w:noProof/>
                <w:sz w:val="16"/>
              </w:rPr>
              <w:t xml:space="preserve">Personele middelen </w:t>
            </w:r>
          </w:p>
        </w:tc>
        <w:tc>
          <w:tcPr>
            <w:tcW w:w="1416" w:type="dxa"/>
            <w:vAlign w:val="center"/>
          </w:tcPr>
          <w:p w:rsidR="00A93FE6" w:rsidRDefault="008C548F">
            <w:pPr>
              <w:spacing w:before="60" w:after="60" w:line="200" w:lineRule="exact"/>
              <w:jc w:val="right"/>
              <w:rPr>
                <w:noProof/>
                <w:sz w:val="16"/>
                <w:szCs w:val="16"/>
              </w:rPr>
            </w:pPr>
            <w:r>
              <w:rPr>
                <w:noProof/>
                <w:sz w:val="20"/>
              </w:rPr>
              <w:t>0,204</w:t>
            </w:r>
          </w:p>
        </w:tc>
        <w:tc>
          <w:tcPr>
            <w:tcW w:w="1416" w:type="dxa"/>
            <w:vAlign w:val="center"/>
          </w:tcPr>
          <w:p w:rsidR="00A93FE6" w:rsidRDefault="008C548F">
            <w:pPr>
              <w:spacing w:before="60" w:after="60" w:line="200" w:lineRule="exact"/>
              <w:jc w:val="right"/>
              <w:rPr>
                <w:noProof/>
                <w:sz w:val="16"/>
                <w:szCs w:val="16"/>
              </w:rPr>
            </w:pPr>
            <w:r>
              <w:rPr>
                <w:noProof/>
                <w:sz w:val="20"/>
              </w:rPr>
              <w:t>0,204</w:t>
            </w:r>
          </w:p>
        </w:tc>
        <w:tc>
          <w:tcPr>
            <w:tcW w:w="1416" w:type="dxa"/>
            <w:vAlign w:val="center"/>
          </w:tcPr>
          <w:p w:rsidR="00A93FE6" w:rsidRDefault="008C548F">
            <w:pPr>
              <w:spacing w:before="60" w:after="60" w:line="200" w:lineRule="exact"/>
              <w:jc w:val="right"/>
              <w:rPr>
                <w:noProof/>
                <w:sz w:val="16"/>
                <w:szCs w:val="16"/>
              </w:rPr>
            </w:pPr>
            <w:r>
              <w:rPr>
                <w:noProof/>
                <w:sz w:val="20"/>
              </w:rPr>
              <w:t>0,204</w:t>
            </w:r>
          </w:p>
        </w:tc>
        <w:tc>
          <w:tcPr>
            <w:tcW w:w="1416" w:type="dxa"/>
            <w:vAlign w:val="center"/>
          </w:tcPr>
          <w:p w:rsidR="00A93FE6" w:rsidRDefault="008C548F">
            <w:pPr>
              <w:spacing w:before="60" w:after="60" w:line="200" w:lineRule="exact"/>
              <w:jc w:val="right"/>
              <w:rPr>
                <w:noProof/>
                <w:sz w:val="16"/>
                <w:szCs w:val="16"/>
              </w:rPr>
            </w:pPr>
            <w:r>
              <w:rPr>
                <w:noProof/>
                <w:sz w:val="20"/>
              </w:rPr>
              <w:t>0,204</w:t>
            </w:r>
          </w:p>
        </w:tc>
        <w:tc>
          <w:tcPr>
            <w:tcW w:w="1416" w:type="dxa"/>
            <w:vAlign w:val="center"/>
          </w:tcPr>
          <w:p w:rsidR="00A93FE6" w:rsidRDefault="008C548F">
            <w:pPr>
              <w:spacing w:before="60" w:after="60" w:line="200" w:lineRule="exact"/>
              <w:jc w:val="right"/>
              <w:rPr>
                <w:b/>
                <w:noProof/>
                <w:sz w:val="20"/>
                <w:szCs w:val="20"/>
              </w:rPr>
            </w:pPr>
            <w:r>
              <w:rPr>
                <w:b/>
                <w:noProof/>
                <w:sz w:val="20"/>
              </w:rPr>
              <w:t>0,816</w:t>
            </w:r>
          </w:p>
        </w:tc>
      </w:tr>
      <w:tr w:rsidR="00A93FE6">
        <w:trPr>
          <w:trHeight w:val="585"/>
        </w:trPr>
        <w:tc>
          <w:tcPr>
            <w:tcW w:w="2400" w:type="dxa"/>
            <w:vAlign w:val="center"/>
          </w:tcPr>
          <w:p w:rsidR="00A93FE6" w:rsidRDefault="008C548F">
            <w:pPr>
              <w:spacing w:before="60" w:after="60" w:line="200" w:lineRule="exact"/>
              <w:ind w:left="72"/>
              <w:jc w:val="left"/>
              <w:rPr>
                <w:noProof/>
                <w:sz w:val="16"/>
                <w:szCs w:val="16"/>
              </w:rPr>
            </w:pPr>
            <w:r>
              <w:rPr>
                <w:noProof/>
                <w:sz w:val="16"/>
              </w:rPr>
              <w:t xml:space="preserve">Andere administratieve uitgaven </w:t>
            </w:r>
          </w:p>
        </w:tc>
        <w:tc>
          <w:tcPr>
            <w:tcW w:w="1416" w:type="dxa"/>
            <w:vAlign w:val="center"/>
          </w:tcPr>
          <w:p w:rsidR="00A93FE6" w:rsidRDefault="008C548F">
            <w:pPr>
              <w:spacing w:before="60" w:after="60" w:line="200" w:lineRule="exact"/>
              <w:jc w:val="right"/>
              <w:rPr>
                <w:noProof/>
                <w:sz w:val="16"/>
                <w:szCs w:val="16"/>
              </w:rPr>
            </w:pPr>
            <w:r>
              <w:rPr>
                <w:noProof/>
                <w:sz w:val="20"/>
              </w:rPr>
              <w:t>0,020</w:t>
            </w:r>
          </w:p>
        </w:tc>
        <w:tc>
          <w:tcPr>
            <w:tcW w:w="1416" w:type="dxa"/>
            <w:vAlign w:val="center"/>
          </w:tcPr>
          <w:p w:rsidR="00A93FE6" w:rsidRDefault="008C548F">
            <w:pPr>
              <w:spacing w:before="60" w:after="60" w:line="200" w:lineRule="exact"/>
              <w:jc w:val="right"/>
              <w:rPr>
                <w:noProof/>
                <w:sz w:val="16"/>
                <w:szCs w:val="16"/>
              </w:rPr>
            </w:pPr>
            <w:r>
              <w:rPr>
                <w:noProof/>
                <w:sz w:val="20"/>
              </w:rPr>
              <w:t>0,020</w:t>
            </w:r>
          </w:p>
        </w:tc>
        <w:tc>
          <w:tcPr>
            <w:tcW w:w="1416" w:type="dxa"/>
            <w:vAlign w:val="center"/>
          </w:tcPr>
          <w:p w:rsidR="00A93FE6" w:rsidRDefault="008C548F">
            <w:pPr>
              <w:spacing w:before="60" w:after="60" w:line="200" w:lineRule="exact"/>
              <w:jc w:val="right"/>
              <w:rPr>
                <w:noProof/>
                <w:sz w:val="16"/>
                <w:szCs w:val="16"/>
              </w:rPr>
            </w:pPr>
            <w:r>
              <w:rPr>
                <w:noProof/>
                <w:sz w:val="20"/>
              </w:rPr>
              <w:t>0,010</w:t>
            </w:r>
          </w:p>
        </w:tc>
        <w:tc>
          <w:tcPr>
            <w:tcW w:w="1416" w:type="dxa"/>
            <w:vAlign w:val="center"/>
          </w:tcPr>
          <w:p w:rsidR="00A93FE6" w:rsidRDefault="008C548F">
            <w:pPr>
              <w:spacing w:before="60" w:after="60" w:line="200" w:lineRule="exact"/>
              <w:jc w:val="right"/>
              <w:rPr>
                <w:noProof/>
                <w:sz w:val="16"/>
                <w:szCs w:val="16"/>
              </w:rPr>
            </w:pPr>
            <w:r>
              <w:rPr>
                <w:noProof/>
                <w:sz w:val="20"/>
              </w:rPr>
              <w:t>0,010</w:t>
            </w:r>
          </w:p>
        </w:tc>
        <w:tc>
          <w:tcPr>
            <w:tcW w:w="1416" w:type="dxa"/>
            <w:vAlign w:val="center"/>
          </w:tcPr>
          <w:p w:rsidR="00A93FE6" w:rsidRDefault="008C548F">
            <w:pPr>
              <w:spacing w:before="60" w:after="60" w:line="200" w:lineRule="exact"/>
              <w:jc w:val="right"/>
              <w:rPr>
                <w:b/>
                <w:noProof/>
                <w:sz w:val="20"/>
                <w:szCs w:val="20"/>
              </w:rPr>
            </w:pPr>
            <w:r>
              <w:rPr>
                <w:b/>
                <w:noProof/>
                <w:sz w:val="20"/>
              </w:rPr>
              <w:t>0,060</w:t>
            </w:r>
          </w:p>
        </w:tc>
      </w:tr>
      <w:tr w:rsidR="00A93FE6">
        <w:trPr>
          <w:trHeight w:val="585"/>
        </w:trPr>
        <w:tc>
          <w:tcPr>
            <w:tcW w:w="2400" w:type="dxa"/>
            <w:shd w:val="clear" w:color="auto" w:fill="CCCCCC"/>
            <w:vAlign w:val="center"/>
          </w:tcPr>
          <w:p w:rsidR="00A93FE6" w:rsidRDefault="008C548F">
            <w:pPr>
              <w:spacing w:before="60" w:after="60" w:line="200" w:lineRule="exact"/>
              <w:jc w:val="left"/>
              <w:rPr>
                <w:b/>
                <w:noProof/>
                <w:sz w:val="16"/>
                <w:szCs w:val="16"/>
              </w:rPr>
            </w:pPr>
            <w:r>
              <w:rPr>
                <w:b/>
                <w:noProof/>
                <w:sz w:val="16"/>
              </w:rPr>
              <w:t>Subtotaal RUBRIEK 5</w:t>
            </w:r>
            <w:r>
              <w:rPr>
                <w:noProof/>
                <w:sz w:val="22"/>
              </w:rPr>
              <w:br/>
            </w:r>
            <w:r>
              <w:rPr>
                <w:b/>
                <w:noProof/>
                <w:sz w:val="16"/>
              </w:rPr>
              <w:t xml:space="preserve">van het meerjarige financiële kader </w:t>
            </w:r>
          </w:p>
        </w:tc>
        <w:tc>
          <w:tcPr>
            <w:tcW w:w="1416" w:type="dxa"/>
            <w:vAlign w:val="bottom"/>
          </w:tcPr>
          <w:p w:rsidR="00A93FE6" w:rsidRDefault="008C548F">
            <w:pPr>
              <w:spacing w:before="60" w:after="60" w:line="200" w:lineRule="exact"/>
              <w:jc w:val="right"/>
              <w:rPr>
                <w:b/>
                <w:noProof/>
                <w:sz w:val="16"/>
                <w:szCs w:val="16"/>
              </w:rPr>
            </w:pPr>
            <w:r>
              <w:rPr>
                <w:b/>
                <w:noProof/>
                <w:color w:val="000000"/>
                <w:sz w:val="20"/>
              </w:rPr>
              <w:t>0,224</w:t>
            </w:r>
          </w:p>
        </w:tc>
        <w:tc>
          <w:tcPr>
            <w:tcW w:w="1416" w:type="dxa"/>
            <w:vAlign w:val="bottom"/>
          </w:tcPr>
          <w:p w:rsidR="00A93FE6" w:rsidRDefault="008C548F">
            <w:pPr>
              <w:spacing w:before="60" w:after="60" w:line="200" w:lineRule="exact"/>
              <w:jc w:val="right"/>
              <w:rPr>
                <w:b/>
                <w:noProof/>
                <w:sz w:val="16"/>
                <w:szCs w:val="16"/>
              </w:rPr>
            </w:pPr>
            <w:r>
              <w:rPr>
                <w:b/>
                <w:noProof/>
                <w:color w:val="000000"/>
                <w:sz w:val="20"/>
              </w:rPr>
              <w:t>0,224</w:t>
            </w:r>
          </w:p>
        </w:tc>
        <w:tc>
          <w:tcPr>
            <w:tcW w:w="1416" w:type="dxa"/>
            <w:vAlign w:val="bottom"/>
          </w:tcPr>
          <w:p w:rsidR="00A93FE6" w:rsidRDefault="008C548F">
            <w:pPr>
              <w:spacing w:before="60" w:after="60" w:line="200" w:lineRule="exact"/>
              <w:jc w:val="right"/>
              <w:rPr>
                <w:b/>
                <w:noProof/>
                <w:sz w:val="16"/>
                <w:szCs w:val="16"/>
              </w:rPr>
            </w:pPr>
            <w:r>
              <w:rPr>
                <w:b/>
                <w:noProof/>
                <w:color w:val="000000"/>
                <w:sz w:val="20"/>
              </w:rPr>
              <w:t>0,214</w:t>
            </w:r>
          </w:p>
        </w:tc>
        <w:tc>
          <w:tcPr>
            <w:tcW w:w="1416" w:type="dxa"/>
            <w:vAlign w:val="bottom"/>
          </w:tcPr>
          <w:p w:rsidR="00A93FE6" w:rsidRDefault="008C548F">
            <w:pPr>
              <w:spacing w:before="60" w:after="60" w:line="200" w:lineRule="exact"/>
              <w:jc w:val="right"/>
              <w:rPr>
                <w:b/>
                <w:noProof/>
                <w:sz w:val="16"/>
                <w:szCs w:val="16"/>
              </w:rPr>
            </w:pPr>
            <w:r>
              <w:rPr>
                <w:b/>
                <w:noProof/>
                <w:color w:val="000000"/>
                <w:sz w:val="20"/>
              </w:rPr>
              <w:t>0,214</w:t>
            </w:r>
          </w:p>
        </w:tc>
        <w:tc>
          <w:tcPr>
            <w:tcW w:w="1416" w:type="dxa"/>
            <w:vAlign w:val="bottom"/>
          </w:tcPr>
          <w:p w:rsidR="00A93FE6" w:rsidRDefault="008C548F">
            <w:pPr>
              <w:spacing w:before="60" w:after="60" w:line="200" w:lineRule="exact"/>
              <w:jc w:val="right"/>
              <w:rPr>
                <w:b/>
                <w:noProof/>
                <w:sz w:val="20"/>
                <w:szCs w:val="20"/>
              </w:rPr>
            </w:pPr>
            <w:r>
              <w:rPr>
                <w:b/>
                <w:noProof/>
                <w:color w:val="000000"/>
                <w:sz w:val="20"/>
              </w:rPr>
              <w:t>0,876</w:t>
            </w:r>
          </w:p>
        </w:tc>
      </w:tr>
    </w:tbl>
    <w:p w:rsidR="00A93FE6" w:rsidRDefault="00A93FE6">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A93FE6">
        <w:trPr>
          <w:trHeight w:val="585"/>
        </w:trPr>
        <w:tc>
          <w:tcPr>
            <w:tcW w:w="2400" w:type="dxa"/>
            <w:shd w:val="clear" w:color="auto" w:fill="CCCCCC"/>
            <w:vAlign w:val="center"/>
          </w:tcPr>
          <w:p w:rsidR="00A93FE6" w:rsidRDefault="008C548F">
            <w:pPr>
              <w:spacing w:before="60" w:after="60" w:line="200" w:lineRule="exact"/>
              <w:jc w:val="left"/>
              <w:rPr>
                <w:b/>
                <w:noProof/>
                <w:sz w:val="16"/>
                <w:szCs w:val="16"/>
              </w:rPr>
            </w:pPr>
            <w:r>
              <w:rPr>
                <w:b/>
                <w:noProof/>
                <w:sz w:val="16"/>
              </w:rPr>
              <w:t>Buiten RUBRIEK 5</w:t>
            </w:r>
            <w:r>
              <w:rPr>
                <w:rStyle w:val="FootnoteReference"/>
                <w:b/>
                <w:noProof/>
                <w:sz w:val="16"/>
              </w:rPr>
              <w:footnoteReference w:id="24"/>
            </w:r>
            <w:r>
              <w:rPr>
                <w:noProof/>
                <w:sz w:val="22"/>
              </w:rPr>
              <w:br/>
            </w:r>
            <w:r>
              <w:rPr>
                <w:b/>
                <w:noProof/>
                <w:sz w:val="16"/>
              </w:rPr>
              <w:t xml:space="preserve">van het meerjarige financiële kader </w:t>
            </w: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b/>
                <w:noProof/>
                <w:sz w:val="16"/>
                <w:szCs w:val="16"/>
              </w:rPr>
            </w:pPr>
          </w:p>
        </w:tc>
      </w:tr>
      <w:tr w:rsidR="00A93FE6">
        <w:trPr>
          <w:trHeight w:val="585"/>
        </w:trPr>
        <w:tc>
          <w:tcPr>
            <w:tcW w:w="2400" w:type="dxa"/>
            <w:vAlign w:val="center"/>
          </w:tcPr>
          <w:p w:rsidR="00A93FE6" w:rsidRDefault="008C548F">
            <w:pPr>
              <w:spacing w:before="60" w:after="60" w:line="200" w:lineRule="exact"/>
              <w:ind w:left="72"/>
              <w:jc w:val="left"/>
              <w:rPr>
                <w:noProof/>
                <w:sz w:val="16"/>
                <w:szCs w:val="16"/>
              </w:rPr>
            </w:pPr>
            <w:r>
              <w:rPr>
                <w:noProof/>
                <w:sz w:val="16"/>
              </w:rPr>
              <w:t xml:space="preserve">Personele middelen </w:t>
            </w: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noProof/>
                <w:sz w:val="16"/>
                <w:szCs w:val="16"/>
              </w:rPr>
            </w:pPr>
          </w:p>
        </w:tc>
        <w:tc>
          <w:tcPr>
            <w:tcW w:w="1416" w:type="dxa"/>
            <w:vAlign w:val="center"/>
          </w:tcPr>
          <w:p w:rsidR="00A93FE6" w:rsidRDefault="00A93FE6">
            <w:pPr>
              <w:spacing w:before="60" w:after="60" w:line="200" w:lineRule="exact"/>
              <w:jc w:val="right"/>
              <w:rPr>
                <w:b/>
                <w:noProof/>
                <w:sz w:val="16"/>
                <w:szCs w:val="16"/>
              </w:rPr>
            </w:pPr>
          </w:p>
        </w:tc>
      </w:tr>
      <w:tr w:rsidR="00A93FE6">
        <w:trPr>
          <w:trHeight w:val="585"/>
        </w:trPr>
        <w:tc>
          <w:tcPr>
            <w:tcW w:w="2400" w:type="dxa"/>
            <w:vAlign w:val="center"/>
          </w:tcPr>
          <w:p w:rsidR="00A93FE6" w:rsidRDefault="008C548F">
            <w:pPr>
              <w:spacing w:before="60" w:after="60" w:line="200" w:lineRule="exact"/>
              <w:ind w:left="72"/>
              <w:jc w:val="left"/>
              <w:rPr>
                <w:noProof/>
                <w:sz w:val="16"/>
                <w:szCs w:val="16"/>
              </w:rPr>
            </w:pPr>
            <w:r>
              <w:rPr>
                <w:noProof/>
                <w:sz w:val="16"/>
              </w:rPr>
              <w:t xml:space="preserve">Andere </w:t>
            </w:r>
            <w:r>
              <w:rPr>
                <w:noProof/>
                <w:sz w:val="22"/>
              </w:rPr>
              <w:br/>
            </w:r>
            <w:r>
              <w:rPr>
                <w:noProof/>
                <w:sz w:val="16"/>
              </w:rPr>
              <w:t>administratieve uitgaven</w:t>
            </w:r>
          </w:p>
        </w:tc>
        <w:tc>
          <w:tcPr>
            <w:tcW w:w="1416" w:type="dxa"/>
            <w:vAlign w:val="bottom"/>
          </w:tcPr>
          <w:p w:rsidR="00A93FE6" w:rsidRDefault="008C548F">
            <w:pPr>
              <w:spacing w:before="60" w:after="60" w:line="200" w:lineRule="exact"/>
              <w:jc w:val="right"/>
              <w:rPr>
                <w:noProof/>
                <w:sz w:val="20"/>
                <w:szCs w:val="20"/>
              </w:rPr>
            </w:pPr>
            <w:r>
              <w:rPr>
                <w:noProof/>
                <w:color w:val="000000"/>
                <w:sz w:val="20"/>
              </w:rPr>
              <w:t>0,090</w:t>
            </w:r>
          </w:p>
        </w:tc>
        <w:tc>
          <w:tcPr>
            <w:tcW w:w="1416" w:type="dxa"/>
            <w:vAlign w:val="bottom"/>
          </w:tcPr>
          <w:p w:rsidR="00A93FE6" w:rsidRDefault="008C548F">
            <w:pPr>
              <w:spacing w:before="60" w:after="60" w:line="200" w:lineRule="exact"/>
              <w:jc w:val="right"/>
              <w:rPr>
                <w:noProof/>
                <w:sz w:val="20"/>
                <w:szCs w:val="20"/>
              </w:rPr>
            </w:pPr>
            <w:r>
              <w:rPr>
                <w:noProof/>
                <w:color w:val="000000"/>
                <w:sz w:val="20"/>
              </w:rPr>
              <w:t>0,025</w:t>
            </w:r>
          </w:p>
        </w:tc>
        <w:tc>
          <w:tcPr>
            <w:tcW w:w="1416" w:type="dxa"/>
            <w:vAlign w:val="bottom"/>
          </w:tcPr>
          <w:p w:rsidR="00A93FE6" w:rsidRDefault="008C548F">
            <w:pPr>
              <w:spacing w:before="60" w:after="60" w:line="200" w:lineRule="exact"/>
              <w:jc w:val="right"/>
              <w:rPr>
                <w:noProof/>
                <w:sz w:val="20"/>
                <w:szCs w:val="20"/>
              </w:rPr>
            </w:pPr>
            <w:r>
              <w:rPr>
                <w:noProof/>
                <w:color w:val="000000"/>
                <w:sz w:val="20"/>
              </w:rPr>
              <w:t>0,025</w:t>
            </w:r>
          </w:p>
        </w:tc>
        <w:tc>
          <w:tcPr>
            <w:tcW w:w="1416" w:type="dxa"/>
            <w:vAlign w:val="bottom"/>
          </w:tcPr>
          <w:p w:rsidR="00A93FE6" w:rsidRDefault="008C548F">
            <w:pPr>
              <w:spacing w:before="60" w:after="60" w:line="200" w:lineRule="exact"/>
              <w:jc w:val="right"/>
              <w:rPr>
                <w:noProof/>
                <w:sz w:val="20"/>
                <w:szCs w:val="20"/>
              </w:rPr>
            </w:pPr>
            <w:r>
              <w:rPr>
                <w:noProof/>
                <w:color w:val="000000"/>
                <w:sz w:val="20"/>
              </w:rPr>
              <w:t>0,060</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0,200</w:t>
            </w:r>
          </w:p>
        </w:tc>
      </w:tr>
      <w:tr w:rsidR="00A93FE6">
        <w:trPr>
          <w:trHeight w:val="585"/>
        </w:trPr>
        <w:tc>
          <w:tcPr>
            <w:tcW w:w="2400" w:type="dxa"/>
            <w:shd w:val="clear" w:color="auto" w:fill="CCCCCC"/>
            <w:vAlign w:val="center"/>
          </w:tcPr>
          <w:p w:rsidR="00A93FE6" w:rsidRDefault="008C548F">
            <w:pPr>
              <w:spacing w:before="60" w:after="60" w:line="200" w:lineRule="exact"/>
              <w:jc w:val="left"/>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0,090</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0,025</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0,025</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0,060</w:t>
            </w:r>
          </w:p>
        </w:tc>
        <w:tc>
          <w:tcPr>
            <w:tcW w:w="1416" w:type="dxa"/>
            <w:vAlign w:val="bottom"/>
          </w:tcPr>
          <w:p w:rsidR="00A93FE6" w:rsidRDefault="008C548F">
            <w:pPr>
              <w:spacing w:before="60" w:after="60" w:line="200" w:lineRule="exact"/>
              <w:jc w:val="right"/>
              <w:rPr>
                <w:b/>
                <w:noProof/>
                <w:sz w:val="20"/>
                <w:szCs w:val="20"/>
              </w:rPr>
            </w:pPr>
            <w:r>
              <w:rPr>
                <w:noProof/>
                <w:color w:val="000000"/>
                <w:sz w:val="20"/>
              </w:rPr>
              <w:t>0,200</w:t>
            </w:r>
          </w:p>
        </w:tc>
      </w:tr>
    </w:tbl>
    <w:p w:rsidR="00A93FE6" w:rsidRDefault="00A93FE6">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A93FE6">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A93FE6" w:rsidRDefault="008C548F">
            <w:pPr>
              <w:spacing w:before="60" w:after="60" w:line="200" w:lineRule="exact"/>
              <w:jc w:val="center"/>
              <w:rPr>
                <w:noProof/>
                <w:sz w:val="16"/>
                <w:szCs w:val="16"/>
              </w:rPr>
            </w:pPr>
            <w:r>
              <w:rPr>
                <w:b/>
                <w:noProof/>
                <w:sz w:val="16"/>
              </w:rPr>
              <w:t>TOTAAL</w:t>
            </w:r>
          </w:p>
        </w:tc>
        <w:tc>
          <w:tcPr>
            <w:tcW w:w="1416" w:type="dxa"/>
            <w:tcBorders>
              <w:top w:val="single" w:sz="12" w:space="0" w:color="auto"/>
              <w:left w:val="single" w:sz="2" w:space="0" w:color="auto"/>
              <w:bottom w:val="single" w:sz="12" w:space="0" w:color="auto"/>
              <w:right w:val="single" w:sz="2" w:space="0" w:color="auto"/>
            </w:tcBorders>
            <w:vAlign w:val="bottom"/>
          </w:tcPr>
          <w:p w:rsidR="00A93FE6" w:rsidRDefault="008C548F">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A93FE6" w:rsidRDefault="008C548F">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A93FE6" w:rsidRDefault="008C548F">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A93FE6" w:rsidRDefault="008C548F">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A93FE6" w:rsidRDefault="008C548F">
            <w:pPr>
              <w:spacing w:before="60" w:after="60" w:line="200" w:lineRule="exact"/>
              <w:jc w:val="right"/>
              <w:rPr>
                <w:b/>
                <w:noProof/>
                <w:sz w:val="20"/>
                <w:szCs w:val="20"/>
              </w:rPr>
            </w:pPr>
            <w:r>
              <w:rPr>
                <w:b/>
                <w:noProof/>
                <w:color w:val="000000"/>
                <w:sz w:val="20"/>
              </w:rPr>
              <w:t>1,076</w:t>
            </w:r>
          </w:p>
        </w:tc>
      </w:tr>
    </w:tbl>
    <w:p w:rsidR="00A93FE6" w:rsidRDefault="008C548F">
      <w:pPr>
        <w:jc w:val="left"/>
        <w:rPr>
          <w:noProof/>
          <w:sz w:val="18"/>
        </w:rPr>
        <w:sectPr w:rsidR="00A93FE6" w:rsidSect="008C548F">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van deze actie zijn toegewe</w:t>
      </w:r>
      <w:r>
        <w:rPr>
          <w:noProof/>
          <w:sz w:val="18"/>
        </w:rPr>
        <w:t>zen en/of binnen het DG zijn herverdeeld, eventueel aangevuld met middelen die in het kader van de jaarlijkse toewijzingsprocedure met inachtneming van de budgettaire beperkingen aan het beherende DG kunnen worden toegewezen.</w:t>
      </w:r>
    </w:p>
    <w:p w:rsidR="00A93FE6" w:rsidRDefault="008C548F">
      <w:pPr>
        <w:pStyle w:val="ManualHeading4"/>
        <w:rPr>
          <w:bCs/>
          <w:noProof/>
          <w:szCs w:val="24"/>
        </w:rPr>
      </w:pPr>
      <w:r>
        <w:t>3.2.3.2.</w:t>
      </w:r>
      <w:r>
        <w:tab/>
      </w:r>
      <w:r>
        <w:rPr>
          <w:noProof/>
        </w:rPr>
        <w:t>Geraamde personeelsbe</w:t>
      </w:r>
      <w:r>
        <w:rPr>
          <w:noProof/>
        </w:rPr>
        <w:t>hoeften</w:t>
      </w:r>
    </w:p>
    <w:p w:rsidR="00A93FE6" w:rsidRDefault="008C548F">
      <w:pPr>
        <w:pStyle w:val="ListDash1"/>
        <w:rPr>
          <w:noProof/>
        </w:rPr>
      </w:pPr>
      <w:r>
        <w:rPr>
          <w:noProof/>
          <w:szCs w:val="24"/>
        </w:rPr>
        <w:sym w:font="Wingdings" w:char="F0A8"/>
      </w:r>
      <w:r>
        <w:rPr>
          <w:noProof/>
        </w:rPr>
        <w:tab/>
      </w:r>
      <w:r>
        <w:rPr>
          <w:noProof/>
          <w:szCs w:val="24"/>
        </w:rPr>
        <w:sym w:font="Wingdings" w:char="F0A8"/>
      </w:r>
      <w:r>
        <w:rPr>
          <w:noProof/>
        </w:rPr>
        <w:t xml:space="preserve">Voor het voorstel/initiatief zijn geen personele middelen nodig. </w:t>
      </w:r>
    </w:p>
    <w:p w:rsidR="00A93FE6" w:rsidRDefault="008C548F">
      <w:pPr>
        <w:pStyle w:val="ListDash1"/>
        <w:rPr>
          <w:noProof/>
        </w:rPr>
      </w:pPr>
      <w:r>
        <w:rPr>
          <w:noProof/>
        </w:rPr>
        <w:t>X Voor het voorstel/initiatief zijn personele middelen nodig, zoals hieronder nader wordt beschreven:</w:t>
      </w:r>
    </w:p>
    <w:p w:rsidR="00A93FE6" w:rsidRDefault="008C548F">
      <w:pPr>
        <w:spacing w:after="60"/>
        <w:jc w:val="right"/>
        <w:rPr>
          <w:i/>
          <w:noProof/>
          <w:sz w:val="20"/>
        </w:rPr>
      </w:pPr>
      <w:r>
        <w:rPr>
          <w:i/>
          <w:noProof/>
          <w:sz w:val="20"/>
        </w:rPr>
        <w:t>Raming in voltijdequivalenten</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A93FE6">
        <w:trPr>
          <w:trHeight w:val="289"/>
          <w:jc w:val="center"/>
        </w:trPr>
        <w:tc>
          <w:tcPr>
            <w:tcW w:w="2008" w:type="pct"/>
            <w:gridSpan w:val="2"/>
          </w:tcPr>
          <w:p w:rsidR="00A93FE6" w:rsidRDefault="00A93FE6">
            <w:pPr>
              <w:pStyle w:val="Text1"/>
              <w:spacing w:before="40" w:after="40"/>
              <w:ind w:left="0"/>
              <w:jc w:val="center"/>
              <w:rPr>
                <w:i/>
                <w:noProof/>
                <w:sz w:val="16"/>
                <w:szCs w:val="16"/>
              </w:rPr>
            </w:pPr>
          </w:p>
        </w:tc>
        <w:tc>
          <w:tcPr>
            <w:tcW w:w="752" w:type="pct"/>
            <w:vAlign w:val="center"/>
          </w:tcPr>
          <w:p w:rsidR="00A93FE6" w:rsidRDefault="008C548F">
            <w:pPr>
              <w:spacing w:before="20" w:after="20"/>
              <w:jc w:val="center"/>
              <w:rPr>
                <w:noProof/>
                <w:sz w:val="16"/>
                <w:szCs w:val="16"/>
              </w:rPr>
            </w:pPr>
            <w:r>
              <w:rPr>
                <w:b/>
                <w:noProof/>
                <w:sz w:val="20"/>
              </w:rPr>
              <w:t>2017</w:t>
            </w:r>
          </w:p>
        </w:tc>
        <w:tc>
          <w:tcPr>
            <w:tcW w:w="678" w:type="pct"/>
            <w:vAlign w:val="center"/>
          </w:tcPr>
          <w:p w:rsidR="00A93FE6" w:rsidRDefault="008C548F">
            <w:pPr>
              <w:spacing w:before="20" w:after="20"/>
              <w:jc w:val="center"/>
              <w:rPr>
                <w:noProof/>
                <w:sz w:val="16"/>
                <w:szCs w:val="16"/>
              </w:rPr>
            </w:pPr>
            <w:r>
              <w:rPr>
                <w:b/>
                <w:noProof/>
                <w:sz w:val="20"/>
              </w:rPr>
              <w:t>2018</w:t>
            </w:r>
          </w:p>
        </w:tc>
        <w:tc>
          <w:tcPr>
            <w:tcW w:w="678" w:type="pct"/>
            <w:vAlign w:val="center"/>
          </w:tcPr>
          <w:p w:rsidR="00A93FE6" w:rsidRDefault="008C548F">
            <w:pPr>
              <w:spacing w:before="20" w:after="20"/>
              <w:jc w:val="center"/>
              <w:rPr>
                <w:noProof/>
                <w:sz w:val="16"/>
                <w:szCs w:val="16"/>
              </w:rPr>
            </w:pPr>
            <w:r>
              <w:rPr>
                <w:b/>
                <w:noProof/>
                <w:sz w:val="20"/>
              </w:rPr>
              <w:t>2019</w:t>
            </w:r>
          </w:p>
        </w:tc>
        <w:tc>
          <w:tcPr>
            <w:tcW w:w="884" w:type="pct"/>
            <w:vAlign w:val="center"/>
          </w:tcPr>
          <w:p w:rsidR="00A93FE6" w:rsidRDefault="008C548F">
            <w:pPr>
              <w:spacing w:before="20" w:after="20"/>
              <w:jc w:val="center"/>
              <w:rPr>
                <w:noProof/>
                <w:sz w:val="16"/>
                <w:szCs w:val="16"/>
              </w:rPr>
            </w:pPr>
            <w:r>
              <w:rPr>
                <w:b/>
                <w:noProof/>
                <w:sz w:val="20"/>
              </w:rPr>
              <w:t>2020</w:t>
            </w:r>
          </w:p>
        </w:tc>
      </w:tr>
      <w:tr w:rsidR="00A93FE6">
        <w:trPr>
          <w:trHeight w:val="289"/>
          <w:jc w:val="center"/>
        </w:trPr>
        <w:tc>
          <w:tcPr>
            <w:tcW w:w="5000" w:type="pct"/>
            <w:gridSpan w:val="6"/>
          </w:tcPr>
          <w:p w:rsidR="00A93FE6" w:rsidRDefault="008C548F">
            <w:pPr>
              <w:spacing w:before="20" w:after="20"/>
              <w:jc w:val="left"/>
              <w:rPr>
                <w:noProof/>
                <w:sz w:val="16"/>
                <w:szCs w:val="16"/>
              </w:rPr>
            </w:pPr>
            <w:r>
              <w:rPr>
                <w:b/>
                <w:noProof/>
                <w:sz w:val="16"/>
                <w:szCs w:val="16"/>
              </w:rPr>
              <w:sym w:font="Wingdings" w:char="F09F"/>
            </w:r>
            <w:r>
              <w:rPr>
                <w:b/>
                <w:noProof/>
                <w:sz w:val="16"/>
              </w:rPr>
              <w:t xml:space="preserve"> Posten opgenomen in de lijst van het aantal ambten (ambtenaren en tijdelijke functionarissen)</w:t>
            </w: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4"/>
              <w:jc w:val="left"/>
              <w:rPr>
                <w:b/>
                <w:noProof/>
                <w:sz w:val="16"/>
                <w:szCs w:val="16"/>
              </w:rPr>
            </w:pPr>
            <w:r>
              <w:rPr>
                <w:noProof/>
                <w:sz w:val="16"/>
              </w:rPr>
              <w:t>09 01 01 01 (zetel en vertegenwoordigingen van de Commissie)</w:t>
            </w:r>
          </w:p>
        </w:tc>
        <w:tc>
          <w:tcPr>
            <w:tcW w:w="752" w:type="pct"/>
            <w:vAlign w:val="center"/>
          </w:tcPr>
          <w:p w:rsidR="00A93FE6" w:rsidRDefault="008C548F">
            <w:pPr>
              <w:spacing w:beforeLines="20" w:before="48" w:afterLines="20" w:after="48"/>
              <w:jc w:val="center"/>
              <w:rPr>
                <w:noProof/>
                <w:sz w:val="16"/>
                <w:szCs w:val="16"/>
              </w:rPr>
            </w:pPr>
            <w:r>
              <w:rPr>
                <w:noProof/>
                <w:sz w:val="16"/>
              </w:rPr>
              <w:t xml:space="preserve">1,0 </w:t>
            </w:r>
          </w:p>
        </w:tc>
        <w:tc>
          <w:tcPr>
            <w:tcW w:w="678" w:type="pct"/>
            <w:vAlign w:val="center"/>
          </w:tcPr>
          <w:p w:rsidR="00A93FE6" w:rsidRDefault="008C548F">
            <w:pPr>
              <w:spacing w:beforeLines="20" w:before="48" w:afterLines="20" w:after="48"/>
              <w:jc w:val="center"/>
              <w:rPr>
                <w:noProof/>
                <w:sz w:val="16"/>
                <w:szCs w:val="16"/>
              </w:rPr>
            </w:pPr>
            <w:r>
              <w:rPr>
                <w:noProof/>
                <w:sz w:val="16"/>
              </w:rPr>
              <w:t xml:space="preserve">1,0 </w:t>
            </w:r>
          </w:p>
        </w:tc>
        <w:tc>
          <w:tcPr>
            <w:tcW w:w="678" w:type="pct"/>
            <w:vAlign w:val="center"/>
          </w:tcPr>
          <w:p w:rsidR="00A93FE6" w:rsidRDefault="008C548F">
            <w:pPr>
              <w:spacing w:beforeLines="20" w:before="48" w:afterLines="20" w:after="48"/>
              <w:jc w:val="center"/>
              <w:rPr>
                <w:noProof/>
                <w:sz w:val="16"/>
                <w:szCs w:val="16"/>
              </w:rPr>
            </w:pPr>
            <w:r>
              <w:rPr>
                <w:noProof/>
                <w:sz w:val="16"/>
              </w:rPr>
              <w:t xml:space="preserve">1,0 </w:t>
            </w:r>
          </w:p>
        </w:tc>
        <w:tc>
          <w:tcPr>
            <w:tcW w:w="884" w:type="pct"/>
            <w:vAlign w:val="center"/>
          </w:tcPr>
          <w:p w:rsidR="00A93FE6" w:rsidRDefault="008C548F">
            <w:pPr>
              <w:spacing w:beforeLines="20" w:before="48" w:afterLines="20" w:after="48"/>
              <w:jc w:val="center"/>
              <w:rPr>
                <w:noProof/>
                <w:sz w:val="16"/>
                <w:szCs w:val="16"/>
              </w:rPr>
            </w:pPr>
            <w:r>
              <w:rPr>
                <w:noProof/>
                <w:sz w:val="16"/>
              </w:rPr>
              <w:t xml:space="preserve">1,0 </w:t>
            </w: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4"/>
              <w:jc w:val="left"/>
              <w:rPr>
                <w:noProof/>
                <w:sz w:val="16"/>
                <w:szCs w:val="16"/>
              </w:rPr>
            </w:pPr>
            <w:r>
              <w:rPr>
                <w:noProof/>
                <w:sz w:val="16"/>
              </w:rPr>
              <w:t>XX 01 01 02 (delegaties)</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4"/>
              <w:jc w:val="left"/>
              <w:rPr>
                <w:noProof/>
                <w:sz w:val="16"/>
                <w:szCs w:val="16"/>
              </w:rPr>
            </w:pPr>
            <w:r>
              <w:rPr>
                <w:noProof/>
                <w:sz w:val="16"/>
              </w:rPr>
              <w:t>XX 01 05 01 (onderzoek door derden)</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4"/>
              <w:jc w:val="left"/>
              <w:rPr>
                <w:noProof/>
                <w:sz w:val="16"/>
                <w:szCs w:val="16"/>
              </w:rPr>
            </w:pPr>
            <w:r>
              <w:rPr>
                <w:noProof/>
                <w:sz w:val="16"/>
              </w:rPr>
              <w:t xml:space="preserve">10 01 </w:t>
            </w:r>
            <w:r>
              <w:rPr>
                <w:noProof/>
                <w:sz w:val="16"/>
              </w:rPr>
              <w:t>05 01 (eigen onderzoek)</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48"/>
          <w:jc w:val="center"/>
        </w:trPr>
        <w:tc>
          <w:tcPr>
            <w:tcW w:w="5000" w:type="pct"/>
            <w:gridSpan w:val="6"/>
            <w:vAlign w:val="center"/>
          </w:tcPr>
          <w:p w:rsidR="00A93FE6" w:rsidRDefault="008C548F">
            <w:pPr>
              <w:pStyle w:val="Text1"/>
              <w:spacing w:before="60" w:after="60"/>
              <w:ind w:left="0"/>
              <w:jc w:val="left"/>
              <w:rPr>
                <w:noProof/>
                <w:sz w:val="16"/>
                <w:szCs w:val="16"/>
              </w:rPr>
            </w:pPr>
            <w:r>
              <w:rPr>
                <w:b/>
                <w:noProof/>
                <w:sz w:val="16"/>
                <w:szCs w:val="16"/>
              </w:rPr>
              <w:sym w:font="Wingdings" w:char="F09F"/>
            </w:r>
            <w:r>
              <w:rPr>
                <w:b/>
                <w:noProof/>
                <w:sz w:val="16"/>
              </w:rPr>
              <w:t>Extern personeel (in voltijdequivalenten: VTE)</w:t>
            </w:r>
            <w:r>
              <w:rPr>
                <w:rStyle w:val="FootnoteReference"/>
                <w:b/>
                <w:noProof/>
                <w:sz w:val="16"/>
              </w:rPr>
              <w:footnoteReference w:id="25"/>
            </w: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6"/>
              <w:jc w:val="left"/>
              <w:rPr>
                <w:b/>
                <w:noProof/>
                <w:sz w:val="16"/>
                <w:szCs w:val="16"/>
              </w:rPr>
            </w:pPr>
            <w:r>
              <w:rPr>
                <w:noProof/>
                <w:sz w:val="16"/>
              </w:rPr>
              <w:t>09 01 02 01 (AC, END, INT van de "totale financiële middelen")</w:t>
            </w:r>
          </w:p>
        </w:tc>
        <w:tc>
          <w:tcPr>
            <w:tcW w:w="752" w:type="pct"/>
            <w:vAlign w:val="center"/>
          </w:tcPr>
          <w:p w:rsidR="00A93FE6" w:rsidRDefault="008C548F">
            <w:pPr>
              <w:spacing w:beforeLines="20" w:before="48" w:afterLines="20" w:after="48"/>
              <w:jc w:val="center"/>
              <w:rPr>
                <w:noProof/>
                <w:sz w:val="16"/>
                <w:szCs w:val="16"/>
              </w:rPr>
            </w:pPr>
            <w:r>
              <w:rPr>
                <w:noProof/>
                <w:sz w:val="16"/>
              </w:rPr>
              <w:t>1,0</w:t>
            </w:r>
          </w:p>
        </w:tc>
        <w:tc>
          <w:tcPr>
            <w:tcW w:w="678" w:type="pct"/>
            <w:vAlign w:val="center"/>
          </w:tcPr>
          <w:p w:rsidR="00A93FE6" w:rsidRDefault="008C548F">
            <w:pPr>
              <w:spacing w:beforeLines="20" w:before="48" w:afterLines="20" w:after="48"/>
              <w:jc w:val="center"/>
              <w:rPr>
                <w:noProof/>
                <w:sz w:val="16"/>
                <w:szCs w:val="16"/>
              </w:rPr>
            </w:pPr>
            <w:r>
              <w:rPr>
                <w:noProof/>
                <w:sz w:val="16"/>
              </w:rPr>
              <w:t>1,0</w:t>
            </w:r>
          </w:p>
        </w:tc>
        <w:tc>
          <w:tcPr>
            <w:tcW w:w="678" w:type="pct"/>
            <w:vAlign w:val="center"/>
          </w:tcPr>
          <w:p w:rsidR="00A93FE6" w:rsidRDefault="008C548F">
            <w:pPr>
              <w:spacing w:beforeLines="20" w:before="48" w:afterLines="20" w:after="48"/>
              <w:jc w:val="center"/>
              <w:rPr>
                <w:noProof/>
                <w:sz w:val="16"/>
                <w:szCs w:val="16"/>
              </w:rPr>
            </w:pPr>
            <w:r>
              <w:rPr>
                <w:noProof/>
                <w:sz w:val="16"/>
              </w:rPr>
              <w:t>1,0</w:t>
            </w:r>
          </w:p>
        </w:tc>
        <w:tc>
          <w:tcPr>
            <w:tcW w:w="884" w:type="pct"/>
            <w:vAlign w:val="center"/>
          </w:tcPr>
          <w:p w:rsidR="00A93FE6" w:rsidRDefault="008C548F">
            <w:pPr>
              <w:spacing w:beforeLines="20" w:before="48" w:afterLines="20" w:after="48"/>
              <w:jc w:val="center"/>
              <w:rPr>
                <w:noProof/>
                <w:sz w:val="16"/>
                <w:szCs w:val="16"/>
              </w:rPr>
            </w:pPr>
            <w:r>
              <w:rPr>
                <w:noProof/>
                <w:sz w:val="16"/>
              </w:rPr>
              <w:t>1,0</w:t>
            </w: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6"/>
              <w:jc w:val="left"/>
              <w:rPr>
                <w:noProof/>
                <w:sz w:val="16"/>
                <w:szCs w:val="16"/>
              </w:rPr>
            </w:pPr>
            <w:r>
              <w:rPr>
                <w:noProof/>
                <w:sz w:val="16"/>
              </w:rPr>
              <w:t>XX 01 02 02 (AC, AL, END, INT en JED in de delegaties)</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1003" w:type="pct"/>
            <w:vMerge w:val="restart"/>
            <w:vAlign w:val="center"/>
          </w:tcPr>
          <w:p w:rsidR="00A93FE6" w:rsidRDefault="008C548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26"/>
            </w:r>
          </w:p>
          <w:p w:rsidR="00A93FE6" w:rsidRDefault="00A93FE6">
            <w:pPr>
              <w:pStyle w:val="Text1"/>
              <w:spacing w:beforeLines="20" w:before="48" w:afterLines="20" w:after="48"/>
              <w:ind w:left="136"/>
              <w:jc w:val="left"/>
              <w:rPr>
                <w:b/>
                <w:noProof/>
                <w:sz w:val="16"/>
                <w:szCs w:val="16"/>
              </w:rPr>
            </w:pPr>
          </w:p>
        </w:tc>
        <w:tc>
          <w:tcPr>
            <w:tcW w:w="1005" w:type="pct"/>
            <w:vAlign w:val="center"/>
          </w:tcPr>
          <w:p w:rsidR="00A93FE6" w:rsidRDefault="008C548F">
            <w:pPr>
              <w:pStyle w:val="Text1"/>
              <w:spacing w:beforeLines="20" w:before="48" w:afterLines="20" w:after="48"/>
              <w:ind w:left="136"/>
              <w:jc w:val="left"/>
              <w:rPr>
                <w:b/>
                <w:noProof/>
                <w:sz w:val="16"/>
                <w:szCs w:val="16"/>
              </w:rPr>
            </w:pPr>
            <w:r>
              <w:rPr>
                <w:noProof/>
                <w:sz w:val="16"/>
              </w:rPr>
              <w:t>- zetel</w:t>
            </w:r>
          </w:p>
          <w:p w:rsidR="00A93FE6" w:rsidRDefault="00A93FE6">
            <w:pPr>
              <w:pStyle w:val="Text1"/>
              <w:spacing w:beforeLines="20" w:before="48" w:afterLines="20" w:after="48"/>
              <w:ind w:left="136"/>
              <w:jc w:val="left"/>
              <w:rPr>
                <w:b/>
                <w:noProof/>
                <w:sz w:val="16"/>
                <w:szCs w:val="16"/>
              </w:rPr>
            </w:pPr>
          </w:p>
        </w:tc>
        <w:tc>
          <w:tcPr>
            <w:tcW w:w="752" w:type="pct"/>
            <w:vAlign w:val="center"/>
          </w:tcPr>
          <w:p w:rsidR="00A93FE6" w:rsidRDefault="00A93FE6">
            <w:pPr>
              <w:pStyle w:val="Text1"/>
              <w:spacing w:beforeLines="20" w:before="48" w:afterLines="20" w:after="48"/>
              <w:ind w:left="0"/>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1003" w:type="pct"/>
            <w:vMerge/>
            <w:vAlign w:val="center"/>
          </w:tcPr>
          <w:p w:rsidR="00A93FE6" w:rsidRDefault="00A93FE6">
            <w:pPr>
              <w:pStyle w:val="Text1"/>
              <w:spacing w:beforeLines="20" w:before="48" w:afterLines="20" w:after="48"/>
              <w:ind w:left="136"/>
              <w:jc w:val="left"/>
              <w:rPr>
                <w:b/>
                <w:noProof/>
                <w:sz w:val="16"/>
                <w:szCs w:val="16"/>
              </w:rPr>
            </w:pPr>
          </w:p>
        </w:tc>
        <w:tc>
          <w:tcPr>
            <w:tcW w:w="1005" w:type="pct"/>
            <w:vAlign w:val="center"/>
          </w:tcPr>
          <w:p w:rsidR="00A93FE6" w:rsidRDefault="008C548F">
            <w:pPr>
              <w:pStyle w:val="Text1"/>
              <w:spacing w:beforeLines="20" w:before="48" w:afterLines="20" w:after="48"/>
              <w:ind w:left="136"/>
              <w:jc w:val="left"/>
              <w:rPr>
                <w:b/>
                <w:noProof/>
                <w:sz w:val="16"/>
                <w:szCs w:val="16"/>
              </w:rPr>
            </w:pPr>
            <w:r>
              <w:rPr>
                <w:noProof/>
                <w:sz w:val="16"/>
              </w:rPr>
              <w:t xml:space="preserve">- delegaties </w:t>
            </w:r>
          </w:p>
        </w:tc>
        <w:tc>
          <w:tcPr>
            <w:tcW w:w="752" w:type="pct"/>
            <w:vAlign w:val="center"/>
          </w:tcPr>
          <w:p w:rsidR="00A93FE6" w:rsidRDefault="00A93FE6">
            <w:pPr>
              <w:pStyle w:val="Text1"/>
              <w:spacing w:beforeLines="20" w:before="48" w:afterLines="20" w:after="48"/>
              <w:ind w:left="0"/>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vAlign w:val="center"/>
          </w:tcPr>
          <w:p w:rsidR="00A93FE6" w:rsidRDefault="008C548F">
            <w:pPr>
              <w:pStyle w:val="Text1"/>
              <w:spacing w:beforeLines="20" w:before="48" w:afterLines="20" w:after="48"/>
              <w:ind w:left="136"/>
              <w:jc w:val="left"/>
              <w:rPr>
                <w:noProof/>
                <w:sz w:val="16"/>
                <w:szCs w:val="16"/>
              </w:rPr>
            </w:pPr>
            <w:r>
              <w:rPr>
                <w:noProof/>
                <w:sz w:val="16"/>
              </w:rPr>
              <w:t>10 01 05 02 (AC, END, INT – eigen onderzoek)</w:t>
            </w:r>
          </w:p>
        </w:tc>
        <w:tc>
          <w:tcPr>
            <w:tcW w:w="752"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678" w:type="pct"/>
            <w:vAlign w:val="center"/>
          </w:tcPr>
          <w:p w:rsidR="00A93FE6" w:rsidRDefault="00A93FE6">
            <w:pPr>
              <w:spacing w:beforeLines="20" w:before="48" w:afterLines="20" w:after="48"/>
              <w:jc w:val="center"/>
              <w:rPr>
                <w:noProof/>
                <w:sz w:val="16"/>
                <w:szCs w:val="16"/>
              </w:rPr>
            </w:pPr>
          </w:p>
        </w:tc>
        <w:tc>
          <w:tcPr>
            <w:tcW w:w="884" w:type="pct"/>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tcBorders>
              <w:bottom w:val="double" w:sz="4" w:space="0" w:color="auto"/>
            </w:tcBorders>
            <w:vAlign w:val="center"/>
          </w:tcPr>
          <w:p w:rsidR="00A93FE6" w:rsidRDefault="008C548F">
            <w:pPr>
              <w:pStyle w:val="Text1"/>
              <w:spacing w:beforeLines="20" w:before="48" w:afterLines="20" w:after="48"/>
              <w:ind w:left="134"/>
              <w:jc w:val="left"/>
              <w:rPr>
                <w:noProof/>
                <w:sz w:val="16"/>
                <w:szCs w:val="16"/>
              </w:rPr>
            </w:pPr>
            <w:r>
              <w:rPr>
                <w:noProof/>
                <w:sz w:val="16"/>
              </w:rPr>
              <w:t>Ander begrotingsonderdeel (geef aan welk)</w:t>
            </w:r>
          </w:p>
        </w:tc>
        <w:tc>
          <w:tcPr>
            <w:tcW w:w="752" w:type="pct"/>
            <w:tcBorders>
              <w:bottom w:val="double" w:sz="4" w:space="0" w:color="auto"/>
            </w:tcBorders>
            <w:vAlign w:val="center"/>
          </w:tcPr>
          <w:p w:rsidR="00A93FE6" w:rsidRDefault="00A93FE6">
            <w:pPr>
              <w:spacing w:beforeLines="20" w:before="48" w:afterLines="20" w:after="48"/>
              <w:jc w:val="center"/>
              <w:rPr>
                <w:noProof/>
                <w:sz w:val="16"/>
                <w:szCs w:val="16"/>
              </w:rPr>
            </w:pPr>
          </w:p>
        </w:tc>
        <w:tc>
          <w:tcPr>
            <w:tcW w:w="678" w:type="pct"/>
            <w:tcBorders>
              <w:bottom w:val="double" w:sz="4" w:space="0" w:color="auto"/>
            </w:tcBorders>
            <w:vAlign w:val="center"/>
          </w:tcPr>
          <w:p w:rsidR="00A93FE6" w:rsidRDefault="00A93FE6">
            <w:pPr>
              <w:spacing w:beforeLines="20" w:before="48" w:afterLines="20" w:after="48"/>
              <w:jc w:val="center"/>
              <w:rPr>
                <w:noProof/>
                <w:sz w:val="16"/>
                <w:szCs w:val="16"/>
              </w:rPr>
            </w:pPr>
          </w:p>
        </w:tc>
        <w:tc>
          <w:tcPr>
            <w:tcW w:w="678" w:type="pct"/>
            <w:tcBorders>
              <w:bottom w:val="double" w:sz="4" w:space="0" w:color="auto"/>
            </w:tcBorders>
            <w:vAlign w:val="center"/>
          </w:tcPr>
          <w:p w:rsidR="00A93FE6" w:rsidRDefault="00A93FE6">
            <w:pPr>
              <w:spacing w:beforeLines="20" w:before="48" w:afterLines="20" w:after="48"/>
              <w:jc w:val="center"/>
              <w:rPr>
                <w:noProof/>
                <w:sz w:val="16"/>
                <w:szCs w:val="16"/>
              </w:rPr>
            </w:pPr>
          </w:p>
        </w:tc>
        <w:tc>
          <w:tcPr>
            <w:tcW w:w="884" w:type="pct"/>
            <w:tcBorders>
              <w:bottom w:val="double" w:sz="4" w:space="0" w:color="auto"/>
            </w:tcBorders>
            <w:vAlign w:val="center"/>
          </w:tcPr>
          <w:p w:rsidR="00A93FE6" w:rsidRDefault="00A93FE6">
            <w:pPr>
              <w:spacing w:beforeLines="20" w:before="48" w:afterLines="20" w:after="48"/>
              <w:jc w:val="center"/>
              <w:rPr>
                <w:noProof/>
                <w:sz w:val="16"/>
                <w:szCs w:val="16"/>
              </w:rPr>
            </w:pPr>
          </w:p>
        </w:tc>
      </w:tr>
      <w:tr w:rsidR="00A93FE6">
        <w:trPr>
          <w:trHeight w:val="289"/>
          <w:jc w:val="center"/>
        </w:trPr>
        <w:tc>
          <w:tcPr>
            <w:tcW w:w="2008" w:type="pct"/>
            <w:gridSpan w:val="2"/>
            <w:tcBorders>
              <w:top w:val="double" w:sz="4" w:space="0" w:color="auto"/>
            </w:tcBorders>
            <w:vAlign w:val="center"/>
          </w:tcPr>
          <w:p w:rsidR="00A93FE6" w:rsidRDefault="008C548F">
            <w:pPr>
              <w:pStyle w:val="Text1"/>
              <w:spacing w:beforeLines="20" w:before="48" w:afterLines="20" w:after="48"/>
              <w:ind w:left="136"/>
              <w:jc w:val="left"/>
              <w:rPr>
                <w:noProof/>
                <w:sz w:val="16"/>
                <w:szCs w:val="16"/>
              </w:rPr>
            </w:pPr>
            <w:r>
              <w:rPr>
                <w:b/>
                <w:noProof/>
                <w:sz w:val="16"/>
              </w:rPr>
              <w:t>TOTAAL</w:t>
            </w:r>
          </w:p>
        </w:tc>
        <w:tc>
          <w:tcPr>
            <w:tcW w:w="752" w:type="pct"/>
            <w:tcBorders>
              <w:top w:val="double" w:sz="4" w:space="0" w:color="auto"/>
            </w:tcBorders>
            <w:vAlign w:val="center"/>
          </w:tcPr>
          <w:p w:rsidR="00A93FE6" w:rsidRDefault="008C548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A93FE6" w:rsidRDefault="008C548F">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A93FE6" w:rsidRDefault="008C548F">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A93FE6" w:rsidRDefault="008C548F">
            <w:pPr>
              <w:spacing w:beforeLines="20" w:before="48" w:afterLines="20" w:after="48"/>
              <w:jc w:val="center"/>
              <w:rPr>
                <w:b/>
                <w:noProof/>
                <w:sz w:val="16"/>
                <w:szCs w:val="16"/>
              </w:rPr>
            </w:pPr>
            <w:r>
              <w:rPr>
                <w:b/>
                <w:noProof/>
                <w:sz w:val="16"/>
              </w:rPr>
              <w:t>2,0</w:t>
            </w:r>
          </w:p>
        </w:tc>
      </w:tr>
    </w:tbl>
    <w:p w:rsidR="00A93FE6" w:rsidRDefault="008C548F">
      <w:pPr>
        <w:pStyle w:val="Text1"/>
        <w:spacing w:before="60" w:after="60"/>
        <w:ind w:left="851"/>
        <w:rPr>
          <w:noProof/>
          <w:sz w:val="18"/>
          <w:szCs w:val="18"/>
        </w:rPr>
      </w:pPr>
      <w:r>
        <w:rPr>
          <w:b/>
          <w:noProof/>
          <w:sz w:val="18"/>
        </w:rPr>
        <w:t>09</w:t>
      </w:r>
      <w:r>
        <w:rPr>
          <w:noProof/>
          <w:sz w:val="18"/>
        </w:rPr>
        <w:t xml:space="preserve"> is het beleidsterrein of de begrotingstitel.</w:t>
      </w:r>
    </w:p>
    <w:p w:rsidR="00A93FE6" w:rsidRDefault="008C548F">
      <w:pPr>
        <w:pStyle w:val="Text1"/>
        <w:rPr>
          <w:noProof/>
          <w:sz w:val="18"/>
          <w:szCs w:val="18"/>
        </w:rPr>
      </w:pPr>
      <w:r>
        <w:rPr>
          <w:noProof/>
          <w:sz w:val="18"/>
        </w:rPr>
        <w:t xml:space="preserve">Voor de </w:t>
      </w:r>
      <w:r>
        <w:rPr>
          <w:noProof/>
          <w:sz w:val="18"/>
        </w:rPr>
        <w:t>benodigde personele middelen zal een beroep worden gedaan op het personeel van het DG dat reeds voor het beheer van deze actie is toegewezen en/of binnen het DG is herverdeeld, eventueel aangevuld met middelen die in het kader van de jaarlijkse toewijzings</w:t>
      </w:r>
      <w:r>
        <w:rPr>
          <w:noProof/>
          <w:sz w:val="18"/>
        </w:rPr>
        <w:t>procedure met inachtneming van de budgettaire beperkingen aan het beherende DG kunnen worden toegewezen.</w:t>
      </w:r>
    </w:p>
    <w:p w:rsidR="00A93FE6" w:rsidRDefault="008C548F">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A93FE6">
        <w:tc>
          <w:tcPr>
            <w:tcW w:w="3240" w:type="dxa"/>
          </w:tcPr>
          <w:p w:rsidR="00A93FE6" w:rsidRDefault="008C548F">
            <w:pPr>
              <w:rPr>
                <w:noProof/>
                <w:sz w:val="20"/>
              </w:rPr>
            </w:pPr>
            <w:r>
              <w:rPr>
                <w:noProof/>
                <w:sz w:val="20"/>
              </w:rPr>
              <w:t>Ambtenaren en tijdelijk personeel</w:t>
            </w:r>
          </w:p>
        </w:tc>
        <w:tc>
          <w:tcPr>
            <w:tcW w:w="7200" w:type="dxa"/>
          </w:tcPr>
          <w:p w:rsidR="00A93FE6" w:rsidRDefault="008C548F">
            <w:pPr>
              <w:rPr>
                <w:noProof/>
                <w:sz w:val="20"/>
                <w:highlight w:val="yellow"/>
              </w:rPr>
            </w:pPr>
            <w:r>
              <w:rPr>
                <w:noProof/>
                <w:sz w:val="20"/>
                <w:highlight w:val="yellow"/>
              </w:rPr>
              <w:t xml:space="preserve"> </w:t>
            </w:r>
          </w:p>
        </w:tc>
      </w:tr>
      <w:tr w:rsidR="00A93FE6">
        <w:tc>
          <w:tcPr>
            <w:tcW w:w="3240" w:type="dxa"/>
          </w:tcPr>
          <w:p w:rsidR="00A93FE6" w:rsidRDefault="008C548F">
            <w:pPr>
              <w:spacing w:before="60" w:after="60"/>
              <w:rPr>
                <w:noProof/>
                <w:sz w:val="20"/>
              </w:rPr>
            </w:pPr>
            <w:r>
              <w:rPr>
                <w:noProof/>
                <w:sz w:val="20"/>
              </w:rPr>
              <w:t>Extern personeel</w:t>
            </w:r>
          </w:p>
        </w:tc>
        <w:tc>
          <w:tcPr>
            <w:tcW w:w="7200" w:type="dxa"/>
          </w:tcPr>
          <w:p w:rsidR="00A93FE6" w:rsidRDefault="00A93FE6">
            <w:pPr>
              <w:rPr>
                <w:noProof/>
                <w:sz w:val="20"/>
                <w:highlight w:val="yellow"/>
              </w:rPr>
            </w:pPr>
          </w:p>
        </w:tc>
      </w:tr>
    </w:tbl>
    <w:p w:rsidR="00A93FE6" w:rsidRDefault="008C548F">
      <w:pPr>
        <w:pStyle w:val="ManualHeading3"/>
        <w:rPr>
          <w:bCs/>
          <w:noProof/>
          <w:szCs w:val="24"/>
        </w:rPr>
      </w:pPr>
      <w:r>
        <w:t>3.2.4.</w:t>
      </w:r>
      <w:r>
        <w:tab/>
      </w:r>
      <w:r>
        <w:rPr>
          <w:noProof/>
        </w:rPr>
        <w:t xml:space="preserve">Verenigbaarheid met het huidige meerjarige financiële kader </w:t>
      </w:r>
    </w:p>
    <w:p w:rsidR="00A93FE6" w:rsidRDefault="008C548F">
      <w:pPr>
        <w:pStyle w:val="ListDash1"/>
        <w:rPr>
          <w:noProof/>
        </w:rPr>
      </w:pPr>
      <w:r>
        <w:rPr>
          <w:noProof/>
        </w:rPr>
        <w:t>X</w:t>
      </w:r>
      <w:r>
        <w:rPr>
          <w:noProof/>
        </w:rPr>
        <w:tab/>
        <w:t>Het voorstel/initiatief is verenigbaar met het huidige meerjarige financiële kader.</w:t>
      </w:r>
    </w:p>
    <w:p w:rsidR="00A93FE6" w:rsidRDefault="008C548F">
      <w:pPr>
        <w:pStyle w:val="ListDash1"/>
        <w:rPr>
          <w:noProof/>
        </w:rPr>
      </w:pPr>
      <w:r>
        <w:rPr>
          <w:noProof/>
          <w:szCs w:val="24"/>
        </w:rPr>
        <w:sym w:font="Wingdings" w:char="F0A8"/>
      </w:r>
      <w:r>
        <w:rPr>
          <w:noProof/>
        </w:rPr>
        <w:tab/>
      </w:r>
      <w:r>
        <w:rPr>
          <w:noProof/>
          <w:szCs w:val="24"/>
        </w:rPr>
        <w:sym w:font="Wingdings" w:char="F0A8"/>
      </w:r>
      <w:r>
        <w:rPr>
          <w:noProof/>
        </w:rPr>
        <w:t>Het voorstel/initiatief vergt herprogrammering van de betrokken rubriek van het meerjarige financiële kade</w:t>
      </w:r>
      <w:r>
        <w:rPr>
          <w:noProof/>
        </w:rPr>
        <w:t>r.</w:t>
      </w:r>
    </w:p>
    <w:p w:rsidR="00A93FE6" w:rsidRDefault="008C548F">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rsidR="00A93FE6" w:rsidRDefault="008C548F">
      <w:pPr>
        <w:pStyle w:val="ListDash1"/>
        <w:rPr>
          <w:noProof/>
        </w:rPr>
      </w:pPr>
      <w:r>
        <w:rPr>
          <w:noProof/>
          <w:szCs w:val="24"/>
        </w:rPr>
        <w:sym w:font="Wingdings" w:char="F0A8"/>
      </w:r>
      <w:r>
        <w:rPr>
          <w:noProof/>
        </w:rPr>
        <w:tab/>
      </w:r>
      <w:r>
        <w:rPr>
          <w:noProof/>
          <w:szCs w:val="24"/>
        </w:rPr>
        <w:sym w:font="Wingdings" w:char="F0A8"/>
      </w:r>
      <w:r>
        <w:rPr>
          <w:noProof/>
        </w:rPr>
        <w:t>Het voorstel/initiatief vergt toepassing van het flexibiliteitsinstrument of herziening van het meerjarige financiële ka</w:t>
      </w:r>
      <w:r>
        <w:rPr>
          <w:noProof/>
        </w:rPr>
        <w:t>der.</w:t>
      </w:r>
    </w:p>
    <w:p w:rsidR="00A93FE6" w:rsidRDefault="008C548F">
      <w:pPr>
        <w:pStyle w:val="Text1"/>
        <w:pBdr>
          <w:top w:val="single" w:sz="4" w:space="1" w:color="auto"/>
          <w:left w:val="single" w:sz="4" w:space="4" w:color="auto"/>
          <w:bottom w:val="single" w:sz="4" w:space="1" w:color="auto"/>
          <w:right w:val="single" w:sz="4" w:space="4" w:color="auto"/>
        </w:pBdr>
        <w:rPr>
          <w:noProof/>
        </w:rPr>
      </w:pPr>
      <w:r>
        <w:rPr>
          <w:noProof/>
          <w:sz w:val="20"/>
        </w:rPr>
        <w:t>Zet uiteen wat nodig is, onder vermelding van de betrokken rubrieken en begrotingsonderdelen en de desbetreffende bedragen.</w:t>
      </w:r>
    </w:p>
    <w:p w:rsidR="00A93FE6" w:rsidRDefault="008C548F">
      <w:pPr>
        <w:pStyle w:val="ManualHeading3"/>
        <w:rPr>
          <w:bCs/>
          <w:noProof/>
          <w:szCs w:val="24"/>
        </w:rPr>
      </w:pPr>
      <w:r>
        <w:t>3.2.5.</w:t>
      </w:r>
      <w:r>
        <w:tab/>
      </w:r>
      <w:r>
        <w:rPr>
          <w:noProof/>
        </w:rPr>
        <w:t xml:space="preserve">Bijdragen van derden </w:t>
      </w:r>
    </w:p>
    <w:p w:rsidR="00A93FE6" w:rsidRDefault="008C548F">
      <w:pPr>
        <w:pStyle w:val="ListDash1"/>
        <w:rPr>
          <w:noProof/>
        </w:rPr>
      </w:pPr>
      <w:r>
        <w:rPr>
          <w:noProof/>
        </w:rPr>
        <w:t xml:space="preserve">Het voorstel/initiatief voorziet niet in medefinanciering door derden. </w:t>
      </w:r>
    </w:p>
    <w:p w:rsidR="00A93FE6" w:rsidRDefault="008C548F">
      <w:pPr>
        <w:pStyle w:val="ManualHeading2"/>
        <w:rPr>
          <w:noProof/>
        </w:rPr>
      </w:pPr>
      <w:r>
        <w:t>3.3.</w:t>
      </w:r>
      <w:r>
        <w:tab/>
      </w:r>
      <w:r>
        <w:rPr>
          <w:noProof/>
        </w:rPr>
        <w:t xml:space="preserve">Geraamde gevolgen voor de ontvangsten </w:t>
      </w:r>
    </w:p>
    <w:p w:rsidR="00A93FE6" w:rsidRDefault="008C548F">
      <w:pPr>
        <w:pStyle w:val="ListDash1"/>
        <w:rPr>
          <w:strike/>
          <w:noProof/>
        </w:rPr>
      </w:pPr>
      <w:r>
        <w:rPr>
          <w:noProof/>
        </w:rPr>
        <w:t>X</w:t>
      </w:r>
      <w:r>
        <w:rPr>
          <w:noProof/>
        </w:rPr>
        <w:tab/>
        <w:t>Het voorstel/initiatief heeft geen financiële gevolgen voor de ontvangsten.</w:t>
      </w:r>
    </w:p>
    <w:p w:rsidR="00A93FE6" w:rsidRDefault="00A93FE6">
      <w:pPr>
        <w:spacing w:before="0" w:after="200" w:line="276" w:lineRule="auto"/>
        <w:jc w:val="left"/>
        <w:rPr>
          <w:i/>
          <w:noProof/>
        </w:rPr>
        <w:sectPr w:rsidR="00A93FE6" w:rsidSect="008C548F">
          <w:pgSz w:w="11907" w:h="16839"/>
          <w:pgMar w:top="1134" w:right="1417" w:bottom="1134" w:left="1417" w:header="709" w:footer="709" w:gutter="0"/>
          <w:cols w:space="708"/>
          <w:docGrid w:linePitch="360"/>
        </w:sectPr>
      </w:pPr>
    </w:p>
    <w:p w:rsidR="00A93FE6" w:rsidRDefault="00A93FE6">
      <w:pPr>
        <w:jc w:val="center"/>
        <w:rPr>
          <w:b/>
          <w:bCs/>
          <w:noProof/>
          <w:sz w:val="28"/>
          <w:szCs w:val="28"/>
          <w:u w:val="single"/>
        </w:rPr>
      </w:pPr>
    </w:p>
    <w:p w:rsidR="00A93FE6" w:rsidRDefault="00A93FE6">
      <w:pPr>
        <w:jc w:val="center"/>
        <w:rPr>
          <w:b/>
          <w:bCs/>
          <w:noProof/>
          <w:sz w:val="28"/>
          <w:szCs w:val="28"/>
          <w:u w:val="single"/>
        </w:rPr>
      </w:pPr>
    </w:p>
    <w:p w:rsidR="00A93FE6" w:rsidRDefault="008C548F">
      <w:pPr>
        <w:jc w:val="center"/>
        <w:rPr>
          <w:b/>
          <w:bCs/>
          <w:noProof/>
          <w:sz w:val="36"/>
          <w:szCs w:val="36"/>
          <w:u w:val="single"/>
        </w:rPr>
      </w:pPr>
      <w:r>
        <w:rPr>
          <w:b/>
          <w:noProof/>
          <w:sz w:val="36"/>
          <w:u w:val="single"/>
        </w:rPr>
        <w:t>BIJLAGE</w:t>
      </w:r>
      <w:r>
        <w:rPr>
          <w:noProof/>
        </w:rPr>
        <w:br/>
      </w:r>
      <w:r>
        <w:rPr>
          <w:b/>
          <w:noProof/>
          <w:sz w:val="36"/>
          <w:u w:val="single"/>
        </w:rPr>
        <w:t>bij het FINANCIEEL MEMORANDUM</w:t>
      </w:r>
    </w:p>
    <w:p w:rsidR="00A93FE6" w:rsidRDefault="00A93FE6">
      <w:pPr>
        <w:jc w:val="center"/>
        <w:rPr>
          <w:noProof/>
        </w:rPr>
      </w:pPr>
    </w:p>
    <w:p w:rsidR="00A93FE6" w:rsidRDefault="00A93FE6">
      <w:pPr>
        <w:outlineLvl w:val="0"/>
        <w:rPr>
          <w:b/>
          <w:bCs/>
          <w:noProof/>
        </w:rPr>
      </w:pPr>
    </w:p>
    <w:p w:rsidR="00A93FE6" w:rsidRDefault="00A93FE6">
      <w:pPr>
        <w:outlineLvl w:val="0"/>
        <w:rPr>
          <w:b/>
          <w:bCs/>
          <w:noProof/>
        </w:rPr>
      </w:pPr>
    </w:p>
    <w:p w:rsidR="00A93FE6" w:rsidRDefault="00A93FE6">
      <w:pPr>
        <w:outlineLvl w:val="0"/>
        <w:rPr>
          <w:b/>
          <w:bCs/>
          <w:noProof/>
        </w:rPr>
      </w:pPr>
    </w:p>
    <w:p w:rsidR="00A93FE6" w:rsidRDefault="008C548F">
      <w:pPr>
        <w:spacing w:before="240"/>
        <w:ind w:left="360"/>
        <w:jc w:val="center"/>
        <w:rPr>
          <w:noProof/>
        </w:rPr>
      </w:pPr>
      <w:r>
        <w:rPr>
          <w:noProof/>
        </w:rPr>
        <w:t>Benaming van het voorstel/initiatief:</w:t>
      </w:r>
    </w:p>
    <w:p w:rsidR="00A93FE6" w:rsidRDefault="008C548F">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 xml:space="preserve">Voorstel voor een verordening tot </w:t>
      </w:r>
      <w:r>
        <w:rPr>
          <w:noProof/>
          <w:color w:val="808080"/>
        </w:rPr>
        <w:t>wijziging van de Verordeningen (EU) nr. 1316/2013 en (EU) nr. 283/2014 wat de bevordering van internetconnectiviteit in lokale gemeenschappen betreft</w:t>
      </w:r>
    </w:p>
    <w:p w:rsidR="00A93FE6" w:rsidRDefault="00A93FE6">
      <w:pPr>
        <w:outlineLvl w:val="0"/>
        <w:rPr>
          <w:b/>
          <w:bCs/>
          <w:noProof/>
        </w:rPr>
      </w:pPr>
    </w:p>
    <w:p w:rsidR="00A93FE6" w:rsidRDefault="008C548F">
      <w:pPr>
        <w:pStyle w:val="ManualHeading1"/>
        <w:rPr>
          <w:noProof/>
          <w:szCs w:val="32"/>
        </w:rPr>
      </w:pPr>
      <w:r>
        <w:t>1.</w:t>
      </w:r>
      <w:r>
        <w:tab/>
      </w:r>
      <w:r>
        <w:rPr>
          <w:noProof/>
        </w:rPr>
        <w:t>NODIG GEACHTE PERSONELE MIDDELEN en KOSTEN DAARVAN</w:t>
      </w:r>
    </w:p>
    <w:p w:rsidR="00A93FE6" w:rsidRDefault="008C548F">
      <w:pPr>
        <w:pStyle w:val="ManualHeading1"/>
        <w:rPr>
          <w:noProof/>
          <w:szCs w:val="32"/>
        </w:rPr>
      </w:pPr>
      <w:r>
        <w:t>2.</w:t>
      </w:r>
      <w:r>
        <w:tab/>
      </w:r>
      <w:r>
        <w:rPr>
          <w:noProof/>
        </w:rPr>
        <w:t>ANDERE ADMINISTRATIEVE UITGAVEN</w:t>
      </w:r>
    </w:p>
    <w:p w:rsidR="00A93FE6" w:rsidRDefault="008C548F">
      <w:pPr>
        <w:pStyle w:val="ManualHeading1"/>
        <w:rPr>
          <w:noProof/>
          <w:szCs w:val="32"/>
        </w:rPr>
      </w:pPr>
      <w:r>
        <w:t>3.</w:t>
      </w:r>
      <w:r>
        <w:tab/>
      </w:r>
      <w:r>
        <w:rPr>
          <w:noProof/>
        </w:rPr>
        <w:t>VOOR KOSTENRA</w:t>
      </w:r>
      <w:r>
        <w:rPr>
          <w:noProof/>
        </w:rPr>
        <w:t>MINGEN GEBRUIKTE BEREKENINGSMETHODEN</w:t>
      </w:r>
    </w:p>
    <w:p w:rsidR="00A93FE6" w:rsidRDefault="008C548F">
      <w:pPr>
        <w:pStyle w:val="ManualHeading2"/>
        <w:rPr>
          <w:noProof/>
          <w:szCs w:val="32"/>
        </w:rPr>
      </w:pPr>
      <w:r>
        <w:t>3.1.</w:t>
      </w:r>
      <w:r>
        <w:tab/>
      </w:r>
      <w:r>
        <w:rPr>
          <w:noProof/>
        </w:rPr>
        <w:t>Personele middelen</w:t>
      </w:r>
    </w:p>
    <w:p w:rsidR="00A93FE6" w:rsidRDefault="008C548F">
      <w:pPr>
        <w:pStyle w:val="ManualHeading2"/>
        <w:rPr>
          <w:noProof/>
          <w:szCs w:val="32"/>
        </w:rPr>
      </w:pPr>
      <w:r>
        <w:t>3.2.</w:t>
      </w:r>
      <w:r>
        <w:tab/>
      </w:r>
      <w:r>
        <w:rPr>
          <w:noProof/>
        </w:rPr>
        <w:t>Andere administratieve uitgaven</w:t>
      </w:r>
    </w:p>
    <w:p w:rsidR="00A93FE6" w:rsidRDefault="00A93FE6">
      <w:pPr>
        <w:spacing w:before="240" w:after="240"/>
        <w:rPr>
          <w:rFonts w:ascii="Times New Roman Bold" w:hAnsi="Times New Roman Bold"/>
          <w:bCs/>
          <w:noProof/>
          <w:sz w:val="32"/>
          <w:szCs w:val="32"/>
        </w:rPr>
      </w:pPr>
    </w:p>
    <w:p w:rsidR="00A93FE6" w:rsidRDefault="00A93FE6">
      <w:pPr>
        <w:spacing w:before="240" w:after="240"/>
        <w:rPr>
          <w:rFonts w:ascii="Times New Roman Bold" w:hAnsi="Times New Roman Bold"/>
          <w:bCs/>
          <w:noProof/>
          <w:sz w:val="32"/>
          <w:szCs w:val="32"/>
        </w:rPr>
      </w:pPr>
    </w:p>
    <w:p w:rsidR="00A93FE6" w:rsidRDefault="00A93FE6">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A93FE6" w:rsidRDefault="008C548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Deze bijlage moet het financieel memorandum vergezellen wanneer met de dienstenoverkoepelende raadpleging wordt begonnen.</w:t>
      </w:r>
    </w:p>
    <w:p w:rsidR="00A93FE6" w:rsidRDefault="008C548F">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De gegevens in tabelvorm worden </w:t>
      </w:r>
      <w:r>
        <w:rPr>
          <w:i/>
          <w:noProof/>
          <w:sz w:val="22"/>
        </w:rPr>
        <w:t>gebruikt als bron voor de in het financieel memorandum opgenomen tabellen. Zij zijn voor strikt intern gebruik binnen de Commissie.</w:t>
      </w:r>
    </w:p>
    <w:p w:rsidR="00A93FE6" w:rsidRDefault="00A93FE6">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A93FE6" w:rsidRDefault="00A93FE6">
      <w:pPr>
        <w:spacing w:after="80"/>
        <w:rPr>
          <w:b/>
          <w:bCs/>
          <w:noProof/>
        </w:rPr>
      </w:pPr>
    </w:p>
    <w:p w:rsidR="00A93FE6" w:rsidRDefault="00A93FE6">
      <w:pPr>
        <w:rPr>
          <w:noProof/>
        </w:rPr>
        <w:sectPr w:rsidR="00A93FE6" w:rsidSect="008C548F">
          <w:pgSz w:w="12240" w:h="15840" w:code="1"/>
          <w:pgMar w:top="902" w:right="1134" w:bottom="1247" w:left="902" w:header="709" w:footer="709" w:gutter="0"/>
          <w:cols w:space="708"/>
          <w:docGrid w:linePitch="360"/>
        </w:sectPr>
      </w:pPr>
    </w:p>
    <w:p w:rsidR="00A93FE6" w:rsidRDefault="008C548F">
      <w:pPr>
        <w:pStyle w:val="ManualHeading1"/>
        <w:rPr>
          <w:noProof/>
        </w:rPr>
      </w:pPr>
      <w:r>
        <w:t>1.</w:t>
      </w:r>
      <w:r>
        <w:tab/>
      </w:r>
      <w:r>
        <w:rPr>
          <w:noProof/>
        </w:rPr>
        <w:t>Kosten van nodig geachte aantal personele middelen</w:t>
      </w:r>
      <w:r>
        <w:rPr>
          <w:noProof/>
        </w:rPr>
        <w:tab/>
      </w:r>
    </w:p>
    <w:p w:rsidR="00A93FE6" w:rsidRDefault="008C548F">
      <w:pPr>
        <w:pStyle w:val="Point1"/>
        <w:spacing w:after="0"/>
        <w:ind w:left="2263" w:hanging="284"/>
        <w:rPr>
          <w:noProof/>
        </w:rPr>
      </w:pPr>
      <w:r>
        <w:rPr>
          <w:noProof/>
        </w:rPr>
        <w:sym w:font="Wingdings" w:char="F0A8"/>
      </w:r>
      <w:r>
        <w:rPr>
          <w:noProof/>
        </w:rPr>
        <w:tab/>
      </w:r>
      <w:r>
        <w:rPr>
          <w:noProof/>
          <w:sz w:val="22"/>
        </w:rPr>
        <w:t>Voor het voorstel/initiatief zijn geen person</w:t>
      </w:r>
      <w:r>
        <w:rPr>
          <w:noProof/>
          <w:sz w:val="22"/>
        </w:rPr>
        <w:t>ele middelen nodig</w:t>
      </w:r>
    </w:p>
    <w:p w:rsidR="00A93FE6" w:rsidRDefault="008C548F">
      <w:pPr>
        <w:pStyle w:val="Text1"/>
        <w:spacing w:before="60" w:after="0"/>
        <w:ind w:left="2263" w:hanging="284"/>
        <w:rPr>
          <w:noProof/>
        </w:rPr>
      </w:pPr>
      <w:r>
        <w:rPr>
          <w:noProof/>
        </w:rPr>
        <w:t xml:space="preserve">X </w:t>
      </w:r>
      <w:r>
        <w:rPr>
          <w:noProof/>
          <w:sz w:val="22"/>
        </w:rPr>
        <w:t>Voor het voorstel/initiatief zijn personele middelen nodig, zoals hieronder nader wordt beschreven:</w:t>
      </w:r>
    </w:p>
    <w:p w:rsidR="00A93FE6" w:rsidRDefault="00A93FE6">
      <w:pPr>
        <w:jc w:val="right"/>
        <w:rPr>
          <w:rFonts w:ascii="Arial Narrow" w:hAnsi="Arial Narrow"/>
          <w:iCs/>
          <w:noProof/>
          <w:sz w:val="20"/>
          <w:szCs w:val="20"/>
        </w:rPr>
      </w:pPr>
    </w:p>
    <w:p w:rsidR="00A93FE6" w:rsidRDefault="008C548F">
      <w:pPr>
        <w:jc w:val="right"/>
        <w:rPr>
          <w:iCs/>
          <w:noProof/>
          <w:sz w:val="20"/>
          <w:szCs w:val="20"/>
        </w:rPr>
      </w:pPr>
      <w:r>
        <w:rPr>
          <w:noProof/>
          <w:sz w:val="20"/>
        </w:rPr>
        <w:t>in miljoen EUR (tot op drie decimalen)</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A93FE6">
        <w:trPr>
          <w:trHeight w:val="289"/>
        </w:trPr>
        <w:tc>
          <w:tcPr>
            <w:tcW w:w="3960" w:type="dxa"/>
            <w:gridSpan w:val="2"/>
            <w:vMerge w:val="restart"/>
            <w:shd w:val="pct50" w:color="C0C0C0" w:fill="auto"/>
            <w:vAlign w:val="center"/>
          </w:tcPr>
          <w:p w:rsidR="00A93FE6" w:rsidRDefault="008C548F">
            <w:pPr>
              <w:jc w:val="center"/>
              <w:rPr>
                <w:rFonts w:ascii="Arial Narrow" w:hAnsi="Arial Narrow"/>
                <w:noProof/>
                <w:sz w:val="16"/>
                <w:szCs w:val="16"/>
              </w:rPr>
            </w:pPr>
            <w:r>
              <w:rPr>
                <w:rFonts w:ascii="Arial Narrow" w:hAnsi="Arial Narrow"/>
                <w:b/>
                <w:noProof/>
                <w:sz w:val="22"/>
              </w:rPr>
              <w:t>RUBRIEK 5</w:t>
            </w:r>
            <w:r>
              <w:rPr>
                <w:noProof/>
              </w:rPr>
              <w:br/>
            </w:r>
            <w:r>
              <w:rPr>
                <w:rFonts w:ascii="Arial Narrow" w:hAnsi="Arial Narrow"/>
                <w:noProof/>
                <w:sz w:val="22"/>
              </w:rPr>
              <w:t>van het meerjarige financiële kader</w:t>
            </w:r>
          </w:p>
        </w:tc>
        <w:tc>
          <w:tcPr>
            <w:tcW w:w="1743" w:type="dxa"/>
            <w:gridSpan w:val="2"/>
            <w:shd w:val="pct10" w:color="CCFFFF" w:fill="auto"/>
            <w:vAlign w:val="center"/>
          </w:tcPr>
          <w:p w:rsidR="00A93FE6" w:rsidRDefault="008C548F">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A93FE6" w:rsidRDefault="008C548F">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A93FE6" w:rsidRDefault="008C548F">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A93FE6" w:rsidRDefault="008C548F">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color w:val="0000FF"/>
                <w:sz w:val="16"/>
              </w:rPr>
              <w:t>... vul zoveel jaren in als n</w:t>
            </w:r>
            <w:r>
              <w:rPr>
                <w:rFonts w:ascii="Arial Narrow" w:hAnsi="Arial Narrow"/>
                <w:noProof/>
                <w:color w:val="0000FF"/>
                <w:sz w:val="16"/>
              </w:rPr>
              <w:t>odig om de duur van de gevolgen weer te geven (zie punt 1.6)</w:t>
            </w:r>
          </w:p>
        </w:tc>
        <w:tc>
          <w:tcPr>
            <w:tcW w:w="1744" w:type="dxa"/>
            <w:gridSpan w:val="2"/>
            <w:tcBorders>
              <w:right w:val="single" w:sz="6" w:space="0" w:color="auto"/>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20"/>
              </w:rPr>
              <w:t>TOTAAL</w:t>
            </w:r>
          </w:p>
        </w:tc>
      </w:tr>
      <w:tr w:rsidR="00A93FE6">
        <w:trPr>
          <w:trHeight w:val="289"/>
        </w:trPr>
        <w:tc>
          <w:tcPr>
            <w:tcW w:w="3960" w:type="dxa"/>
            <w:gridSpan w:val="2"/>
            <w:vMerge/>
            <w:shd w:val="pct50" w:color="C0C0C0" w:fill="auto"/>
            <w:vAlign w:val="center"/>
          </w:tcPr>
          <w:p w:rsidR="00A93FE6" w:rsidRDefault="00A93FE6">
            <w:pPr>
              <w:jc w:val="center"/>
              <w:rPr>
                <w:rFonts w:ascii="Arial Narrow" w:hAnsi="Arial Narrow"/>
                <w:noProof/>
                <w:sz w:val="16"/>
                <w:szCs w:val="16"/>
              </w:rPr>
            </w:pPr>
          </w:p>
        </w:tc>
        <w:tc>
          <w:tcPr>
            <w:tcW w:w="666" w:type="dxa"/>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single" w:sz="6" w:space="0" w:color="auto"/>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r>
      <w:tr w:rsidR="00A93FE6">
        <w:trPr>
          <w:trHeight w:val="289"/>
        </w:trPr>
        <w:tc>
          <w:tcPr>
            <w:tcW w:w="14423" w:type="dxa"/>
            <w:gridSpan w:val="14"/>
            <w:shd w:val="pct10" w:color="CCFFFF" w:fill="CCFFCC"/>
            <w:vAlign w:val="center"/>
          </w:tcPr>
          <w:p w:rsidR="00A93FE6" w:rsidRDefault="008C548F">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Posten opgenomen in de lijst van het aantal ambten (ambtenaren en tijdelijke functionarissen)</w:t>
            </w:r>
          </w:p>
        </w:tc>
      </w:tr>
      <w:tr w:rsidR="00A93FE6">
        <w:trPr>
          <w:trHeight w:val="289"/>
        </w:trPr>
        <w:tc>
          <w:tcPr>
            <w:tcW w:w="3342" w:type="dxa"/>
            <w:vMerge w:val="restart"/>
            <w:shd w:val="pct10" w:color="CCFFFF" w:fill="auto"/>
            <w:vAlign w:val="center"/>
          </w:tcPr>
          <w:p w:rsidR="00A93FE6" w:rsidRDefault="008C548F">
            <w:pPr>
              <w:pStyle w:val="Text1"/>
              <w:spacing w:before="40" w:after="40"/>
              <w:ind w:left="0"/>
              <w:rPr>
                <w:rFonts w:ascii="Arial Narrow" w:hAnsi="Arial Narrow"/>
                <w:i/>
                <w:noProof/>
                <w:sz w:val="20"/>
                <w:szCs w:val="20"/>
              </w:rPr>
            </w:pPr>
            <w:r>
              <w:rPr>
                <w:rFonts w:ascii="Arial Narrow" w:hAnsi="Arial Narrow"/>
                <w:noProof/>
                <w:sz w:val="20"/>
              </w:rPr>
              <w:t xml:space="preserve">09 </w:t>
            </w:r>
            <w:r>
              <w:rPr>
                <w:rFonts w:ascii="Arial Narrow" w:hAnsi="Arial Narrow"/>
                <w:noProof/>
                <w:sz w:val="20"/>
              </w:rPr>
              <w:t>01 01 01 (zetel en vertegenwoordigingen van de Commissie)</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0,536</w:t>
            </w:r>
          </w:p>
        </w:tc>
      </w:tr>
      <w:tr w:rsidR="00A93FE6">
        <w:trPr>
          <w:trHeight w:val="289"/>
        </w:trPr>
        <w:tc>
          <w:tcPr>
            <w:tcW w:w="3342" w:type="dxa"/>
            <w:vMerge/>
            <w:tcBorders>
              <w:bottom w:val="single" w:sz="6" w:space="0" w:color="auto"/>
            </w:tcBorders>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val="restart"/>
            <w:shd w:val="pct10" w:color="CCFFFF" w:fill="auto"/>
            <w:vAlign w:val="center"/>
          </w:tcPr>
          <w:p w:rsidR="00A93FE6" w:rsidRDefault="008C548F">
            <w:pPr>
              <w:pStyle w:val="Text1"/>
              <w:spacing w:before="40" w:after="40"/>
              <w:ind w:left="0"/>
              <w:rPr>
                <w:rFonts w:ascii="Arial Narrow" w:hAnsi="Arial Narrow"/>
                <w:i/>
                <w:noProof/>
                <w:sz w:val="20"/>
                <w:szCs w:val="20"/>
              </w:rPr>
            </w:pPr>
            <w:r>
              <w:rPr>
                <w:rFonts w:ascii="Arial Narrow" w:hAnsi="Arial Narrow"/>
                <w:noProof/>
                <w:sz w:val="20"/>
              </w:rPr>
              <w:t>XX 01 01 02 (EU-delegaties)</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tcBorders>
              <w:bottom w:val="single" w:sz="6" w:space="0" w:color="auto"/>
            </w:tcBorders>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4423" w:type="dxa"/>
            <w:gridSpan w:val="14"/>
            <w:shd w:val="pct10" w:color="CCFFFF" w:fill="FFFF99"/>
            <w:vAlign w:val="center"/>
          </w:tcPr>
          <w:p w:rsidR="00A93FE6" w:rsidRDefault="008C548F">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 personeel</w:t>
            </w:r>
            <w:r>
              <w:rPr>
                <w:rStyle w:val="FootnoteReference"/>
              </w:rPr>
              <w:footnoteReference w:id="27"/>
            </w:r>
          </w:p>
        </w:tc>
      </w:tr>
      <w:tr w:rsidR="00A93FE6">
        <w:trPr>
          <w:trHeight w:val="289"/>
        </w:trPr>
        <w:tc>
          <w:tcPr>
            <w:tcW w:w="3342" w:type="dxa"/>
            <w:vMerge w:val="restart"/>
            <w:shd w:val="pct10" w:color="CCFFFF" w:fill="auto"/>
            <w:vAlign w:val="center"/>
          </w:tcPr>
          <w:p w:rsidR="00A93FE6" w:rsidRDefault="008C548F">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(totale financiële middelen)</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A93FE6" w:rsidRDefault="008C548F">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8C548F">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0,280</w:t>
            </w: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val="restart"/>
            <w:shd w:val="pct10" w:color="CCFFFF" w:fill="auto"/>
            <w:vAlign w:val="center"/>
          </w:tcPr>
          <w:p w:rsidR="00A93FE6" w:rsidRDefault="008C548F">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(EU-delegaties)</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21"/>
        </w:trPr>
        <w:tc>
          <w:tcPr>
            <w:tcW w:w="3342" w:type="dxa"/>
            <w:tcBorders>
              <w:bottom w:val="single" w:sz="12" w:space="0" w:color="auto"/>
            </w:tcBorders>
            <w:shd w:val="pct10" w:color="CCFFFF" w:fill="auto"/>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Ander beg</w:t>
            </w:r>
            <w:r>
              <w:rPr>
                <w:rFonts w:ascii="Arial Narrow" w:hAnsi="Arial Narrow"/>
                <w:noProof/>
                <w:sz w:val="20"/>
              </w:rPr>
              <w:t>rotingsonderdeel (</w:t>
            </w:r>
            <w:r>
              <w:rPr>
                <w:rFonts w:ascii="Arial Narrow" w:hAnsi="Arial Narrow"/>
                <w:i/>
                <w:noProof/>
                <w:sz w:val="20"/>
              </w:rPr>
              <w:t>geef aan welk</w:t>
            </w:r>
            <w:r>
              <w:rPr>
                <w:rFonts w:ascii="Arial Narrow" w:hAnsi="Arial Narrow"/>
                <w:noProof/>
                <w:sz w:val="20"/>
              </w:rPr>
              <w:t>)</w:t>
            </w:r>
          </w:p>
        </w:tc>
        <w:tc>
          <w:tcPr>
            <w:tcW w:w="618" w:type="dxa"/>
            <w:tcBorders>
              <w:bottom w:val="single" w:sz="12" w:space="0" w:color="auto"/>
            </w:tcBorders>
            <w:shd w:val="pct10" w:color="CCFFFF" w:fill="auto"/>
            <w:vAlign w:val="center"/>
          </w:tcPr>
          <w:p w:rsidR="00A93FE6" w:rsidRDefault="00A93FE6">
            <w:pPr>
              <w:jc w:val="center"/>
              <w:rPr>
                <w:rFonts w:ascii="Arial Narrow" w:hAnsi="Arial Narrow"/>
                <w:noProof/>
                <w:sz w:val="18"/>
                <w:szCs w:val="18"/>
              </w:rPr>
            </w:pPr>
          </w:p>
        </w:tc>
        <w:tc>
          <w:tcPr>
            <w:tcW w:w="666"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A93FE6" w:rsidRDefault="008C548F">
            <w:pPr>
              <w:pStyle w:val="Text1"/>
              <w:spacing w:before="60" w:after="60"/>
              <w:ind w:left="0"/>
              <w:jc w:val="center"/>
              <w:rPr>
                <w:rFonts w:ascii="Arial Narrow" w:hAnsi="Arial Narrow"/>
                <w:b/>
                <w:noProof/>
              </w:rPr>
            </w:pPr>
            <w:r>
              <w:rPr>
                <w:rFonts w:ascii="Arial Narrow" w:hAnsi="Arial Narrow"/>
                <w:b/>
                <w:noProof/>
                <w:sz w:val="22"/>
              </w:rPr>
              <w:t>Subtot</w:t>
            </w:r>
            <w:r>
              <w:rPr>
                <w:rFonts w:ascii="Arial Narrow" w:hAnsi="Arial Narrow"/>
                <w:b/>
                <w:noProof/>
                <w:sz w:val="22"/>
              </w:rPr>
              <w:t>aal – RUBRIEK 5</w:t>
            </w:r>
            <w:r>
              <w:rPr>
                <w:noProof/>
              </w:rPr>
              <w:br/>
            </w:r>
            <w:r>
              <w:rPr>
                <w:rFonts w:ascii="Arial Narrow" w:hAnsi="Arial Narrow"/>
                <w:noProof/>
                <w:sz w:val="22"/>
              </w:rPr>
              <w:t>van het meerjarige financiële kader</w:t>
            </w:r>
          </w:p>
        </w:tc>
        <w:tc>
          <w:tcPr>
            <w:tcW w:w="618"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p w:rsidR="00A93FE6" w:rsidRDefault="008C548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p w:rsidR="00A93FE6" w:rsidRDefault="008C548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p w:rsidR="00A93FE6" w:rsidRDefault="008C548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p w:rsidR="00A93FE6" w:rsidRDefault="008C548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p w:rsidR="00A93FE6" w:rsidRDefault="008C548F">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A93FE6" w:rsidRDefault="008C548F">
            <w:pPr>
              <w:jc w:val="center"/>
              <w:rPr>
                <w:rFonts w:ascii="Arial Narrow" w:hAnsi="Arial Narrow"/>
                <w:noProof/>
                <w:sz w:val="20"/>
                <w:szCs w:val="20"/>
              </w:rPr>
            </w:pPr>
            <w:r>
              <w:rPr>
                <w:rFonts w:ascii="Arial Narrow" w:hAnsi="Arial Narrow"/>
                <w:noProof/>
                <w:sz w:val="20"/>
              </w:rPr>
              <w:t>0,816</w:t>
            </w:r>
          </w:p>
        </w:tc>
      </w:tr>
    </w:tbl>
    <w:p w:rsidR="00A93FE6" w:rsidRDefault="008C548F">
      <w:pPr>
        <w:rPr>
          <w:noProof/>
          <w:sz w:val="20"/>
          <w:szCs w:val="20"/>
        </w:rPr>
      </w:pPr>
      <w:r>
        <w:rPr>
          <w:b/>
          <w:noProof/>
          <w:color w:val="0000FF"/>
          <w:sz w:val="20"/>
        </w:rPr>
        <w:t>XX</w:t>
      </w:r>
      <w:r>
        <w:rPr>
          <w:noProof/>
          <w:sz w:val="20"/>
        </w:rPr>
        <w:t xml:space="preserve"> is het beleidsterrein of de begrotingstitel.</w:t>
      </w:r>
    </w:p>
    <w:p w:rsidR="00A93FE6" w:rsidRDefault="00A93FE6">
      <w:pPr>
        <w:rPr>
          <w:iCs/>
          <w:noProof/>
          <w:sz w:val="20"/>
          <w:szCs w:val="20"/>
        </w:rPr>
      </w:pPr>
    </w:p>
    <w:p w:rsidR="00A93FE6" w:rsidRDefault="008C548F">
      <w:pPr>
        <w:pStyle w:val="Text1"/>
        <w:spacing w:before="0" w:after="0"/>
        <w:ind w:left="-540" w:right="-694"/>
        <w:rPr>
          <w:rFonts w:ascii="Arial Narrow" w:hAnsi="Arial Narrow"/>
          <w:iCs/>
          <w:noProof/>
          <w:sz w:val="6"/>
          <w:szCs w:val="6"/>
        </w:rPr>
      </w:pPr>
      <w:r>
        <w:rPr>
          <w:noProof/>
          <w:sz w:val="18"/>
        </w:rPr>
        <w:t xml:space="preserve">Voor de benodigde personele middelen zal een beroep worden gedaan op het personeel van het DG dat reeds voor het beheer van deze actie is toegewezen en/of binnen het DG is herverdeeld, eventueel aangevuld </w:t>
      </w:r>
      <w:r>
        <w:rPr>
          <w:noProof/>
          <w:sz w:val="18"/>
        </w:rPr>
        <w:t>met middelen die in het kader van de jaarlijkse toewijzingsprocedure met inachtneming van de budgettaire beperkingen aan het beherende DG kunnen worden toegewezen.</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A93FE6">
        <w:trPr>
          <w:trHeight w:val="289"/>
        </w:trPr>
        <w:tc>
          <w:tcPr>
            <w:tcW w:w="3960" w:type="dxa"/>
            <w:gridSpan w:val="3"/>
            <w:vMerge w:val="restart"/>
            <w:shd w:val="pct50" w:color="C0C0C0" w:fill="auto"/>
            <w:vAlign w:val="center"/>
          </w:tcPr>
          <w:p w:rsidR="00A93FE6" w:rsidRDefault="008C548F">
            <w:pPr>
              <w:jc w:val="center"/>
              <w:rPr>
                <w:rFonts w:ascii="Arial Narrow" w:hAnsi="Arial Narrow"/>
                <w:noProof/>
                <w:sz w:val="16"/>
                <w:szCs w:val="16"/>
              </w:rPr>
            </w:pPr>
            <w:r>
              <w:rPr>
                <w:rFonts w:ascii="Arial Narrow" w:hAnsi="Arial Narrow"/>
                <w:b/>
                <w:noProof/>
                <w:sz w:val="22"/>
              </w:rPr>
              <w:t>Buiten RUBRIEK 5</w:t>
            </w:r>
            <w:r>
              <w:rPr>
                <w:noProof/>
              </w:rPr>
              <w:br/>
            </w:r>
            <w:r>
              <w:rPr>
                <w:rFonts w:ascii="Arial Narrow" w:hAnsi="Arial Narrow"/>
                <w:noProof/>
                <w:sz w:val="22"/>
              </w:rPr>
              <w:t>van het meerjarige financiële kader</w:t>
            </w:r>
          </w:p>
        </w:tc>
        <w:tc>
          <w:tcPr>
            <w:tcW w:w="1743" w:type="dxa"/>
            <w:gridSpan w:val="2"/>
            <w:shd w:val="pct10" w:color="CCFFFF" w:fill="auto"/>
            <w:vAlign w:val="center"/>
          </w:tcPr>
          <w:p w:rsidR="00A93FE6" w:rsidRDefault="008C548F">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color w:val="0000FF"/>
                <w:sz w:val="16"/>
              </w:rPr>
              <w:t xml:space="preserve">... vul zoveel </w:t>
            </w:r>
            <w:r>
              <w:rPr>
                <w:rFonts w:ascii="Arial Narrow" w:hAnsi="Arial Narrow"/>
                <w:noProof/>
                <w:color w:val="0000FF"/>
                <w:sz w:val="16"/>
              </w:rPr>
              <w:t>jaren in als nodig om de duur van de gevolgen weer te geven (zie punt 1.6)</w:t>
            </w:r>
          </w:p>
        </w:tc>
        <w:tc>
          <w:tcPr>
            <w:tcW w:w="1744" w:type="dxa"/>
            <w:gridSpan w:val="2"/>
            <w:tcBorders>
              <w:right w:val="single" w:sz="6" w:space="0" w:color="auto"/>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20"/>
              </w:rPr>
              <w:t>TOTAAL</w:t>
            </w:r>
          </w:p>
        </w:tc>
      </w:tr>
      <w:tr w:rsidR="00A93FE6">
        <w:trPr>
          <w:trHeight w:val="289"/>
        </w:trPr>
        <w:tc>
          <w:tcPr>
            <w:tcW w:w="3960" w:type="dxa"/>
            <w:gridSpan w:val="3"/>
            <w:vMerge/>
            <w:shd w:val="pct50" w:color="C0C0C0" w:fill="auto"/>
            <w:vAlign w:val="center"/>
          </w:tcPr>
          <w:p w:rsidR="00A93FE6" w:rsidRDefault="00A93FE6">
            <w:pPr>
              <w:jc w:val="center"/>
              <w:rPr>
                <w:rFonts w:ascii="Arial Narrow" w:hAnsi="Arial Narrow"/>
                <w:noProof/>
                <w:sz w:val="16"/>
                <w:szCs w:val="16"/>
              </w:rPr>
            </w:pPr>
          </w:p>
        </w:tc>
        <w:tc>
          <w:tcPr>
            <w:tcW w:w="666" w:type="dxa"/>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c>
          <w:tcPr>
            <w:tcW w:w="667" w:type="dxa"/>
            <w:tcBorders>
              <w:right w:val="nil"/>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VTE</w:t>
            </w:r>
          </w:p>
        </w:tc>
        <w:tc>
          <w:tcPr>
            <w:tcW w:w="1077" w:type="dxa"/>
            <w:tcBorders>
              <w:right w:val="single" w:sz="6" w:space="0" w:color="auto"/>
            </w:tcBorders>
            <w:shd w:val="pct10" w:color="CCFFFF" w:fill="auto"/>
            <w:vAlign w:val="center"/>
          </w:tcPr>
          <w:p w:rsidR="00A93FE6" w:rsidRDefault="008C548F">
            <w:pPr>
              <w:jc w:val="center"/>
              <w:rPr>
                <w:rFonts w:ascii="Arial Narrow" w:hAnsi="Arial Narrow"/>
                <w:noProof/>
                <w:sz w:val="16"/>
                <w:szCs w:val="16"/>
              </w:rPr>
            </w:pPr>
            <w:r>
              <w:rPr>
                <w:rFonts w:ascii="Arial Narrow" w:hAnsi="Arial Narrow"/>
                <w:noProof/>
                <w:sz w:val="16"/>
              </w:rPr>
              <w:t>Kredieten</w:t>
            </w:r>
          </w:p>
        </w:tc>
      </w:tr>
      <w:tr w:rsidR="00A93FE6">
        <w:trPr>
          <w:trHeight w:val="289"/>
        </w:trPr>
        <w:tc>
          <w:tcPr>
            <w:tcW w:w="14423" w:type="dxa"/>
            <w:gridSpan w:val="15"/>
            <w:shd w:val="pct10" w:color="CCFFFF" w:fill="CCFFCC"/>
            <w:vAlign w:val="center"/>
          </w:tcPr>
          <w:p w:rsidR="00A93FE6" w:rsidRDefault="008C548F">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 xml:space="preserve">Posten opgenomen in de lijst van het aantal ambten (ambtenaren en tijdelijke </w:t>
            </w:r>
            <w:r>
              <w:rPr>
                <w:rFonts w:ascii="Arial Narrow" w:hAnsi="Arial Narrow"/>
                <w:b/>
                <w:noProof/>
                <w:color w:val="008000"/>
                <w:sz w:val="22"/>
              </w:rPr>
              <w:t>functionarissen)</w:t>
            </w:r>
          </w:p>
        </w:tc>
      </w:tr>
      <w:tr w:rsidR="00A93FE6">
        <w:trPr>
          <w:trHeight w:val="289"/>
        </w:trPr>
        <w:tc>
          <w:tcPr>
            <w:tcW w:w="3342" w:type="dxa"/>
            <w:gridSpan w:val="2"/>
            <w:vMerge w:val="restart"/>
            <w:shd w:val="pct10" w:color="CCFFFF" w:fill="auto"/>
            <w:vAlign w:val="center"/>
          </w:tcPr>
          <w:p w:rsidR="00A93FE6" w:rsidRDefault="008C548F">
            <w:pPr>
              <w:pStyle w:val="Text1"/>
              <w:spacing w:before="60" w:after="60"/>
              <w:ind w:left="252"/>
              <w:jc w:val="left"/>
              <w:rPr>
                <w:rFonts w:ascii="Arial Narrow" w:hAnsi="Arial Narrow"/>
                <w:noProof/>
                <w:sz w:val="20"/>
                <w:szCs w:val="20"/>
              </w:rPr>
            </w:pPr>
            <w:r>
              <w:rPr>
                <w:rFonts w:ascii="Arial Narrow" w:hAnsi="Arial Narrow"/>
                <w:noProof/>
                <w:sz w:val="20"/>
              </w:rPr>
              <w:t>10 01 05 02 (eigen onderzoek)</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tcBorders>
              <w:bottom w:val="single" w:sz="6" w:space="0" w:color="auto"/>
            </w:tcBorders>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val="restart"/>
            <w:shd w:val="pct10" w:color="CCFFFF" w:fill="auto"/>
            <w:vAlign w:val="center"/>
          </w:tcPr>
          <w:p w:rsidR="00A93FE6" w:rsidRDefault="008C548F">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(onderzoek door derden)</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tcBorders>
              <w:bottom w:val="single" w:sz="6" w:space="0" w:color="auto"/>
            </w:tcBorders>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6"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4423" w:type="dxa"/>
            <w:gridSpan w:val="15"/>
            <w:shd w:val="pct10" w:color="CCFFFF" w:fill="FFFF99"/>
            <w:vAlign w:val="center"/>
          </w:tcPr>
          <w:p w:rsidR="00A93FE6" w:rsidRDefault="008C548F">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Extern personeel</w:t>
            </w:r>
            <w:r>
              <w:rPr>
                <w:rStyle w:val="FootnoteReference"/>
              </w:rPr>
              <w:footnoteReference w:id="28"/>
            </w:r>
          </w:p>
        </w:tc>
      </w:tr>
      <w:tr w:rsidR="00A93FE6">
        <w:trPr>
          <w:trHeight w:val="289"/>
        </w:trPr>
        <w:tc>
          <w:tcPr>
            <w:tcW w:w="1980" w:type="dxa"/>
            <w:vMerge w:val="restart"/>
            <w:shd w:val="pct10" w:color="CCFFFF" w:fill="auto"/>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Onder het maximum voor extern personeel uit beleidskredieten (vroegere "BA"-onderdelen).</w:t>
            </w:r>
          </w:p>
        </w:tc>
        <w:tc>
          <w:tcPr>
            <w:tcW w:w="1362" w:type="dxa"/>
            <w:vMerge w:val="restart"/>
            <w:shd w:val="pct10" w:color="CCFFFF" w:fill="auto"/>
            <w:vAlign w:val="center"/>
          </w:tcPr>
          <w:p w:rsidR="00A93FE6" w:rsidRDefault="008C548F">
            <w:pPr>
              <w:pStyle w:val="Text1"/>
              <w:spacing w:before="60" w:after="60"/>
              <w:ind w:left="72"/>
              <w:jc w:val="left"/>
              <w:rPr>
                <w:rFonts w:ascii="Arial Narrow" w:hAnsi="Arial Narrow"/>
                <w:noProof/>
                <w:sz w:val="20"/>
                <w:szCs w:val="20"/>
              </w:rPr>
            </w:pPr>
            <w:r>
              <w:rPr>
                <w:rFonts w:ascii="Arial Narrow" w:hAnsi="Arial Narrow"/>
                <w:noProof/>
                <w:sz w:val="20"/>
              </w:rPr>
              <w:t>- zetel</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 delegaties van de Unie</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1980"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val="restart"/>
            <w:shd w:val="pct10" w:color="CCFFFF" w:fill="auto"/>
            <w:vAlign w:val="center"/>
          </w:tcPr>
          <w:p w:rsidR="00A93FE6" w:rsidRDefault="008C548F">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02 (onderzoek door derden)</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val="restart"/>
            <w:shd w:val="pct10" w:color="CCFFFF" w:fill="auto"/>
            <w:vAlign w:val="center"/>
          </w:tcPr>
          <w:p w:rsidR="00A93FE6" w:rsidRDefault="008C548F">
            <w:pPr>
              <w:pStyle w:val="Text1"/>
              <w:spacing w:before="60" w:after="60"/>
              <w:ind w:left="0"/>
              <w:jc w:val="left"/>
              <w:rPr>
                <w:rFonts w:ascii="Arial Narrow" w:hAnsi="Arial Narrow"/>
                <w:noProof/>
                <w:sz w:val="20"/>
                <w:szCs w:val="20"/>
              </w:rPr>
            </w:pPr>
            <w:r>
              <w:rPr>
                <w:rFonts w:ascii="Arial Narrow" w:hAnsi="Arial Narrow"/>
                <w:noProof/>
                <w:sz w:val="20"/>
              </w:rPr>
              <w:t>10 01 05 02 (eigen onderzoek)</w:t>
            </w: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vMerge/>
            <w:shd w:val="pct10" w:color="CCFFFF" w:fill="auto"/>
            <w:vAlign w:val="center"/>
          </w:tcPr>
          <w:p w:rsidR="00A93FE6" w:rsidRDefault="00A93FE6">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A93FE6" w:rsidRDefault="008C548F">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c>
          <w:tcPr>
            <w:tcW w:w="667" w:type="dxa"/>
            <w:shd w:val="pct10" w:color="CCFFFF" w:fill="auto"/>
          </w:tcPr>
          <w:p w:rsidR="00A93FE6" w:rsidRDefault="00A93FE6">
            <w:pPr>
              <w:jc w:val="center"/>
              <w:rPr>
                <w:rFonts w:ascii="Arial Narrow" w:hAnsi="Arial Narrow"/>
                <w:noProof/>
                <w:sz w:val="20"/>
                <w:szCs w:val="20"/>
              </w:rPr>
            </w:pPr>
          </w:p>
        </w:tc>
        <w:tc>
          <w:tcPr>
            <w:tcW w:w="1077" w:type="dxa"/>
            <w:shd w:val="pct10" w:color="CCFFFF" w:fill="auto"/>
            <w:vAlign w:val="center"/>
          </w:tcPr>
          <w:p w:rsidR="00A93FE6" w:rsidRDefault="00A93FE6">
            <w:pPr>
              <w:jc w:val="center"/>
              <w:rPr>
                <w:rFonts w:ascii="Arial Narrow" w:hAnsi="Arial Narrow"/>
                <w:noProof/>
                <w:sz w:val="20"/>
                <w:szCs w:val="20"/>
              </w:rPr>
            </w:pPr>
          </w:p>
        </w:tc>
      </w:tr>
      <w:tr w:rsidR="00A93FE6">
        <w:trPr>
          <w:trHeight w:val="221"/>
        </w:trPr>
        <w:tc>
          <w:tcPr>
            <w:tcW w:w="3342" w:type="dxa"/>
            <w:gridSpan w:val="2"/>
            <w:tcBorders>
              <w:bottom w:val="single" w:sz="12" w:space="0" w:color="auto"/>
            </w:tcBorders>
            <w:shd w:val="pct10" w:color="CCFFFF" w:fill="auto"/>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Ander begrotingsonderdeel (</w:t>
            </w:r>
            <w:r>
              <w:rPr>
                <w:rFonts w:ascii="Arial Narrow" w:hAnsi="Arial Narrow"/>
                <w:i/>
                <w:noProof/>
                <w:sz w:val="20"/>
              </w:rPr>
              <w:t>geef aan welk</w:t>
            </w:r>
            <w:r>
              <w:rPr>
                <w:rFonts w:ascii="Arial Narrow" w:hAnsi="Arial Narrow"/>
                <w:noProof/>
                <w:sz w:val="20"/>
              </w:rPr>
              <w:t>)</w:t>
            </w:r>
          </w:p>
        </w:tc>
        <w:tc>
          <w:tcPr>
            <w:tcW w:w="618" w:type="dxa"/>
            <w:tcBorders>
              <w:bottom w:val="single" w:sz="12" w:space="0" w:color="auto"/>
            </w:tcBorders>
            <w:shd w:val="pct10" w:color="CCFFFF" w:fill="auto"/>
            <w:vAlign w:val="center"/>
          </w:tcPr>
          <w:p w:rsidR="00A93FE6" w:rsidRDefault="00A93FE6">
            <w:pPr>
              <w:jc w:val="center"/>
              <w:rPr>
                <w:rFonts w:ascii="Arial Narrow" w:hAnsi="Arial Narrow"/>
                <w:noProof/>
                <w:sz w:val="18"/>
                <w:szCs w:val="18"/>
              </w:rPr>
            </w:pPr>
          </w:p>
        </w:tc>
        <w:tc>
          <w:tcPr>
            <w:tcW w:w="666"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A93FE6" w:rsidRDefault="008C548F">
            <w:pPr>
              <w:pStyle w:val="Text1"/>
              <w:spacing w:before="0" w:after="0"/>
              <w:ind w:left="0"/>
              <w:jc w:val="center"/>
              <w:rPr>
                <w:rFonts w:ascii="Arial Narrow" w:hAnsi="Arial Narrow"/>
                <w:b/>
                <w:noProof/>
              </w:rPr>
            </w:pPr>
            <w:r>
              <w:rPr>
                <w:rFonts w:ascii="Arial Narrow" w:hAnsi="Arial Narrow"/>
                <w:b/>
                <w:noProof/>
                <w:sz w:val="22"/>
              </w:rPr>
              <w:t>Subtotaal – buiten RUBRIEK 5</w:t>
            </w:r>
            <w:r>
              <w:rPr>
                <w:noProof/>
              </w:rPr>
              <w:br/>
            </w:r>
            <w:r>
              <w:rPr>
                <w:rFonts w:ascii="Arial Narrow" w:hAnsi="Arial Narrow"/>
                <w:noProof/>
                <w:sz w:val="22"/>
              </w:rPr>
              <w:t>van het meerjarige financiële kader</w:t>
            </w:r>
          </w:p>
        </w:tc>
        <w:tc>
          <w:tcPr>
            <w:tcW w:w="618"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r>
      <w:tr w:rsidR="00A93FE6">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A93FE6" w:rsidRDefault="008C548F">
            <w:pPr>
              <w:pStyle w:val="Text1"/>
              <w:ind w:left="0"/>
              <w:jc w:val="center"/>
              <w:rPr>
                <w:rFonts w:ascii="Arial Narrow" w:hAnsi="Arial Narrow"/>
                <w:b/>
                <w:noProof/>
                <w:sz w:val="22"/>
              </w:rPr>
            </w:pPr>
            <w:r>
              <w:rPr>
                <w:rFonts w:ascii="Arial Narrow" w:hAnsi="Arial Narrow"/>
                <w:b/>
                <w:noProof/>
                <w:color w:val="0000FF"/>
                <w:sz w:val="20"/>
              </w:rPr>
              <w:t>09</w:t>
            </w:r>
            <w:r>
              <w:rPr>
                <w:rFonts w:ascii="Arial Narrow" w:hAnsi="Arial Narrow"/>
                <w:noProof/>
                <w:sz w:val="20"/>
              </w:rPr>
              <w:t xml:space="preserve"> is het beleidsterrein of de begrotingstitel.</w:t>
            </w:r>
            <w:r>
              <w:rPr>
                <w:rFonts w:ascii="Arial Narrow" w:hAnsi="Arial Narrow"/>
                <w:b/>
                <w:noProof/>
                <w:sz w:val="22"/>
              </w:rPr>
              <w:t>TOTAAL</w:t>
            </w:r>
          </w:p>
        </w:tc>
        <w:tc>
          <w:tcPr>
            <w:tcW w:w="618"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A93FE6" w:rsidRDefault="00A93FE6">
            <w:pPr>
              <w:jc w:val="center"/>
              <w:rPr>
                <w:rFonts w:ascii="Arial Narrow" w:hAnsi="Arial Narrow"/>
                <w:noProof/>
                <w:sz w:val="20"/>
                <w:szCs w:val="20"/>
              </w:rPr>
            </w:pPr>
          </w:p>
        </w:tc>
      </w:tr>
    </w:tbl>
    <w:p w:rsidR="00A93FE6" w:rsidRDefault="008C548F">
      <w:pPr>
        <w:keepNext/>
        <w:rPr>
          <w:noProof/>
          <w:sz w:val="28"/>
          <w:szCs w:val="28"/>
          <w:u w:val="single"/>
        </w:rPr>
      </w:pPr>
      <w:r>
        <w:rPr>
          <w:noProof/>
          <w:sz w:val="18"/>
        </w:rPr>
        <w:t xml:space="preserve">Voor de benodigde personele middelen zal een beroep worden gedaan op het personeel van het DG dat reeds voor het beheer van deze actie is toegewezen en/of binnen het DG is herverdeeld, </w:t>
      </w:r>
      <w:r>
        <w:rPr>
          <w:noProof/>
          <w:sz w:val="18"/>
        </w:rPr>
        <w:t>eventueel aangevuld met middelen die in het kader van de jaarlijkse toewijzingsprocedure met inachtneming van de budgettaire beperkingen aan het beherende DG kunnen worden toegewezen.</w:t>
      </w:r>
    </w:p>
    <w:p w:rsidR="00A93FE6" w:rsidRDefault="00A93FE6">
      <w:pPr>
        <w:keepNext/>
        <w:spacing w:after="60"/>
        <w:ind w:left="540"/>
        <w:rPr>
          <w:noProof/>
        </w:rPr>
        <w:sectPr w:rsidR="00A93FE6" w:rsidSect="008C548F">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A93FE6" w:rsidRDefault="008C548F">
      <w:pPr>
        <w:pStyle w:val="ManualHeading1"/>
        <w:rPr>
          <w:noProof/>
        </w:rPr>
      </w:pPr>
      <w:r>
        <w:t>2.</w:t>
      </w:r>
      <w:r>
        <w:tab/>
      </w:r>
      <w:r>
        <w:rPr>
          <w:noProof/>
        </w:rPr>
        <w:t>Andere administratieve uitgaven</w:t>
      </w:r>
    </w:p>
    <w:p w:rsidR="00A93FE6" w:rsidRDefault="008C548F">
      <w:pPr>
        <w:pStyle w:val="Point1"/>
        <w:spacing w:after="0"/>
        <w:ind w:left="2263" w:hanging="284"/>
        <w:rPr>
          <w:noProof/>
        </w:rPr>
      </w:pPr>
      <w:r>
        <w:rPr>
          <w:noProof/>
        </w:rPr>
        <w:sym w:font="Wingdings" w:char="F0A8"/>
      </w:r>
      <w:r>
        <w:rPr>
          <w:noProof/>
        </w:rPr>
        <w:tab/>
      </w:r>
      <w:r>
        <w:rPr>
          <w:noProof/>
        </w:rPr>
        <w:sym w:font="Wingdings" w:char="F0A8"/>
      </w:r>
      <w:r>
        <w:rPr>
          <w:noProof/>
        </w:rPr>
        <w:t>Voor het voorstel/initiatief zijn geen administratieve kredieten nodig</w:t>
      </w:r>
    </w:p>
    <w:p w:rsidR="00A93FE6" w:rsidRDefault="008C548F">
      <w:pPr>
        <w:pStyle w:val="Text1"/>
        <w:spacing w:before="0" w:after="0"/>
        <w:ind w:left="2263" w:hanging="284"/>
        <w:rPr>
          <w:noProof/>
        </w:rPr>
      </w:pPr>
      <w:r>
        <w:rPr>
          <w:noProof/>
        </w:rPr>
        <w:t>x</w:t>
      </w:r>
      <w:r>
        <w:rPr>
          <w:noProof/>
        </w:rPr>
        <w:tab/>
        <w:t xml:space="preserve">Voor het voorstel/initiatief zijn administratieve kredieten nodig, zoals hieronder nader wordt </w:t>
      </w:r>
      <w:r>
        <w:rPr>
          <w:noProof/>
        </w:rPr>
        <w:t>beschreven:</w:t>
      </w:r>
    </w:p>
    <w:p w:rsidR="00A93FE6" w:rsidRDefault="00A93FE6">
      <w:pPr>
        <w:tabs>
          <w:tab w:val="left" w:pos="870"/>
        </w:tabs>
        <w:rPr>
          <w:noProof/>
          <w:sz w:val="16"/>
          <w:szCs w:val="16"/>
        </w:rPr>
      </w:pPr>
    </w:p>
    <w:p w:rsidR="00A93FE6" w:rsidRDefault="008C548F">
      <w:pPr>
        <w:jc w:val="right"/>
        <w:rPr>
          <w:noProof/>
          <w:sz w:val="20"/>
          <w:szCs w:val="20"/>
        </w:rPr>
      </w:pPr>
      <w:r>
        <w:rPr>
          <w:i/>
          <w:noProof/>
          <w:sz w:val="20"/>
        </w:rPr>
        <w:t>in miljoen EUR (tot op drie decimalen)</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A93FE6">
        <w:trPr>
          <w:trHeight w:val="289"/>
          <w:jc w:val="center"/>
        </w:trPr>
        <w:tc>
          <w:tcPr>
            <w:tcW w:w="5306" w:type="dxa"/>
          </w:tcPr>
          <w:p w:rsidR="00A93FE6" w:rsidRDefault="00A93FE6">
            <w:pPr>
              <w:pStyle w:val="Text1"/>
              <w:spacing w:before="40" w:after="40"/>
              <w:ind w:left="0"/>
              <w:jc w:val="center"/>
              <w:rPr>
                <w:i/>
                <w:noProof/>
                <w:sz w:val="20"/>
                <w:szCs w:val="20"/>
              </w:rPr>
            </w:pPr>
          </w:p>
        </w:tc>
        <w:tc>
          <w:tcPr>
            <w:tcW w:w="1186"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A93FE6" w:rsidRDefault="008C548F">
            <w:pPr>
              <w:jc w:val="center"/>
              <w:rPr>
                <w:rFonts w:ascii="Arial Narrow" w:hAnsi="Arial Narrow"/>
                <w:noProof/>
                <w:sz w:val="20"/>
                <w:szCs w:val="20"/>
              </w:rPr>
            </w:pPr>
            <w:r>
              <w:rPr>
                <w:rFonts w:ascii="Arial Narrow" w:hAnsi="Arial Narrow"/>
                <w:noProof/>
                <w:color w:val="0000FF"/>
                <w:sz w:val="20"/>
              </w:rPr>
              <w:t>... vul zoveel jaren in als nodig om de duur van de gevolgen weer te geven</w:t>
            </w:r>
            <w:r>
              <w:rPr>
                <w:noProof/>
              </w:rPr>
              <w:br/>
            </w:r>
            <w:r>
              <w:rPr>
                <w:rFonts w:ascii="Arial Narrow" w:hAnsi="Arial Narrow"/>
                <w:noProof/>
                <w:color w:val="0000FF"/>
                <w:sz w:val="18"/>
              </w:rPr>
              <w:t xml:space="preserve"> (zie punt 1.6)</w:t>
            </w:r>
          </w:p>
        </w:tc>
        <w:tc>
          <w:tcPr>
            <w:tcW w:w="1371" w:type="dxa"/>
            <w:vAlign w:val="center"/>
          </w:tcPr>
          <w:p w:rsidR="00A93FE6" w:rsidRDefault="008C548F">
            <w:pPr>
              <w:jc w:val="center"/>
              <w:rPr>
                <w:rFonts w:ascii="Arial Narrow" w:hAnsi="Arial Narrow"/>
                <w:b/>
                <w:noProof/>
                <w:sz w:val="20"/>
                <w:szCs w:val="20"/>
              </w:rPr>
            </w:pPr>
            <w:r>
              <w:rPr>
                <w:rFonts w:ascii="Arial Narrow" w:hAnsi="Arial Narrow"/>
                <w:b/>
                <w:noProof/>
                <w:sz w:val="20"/>
              </w:rPr>
              <w:t>TOTAAL</w:t>
            </w:r>
          </w:p>
        </w:tc>
      </w:tr>
      <w:tr w:rsidR="00A93FE6">
        <w:trPr>
          <w:trHeight w:val="289"/>
          <w:jc w:val="center"/>
        </w:trPr>
        <w:tc>
          <w:tcPr>
            <w:tcW w:w="5306" w:type="dxa"/>
            <w:shd w:val="clear" w:color="auto" w:fill="D9D9D9"/>
          </w:tcPr>
          <w:p w:rsidR="00A93FE6" w:rsidRDefault="008C548F">
            <w:pPr>
              <w:pStyle w:val="Text1"/>
              <w:spacing w:before="0" w:after="0"/>
              <w:ind w:left="0"/>
              <w:jc w:val="center"/>
              <w:rPr>
                <w:rFonts w:ascii="Arial Narrow" w:hAnsi="Arial Narrow"/>
                <w:i/>
                <w:noProof/>
                <w:sz w:val="20"/>
                <w:szCs w:val="20"/>
              </w:rPr>
            </w:pPr>
            <w:r>
              <w:rPr>
                <w:rFonts w:ascii="Arial Narrow" w:hAnsi="Arial Narrow"/>
                <w:b/>
                <w:noProof/>
                <w:sz w:val="22"/>
              </w:rPr>
              <w:t>RUBRIEK 5</w:t>
            </w:r>
            <w:r>
              <w:rPr>
                <w:noProof/>
              </w:rPr>
              <w:br/>
            </w:r>
            <w:r>
              <w:rPr>
                <w:rFonts w:ascii="Arial Narrow" w:hAnsi="Arial Narrow"/>
                <w:noProof/>
                <w:sz w:val="22"/>
              </w:rPr>
              <w:t>van het meerjarige financiële kader</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shd w:val="pct30" w:color="CCFFCC" w:fill="auto"/>
          </w:tcPr>
          <w:p w:rsidR="00A93FE6" w:rsidRDefault="008C548F">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Zetel</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Dienstreizen en representatie</w:t>
            </w:r>
          </w:p>
        </w:tc>
        <w:tc>
          <w:tcPr>
            <w:tcW w:w="1186" w:type="dxa"/>
            <w:vAlign w:val="center"/>
          </w:tcPr>
          <w:p w:rsidR="00A93FE6" w:rsidRDefault="008C548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8C548F">
            <w:pPr>
              <w:jc w:val="center"/>
              <w:rPr>
                <w:rFonts w:ascii="Arial Narrow" w:hAnsi="Arial Narrow"/>
                <w:b/>
                <w:noProof/>
                <w:sz w:val="20"/>
                <w:szCs w:val="20"/>
              </w:rPr>
            </w:pPr>
            <w:r>
              <w:rPr>
                <w:rFonts w:ascii="Arial Narrow" w:hAnsi="Arial Narrow"/>
                <w:b/>
                <w:noProof/>
                <w:sz w:val="20"/>
              </w:rPr>
              <w:t>0,060</w:t>
            </w: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Conferenties en vergaderingen</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Comités</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Studies en adviezen</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Informatie- en beheerssystemen</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 ICT-apparatuur en -diensten</w:t>
            </w:r>
            <w:r>
              <w:rPr>
                <w:rStyle w:val="FootnoteReference"/>
                <w:rFonts w:ascii="Arial Narrow" w:hAnsi="Arial Narrow"/>
                <w:noProof/>
                <w:sz w:val="20"/>
              </w:rPr>
              <w:footnoteReference w:id="30"/>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Overige begrotingsonderdelen (</w:t>
            </w:r>
            <w:r>
              <w:rPr>
                <w:rFonts w:ascii="Arial Narrow" w:hAnsi="Arial Narrow"/>
                <w:i/>
                <w:noProof/>
                <w:sz w:val="20"/>
              </w:rPr>
              <w:t>specificeer waar nodig</w:t>
            </w:r>
            <w:r>
              <w:rPr>
                <w:rFonts w:ascii="Arial Narrow" w:hAnsi="Arial Narrow"/>
                <w:noProof/>
                <w:sz w:val="20"/>
              </w:rPr>
              <w:t>)</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shd w:val="pct30" w:color="CCFFCC" w:fill="auto"/>
            <w:vAlign w:val="center"/>
          </w:tcPr>
          <w:p w:rsidR="00A93FE6" w:rsidRDefault="008C548F">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In delegaties van de Unie</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 xml:space="preserve">XX 01 02 12 01 – Dienstreizen, conferenties en </w:t>
            </w:r>
            <w:r>
              <w:rPr>
                <w:rFonts w:ascii="Arial Narrow" w:hAnsi="Arial Narrow"/>
                <w:noProof/>
                <w:sz w:val="20"/>
              </w:rPr>
              <w:t>representatie</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XX 01 02 12 02 – Bijscholing van personeel</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vAlign w:val="center"/>
          </w:tcPr>
          <w:p w:rsidR="00A93FE6" w:rsidRDefault="008C548F">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Aankoop, huur en daarmee samenhangende uitgaven</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tcBorders>
              <w:bottom w:val="single" w:sz="12" w:space="0" w:color="auto"/>
            </w:tcBorders>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XX 01 03 02 02 – Uitrusting, meubilair, leveringen en diensten</w:t>
            </w:r>
          </w:p>
        </w:tc>
        <w:tc>
          <w:tcPr>
            <w:tcW w:w="1186"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371" w:type="dxa"/>
            <w:tcBorders>
              <w:bottom w:val="single" w:sz="12" w:space="0" w:color="auto"/>
            </w:tcBorders>
            <w:vAlign w:val="center"/>
          </w:tcPr>
          <w:p w:rsidR="00A93FE6" w:rsidRDefault="00A93FE6">
            <w:pPr>
              <w:jc w:val="center"/>
              <w:rPr>
                <w:rFonts w:ascii="Arial Narrow" w:hAnsi="Arial Narrow"/>
                <w:b/>
                <w:noProof/>
                <w:sz w:val="20"/>
                <w:szCs w:val="20"/>
              </w:rPr>
            </w:pPr>
          </w:p>
        </w:tc>
      </w:tr>
      <w:tr w:rsidR="00A93FE6">
        <w:trPr>
          <w:trHeight w:val="289"/>
          <w:jc w:val="center"/>
        </w:trPr>
        <w:tc>
          <w:tcPr>
            <w:tcW w:w="5306" w:type="dxa"/>
            <w:tcBorders>
              <w:top w:val="single" w:sz="12" w:space="0" w:color="auto"/>
              <w:left w:val="single" w:sz="12" w:space="0" w:color="auto"/>
              <w:bottom w:val="single" w:sz="12" w:space="0" w:color="auto"/>
            </w:tcBorders>
            <w:vAlign w:val="center"/>
          </w:tcPr>
          <w:p w:rsidR="00A93FE6" w:rsidRDefault="008C548F">
            <w:pPr>
              <w:pStyle w:val="Text1"/>
              <w:spacing w:before="20" w:after="20"/>
              <w:ind w:left="0"/>
              <w:jc w:val="center"/>
              <w:rPr>
                <w:rFonts w:ascii="Arial Narrow" w:hAnsi="Arial Narrow"/>
                <w:b/>
                <w:noProof/>
                <w:color w:val="0000FF"/>
                <w:sz w:val="20"/>
                <w:szCs w:val="20"/>
              </w:rPr>
            </w:pPr>
            <w:r>
              <w:rPr>
                <w:rFonts w:ascii="Arial Narrow" w:hAnsi="Arial Narrow"/>
                <w:b/>
                <w:noProof/>
                <w:sz w:val="22"/>
              </w:rPr>
              <w:t>Subtotaal RUBRIEK 5</w:t>
            </w:r>
            <w:r>
              <w:rPr>
                <w:noProof/>
              </w:rPr>
              <w:br/>
            </w:r>
            <w:r>
              <w:rPr>
                <w:rFonts w:ascii="Arial Narrow" w:hAnsi="Arial Narrow"/>
                <w:noProof/>
                <w:sz w:val="22"/>
              </w:rPr>
              <w:t xml:space="preserve">van het </w:t>
            </w:r>
            <w:r>
              <w:rPr>
                <w:rFonts w:ascii="Arial Narrow" w:hAnsi="Arial Narrow"/>
                <w:noProof/>
                <w:sz w:val="22"/>
              </w:rPr>
              <w:t>meerjarige financiële kader</w:t>
            </w:r>
          </w:p>
        </w:tc>
        <w:tc>
          <w:tcPr>
            <w:tcW w:w="1186"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A93FE6" w:rsidRDefault="008C548F">
            <w:pPr>
              <w:jc w:val="center"/>
              <w:rPr>
                <w:rFonts w:ascii="Arial Narrow" w:hAnsi="Arial Narrow"/>
                <w:b/>
                <w:noProof/>
                <w:sz w:val="20"/>
                <w:szCs w:val="20"/>
              </w:rPr>
            </w:pPr>
            <w:r>
              <w:rPr>
                <w:rFonts w:ascii="Arial Narrow" w:hAnsi="Arial Narrow"/>
                <w:b/>
                <w:noProof/>
                <w:sz w:val="20"/>
              </w:rPr>
              <w:t>0,060</w:t>
            </w:r>
          </w:p>
        </w:tc>
      </w:tr>
    </w:tbl>
    <w:p w:rsidR="00A93FE6" w:rsidRDefault="008C548F">
      <w:pPr>
        <w:rPr>
          <w:noProof/>
          <w:sz w:val="20"/>
          <w:szCs w:val="20"/>
        </w:rPr>
      </w:pPr>
      <w:r>
        <w:rPr>
          <w:b/>
          <w:noProof/>
          <w:color w:val="0000FF"/>
          <w:sz w:val="20"/>
        </w:rPr>
        <w:t>09</w:t>
      </w:r>
      <w:r>
        <w:rPr>
          <w:noProof/>
          <w:sz w:val="20"/>
        </w:rPr>
        <w:t xml:space="preserve"> is het beleidsterrein of de begrotingstitel.</w:t>
      </w:r>
    </w:p>
    <w:p w:rsidR="00A93FE6" w:rsidRDefault="008C548F">
      <w:pPr>
        <w:ind w:right="-496"/>
        <w:jc w:val="right"/>
        <w:rPr>
          <w:noProof/>
        </w:rPr>
      </w:pPr>
      <w:r>
        <w:rPr>
          <w:noProof/>
        </w:rPr>
        <w:br w:type="page"/>
      </w:r>
    </w:p>
    <w:p w:rsidR="00A93FE6" w:rsidRDefault="00A93FE6">
      <w:pPr>
        <w:ind w:right="-496"/>
        <w:jc w:val="right"/>
        <w:rPr>
          <w:noProof/>
        </w:rPr>
      </w:pPr>
    </w:p>
    <w:p w:rsidR="00A93FE6" w:rsidRDefault="008C548F">
      <w:pPr>
        <w:ind w:right="-496"/>
        <w:jc w:val="right"/>
        <w:rPr>
          <w:i/>
          <w:iCs/>
          <w:noProof/>
          <w:sz w:val="20"/>
          <w:szCs w:val="20"/>
        </w:rPr>
      </w:pPr>
      <w:r>
        <w:rPr>
          <w:i/>
          <w:noProof/>
          <w:sz w:val="20"/>
        </w:rPr>
        <w:t>in miljoen EUR (tot op drie decimalen)</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A93FE6">
        <w:trPr>
          <w:trHeight w:val="289"/>
          <w:jc w:val="center"/>
        </w:trPr>
        <w:tc>
          <w:tcPr>
            <w:tcW w:w="4789" w:type="dxa"/>
          </w:tcPr>
          <w:p w:rsidR="00A93FE6" w:rsidRDefault="00A93FE6">
            <w:pPr>
              <w:pStyle w:val="Text1"/>
              <w:spacing w:before="40" w:after="40"/>
              <w:ind w:left="0"/>
              <w:jc w:val="center"/>
              <w:rPr>
                <w:i/>
                <w:noProof/>
                <w:sz w:val="20"/>
                <w:szCs w:val="20"/>
              </w:rPr>
            </w:pPr>
          </w:p>
        </w:tc>
        <w:tc>
          <w:tcPr>
            <w:tcW w:w="1186"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A93FE6" w:rsidRDefault="008C548F">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A93FE6" w:rsidRDefault="008C548F">
            <w:pPr>
              <w:jc w:val="center"/>
              <w:rPr>
                <w:rFonts w:ascii="Arial Narrow" w:hAnsi="Arial Narrow"/>
                <w:noProof/>
                <w:sz w:val="20"/>
                <w:szCs w:val="20"/>
              </w:rPr>
            </w:pPr>
            <w:r>
              <w:rPr>
                <w:rFonts w:ascii="Arial Narrow" w:hAnsi="Arial Narrow"/>
                <w:noProof/>
                <w:color w:val="0000FF"/>
                <w:sz w:val="20"/>
              </w:rPr>
              <w:t>... vul zoveel jaren in als nodig om de duur van de gevolgen weer te geven</w:t>
            </w:r>
            <w:r>
              <w:rPr>
                <w:noProof/>
              </w:rPr>
              <w:br/>
            </w:r>
            <w:r>
              <w:rPr>
                <w:rFonts w:ascii="Arial Narrow" w:hAnsi="Arial Narrow"/>
                <w:noProof/>
                <w:color w:val="0000FF"/>
                <w:sz w:val="18"/>
              </w:rPr>
              <w:t xml:space="preserve">(zie </w:t>
            </w:r>
            <w:r>
              <w:rPr>
                <w:rFonts w:ascii="Arial Narrow" w:hAnsi="Arial Narrow"/>
                <w:noProof/>
                <w:color w:val="0000FF"/>
                <w:sz w:val="18"/>
              </w:rPr>
              <w:t>punt 1.6)</w:t>
            </w:r>
          </w:p>
        </w:tc>
        <w:tc>
          <w:tcPr>
            <w:tcW w:w="1371" w:type="dxa"/>
            <w:vAlign w:val="center"/>
          </w:tcPr>
          <w:p w:rsidR="00A93FE6" w:rsidRDefault="008C548F">
            <w:pPr>
              <w:jc w:val="center"/>
              <w:rPr>
                <w:rFonts w:ascii="Arial Narrow" w:hAnsi="Arial Narrow"/>
                <w:b/>
                <w:noProof/>
                <w:sz w:val="20"/>
                <w:szCs w:val="20"/>
              </w:rPr>
            </w:pPr>
            <w:r>
              <w:rPr>
                <w:rFonts w:ascii="Arial Narrow" w:hAnsi="Arial Narrow"/>
                <w:b/>
                <w:noProof/>
                <w:sz w:val="20"/>
              </w:rPr>
              <w:t>TOTAAL</w:t>
            </w:r>
          </w:p>
        </w:tc>
      </w:tr>
    </w:tbl>
    <w:p w:rsidR="00A93FE6" w:rsidRDefault="00A93FE6">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A93FE6">
        <w:trPr>
          <w:trHeight w:val="289"/>
          <w:jc w:val="center"/>
        </w:trPr>
        <w:tc>
          <w:tcPr>
            <w:tcW w:w="4789" w:type="dxa"/>
            <w:tcBorders>
              <w:top w:val="single" w:sz="12" w:space="0" w:color="auto"/>
            </w:tcBorders>
            <w:shd w:val="clear" w:color="auto" w:fill="D9D9D9"/>
            <w:vAlign w:val="center"/>
          </w:tcPr>
          <w:p w:rsidR="00A93FE6" w:rsidRDefault="008C548F">
            <w:pPr>
              <w:pStyle w:val="Text1"/>
              <w:spacing w:before="40" w:after="40"/>
              <w:ind w:left="0"/>
              <w:jc w:val="center"/>
              <w:rPr>
                <w:rFonts w:ascii="Arial Narrow" w:hAnsi="Arial Narrow"/>
                <w:b/>
                <w:noProof/>
                <w:color w:val="0000FF"/>
                <w:sz w:val="20"/>
                <w:szCs w:val="20"/>
              </w:rPr>
            </w:pPr>
            <w:r>
              <w:rPr>
                <w:rFonts w:ascii="Arial Narrow" w:hAnsi="Arial Narrow"/>
                <w:b/>
                <w:noProof/>
                <w:sz w:val="22"/>
              </w:rPr>
              <w:t>Buiten RUBRIEK 5</w:t>
            </w:r>
            <w:r>
              <w:rPr>
                <w:noProof/>
              </w:rPr>
              <w:br/>
            </w:r>
            <w:r>
              <w:rPr>
                <w:rFonts w:ascii="Arial Narrow" w:hAnsi="Arial Narrow"/>
                <w:noProof/>
                <w:sz w:val="22"/>
              </w:rPr>
              <w:t>van het meerjarige financiële kader</w:t>
            </w:r>
          </w:p>
        </w:tc>
        <w:tc>
          <w:tcPr>
            <w:tcW w:w="1186"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371" w:type="dxa"/>
            <w:tcBorders>
              <w:top w:val="single" w:sz="12" w:space="0" w:color="auto"/>
            </w:tcBorders>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Uitgaven voor technische en administratieve bijstand (</w:t>
            </w:r>
            <w:r>
              <w:rPr>
                <w:rFonts w:ascii="Arial Narrow" w:hAnsi="Arial Narrow"/>
                <w:noProof/>
                <w:sz w:val="20"/>
                <w:u w:val="single"/>
              </w:rPr>
              <w:t>exclusief</w:t>
            </w:r>
            <w:r>
              <w:rPr>
                <w:rFonts w:ascii="Arial Narrow" w:hAnsi="Arial Narrow"/>
                <w:noProof/>
                <w:sz w:val="20"/>
              </w:rPr>
              <w:t xml:space="preserve"> extern personeel) uit beleidskredieten (vroegere BA-onderdelen)</w:t>
            </w:r>
          </w:p>
        </w:tc>
        <w:tc>
          <w:tcPr>
            <w:tcW w:w="1186" w:type="dxa"/>
            <w:vAlign w:val="center"/>
          </w:tcPr>
          <w:p w:rsidR="00A93FE6" w:rsidRDefault="008C548F">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A93FE6" w:rsidRDefault="008C548F">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8C548F">
            <w:pPr>
              <w:jc w:val="center"/>
              <w:rPr>
                <w:rFonts w:ascii="Arial Narrow" w:hAnsi="Arial Narrow"/>
                <w:b/>
                <w:noProof/>
                <w:sz w:val="20"/>
                <w:szCs w:val="20"/>
              </w:rPr>
            </w:pPr>
            <w:r>
              <w:rPr>
                <w:rFonts w:ascii="Arial Narrow" w:hAnsi="Arial Narrow"/>
                <w:b/>
                <w:noProof/>
                <w:sz w:val="20"/>
              </w:rPr>
              <w:t>0,200</w:t>
            </w:r>
          </w:p>
        </w:tc>
      </w:tr>
      <w:tr w:rsidR="00A93FE6">
        <w:trPr>
          <w:trHeight w:val="289"/>
          <w:jc w:val="center"/>
        </w:trPr>
        <w:tc>
          <w:tcPr>
            <w:tcW w:w="4789" w:type="dxa"/>
            <w:vAlign w:val="center"/>
          </w:tcPr>
          <w:p w:rsidR="00A93FE6" w:rsidRDefault="008C548F">
            <w:pPr>
              <w:pStyle w:val="Text1"/>
              <w:spacing w:before="40" w:after="40"/>
              <w:ind w:left="136"/>
              <w:jc w:val="left"/>
              <w:rPr>
                <w:rFonts w:ascii="Arial Narrow" w:hAnsi="Arial Narrow"/>
                <w:noProof/>
                <w:sz w:val="20"/>
                <w:szCs w:val="20"/>
              </w:rPr>
            </w:pPr>
            <w:r>
              <w:rPr>
                <w:rFonts w:ascii="Arial Narrow" w:hAnsi="Arial Narrow"/>
                <w:noProof/>
                <w:sz w:val="20"/>
              </w:rPr>
              <w:t>- zetel</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vAlign w:val="center"/>
          </w:tcPr>
          <w:p w:rsidR="00A93FE6" w:rsidRDefault="008C548F">
            <w:pPr>
              <w:pStyle w:val="Text1"/>
              <w:spacing w:before="40" w:after="40"/>
              <w:ind w:left="136"/>
              <w:jc w:val="left"/>
              <w:rPr>
                <w:rFonts w:ascii="Arial Narrow" w:hAnsi="Arial Narrow"/>
                <w:noProof/>
                <w:sz w:val="20"/>
                <w:szCs w:val="20"/>
              </w:rPr>
            </w:pPr>
            <w:r>
              <w:rPr>
                <w:rFonts w:ascii="Arial Narrow" w:hAnsi="Arial Narrow"/>
                <w:noProof/>
                <w:sz w:val="20"/>
              </w:rPr>
              <w:t>- delegaties van de Unie</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Overige beheersuitgaven voor onderzoek door derden</w:t>
            </w:r>
          </w:p>
        </w:tc>
        <w:tc>
          <w:tcPr>
            <w:tcW w:w="1186"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185" w:type="dxa"/>
            <w:vAlign w:val="center"/>
          </w:tcPr>
          <w:p w:rsidR="00A93FE6" w:rsidRDefault="00A93FE6">
            <w:pPr>
              <w:jc w:val="center"/>
              <w:rPr>
                <w:rFonts w:ascii="Arial Narrow" w:hAnsi="Arial Narrow"/>
                <w:noProof/>
                <w:sz w:val="20"/>
                <w:szCs w:val="20"/>
              </w:rPr>
            </w:pPr>
          </w:p>
        </w:tc>
        <w:tc>
          <w:tcPr>
            <w:tcW w:w="1371" w:type="dxa"/>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tcBorders>
              <w:bottom w:val="single" w:sz="12" w:space="0" w:color="auto"/>
            </w:tcBorders>
            <w:vAlign w:val="center"/>
          </w:tcPr>
          <w:p w:rsidR="00A93FE6" w:rsidRDefault="008C548F">
            <w:pPr>
              <w:pStyle w:val="Text1"/>
              <w:spacing w:before="40" w:after="40"/>
              <w:ind w:left="0"/>
              <w:jc w:val="left"/>
              <w:rPr>
                <w:rFonts w:ascii="Arial Narrow" w:hAnsi="Arial Narrow"/>
                <w:noProof/>
                <w:sz w:val="20"/>
                <w:szCs w:val="20"/>
              </w:rPr>
            </w:pPr>
            <w:r>
              <w:rPr>
                <w:rFonts w:ascii="Arial Narrow" w:hAnsi="Arial Narrow"/>
                <w:noProof/>
                <w:sz w:val="20"/>
              </w:rPr>
              <w:t>10 01 05 03 - Overige beheersuitgaven voor eigen onderzoek</w:t>
            </w:r>
          </w:p>
        </w:tc>
        <w:tc>
          <w:tcPr>
            <w:tcW w:w="1186"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371" w:type="dxa"/>
            <w:tcBorders>
              <w:bottom w:val="single" w:sz="12" w:space="0" w:color="auto"/>
            </w:tcBorders>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tcBorders>
              <w:bottom w:val="single" w:sz="12" w:space="0" w:color="auto"/>
            </w:tcBorders>
            <w:vAlign w:val="center"/>
          </w:tcPr>
          <w:p w:rsidR="00A93FE6" w:rsidRDefault="008C548F">
            <w:pPr>
              <w:pStyle w:val="Text1"/>
              <w:spacing w:before="40" w:after="40"/>
              <w:ind w:left="0"/>
              <w:jc w:val="left"/>
              <w:rPr>
                <w:rFonts w:ascii="Arial Narrow" w:hAnsi="Arial Narrow"/>
                <w:b/>
                <w:noProof/>
                <w:sz w:val="20"/>
                <w:szCs w:val="20"/>
              </w:rPr>
            </w:pPr>
            <w:r>
              <w:rPr>
                <w:rFonts w:ascii="Arial Narrow" w:hAnsi="Arial Narrow"/>
                <w:noProof/>
                <w:sz w:val="20"/>
              </w:rPr>
              <w:t>Overige begrotingsonderdelen (</w:t>
            </w:r>
            <w:r>
              <w:rPr>
                <w:rFonts w:ascii="Arial Narrow" w:hAnsi="Arial Narrow"/>
                <w:i/>
                <w:noProof/>
                <w:sz w:val="20"/>
              </w:rPr>
              <w:t>te vermelden waar nodig</w:t>
            </w:r>
            <w:r>
              <w:rPr>
                <w:rFonts w:ascii="Arial Narrow" w:hAnsi="Arial Narrow"/>
                <w:noProof/>
                <w:sz w:val="20"/>
              </w:rPr>
              <w:t>)</w:t>
            </w:r>
          </w:p>
        </w:tc>
        <w:tc>
          <w:tcPr>
            <w:tcW w:w="1186"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bottom w:val="single" w:sz="12" w:space="0" w:color="auto"/>
            </w:tcBorders>
            <w:vAlign w:val="center"/>
          </w:tcPr>
          <w:p w:rsidR="00A93FE6" w:rsidRDefault="00A93FE6">
            <w:pPr>
              <w:jc w:val="center"/>
              <w:rPr>
                <w:rFonts w:ascii="Arial Narrow" w:hAnsi="Arial Narrow"/>
                <w:noProof/>
                <w:sz w:val="20"/>
                <w:szCs w:val="20"/>
              </w:rPr>
            </w:pPr>
          </w:p>
        </w:tc>
        <w:tc>
          <w:tcPr>
            <w:tcW w:w="1371" w:type="dxa"/>
            <w:tcBorders>
              <w:bottom w:val="single" w:sz="12" w:space="0" w:color="auto"/>
            </w:tcBorders>
            <w:vAlign w:val="center"/>
          </w:tcPr>
          <w:p w:rsidR="00A93FE6" w:rsidRDefault="00A93FE6">
            <w:pPr>
              <w:jc w:val="center"/>
              <w:rPr>
                <w:rFonts w:ascii="Arial Narrow" w:hAnsi="Arial Narrow"/>
                <w:b/>
                <w:noProof/>
                <w:sz w:val="20"/>
                <w:szCs w:val="20"/>
              </w:rPr>
            </w:pPr>
          </w:p>
        </w:tc>
      </w:tr>
      <w:tr w:rsidR="00A93FE6">
        <w:trPr>
          <w:trHeight w:val="289"/>
          <w:jc w:val="center"/>
        </w:trPr>
        <w:tc>
          <w:tcPr>
            <w:tcW w:w="4789" w:type="dxa"/>
            <w:tcBorders>
              <w:top w:val="single" w:sz="12" w:space="0" w:color="auto"/>
              <w:left w:val="single" w:sz="12" w:space="0" w:color="auto"/>
              <w:bottom w:val="single" w:sz="12" w:space="0" w:color="auto"/>
            </w:tcBorders>
            <w:vAlign w:val="center"/>
          </w:tcPr>
          <w:p w:rsidR="00A93FE6" w:rsidRDefault="008C548F">
            <w:pPr>
              <w:pStyle w:val="Text1"/>
              <w:spacing w:before="20" w:after="20"/>
              <w:ind w:left="0"/>
              <w:jc w:val="center"/>
              <w:rPr>
                <w:rFonts w:ascii="Arial Narrow" w:hAnsi="Arial Narrow"/>
                <w:b/>
                <w:noProof/>
                <w:color w:val="0000FF"/>
                <w:sz w:val="20"/>
                <w:szCs w:val="20"/>
              </w:rPr>
            </w:pPr>
            <w:r>
              <w:rPr>
                <w:rFonts w:ascii="Arial Narrow" w:hAnsi="Arial Narrow"/>
                <w:b/>
                <w:noProof/>
                <w:sz w:val="22"/>
              </w:rPr>
              <w:t>Subtotaal – buiten RUBRIEK 5</w:t>
            </w:r>
            <w:r>
              <w:rPr>
                <w:noProof/>
              </w:rPr>
              <w:br/>
            </w:r>
            <w:r>
              <w:rPr>
                <w:rFonts w:ascii="Arial Narrow" w:hAnsi="Arial Narrow"/>
                <w:noProof/>
                <w:sz w:val="22"/>
              </w:rPr>
              <w:t>van het meerjarige financiële kader</w:t>
            </w:r>
          </w:p>
        </w:tc>
        <w:tc>
          <w:tcPr>
            <w:tcW w:w="1186"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A93FE6" w:rsidRDefault="008C548F">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A93FE6" w:rsidRDefault="00A93FE6">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A93FE6" w:rsidRDefault="008C548F">
            <w:pPr>
              <w:jc w:val="center"/>
              <w:rPr>
                <w:rFonts w:ascii="Arial Narrow" w:hAnsi="Arial Narrow"/>
                <w:b/>
                <w:noProof/>
                <w:sz w:val="20"/>
                <w:szCs w:val="20"/>
              </w:rPr>
            </w:pPr>
            <w:r>
              <w:rPr>
                <w:rFonts w:ascii="Arial Narrow" w:hAnsi="Arial Narrow"/>
                <w:b/>
                <w:noProof/>
                <w:sz w:val="20"/>
              </w:rPr>
              <w:t>0,200</w:t>
            </w:r>
          </w:p>
        </w:tc>
      </w:tr>
    </w:tbl>
    <w:p w:rsidR="00A93FE6" w:rsidRDefault="008C548F">
      <w:pPr>
        <w:spacing w:before="60"/>
        <w:rPr>
          <w:noProof/>
          <w:sz w:val="20"/>
          <w:szCs w:val="20"/>
        </w:rPr>
      </w:pPr>
      <w:r>
        <w:rPr>
          <w:b/>
          <w:noProof/>
          <w:color w:val="0000FF"/>
          <w:sz w:val="20"/>
        </w:rPr>
        <w:t>XX</w:t>
      </w:r>
      <w:r>
        <w:rPr>
          <w:noProof/>
          <w:sz w:val="20"/>
        </w:rPr>
        <w:t xml:space="preserve"> is het beleidsterrein of de begrotingstitel.</w:t>
      </w:r>
    </w:p>
    <w:p w:rsidR="00A93FE6" w:rsidRDefault="00A93FE6">
      <w:pPr>
        <w:rPr>
          <w:noProof/>
          <w:sz w:val="18"/>
          <w:szCs w:val="18"/>
        </w:rPr>
      </w:pPr>
    </w:p>
    <w:p w:rsidR="00A93FE6" w:rsidRDefault="00A93FE6">
      <w:pPr>
        <w:rPr>
          <w:rFonts w:ascii="Arial Narrow" w:hAnsi="Arial Narrow"/>
          <w:noProof/>
          <w:sz w:val="18"/>
          <w:szCs w:val="18"/>
        </w:rPr>
      </w:pPr>
    </w:p>
    <w:p w:rsidR="00A93FE6" w:rsidRDefault="00A93FE6">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A93FE6">
        <w:trPr>
          <w:trHeight w:val="289"/>
          <w:jc w:val="center"/>
        </w:trPr>
        <w:tc>
          <w:tcPr>
            <w:tcW w:w="4901" w:type="dxa"/>
            <w:tcBorders>
              <w:top w:val="single" w:sz="12" w:space="0" w:color="auto"/>
            </w:tcBorders>
            <w:vAlign w:val="center"/>
          </w:tcPr>
          <w:p w:rsidR="00A93FE6" w:rsidRDefault="008C548F">
            <w:pPr>
              <w:pStyle w:val="Text1"/>
              <w:spacing w:after="0"/>
              <w:ind w:left="0"/>
              <w:jc w:val="center"/>
              <w:rPr>
                <w:rFonts w:ascii="Arial Narrow" w:hAnsi="Arial Narrow"/>
                <w:b/>
                <w:noProof/>
                <w:sz w:val="22"/>
              </w:rPr>
            </w:pPr>
            <w:r>
              <w:rPr>
                <w:rFonts w:ascii="Arial Narrow" w:hAnsi="Arial Narrow"/>
                <w:b/>
                <w:noProof/>
                <w:sz w:val="22"/>
              </w:rPr>
              <w:t>TOTAAL</w:t>
            </w:r>
          </w:p>
          <w:p w:rsidR="00A93FE6" w:rsidRDefault="008C548F">
            <w:pPr>
              <w:pStyle w:val="Text1"/>
              <w:spacing w:before="0"/>
              <w:ind w:left="0"/>
              <w:jc w:val="center"/>
              <w:rPr>
                <w:rFonts w:ascii="Arial Narrow" w:hAnsi="Arial Narrow"/>
                <w:b/>
                <w:noProof/>
                <w:sz w:val="22"/>
              </w:rPr>
            </w:pPr>
            <w:r>
              <w:rPr>
                <w:rFonts w:ascii="Arial Narrow" w:hAnsi="Arial Narrow"/>
                <w:b/>
                <w:noProof/>
                <w:sz w:val="22"/>
              </w:rPr>
              <w:t>RUBRIEK 5 en buiten RUBRIEK 5</w:t>
            </w:r>
            <w:r>
              <w:rPr>
                <w:noProof/>
              </w:rPr>
              <w:br/>
            </w:r>
            <w:r>
              <w:rPr>
                <w:rFonts w:ascii="Arial Narrow" w:hAnsi="Arial Narrow"/>
                <w:noProof/>
                <w:sz w:val="22"/>
              </w:rPr>
              <w:t>van het meerjarige financiële kader</w:t>
            </w:r>
          </w:p>
        </w:tc>
        <w:tc>
          <w:tcPr>
            <w:tcW w:w="1186" w:type="dxa"/>
            <w:tcBorders>
              <w:top w:val="single" w:sz="12" w:space="0" w:color="auto"/>
            </w:tcBorders>
            <w:vAlign w:val="bottom"/>
          </w:tcPr>
          <w:p w:rsidR="00A93FE6" w:rsidRDefault="008C548F">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A93FE6" w:rsidRDefault="008C548F">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A93FE6" w:rsidRDefault="008C548F">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A93FE6" w:rsidRDefault="008C548F">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185" w:type="dxa"/>
            <w:tcBorders>
              <w:top w:val="single" w:sz="12" w:space="0" w:color="auto"/>
            </w:tcBorders>
            <w:vAlign w:val="center"/>
          </w:tcPr>
          <w:p w:rsidR="00A93FE6" w:rsidRDefault="00A93FE6">
            <w:pPr>
              <w:jc w:val="center"/>
              <w:rPr>
                <w:rFonts w:ascii="Arial Narrow" w:hAnsi="Arial Narrow"/>
                <w:noProof/>
                <w:sz w:val="20"/>
                <w:szCs w:val="20"/>
              </w:rPr>
            </w:pPr>
          </w:p>
        </w:tc>
        <w:tc>
          <w:tcPr>
            <w:tcW w:w="1371" w:type="dxa"/>
            <w:tcBorders>
              <w:top w:val="single" w:sz="12" w:space="0" w:color="auto"/>
            </w:tcBorders>
            <w:vAlign w:val="center"/>
          </w:tcPr>
          <w:p w:rsidR="00A93FE6" w:rsidRDefault="008C548F">
            <w:pPr>
              <w:jc w:val="center"/>
              <w:rPr>
                <w:rFonts w:ascii="Arial Narrow" w:hAnsi="Arial Narrow"/>
                <w:b/>
                <w:noProof/>
                <w:sz w:val="20"/>
                <w:szCs w:val="20"/>
              </w:rPr>
            </w:pPr>
            <w:r>
              <w:rPr>
                <w:rFonts w:ascii="Arial Narrow" w:hAnsi="Arial Narrow"/>
                <w:b/>
                <w:noProof/>
                <w:sz w:val="20"/>
              </w:rPr>
              <w:t>1,076</w:t>
            </w:r>
          </w:p>
        </w:tc>
      </w:tr>
    </w:tbl>
    <w:p w:rsidR="00A93FE6" w:rsidRDefault="00A93FE6">
      <w:pPr>
        <w:spacing w:before="60"/>
        <w:ind w:left="-360" w:firstLine="900"/>
        <w:jc w:val="center"/>
        <w:rPr>
          <w:noProof/>
          <w:sz w:val="20"/>
          <w:szCs w:val="20"/>
        </w:rPr>
      </w:pPr>
    </w:p>
    <w:p w:rsidR="00A93FE6" w:rsidRDefault="00A93FE6">
      <w:pPr>
        <w:spacing w:before="60"/>
        <w:ind w:left="-360" w:firstLine="900"/>
        <w:jc w:val="center"/>
        <w:rPr>
          <w:noProof/>
          <w:sz w:val="20"/>
          <w:szCs w:val="20"/>
        </w:rPr>
      </w:pPr>
    </w:p>
    <w:p w:rsidR="00A93FE6" w:rsidRDefault="008C548F">
      <w:pPr>
        <w:pStyle w:val="Text2"/>
        <w:spacing w:before="0" w:after="0"/>
        <w:ind w:left="0"/>
        <w:jc w:val="center"/>
        <w:rPr>
          <w:iCs/>
          <w:noProof/>
          <w:sz w:val="18"/>
          <w:szCs w:val="18"/>
        </w:rPr>
      </w:pPr>
      <w:r>
        <w:rPr>
          <w:noProof/>
          <w:sz w:val="18"/>
        </w:rPr>
        <w:t xml:space="preserve">In de benodigde administratieve kredieten zal worden voorzien door de kredieten die reeds voor het beheer van deze actie zijn toegewezen en/of zijn herverdeeld, eventueel aangevuld met middelen die in het kader van de jaarlijkse </w:t>
      </w:r>
      <w:r>
        <w:rPr>
          <w:noProof/>
          <w:sz w:val="18"/>
        </w:rPr>
        <w:t>toewijzingsprocedure met inachtneming van de bestaande budgettaire beperkingen aan het beherende DG kunnen worden toegewezen.</w:t>
      </w:r>
    </w:p>
    <w:p w:rsidR="00A93FE6" w:rsidRDefault="00A93FE6">
      <w:pPr>
        <w:spacing w:before="60"/>
        <w:ind w:left="-360" w:firstLine="900"/>
        <w:rPr>
          <w:noProof/>
          <w:sz w:val="20"/>
          <w:szCs w:val="20"/>
        </w:rPr>
      </w:pPr>
    </w:p>
    <w:p w:rsidR="00A93FE6" w:rsidRDefault="00A93FE6">
      <w:pPr>
        <w:keepNext/>
        <w:spacing w:before="240" w:after="0"/>
        <w:rPr>
          <w:noProof/>
        </w:rPr>
        <w:sectPr w:rsidR="00A93FE6" w:rsidSect="008C548F">
          <w:pgSz w:w="15840" w:h="12240" w:orient="landscape" w:code="1"/>
          <w:pgMar w:top="1418" w:right="1247" w:bottom="1418" w:left="1247" w:header="709" w:footer="709" w:gutter="0"/>
          <w:cols w:space="708"/>
          <w:docGrid w:linePitch="360"/>
        </w:sectPr>
      </w:pPr>
    </w:p>
    <w:p w:rsidR="00A93FE6" w:rsidRDefault="008C548F">
      <w:pPr>
        <w:pStyle w:val="ManualHeading1"/>
        <w:rPr>
          <w:noProof/>
        </w:rPr>
      </w:pPr>
      <w:r>
        <w:t>3.</w:t>
      </w:r>
      <w:r>
        <w:tab/>
      </w:r>
      <w:r>
        <w:rPr>
          <w:noProof/>
        </w:rPr>
        <w:t>Voor kostenramingen gebruikte berekeningsmethoden</w:t>
      </w:r>
    </w:p>
    <w:p w:rsidR="00A93FE6" w:rsidRDefault="008C548F">
      <w:pPr>
        <w:pStyle w:val="ManualHeading2"/>
        <w:rPr>
          <w:noProof/>
          <w:szCs w:val="28"/>
        </w:rPr>
      </w:pPr>
      <w:r>
        <w:t>3.1.</w:t>
      </w:r>
      <w:r>
        <w:tab/>
      </w:r>
      <w:r>
        <w:rPr>
          <w:noProof/>
        </w:rPr>
        <w:t xml:space="preserve"> Personele middelen</w:t>
      </w:r>
    </w:p>
    <w:p w:rsidR="00A93FE6" w:rsidRDefault="00A93FE6">
      <w:pPr>
        <w:ind w:left="-357" w:firstLine="902"/>
        <w:rPr>
          <w:noProof/>
          <w:sz w:val="20"/>
          <w:szCs w:val="20"/>
        </w:rPr>
      </w:pPr>
    </w:p>
    <w:p w:rsidR="00A93FE6" w:rsidRDefault="00A93FE6">
      <w:pPr>
        <w:spacing w:after="60"/>
        <w:jc w:val="center"/>
        <w:rPr>
          <w:i/>
          <w:noProof/>
          <w:sz w:val="20"/>
          <w:szCs w:val="20"/>
        </w:rPr>
      </w:pPr>
    </w:p>
    <w:p w:rsidR="00A93FE6" w:rsidRDefault="008C548F">
      <w:pPr>
        <w:spacing w:after="60"/>
        <w:jc w:val="center"/>
        <w:rPr>
          <w:i/>
          <w:noProof/>
          <w:sz w:val="20"/>
          <w:szCs w:val="20"/>
        </w:rPr>
      </w:pPr>
      <w:r>
        <w:rPr>
          <w:i/>
          <w:noProof/>
          <w:sz w:val="20"/>
        </w:rPr>
        <w:t xml:space="preserve">In dit deel wordt de </w:t>
      </w:r>
      <w:r>
        <w:rPr>
          <w:i/>
          <w:noProof/>
          <w:sz w:val="20"/>
        </w:rPr>
        <w:t>berekeningsmethode toegelicht die is gebruikt om de benodigde personele middelen te ramen (veronderstelde werklast, bijzondere taken (Sysper 2 taakprofielen, personeelscategorieën en overeenkomstige gemiddelde kosten)</w:t>
      </w:r>
    </w:p>
    <w:p w:rsidR="00A93FE6" w:rsidRDefault="00A93FE6">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A93FE6">
        <w:trPr>
          <w:jc w:val="center"/>
        </w:trPr>
        <w:tc>
          <w:tcPr>
            <w:tcW w:w="12474" w:type="dxa"/>
            <w:tcBorders>
              <w:top w:val="single" w:sz="4" w:space="0" w:color="auto"/>
            </w:tcBorders>
          </w:tcPr>
          <w:p w:rsidR="00A93FE6" w:rsidRDefault="008C548F">
            <w:pPr>
              <w:pStyle w:val="Text2"/>
              <w:spacing w:before="60" w:after="60"/>
              <w:ind w:left="0"/>
              <w:jc w:val="left"/>
              <w:rPr>
                <w:rFonts w:ascii="Arial Narrow" w:hAnsi="Arial Narrow"/>
                <w:b/>
                <w:noProof/>
                <w:sz w:val="22"/>
              </w:rPr>
            </w:pPr>
            <w:r>
              <w:rPr>
                <w:rFonts w:ascii="Arial Narrow" w:hAnsi="Arial Narrow"/>
                <w:b/>
                <w:noProof/>
                <w:sz w:val="22"/>
              </w:rPr>
              <w:t>HEADING 5</w:t>
            </w:r>
            <w:r>
              <w:rPr>
                <w:rFonts w:ascii="Arial Narrow" w:hAnsi="Arial Narrow"/>
                <w:noProof/>
                <w:sz w:val="22"/>
              </w:rPr>
              <w:t xml:space="preserve"> van het meerjarig financiee</w:t>
            </w:r>
            <w:r>
              <w:rPr>
                <w:rFonts w:ascii="Arial Narrow" w:hAnsi="Arial Narrow"/>
                <w:noProof/>
                <w:sz w:val="22"/>
              </w:rPr>
              <w:t>l kader</w:t>
            </w:r>
          </w:p>
        </w:tc>
      </w:tr>
      <w:tr w:rsidR="00A93FE6">
        <w:trPr>
          <w:jc w:val="center"/>
        </w:trPr>
        <w:tc>
          <w:tcPr>
            <w:tcW w:w="12474" w:type="dxa"/>
          </w:tcPr>
          <w:p w:rsidR="00A93FE6" w:rsidRDefault="008C548F">
            <w:pPr>
              <w:pStyle w:val="Text2"/>
              <w:spacing w:before="20" w:after="20"/>
              <w:ind w:left="0"/>
              <w:jc w:val="center"/>
              <w:rPr>
                <w:rFonts w:ascii="Arial Narrow" w:hAnsi="Arial Narrow"/>
                <w:noProof/>
                <w:sz w:val="18"/>
                <w:szCs w:val="18"/>
              </w:rPr>
            </w:pPr>
            <w:r>
              <w:rPr>
                <w:rFonts w:ascii="Arial Narrow" w:hAnsi="Arial Narrow"/>
                <w:noProof/>
                <w:sz w:val="18"/>
                <w:u w:val="single"/>
              </w:rPr>
              <w:t>NB:</w:t>
            </w:r>
            <w:r>
              <w:rPr>
                <w:rFonts w:ascii="Arial Narrow" w:hAnsi="Arial Narrow"/>
                <w:noProof/>
                <w:sz w:val="18"/>
              </w:rPr>
              <w:t xml:space="preserve"> De gemiddelde kosten van elke personeelscategorie op het hoofdkantoor zijn te vinden op BudgWeb:</w:t>
            </w:r>
          </w:p>
          <w:p w:rsidR="00A93FE6" w:rsidRDefault="008C548F">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https://myintracomm.ec.europa.eu/budgweb/EN/pre/legalbasis/Pages/pre-040-020_preparation.aspx</w:t>
              </w:r>
            </w:hyperlink>
          </w:p>
        </w:tc>
      </w:tr>
      <w:tr w:rsidR="00A93FE6">
        <w:trPr>
          <w:jc w:val="center"/>
        </w:trPr>
        <w:tc>
          <w:tcPr>
            <w:tcW w:w="12474" w:type="dxa"/>
          </w:tcPr>
          <w:p w:rsidR="00A93FE6" w:rsidRDefault="008C548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Ambtenaren en tijdelijk personeel</w:t>
            </w:r>
          </w:p>
          <w:p w:rsidR="00A93FE6" w:rsidRDefault="00A93FE6">
            <w:pPr>
              <w:pStyle w:val="Text2"/>
              <w:spacing w:before="0" w:after="0"/>
              <w:ind w:left="0"/>
              <w:rPr>
                <w:rFonts w:ascii="Arial Narrow" w:hAnsi="Arial Narrow"/>
                <w:noProof/>
                <w:sz w:val="20"/>
                <w:szCs w:val="20"/>
                <w:u w:val="single"/>
              </w:rPr>
            </w:pPr>
          </w:p>
          <w:p w:rsidR="00A93FE6" w:rsidRDefault="008C548F">
            <w:pPr>
              <w:pStyle w:val="Text2"/>
              <w:spacing w:before="0" w:after="0"/>
              <w:ind w:left="0"/>
              <w:rPr>
                <w:rFonts w:ascii="Arial Narrow" w:hAnsi="Arial Narrow"/>
                <w:noProof/>
                <w:sz w:val="20"/>
                <w:szCs w:val="20"/>
              </w:rPr>
            </w:pPr>
            <w:r>
              <w:rPr>
                <w:rFonts w:ascii="Arial Narrow" w:hAnsi="Arial Narrow"/>
                <w:noProof/>
                <w:sz w:val="20"/>
              </w:rPr>
              <w:t xml:space="preserve">Gebruik van gemiddelde kosten van DG BUDG </w:t>
            </w:r>
          </w:p>
          <w:p w:rsidR="00A93FE6" w:rsidRDefault="00A93FE6">
            <w:pPr>
              <w:pStyle w:val="Text2"/>
              <w:spacing w:before="60" w:after="0"/>
              <w:ind w:left="0"/>
              <w:rPr>
                <w:rFonts w:ascii="Arial Narrow" w:hAnsi="Arial Narrow"/>
                <w:noProof/>
                <w:sz w:val="18"/>
                <w:szCs w:val="18"/>
                <w:u w:val="single"/>
              </w:rPr>
            </w:pPr>
          </w:p>
        </w:tc>
      </w:tr>
      <w:tr w:rsidR="00A93FE6">
        <w:trPr>
          <w:jc w:val="center"/>
        </w:trPr>
        <w:tc>
          <w:tcPr>
            <w:tcW w:w="12474" w:type="dxa"/>
            <w:tcBorders>
              <w:bottom w:val="single" w:sz="4" w:space="0" w:color="auto"/>
            </w:tcBorders>
          </w:tcPr>
          <w:p w:rsidR="00A93FE6" w:rsidRDefault="008C548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 personeel</w:t>
            </w:r>
          </w:p>
          <w:p w:rsidR="00A93FE6" w:rsidRDefault="00A93FE6">
            <w:pPr>
              <w:pStyle w:val="Text2"/>
              <w:spacing w:before="0" w:after="0"/>
              <w:ind w:left="0"/>
              <w:rPr>
                <w:rFonts w:ascii="Arial Narrow" w:hAnsi="Arial Narrow"/>
                <w:noProof/>
                <w:sz w:val="20"/>
                <w:szCs w:val="20"/>
                <w:u w:val="single"/>
              </w:rPr>
            </w:pPr>
          </w:p>
          <w:p w:rsidR="00A93FE6" w:rsidRDefault="008C548F">
            <w:pPr>
              <w:pStyle w:val="Text2"/>
              <w:spacing w:before="0" w:after="0"/>
              <w:ind w:left="0"/>
              <w:rPr>
                <w:rFonts w:ascii="Arial Narrow" w:hAnsi="Arial Narrow"/>
                <w:noProof/>
                <w:sz w:val="20"/>
                <w:szCs w:val="20"/>
              </w:rPr>
            </w:pPr>
            <w:r>
              <w:rPr>
                <w:rFonts w:ascii="Arial Narrow" w:hAnsi="Arial Narrow"/>
                <w:noProof/>
                <w:sz w:val="20"/>
              </w:rPr>
              <w:t xml:space="preserve">Gebruik van gemiddelde kosten van DG BUDG </w:t>
            </w: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60" w:after="0"/>
              <w:ind w:left="0"/>
              <w:rPr>
                <w:rFonts w:ascii="Arial Narrow" w:hAnsi="Arial Narrow"/>
                <w:noProof/>
                <w:sz w:val="18"/>
                <w:szCs w:val="18"/>
                <w:u w:val="single"/>
              </w:rPr>
            </w:pPr>
          </w:p>
        </w:tc>
      </w:tr>
    </w:tbl>
    <w:p w:rsidR="00A93FE6" w:rsidRDefault="00A93FE6">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A93FE6">
        <w:trPr>
          <w:jc w:val="center"/>
        </w:trPr>
        <w:tc>
          <w:tcPr>
            <w:tcW w:w="12474" w:type="dxa"/>
            <w:tcBorders>
              <w:top w:val="single" w:sz="4" w:space="0" w:color="auto"/>
            </w:tcBorders>
          </w:tcPr>
          <w:p w:rsidR="00A93FE6" w:rsidRDefault="008C548F">
            <w:pPr>
              <w:pStyle w:val="Text2"/>
              <w:spacing w:before="60" w:after="60"/>
              <w:ind w:left="0"/>
              <w:jc w:val="left"/>
              <w:rPr>
                <w:rFonts w:ascii="Arial Narrow" w:hAnsi="Arial Narrow"/>
                <w:b/>
                <w:noProof/>
                <w:sz w:val="22"/>
              </w:rPr>
            </w:pPr>
            <w:r>
              <w:rPr>
                <w:rFonts w:ascii="Arial Narrow" w:hAnsi="Arial Narrow"/>
                <w:b/>
                <w:noProof/>
                <w:sz w:val="22"/>
              </w:rPr>
              <w:t xml:space="preserve">Buiten </w:t>
            </w:r>
            <w:r>
              <w:rPr>
                <w:rFonts w:ascii="Arial Narrow" w:hAnsi="Arial Narrow"/>
                <w:b/>
                <w:noProof/>
                <w:sz w:val="22"/>
              </w:rPr>
              <w:t>RUBRIEK 5</w:t>
            </w:r>
            <w:r>
              <w:rPr>
                <w:rFonts w:ascii="Arial Narrow" w:hAnsi="Arial Narrow"/>
                <w:noProof/>
                <w:sz w:val="22"/>
              </w:rPr>
              <w:t xml:space="preserve"> van het meerjarige financiële kader</w:t>
            </w:r>
          </w:p>
        </w:tc>
      </w:tr>
      <w:tr w:rsidR="00A93FE6">
        <w:trPr>
          <w:jc w:val="center"/>
        </w:trPr>
        <w:tc>
          <w:tcPr>
            <w:tcW w:w="12474" w:type="dxa"/>
          </w:tcPr>
          <w:p w:rsidR="00A93FE6" w:rsidRDefault="008C548F">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noProof/>
              </w:rPr>
              <w:t>Alleen uit de begroting voor onderzoek gefinancierde posten</w:t>
            </w:r>
            <w:r>
              <w:rPr>
                <w:rFonts w:ascii="Arial Narrow" w:hAnsi="Arial Narrow"/>
                <w:noProof/>
                <w:sz w:val="22"/>
              </w:rPr>
              <w:t xml:space="preserve"> </w:t>
            </w: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60" w:after="0"/>
              <w:ind w:left="0"/>
              <w:rPr>
                <w:rFonts w:ascii="Arial Narrow" w:hAnsi="Arial Narrow"/>
                <w:noProof/>
                <w:sz w:val="18"/>
                <w:szCs w:val="18"/>
                <w:u w:val="single"/>
              </w:rPr>
            </w:pPr>
          </w:p>
        </w:tc>
      </w:tr>
      <w:tr w:rsidR="00A93FE6">
        <w:trPr>
          <w:jc w:val="center"/>
        </w:trPr>
        <w:tc>
          <w:tcPr>
            <w:tcW w:w="12474" w:type="dxa"/>
            <w:tcBorders>
              <w:bottom w:val="single" w:sz="4" w:space="0" w:color="auto"/>
            </w:tcBorders>
          </w:tcPr>
          <w:p w:rsidR="00A93FE6" w:rsidRDefault="008C548F">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Extern personeel</w:t>
            </w: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60" w:after="0"/>
              <w:ind w:left="0"/>
              <w:rPr>
                <w:rFonts w:ascii="Arial Narrow" w:hAnsi="Arial Narrow"/>
                <w:noProof/>
                <w:sz w:val="18"/>
                <w:szCs w:val="18"/>
                <w:u w:val="single"/>
              </w:rPr>
            </w:pPr>
          </w:p>
        </w:tc>
      </w:tr>
    </w:tbl>
    <w:p w:rsidR="00A93FE6" w:rsidRDefault="00A93FE6">
      <w:pPr>
        <w:spacing w:before="60"/>
        <w:ind w:left="-360" w:firstLine="900"/>
        <w:rPr>
          <w:noProof/>
          <w:sz w:val="20"/>
          <w:szCs w:val="20"/>
        </w:rPr>
      </w:pPr>
    </w:p>
    <w:p w:rsidR="00A93FE6" w:rsidRDefault="008C548F">
      <w:pPr>
        <w:pStyle w:val="ManualHeading2"/>
        <w:rPr>
          <w:noProof/>
          <w:szCs w:val="28"/>
        </w:rPr>
      </w:pPr>
      <w:r>
        <w:t>3.2.</w:t>
      </w:r>
      <w:r>
        <w:tab/>
      </w:r>
      <w:r>
        <w:rPr>
          <w:noProof/>
        </w:rPr>
        <w:t>Andere administratieve uitgaven</w:t>
      </w:r>
    </w:p>
    <w:p w:rsidR="00A93FE6" w:rsidRDefault="00A93FE6">
      <w:pPr>
        <w:ind w:left="-357" w:firstLine="902"/>
        <w:rPr>
          <w:noProof/>
          <w:sz w:val="20"/>
          <w:szCs w:val="20"/>
        </w:rPr>
      </w:pPr>
    </w:p>
    <w:p w:rsidR="00A93FE6" w:rsidRDefault="008C548F">
      <w:pPr>
        <w:spacing w:before="60"/>
        <w:ind w:left="539"/>
        <w:jc w:val="center"/>
        <w:rPr>
          <w:i/>
          <w:noProof/>
          <w:sz w:val="20"/>
          <w:szCs w:val="20"/>
        </w:rPr>
      </w:pPr>
      <w:r>
        <w:rPr>
          <w:i/>
          <w:noProof/>
          <w:sz w:val="20"/>
        </w:rPr>
        <w:t xml:space="preserve">Verstrek gegevens over de voor elk begrotingsonderdeel gebruikte berekeningsmethode, </w:t>
      </w:r>
    </w:p>
    <w:p w:rsidR="00A93FE6" w:rsidRDefault="008C548F">
      <w:pPr>
        <w:spacing w:after="60"/>
        <w:ind w:left="539"/>
        <w:jc w:val="center"/>
        <w:rPr>
          <w:i/>
          <w:noProof/>
          <w:sz w:val="20"/>
          <w:szCs w:val="20"/>
        </w:rPr>
      </w:pPr>
      <w:r>
        <w:rPr>
          <w:i/>
          <w:noProof/>
          <w:sz w:val="20"/>
        </w:rPr>
        <w:t>en meer in het bijzonder over de achterliggende aannamen (bv. aantal vergaderingen per jaar, gemiddelde kosten, enz.)</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A93FE6">
        <w:trPr>
          <w:jc w:val="center"/>
        </w:trPr>
        <w:tc>
          <w:tcPr>
            <w:tcW w:w="9537" w:type="dxa"/>
            <w:tcBorders>
              <w:top w:val="single" w:sz="4" w:space="0" w:color="auto"/>
            </w:tcBorders>
          </w:tcPr>
          <w:p w:rsidR="00A93FE6" w:rsidRDefault="008C548F">
            <w:pPr>
              <w:pStyle w:val="Text2"/>
              <w:spacing w:before="60" w:after="60"/>
              <w:ind w:left="0"/>
              <w:jc w:val="left"/>
              <w:rPr>
                <w:rFonts w:ascii="Arial Narrow" w:hAnsi="Arial Narrow"/>
                <w:b/>
                <w:noProof/>
                <w:sz w:val="22"/>
              </w:rPr>
            </w:pPr>
            <w:r>
              <w:rPr>
                <w:rFonts w:ascii="Arial Narrow" w:hAnsi="Arial Narrow"/>
                <w:b/>
                <w:noProof/>
                <w:sz w:val="22"/>
              </w:rPr>
              <w:t>HEADING 5</w:t>
            </w:r>
            <w:r>
              <w:rPr>
                <w:rFonts w:ascii="Arial Narrow" w:hAnsi="Arial Narrow"/>
                <w:noProof/>
                <w:sz w:val="22"/>
              </w:rPr>
              <w:t xml:space="preserve"> van het meerjarig financieel kader</w:t>
            </w:r>
          </w:p>
        </w:tc>
      </w:tr>
      <w:tr w:rsidR="00A93FE6">
        <w:trPr>
          <w:jc w:val="center"/>
        </w:trPr>
        <w:tc>
          <w:tcPr>
            <w:tcW w:w="9537" w:type="dxa"/>
            <w:tcBorders>
              <w:bottom w:val="single" w:sz="4" w:space="0" w:color="auto"/>
            </w:tcBorders>
          </w:tcPr>
          <w:p w:rsidR="00A93FE6" w:rsidRDefault="00A93FE6">
            <w:pPr>
              <w:pStyle w:val="Text2"/>
              <w:spacing w:before="0" w:after="0"/>
              <w:ind w:left="0"/>
              <w:rPr>
                <w:rFonts w:ascii="Arial Narrow" w:hAnsi="Arial Narrow"/>
                <w:noProof/>
                <w:sz w:val="22"/>
                <w:u w:val="single"/>
              </w:rPr>
            </w:pPr>
          </w:p>
          <w:p w:rsidR="00A93FE6" w:rsidRDefault="008C548F">
            <w:pPr>
              <w:pStyle w:val="Text2"/>
              <w:spacing w:before="0" w:after="0"/>
              <w:ind w:left="0"/>
              <w:rPr>
                <w:rFonts w:ascii="Arial Narrow" w:hAnsi="Arial Narrow"/>
                <w:noProof/>
                <w:sz w:val="22"/>
              </w:rPr>
            </w:pPr>
            <w:r>
              <w:rPr>
                <w:rFonts w:ascii="Arial Narrow" w:hAnsi="Arial Narrow"/>
                <w:noProof/>
                <w:sz w:val="22"/>
              </w:rPr>
              <w:t>Eén j</w:t>
            </w:r>
            <w:r>
              <w:rPr>
                <w:rFonts w:ascii="Arial Narrow" w:hAnsi="Arial Narrow"/>
                <w:noProof/>
                <w:sz w:val="22"/>
              </w:rPr>
              <w:t>aarlijks bezoek per lidstaat tijdens de eerste twee jaar (gemiddelde kostprijs ± 715 EUR)</w:t>
            </w:r>
          </w:p>
          <w:p w:rsidR="00A93FE6" w:rsidRDefault="008C548F">
            <w:pPr>
              <w:pStyle w:val="Text2"/>
              <w:spacing w:before="0" w:after="0"/>
              <w:ind w:left="0"/>
              <w:rPr>
                <w:rFonts w:ascii="Arial Narrow" w:hAnsi="Arial Narrow"/>
                <w:noProof/>
                <w:sz w:val="22"/>
              </w:rPr>
            </w:pPr>
            <w:r>
              <w:rPr>
                <w:rFonts w:ascii="Arial Narrow" w:hAnsi="Arial Narrow"/>
                <w:noProof/>
                <w:sz w:val="22"/>
              </w:rPr>
              <w:t xml:space="preserve">Minder intensieve follow-up tijdens de laatste 2 jaar. </w:t>
            </w:r>
          </w:p>
          <w:p w:rsidR="00A93FE6" w:rsidRDefault="00A93FE6">
            <w:pPr>
              <w:pStyle w:val="Text2"/>
              <w:spacing w:before="0" w:after="0"/>
              <w:ind w:left="0"/>
              <w:rPr>
                <w:rFonts w:ascii="Arial Narrow" w:hAnsi="Arial Narrow"/>
                <w:noProof/>
                <w:sz w:val="22"/>
                <w:u w:val="single"/>
              </w:rPr>
            </w:pPr>
          </w:p>
          <w:p w:rsidR="00A93FE6" w:rsidRDefault="00A93FE6">
            <w:pPr>
              <w:pStyle w:val="Text2"/>
              <w:spacing w:before="0" w:after="0"/>
              <w:ind w:left="0"/>
              <w:rPr>
                <w:rFonts w:ascii="Arial Narrow" w:hAnsi="Arial Narrow"/>
                <w:noProof/>
                <w:sz w:val="22"/>
                <w:u w:val="single"/>
              </w:rPr>
            </w:pPr>
          </w:p>
          <w:p w:rsidR="00A93FE6" w:rsidRDefault="00A93FE6">
            <w:pPr>
              <w:pStyle w:val="Text2"/>
              <w:spacing w:before="60" w:after="0"/>
              <w:ind w:left="0"/>
              <w:rPr>
                <w:rFonts w:ascii="Arial Narrow" w:hAnsi="Arial Narrow"/>
                <w:noProof/>
                <w:sz w:val="22"/>
                <w:u w:val="single"/>
              </w:rPr>
            </w:pPr>
          </w:p>
        </w:tc>
      </w:tr>
    </w:tbl>
    <w:p w:rsidR="00A93FE6" w:rsidRDefault="00A93FE6">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A93FE6">
        <w:trPr>
          <w:jc w:val="center"/>
        </w:trPr>
        <w:tc>
          <w:tcPr>
            <w:tcW w:w="9584" w:type="dxa"/>
            <w:tcBorders>
              <w:top w:val="single" w:sz="4" w:space="0" w:color="auto"/>
            </w:tcBorders>
          </w:tcPr>
          <w:p w:rsidR="00A93FE6" w:rsidRDefault="008C548F">
            <w:pPr>
              <w:pStyle w:val="Text2"/>
              <w:spacing w:before="60" w:after="60"/>
              <w:ind w:left="0"/>
              <w:jc w:val="left"/>
              <w:rPr>
                <w:rFonts w:ascii="Arial Narrow" w:hAnsi="Arial Narrow"/>
                <w:b/>
                <w:noProof/>
                <w:sz w:val="22"/>
              </w:rPr>
            </w:pPr>
            <w:r>
              <w:rPr>
                <w:rFonts w:ascii="Arial Narrow" w:hAnsi="Arial Narrow"/>
                <w:b/>
                <w:noProof/>
                <w:sz w:val="22"/>
              </w:rPr>
              <w:t>Buiten RUBRIEK 5</w:t>
            </w:r>
            <w:r>
              <w:rPr>
                <w:rFonts w:ascii="Arial Narrow" w:hAnsi="Arial Narrow"/>
                <w:noProof/>
                <w:sz w:val="22"/>
              </w:rPr>
              <w:t xml:space="preserve"> van het meerjarige financiële kader</w:t>
            </w:r>
          </w:p>
        </w:tc>
      </w:tr>
      <w:tr w:rsidR="00A93FE6">
        <w:trPr>
          <w:jc w:val="center"/>
        </w:trPr>
        <w:tc>
          <w:tcPr>
            <w:tcW w:w="9584" w:type="dxa"/>
            <w:tcBorders>
              <w:bottom w:val="single" w:sz="4" w:space="0" w:color="auto"/>
            </w:tcBorders>
          </w:tcPr>
          <w:p w:rsidR="00A93FE6" w:rsidRDefault="008C548F">
            <w:pPr>
              <w:pStyle w:val="Text2"/>
              <w:spacing w:before="0" w:after="0"/>
              <w:ind w:left="0"/>
              <w:jc w:val="left"/>
              <w:rPr>
                <w:rFonts w:ascii="Arial Narrow" w:hAnsi="Arial Narrow"/>
                <w:noProof/>
                <w:sz w:val="20"/>
                <w:szCs w:val="20"/>
              </w:rPr>
            </w:pPr>
            <w:r>
              <w:rPr>
                <w:rFonts w:ascii="Arial Narrow" w:hAnsi="Arial Narrow"/>
                <w:noProof/>
                <w:sz w:val="20"/>
              </w:rPr>
              <w:t>IT-ontwikkeling in 2017 en vervolgens onderhoud</w:t>
            </w:r>
            <w:r>
              <w:rPr>
                <w:rFonts w:ascii="Arial Narrow" w:hAnsi="Arial Narrow"/>
                <w:noProof/>
                <w:sz w:val="20"/>
                <w:szCs w:val="20"/>
              </w:rPr>
              <w:br/>
            </w:r>
            <w:r>
              <w:rPr>
                <w:rFonts w:ascii="Arial Narrow" w:hAnsi="Arial Narrow"/>
                <w:noProof/>
                <w:sz w:val="20"/>
              </w:rPr>
              <w:t>Kosten van de evaluatie aan het einde van de uitvoering</w:t>
            </w: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0" w:after="0"/>
              <w:ind w:left="0"/>
              <w:rPr>
                <w:rFonts w:ascii="Arial Narrow" w:hAnsi="Arial Narrow"/>
                <w:noProof/>
                <w:sz w:val="20"/>
                <w:szCs w:val="20"/>
                <w:u w:val="single"/>
              </w:rPr>
            </w:pPr>
          </w:p>
          <w:p w:rsidR="00A93FE6" w:rsidRDefault="00A93FE6">
            <w:pPr>
              <w:pStyle w:val="Text2"/>
              <w:spacing w:before="60" w:after="0"/>
              <w:ind w:left="0"/>
              <w:rPr>
                <w:rFonts w:ascii="Arial Narrow" w:hAnsi="Arial Narrow"/>
                <w:noProof/>
                <w:sz w:val="18"/>
                <w:szCs w:val="18"/>
                <w:u w:val="single"/>
              </w:rPr>
            </w:pPr>
          </w:p>
        </w:tc>
      </w:tr>
    </w:tbl>
    <w:p w:rsidR="00A93FE6" w:rsidRDefault="00A93FE6">
      <w:pPr>
        <w:rPr>
          <w:noProof/>
        </w:rPr>
      </w:pPr>
    </w:p>
    <w:sectPr w:rsidR="00A93FE6" w:rsidSect="008C548F">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E6" w:rsidRDefault="008C548F">
      <w:pPr>
        <w:spacing w:before="0" w:after="0"/>
      </w:pPr>
      <w:r>
        <w:separator/>
      </w:r>
    </w:p>
  </w:endnote>
  <w:endnote w:type="continuationSeparator" w:id="0">
    <w:p w:rsidR="00A93FE6" w:rsidRDefault="008C54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Landscape"/>
      <w:rPr>
        <w:rFonts w:ascii="Arial" w:hAnsi="Arial" w:cs="Arial"/>
        <w:b/>
        <w:sz w:val="48"/>
      </w:rPr>
    </w:pPr>
    <w:r w:rsidRPr="008C548F">
      <w:rPr>
        <w:rFonts w:ascii="Arial" w:hAnsi="Arial" w:cs="Arial"/>
        <w:b/>
        <w:sz w:val="48"/>
      </w:rPr>
      <w:t>NL</w:t>
    </w:r>
    <w:r w:rsidRPr="008C548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C548F">
      <w:tab/>
    </w:r>
    <w:r w:rsidRPr="008C548F">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rPr>
        <w:rFonts w:ascii="Arial" w:hAnsi="Arial" w:cs="Arial"/>
        <w:b/>
        <w:sz w:val="48"/>
      </w:rPr>
    </w:pPr>
    <w:r w:rsidRPr="008C548F">
      <w:rPr>
        <w:rFonts w:ascii="Arial" w:hAnsi="Arial" w:cs="Arial"/>
        <w:b/>
        <w:sz w:val="48"/>
      </w:rPr>
      <w:t>NL</w:t>
    </w:r>
    <w:r w:rsidRPr="008C548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C548F">
      <w:tab/>
    </w:r>
    <w:r w:rsidRPr="008C548F">
      <w:rPr>
        <w:rFonts w:ascii="Arial" w:hAnsi="Arial" w:cs="Arial"/>
        <w:b/>
        <w:sz w:val="48"/>
      </w:rPr>
      <w:t>NL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E6" w:rsidRPr="008C548F" w:rsidRDefault="008C548F" w:rsidP="008C548F">
    <w:pPr>
      <w:pStyle w:val="Footer"/>
      <w:rPr>
        <w:rFonts w:ascii="Arial" w:hAnsi="Arial" w:cs="Arial"/>
        <w:b/>
        <w:sz w:val="48"/>
      </w:rPr>
    </w:pPr>
    <w:r w:rsidRPr="008C548F">
      <w:rPr>
        <w:rFonts w:ascii="Arial" w:hAnsi="Arial" w:cs="Arial"/>
        <w:b/>
        <w:sz w:val="48"/>
      </w:rPr>
      <w:t>NL</w:t>
    </w:r>
    <w:r w:rsidRPr="008C548F">
      <w:rPr>
        <w:rFonts w:ascii="Arial" w:hAnsi="Arial" w:cs="Arial"/>
        <w:b/>
        <w:sz w:val="48"/>
      </w:rPr>
      <w:tab/>
    </w:r>
    <w:r w:rsidRPr="008C548F">
      <w:rPr>
        <w:rFonts w:ascii="Arial" w:hAnsi="Arial" w:cs="Arial"/>
        <w:b/>
        <w:sz w:val="48"/>
      </w:rPr>
      <w:tab/>
    </w:r>
    <w:fldSimple w:instr=" DOCVARIABLE &quot;LW_Confidence&quot; \* MERGEFORMAT ">
      <w:r>
        <w:t xml:space="preserve"> </w:t>
      </w:r>
    </w:fldSimple>
    <w:r w:rsidRPr="008C548F">
      <w:tab/>
    </w:r>
    <w:proofErr w:type="spellStart"/>
    <w:r w:rsidRPr="008C548F">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rPr>
        <w:rFonts w:ascii="Arial" w:hAnsi="Arial" w:cs="Arial"/>
        <w:b/>
        <w:sz w:val="48"/>
      </w:rPr>
    </w:pPr>
    <w:r w:rsidRPr="008C548F">
      <w:rPr>
        <w:rFonts w:ascii="Arial" w:hAnsi="Arial" w:cs="Arial"/>
        <w:b/>
        <w:sz w:val="48"/>
      </w:rPr>
      <w:t>NL</w:t>
    </w:r>
    <w:r w:rsidRPr="008C548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C548F">
      <w:tab/>
    </w:r>
    <w:r w:rsidRPr="008C548F">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Landscape"/>
      <w:rPr>
        <w:rFonts w:ascii="Arial" w:hAnsi="Arial" w:cs="Arial"/>
        <w:b/>
        <w:sz w:val="48"/>
      </w:rPr>
    </w:pPr>
    <w:r w:rsidRPr="008C548F">
      <w:rPr>
        <w:rFonts w:ascii="Arial" w:hAnsi="Arial" w:cs="Arial"/>
        <w:b/>
        <w:sz w:val="48"/>
      </w:rPr>
      <w:t>NL</w:t>
    </w:r>
    <w:r w:rsidRPr="008C548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C548F">
      <w:tab/>
    </w:r>
    <w:r w:rsidRPr="008C548F">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rPr>
        <w:rFonts w:ascii="Arial" w:hAnsi="Arial" w:cs="Arial"/>
        <w:b/>
        <w:sz w:val="48"/>
      </w:rPr>
    </w:pPr>
    <w:r w:rsidRPr="008C548F">
      <w:rPr>
        <w:rFonts w:ascii="Arial" w:hAnsi="Arial" w:cs="Arial"/>
        <w:b/>
        <w:sz w:val="48"/>
      </w:rPr>
      <w:t>NL</w:t>
    </w:r>
    <w:r w:rsidRPr="008C548F">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C548F">
      <w:tab/>
    </w:r>
    <w:r w:rsidRPr="008C548F">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E6" w:rsidRDefault="008C548F">
      <w:pPr>
        <w:spacing w:before="0" w:after="0"/>
      </w:pPr>
      <w:r>
        <w:separator/>
      </w:r>
    </w:p>
  </w:footnote>
  <w:footnote w:type="continuationSeparator" w:id="0">
    <w:p w:rsidR="00A93FE6" w:rsidRDefault="008C548F">
      <w:pPr>
        <w:spacing w:before="0" w:after="0"/>
      </w:pPr>
      <w:r>
        <w:continuationSeparator/>
      </w:r>
    </w:p>
  </w:footnote>
  <w:footnote w:id="1">
    <w:p w:rsidR="00A93FE6" w:rsidRDefault="008C548F">
      <w:pPr>
        <w:pStyle w:val="FootnoteText"/>
      </w:pPr>
      <w:r>
        <w:rPr>
          <w:rStyle w:val="FootnoteReference"/>
        </w:rPr>
        <w:footnoteRef/>
      </w:r>
      <w:r>
        <w:tab/>
        <w:t xml:space="preserve">Mededeling van de Commissie aan het Europees Parlement, de Raad, het Europees Economisch en Sociaal </w:t>
      </w:r>
      <w:r>
        <w:t xml:space="preserve">Comité en het Comité van de Regio’s — Connectiviteit voor een competitieve digitale eengemaakte markt — Naar een Europese </w:t>
      </w:r>
      <w:proofErr w:type="spellStart"/>
      <w:r>
        <w:t>gigabitmaatschappij</w:t>
      </w:r>
      <w:proofErr w:type="spellEnd"/>
      <w:r>
        <w:t xml:space="preserve"> (COM(2016)587).</w:t>
      </w:r>
    </w:p>
  </w:footnote>
  <w:footnote w:id="2">
    <w:p w:rsidR="00A93FE6" w:rsidRDefault="008C548F">
      <w:pPr>
        <w:pStyle w:val="FootnoteText"/>
      </w:pPr>
      <w:r>
        <w:rPr>
          <w:rStyle w:val="FootnoteReference"/>
        </w:rPr>
        <w:footnoteRef/>
      </w:r>
      <w:r>
        <w:tab/>
        <w:t>Voorstel voor een Richtlijn van het Europees Parlement en de Raad tot vaststelling van het Europ</w:t>
      </w:r>
      <w:r>
        <w:t>ees wetboek voor elektronische communicatie (herziening) (COM(2016)590).</w:t>
      </w:r>
    </w:p>
  </w:footnote>
  <w:footnote w:id="3">
    <w:p w:rsidR="00A93FE6" w:rsidRDefault="008C548F">
      <w:pPr>
        <w:pStyle w:val="FootnoteText"/>
      </w:pPr>
      <w:r>
        <w:rPr>
          <w:rStyle w:val="FootnoteReference"/>
        </w:rPr>
        <w:footnoteRef/>
      </w:r>
      <w:r>
        <w:tab/>
        <w:t>Verordening (EU) nr. 1316/2013 van het Europees Parlement en de Raad van 11 december 2013 tot vaststelling van de financieringsfaciliteit voor Europese verbindingen, tot wijziging v</w:t>
      </w:r>
      <w:r>
        <w:t xml:space="preserve">an Verordening (EU) nr. 913/2010 en tot intrekking van Verordeningen (EG) nr. 680/2007 en (EG) nr. 67/2010 (PB L 348 van 20.12.2013, blz. 129), laatstelijk gewijzigd bij Verordening (EU) 2015/1017 van het Europees Parlement en de Raad van 25 juni 2015 (PB </w:t>
      </w:r>
      <w:r>
        <w:t>L 169 van 1.7.2015, blz. 1).</w:t>
      </w:r>
    </w:p>
  </w:footnote>
  <w:footnote w:id="4">
    <w:p w:rsidR="00A93FE6" w:rsidRDefault="008C548F">
      <w:pPr>
        <w:pStyle w:val="FootnoteText"/>
      </w:pPr>
      <w:r>
        <w:rPr>
          <w:rStyle w:val="FootnoteReference"/>
        </w:rPr>
        <w:footnoteRef/>
      </w:r>
      <w:r>
        <w:tab/>
        <w:t xml:space="preserve">Verordening (EU) nr. 283/2014 van het Europees Parlement en de Raad van 11 maart 2014 betreffende richtsnoeren voor trans-Europese netwerken op het gebied van telecommunicatie-infrastructuur en tot intrekking van Beschikking </w:t>
      </w:r>
      <w:r>
        <w:t>nr. 1336/97/EG (PB L 86 van 21.3.2014, blz. 14).</w:t>
      </w:r>
    </w:p>
  </w:footnote>
  <w:footnote w:id="5">
    <w:p w:rsidR="00A93FE6" w:rsidRDefault="008C548F">
      <w:pPr>
        <w:pStyle w:val="FootnoteText"/>
      </w:pPr>
      <w:r>
        <w:rPr>
          <w:rStyle w:val="FootnoteReference"/>
        </w:rPr>
        <w:footnoteRef/>
      </w:r>
      <w:r>
        <w:tab/>
        <w:t xml:space="preserve">Zoals gedefinieerd in artikel 185 van Gedelegeerde Verordening (EU) nr. 1268/2012 van de Commissie van 29 oktober 2012 houdende uitvoeringsvoorschriften voor Verordening (EU, Euratom) nr. 966/2012 van het </w:t>
      </w:r>
      <w:r>
        <w:t xml:space="preserve">Europees Parlement en de Raad tot vaststelling van de financiële regels van toepassing op de algemene begroting van de Unie (PB L 362 van 31.12.2012, blz. 1), zoals gewijzigd bij Gedelegeerde Verordening (EU) 2015/2462 van de Commissie van 30 oktober 2015 </w:t>
      </w:r>
      <w:r>
        <w:t>(PB L 342 van 29.12.2015, blz. 7).</w:t>
      </w:r>
    </w:p>
  </w:footnote>
  <w:footnote w:id="6">
    <w:p w:rsidR="00A93FE6" w:rsidRDefault="008C548F">
      <w:pPr>
        <w:pStyle w:val="FootnoteText"/>
      </w:pPr>
      <w:r>
        <w:rPr>
          <w:rStyle w:val="FootnoteReference"/>
        </w:rPr>
        <w:footnoteRef/>
      </w:r>
      <w:r>
        <w:tab/>
        <w:t>Alle aanvullende financiële bijstand van de lidstaten moet normaliter als de-minimissteun worden aangemerkt, zoals bepaald in artikel 3 van Verordening (EU) nr. 1407/2013 van de Commissie van 18 december 2013 betreffend</w:t>
      </w:r>
      <w:r>
        <w:t xml:space="preserve">e de toepassing van de artikelen 107 en 108 van het Verdrag betreffende de werking van de Europese Unie op de-minimissteun (PB L 352 van 24.12.2013, blz. 1). Indien deze aanvullende nationale bijstand niet voldoet aan de voorwaarden om als de-minimissteun </w:t>
      </w:r>
      <w:r>
        <w:t>te worden aangemerkt, zijn artikelen 107 en 108 VWEU van toepassing op de aanvullende financiering.</w:t>
      </w:r>
    </w:p>
  </w:footnote>
  <w:footnote w:id="7">
    <w:p w:rsidR="00A93FE6" w:rsidRDefault="008C548F">
      <w:pPr>
        <w:pStyle w:val="FootnoteText"/>
      </w:pPr>
      <w:r>
        <w:rPr>
          <w:rStyle w:val="FootnoteReference"/>
        </w:rPr>
        <w:footnoteRef/>
      </w:r>
      <w:r>
        <w:tab/>
        <w:t>De doelstelling om de financiële bijstand van de Unie op een geografisch evenwichtige manier te verdelen, moet worden bereikt binnen de grenzen van de daa</w:t>
      </w:r>
      <w:r>
        <w:t>dwerkelijk ontvangen voorstellen en in volledige overeenstemming met de beginselen voor specifieke vormen van financiële bijstand, als bepaald in het Financieel Reglement.</w:t>
      </w:r>
    </w:p>
  </w:footnote>
  <w:footnote w:id="8">
    <w:p w:rsidR="00A93FE6" w:rsidRDefault="008C548F">
      <w:pPr>
        <w:pStyle w:val="FootnoteText"/>
      </w:pPr>
      <w:r>
        <w:rPr>
          <w:rStyle w:val="FootnoteReference"/>
        </w:rPr>
        <w:footnoteRef/>
      </w:r>
      <w:r>
        <w:tab/>
      </w:r>
      <w:hyperlink r:id="rId1">
        <w:r>
          <w:rPr>
            <w:rStyle w:val="Hyperlink"/>
            <w:rFonts w:ascii="Times New Roman" w:hAnsi="Times New Roman"/>
          </w:rPr>
          <w:t>https://ec.europa.eu/digital-single-market/en/broadband-competence-offices</w:t>
        </w:r>
      </w:hyperlink>
      <w:r>
        <w:t xml:space="preserve">. </w:t>
      </w:r>
    </w:p>
  </w:footnote>
  <w:footnote w:id="9">
    <w:p w:rsidR="00A93FE6" w:rsidRDefault="008C548F">
      <w:pPr>
        <w:pStyle w:val="FootnoteText"/>
        <w:jc w:val="left"/>
      </w:pPr>
      <w:r>
        <w:rPr>
          <w:rStyle w:val="FootnoteReference"/>
        </w:rPr>
        <w:footnoteRef/>
      </w:r>
      <w:r>
        <w:tab/>
      </w:r>
      <w:hyperlink r:id="rId2">
        <w:r>
          <w:rPr>
            <w:rStyle w:val="Hyperlink"/>
            <w:rFonts w:ascii="Times New Roman" w:hAnsi="Times New Roman"/>
            <w:sz w:val="18"/>
          </w:rPr>
          <w:t>https://ec.europa.eu/digital-single-market/en/news/full-synopsis-report-public-consultation-evaluation-and-review-regulatory-framework-electronic</w:t>
        </w:r>
      </w:hyperlink>
    </w:p>
  </w:footnote>
  <w:footnote w:id="10">
    <w:p w:rsidR="00A93FE6" w:rsidRDefault="008C548F">
      <w:pPr>
        <w:pStyle w:val="FootnoteText"/>
      </w:pPr>
      <w:r>
        <w:rPr>
          <w:rStyle w:val="FootnoteReference"/>
        </w:rPr>
        <w:footnoteRef/>
      </w:r>
      <w:r>
        <w:tab/>
        <w:t xml:space="preserve">Voorstel voor een verordening van het Europees Parlement en de Raad tot wijziging van de Verordeningen (EU) </w:t>
      </w:r>
      <w:r>
        <w:t xml:space="preserve">nr. 1316/2013 en (EU) 2015/1017 wat betreft de verlenging van de looptijd van het Europees Fonds voor strategische investeringen en wat betreft de invoering van technische versterkingen voor dat fonds en de Europese </w:t>
      </w:r>
      <w:proofErr w:type="spellStart"/>
      <w:r>
        <w:t>investeringsadvieshub</w:t>
      </w:r>
      <w:proofErr w:type="spellEnd"/>
      <w:r>
        <w:t xml:space="preserve"> (COM(2016)597).</w:t>
      </w:r>
    </w:p>
  </w:footnote>
  <w:footnote w:id="11">
    <w:p w:rsidR="00A93FE6" w:rsidRDefault="008C548F">
      <w:pPr>
        <w:pStyle w:val="FootnoteText"/>
      </w:pPr>
      <w:r>
        <w:rPr>
          <w:rStyle w:val="FootnoteReference"/>
        </w:rPr>
        <w:footnoteRef/>
      </w:r>
      <w:r>
        <w:tab/>
      </w:r>
      <w:r>
        <w:rPr>
          <w:color w:val="000000"/>
        </w:rPr>
        <w:t xml:space="preserve">Verordening (EU) 2015/1017 van het Europees Parlement en de Raad van 25 juni 2015 betreffende het Europees Fonds voor strategische investeringen, de Europese </w:t>
      </w:r>
      <w:proofErr w:type="spellStart"/>
      <w:r>
        <w:rPr>
          <w:color w:val="000000"/>
        </w:rPr>
        <w:t>investeringsadvieshub</w:t>
      </w:r>
      <w:proofErr w:type="spellEnd"/>
      <w:r>
        <w:rPr>
          <w:color w:val="000000"/>
        </w:rPr>
        <w:t xml:space="preserve"> en het Europese investeringsprojectenportaal en tot wijziging van de Verorde</w:t>
      </w:r>
      <w:r>
        <w:rPr>
          <w:color w:val="000000"/>
        </w:rPr>
        <w:t>ningen (EU) nr. 1291/2013 en (EU) nr. 1316/2013 — het Europees Fonds voor strategische investeringen (PB</w:t>
      </w:r>
      <w:r>
        <w:t> 169 van 1.7.2015, blz. 1).</w:t>
      </w:r>
    </w:p>
  </w:footnote>
  <w:footnote w:id="12">
    <w:p w:rsidR="00A93FE6" w:rsidRDefault="008C548F">
      <w:pPr>
        <w:pStyle w:val="FootnoteText"/>
      </w:pPr>
      <w:r>
        <w:rPr>
          <w:rStyle w:val="FootnoteReference"/>
        </w:rPr>
        <w:footnoteRef/>
      </w:r>
      <w:r>
        <w:tab/>
        <w:t>PB C  van ,blz. .</w:t>
      </w:r>
    </w:p>
  </w:footnote>
  <w:footnote w:id="13">
    <w:p w:rsidR="00A93FE6" w:rsidRDefault="008C548F">
      <w:pPr>
        <w:pStyle w:val="FootnoteText"/>
      </w:pPr>
      <w:r>
        <w:rPr>
          <w:rStyle w:val="FootnoteReference"/>
        </w:rPr>
        <w:footnoteRef/>
      </w:r>
      <w:r>
        <w:tab/>
        <w:t>PB C  van ,blz. .</w:t>
      </w:r>
    </w:p>
  </w:footnote>
  <w:footnote w:id="14">
    <w:p w:rsidR="00A93FE6" w:rsidRDefault="008C548F">
      <w:pPr>
        <w:pStyle w:val="FootnoteText"/>
      </w:pPr>
      <w:r>
        <w:rPr>
          <w:rStyle w:val="FootnoteReference"/>
        </w:rPr>
        <w:footnoteRef/>
      </w:r>
      <w:r>
        <w:tab/>
        <w:t xml:space="preserve">Mededeling van de Commissie aan het Europees Parlement, de Raad, het Europees </w:t>
      </w:r>
      <w:r>
        <w:t xml:space="preserve">Economisch en Sociaal Comité en het Comité van de Regio’s — Connectiviteit voor een competitieve digitale eengemaakte markt — Naar een Europese </w:t>
      </w:r>
      <w:proofErr w:type="spellStart"/>
      <w:r>
        <w:t>gigabitmaatschappij</w:t>
      </w:r>
      <w:proofErr w:type="spellEnd"/>
      <w:r>
        <w:t xml:space="preserve"> (COM(2016)587).</w:t>
      </w:r>
    </w:p>
  </w:footnote>
  <w:footnote w:id="15">
    <w:p w:rsidR="00A93FE6" w:rsidRDefault="008C548F">
      <w:pPr>
        <w:pStyle w:val="FootnoteText"/>
      </w:pPr>
      <w:r>
        <w:rPr>
          <w:rStyle w:val="FootnoteReference"/>
        </w:rPr>
        <w:footnoteRef/>
      </w:r>
      <w:r>
        <w:tab/>
        <w:t xml:space="preserve">Verordening (EU) nr. 1316/20136 van het Europees Parlement en de Raad van </w:t>
      </w:r>
      <w:r>
        <w:t>11 december 2013 tot vaststelling van de financieringsfaciliteit voor Europese verbindingen, tot wijziging van Verordening (EU) nr. 913/2010 en tot intrekking van Verordeningen (EG) nr. 680/2007 en (EG) nr. 67/2010 (PB L 348 van 20.12.2013, blz. 129), laat</w:t>
      </w:r>
      <w:r>
        <w:t>stelijk gewijzigd bij Verordening (EU) 2015/1017 van het Europees Parlement en de Raad van 25 juni 2015 (PB L 169 van 1.7.2015, blz. 1).</w:t>
      </w:r>
    </w:p>
  </w:footnote>
  <w:footnote w:id="16">
    <w:p w:rsidR="00A93FE6" w:rsidRDefault="008C548F">
      <w:pPr>
        <w:pStyle w:val="FootnoteText"/>
      </w:pPr>
      <w:r>
        <w:rPr>
          <w:rStyle w:val="FootnoteReference"/>
        </w:rPr>
        <w:footnoteRef/>
      </w:r>
      <w:r>
        <w:tab/>
        <w:t>Verordening (EU) nr. 283/2014 van het Europees Parlement en de Raad van 11 maart 2014 betreffende richtsnoeren voor t</w:t>
      </w:r>
      <w:r>
        <w:t>rans-Europese netwerken op het gebied van telecommunicatie-infrastructuur en tot intrekking van Beschikking nr. 1336/97/EG (PB L 86 van 21.3.2014, blz. 14).</w:t>
      </w:r>
    </w:p>
  </w:footnote>
  <w:footnote w:id="17">
    <w:p w:rsidR="00A93FE6" w:rsidRDefault="008C548F">
      <w:pPr>
        <w:pStyle w:val="FootnoteText"/>
      </w:pPr>
      <w:r>
        <w:rPr>
          <w:rStyle w:val="FootnoteReference"/>
        </w:rPr>
        <w:footnoteRef/>
      </w:r>
      <w:r>
        <w:tab/>
        <w:t xml:space="preserve">ABM: </w:t>
      </w:r>
      <w:proofErr w:type="spellStart"/>
      <w:r>
        <w:t>activity-based</w:t>
      </w:r>
      <w:proofErr w:type="spellEnd"/>
      <w:r>
        <w:t xml:space="preserve"> management (</w:t>
      </w:r>
      <w:proofErr w:type="spellStart"/>
      <w:r>
        <w:t>activiteitsgestuurd</w:t>
      </w:r>
      <w:proofErr w:type="spellEnd"/>
      <w:r>
        <w:t xml:space="preserve"> beheer); ABB: </w:t>
      </w:r>
      <w:proofErr w:type="spellStart"/>
      <w:r>
        <w:t>activity-based</w:t>
      </w:r>
      <w:proofErr w:type="spellEnd"/>
      <w:r>
        <w:t xml:space="preserve"> </w:t>
      </w:r>
      <w:proofErr w:type="spellStart"/>
      <w:r>
        <w:t>budgeting</w:t>
      </w:r>
      <w:proofErr w:type="spellEnd"/>
      <w:r>
        <w:t xml:space="preserve"> (</w:t>
      </w:r>
      <w:proofErr w:type="spellStart"/>
      <w:r>
        <w:t>activ</w:t>
      </w:r>
      <w:r>
        <w:t>iteitsgestuurde</w:t>
      </w:r>
      <w:proofErr w:type="spellEnd"/>
      <w:r>
        <w:t xml:space="preserve"> begroting).</w:t>
      </w:r>
    </w:p>
  </w:footnote>
  <w:footnote w:id="18">
    <w:p w:rsidR="00A93FE6" w:rsidRDefault="008C548F">
      <w:pPr>
        <w:pStyle w:val="FootnoteText"/>
      </w:pPr>
      <w:r>
        <w:rPr>
          <w:rStyle w:val="FootnoteReference"/>
        </w:rPr>
        <w:footnoteRef/>
      </w:r>
      <w:r>
        <w:tab/>
        <w:t>In de zin van artikel 54, lid 2, onder a) of b), van het Financieel Reglement.</w:t>
      </w:r>
    </w:p>
  </w:footnote>
  <w:footnote w:id="19">
    <w:p w:rsidR="00A93FE6" w:rsidRDefault="008C548F">
      <w:pPr>
        <w:pStyle w:val="FootnoteText"/>
      </w:pPr>
      <w:r>
        <w:rPr>
          <w:rStyle w:val="FootnoteReference"/>
        </w:rPr>
        <w:footnoteRef/>
      </w:r>
      <w:r>
        <w:tab/>
        <w:t>Hieronder wordt bijvoorbeeld verstaan: basisscholen en middelbare scholen, treinstations, havens en luchthavens, gebouwen van plaatselijke overhe</w:t>
      </w:r>
      <w:r>
        <w:t>den, universiteiten, onderzoekscentra, dokterspraktijken, ziekenhuizen en stadions.</w:t>
      </w:r>
    </w:p>
  </w:footnote>
  <w:footnote w:id="20">
    <w:p w:rsidR="00A93FE6" w:rsidRDefault="008C548F">
      <w:pPr>
        <w:pStyle w:val="FootnoteText"/>
        <w:jc w:val="left"/>
      </w:pPr>
      <w:r>
        <w:rPr>
          <w:rStyle w:val="FootnoteReference"/>
        </w:rPr>
        <w:footnoteRef/>
      </w:r>
      <w:r>
        <w:tab/>
        <w:t xml:space="preserve">Nadere gegevens over de beheersvormen en verwijzingen naar het Financieel Reglement zijn beschikbaar op </w:t>
      </w:r>
      <w:proofErr w:type="spellStart"/>
      <w:r>
        <w:t>BudgWeb</w:t>
      </w:r>
      <w:proofErr w:type="spellEnd"/>
      <w:r>
        <w:t xml:space="preserve">: </w:t>
      </w:r>
      <w:hyperlink r:id="rId3">
        <w:r>
          <w:rPr>
            <w:rStyle w:val="Hyperlink"/>
            <w:rFonts w:ascii="Times New Roman" w:hAnsi="Times New Roman"/>
          </w:rPr>
          <w:t>https://myintracomm.ec.europa.eu/budgweb/EN/man/budgmanag/Pages/budgmanag.aspx</w:t>
        </w:r>
      </w:hyperlink>
      <w:r>
        <w:t xml:space="preserve"> </w:t>
      </w:r>
    </w:p>
  </w:footnote>
  <w:footnote w:id="21">
    <w:p w:rsidR="00A93FE6" w:rsidRDefault="008C548F">
      <w:pPr>
        <w:pStyle w:val="FootnoteText"/>
      </w:pPr>
      <w:r>
        <w:rPr>
          <w:rStyle w:val="FootnoteReference"/>
        </w:rPr>
        <w:footnoteRef/>
      </w:r>
      <w:r>
        <w:tab/>
        <w:t>Dit bedrag zal worden teruggestort van CEF DSI (09.0303) naar H2020 in 2019-2020</w:t>
      </w:r>
    </w:p>
  </w:footnote>
  <w:footnote w:id="22">
    <w:p w:rsidR="00A93FE6" w:rsidRDefault="008C548F">
      <w:pPr>
        <w:pStyle w:val="FootnoteText"/>
      </w:pPr>
      <w:r>
        <w:rPr>
          <w:rStyle w:val="FootnoteReference"/>
        </w:rPr>
        <w:footnoteRef/>
      </w:r>
      <w:r>
        <w:tab/>
        <w:t>Technische en/of administratieve bijstand en uitga</w:t>
      </w:r>
      <w:r>
        <w:t>ven ter ondersteuning van de uitvoering van programma's en/of acties van de EU (vroegere "BA"-onderdelen), onderzoek door derden, eigen onderzoek.</w:t>
      </w:r>
    </w:p>
  </w:footnote>
  <w:footnote w:id="23">
    <w:p w:rsidR="00A93FE6" w:rsidRDefault="008C548F">
      <w:pPr>
        <w:pStyle w:val="FootnoteText"/>
      </w:pPr>
      <w:r>
        <w:rPr>
          <w:rStyle w:val="FootnoteReference"/>
        </w:rPr>
        <w:footnoteRef/>
      </w:r>
      <w:r>
        <w:tab/>
      </w:r>
      <w:proofErr w:type="spellStart"/>
      <w:r>
        <w:t>Outputs</w:t>
      </w:r>
      <w:proofErr w:type="spellEnd"/>
      <w:r>
        <w:t xml:space="preserve"> zijn de te verstrekken producten en diensten (bv. aantal gefinancierde studentenuitwisselingen, aan</w:t>
      </w:r>
      <w:r>
        <w:t>tal km aangelegde wegen, enz.).</w:t>
      </w:r>
    </w:p>
  </w:footnote>
  <w:footnote w:id="24">
    <w:p w:rsidR="00A93FE6" w:rsidRDefault="008C548F">
      <w:pPr>
        <w:pStyle w:val="FootnoteText"/>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5">
    <w:p w:rsidR="00A93FE6" w:rsidRDefault="008C548F">
      <w:pPr>
        <w:pStyle w:val="FootnoteText"/>
      </w:pPr>
      <w:r>
        <w:rPr>
          <w:rStyle w:val="FootnoteReference"/>
        </w:rPr>
        <w:footnoteRef/>
      </w:r>
      <w:r>
        <w:tab/>
        <w:t xml:space="preserve">AC= Agent </w:t>
      </w:r>
      <w:proofErr w:type="spellStart"/>
      <w:r>
        <w:t>Contractuel</w:t>
      </w:r>
      <w:proofErr w:type="spellEnd"/>
      <w:r>
        <w:t xml:space="preserve"> (</w:t>
      </w:r>
      <w:r>
        <w:t xml:space="preserve">arbeidscontractant); AL = Agent </w:t>
      </w:r>
      <w:proofErr w:type="spellStart"/>
      <w:r>
        <w:t>Local</w:t>
      </w:r>
      <w:proofErr w:type="spellEnd"/>
      <w:r>
        <w:t xml:space="preserve"> (plaatselijk functionaris); END = Expert Nationaal </w:t>
      </w:r>
      <w:proofErr w:type="spellStart"/>
      <w:r>
        <w:t>Détaché</w:t>
      </w:r>
      <w:proofErr w:type="spellEnd"/>
      <w:r>
        <w:t xml:space="preserve"> (gedetacheerd nationaal deskundige); INT= </w:t>
      </w:r>
      <w:proofErr w:type="spellStart"/>
      <w:r>
        <w:t>Intérimaire</w:t>
      </w:r>
      <w:proofErr w:type="spellEnd"/>
      <w:r>
        <w:t xml:space="preserve"> (uitzendkracht); JED= </w:t>
      </w:r>
      <w:proofErr w:type="spellStart"/>
      <w:r>
        <w:t>Jeune</w:t>
      </w:r>
      <w:proofErr w:type="spellEnd"/>
      <w:r>
        <w:t xml:space="preserve"> Expert en </w:t>
      </w:r>
      <w:proofErr w:type="spellStart"/>
      <w:r>
        <w:t>Délégation</w:t>
      </w:r>
      <w:proofErr w:type="spellEnd"/>
      <w:r>
        <w:t xml:space="preserve"> (jonge deskundige in delegaties). </w:t>
      </w:r>
    </w:p>
  </w:footnote>
  <w:footnote w:id="26">
    <w:p w:rsidR="00A93FE6" w:rsidRDefault="008C548F">
      <w:pPr>
        <w:pStyle w:val="FootnoteText"/>
      </w:pPr>
      <w:r>
        <w:rPr>
          <w:rStyle w:val="FootnoteReference"/>
        </w:rPr>
        <w:footnoteRef/>
      </w:r>
      <w:r>
        <w:tab/>
        <w:t>Onder het maximum v</w:t>
      </w:r>
      <w:r>
        <w:t>oor extern personeel betaald uit beleidskredieten (vroegere "BA"-onderdelen).</w:t>
      </w:r>
    </w:p>
  </w:footnote>
  <w:footnote w:id="27">
    <w:p w:rsidR="00A93FE6" w:rsidRDefault="008C548F">
      <w:pPr>
        <w:pStyle w:val="FootnoteText"/>
        <w:spacing w:after="120"/>
      </w:pPr>
      <w:r>
        <w:rPr>
          <w:rStyle w:val="FootnoteReference"/>
        </w:rPr>
        <w:footnoteRef/>
      </w:r>
      <w:r>
        <w:tab/>
      </w:r>
      <w:r>
        <w:rPr>
          <w:sz w:val="18"/>
        </w:rPr>
        <w:t xml:space="preserve">AC= Agent </w:t>
      </w:r>
      <w:proofErr w:type="spellStart"/>
      <w:r>
        <w:rPr>
          <w:sz w:val="18"/>
        </w:rPr>
        <w:t>Contractuel</w:t>
      </w:r>
      <w:proofErr w:type="spellEnd"/>
      <w:r>
        <w:rPr>
          <w:sz w:val="18"/>
        </w:rPr>
        <w:t xml:space="preserve"> (arbeidscontractant); AL = Agent </w:t>
      </w:r>
      <w:proofErr w:type="spellStart"/>
      <w:r>
        <w:rPr>
          <w:sz w:val="18"/>
        </w:rPr>
        <w:t>Local</w:t>
      </w:r>
      <w:proofErr w:type="spellEnd"/>
      <w:r>
        <w:rPr>
          <w:sz w:val="18"/>
        </w:rPr>
        <w:t xml:space="preserve"> (plaatselijk functionaris); END = Expert Nationaal </w:t>
      </w:r>
      <w:proofErr w:type="spellStart"/>
      <w:r>
        <w:rPr>
          <w:sz w:val="18"/>
        </w:rPr>
        <w:t>Détaché</w:t>
      </w:r>
      <w:proofErr w:type="spellEnd"/>
      <w:r>
        <w:rPr>
          <w:sz w:val="18"/>
        </w:rPr>
        <w:t xml:space="preserve"> (gedetacheerd nationaal deskundige); INT= </w:t>
      </w:r>
      <w:proofErr w:type="spellStart"/>
      <w:r>
        <w:rPr>
          <w:sz w:val="18"/>
        </w:rPr>
        <w:t>Intérimaire</w:t>
      </w:r>
      <w:proofErr w:type="spellEnd"/>
      <w:r>
        <w:rPr>
          <w:sz w:val="18"/>
        </w:rPr>
        <w:t xml:space="preserve"> </w:t>
      </w:r>
      <w:r>
        <w:rPr>
          <w:sz w:val="18"/>
        </w:rPr>
        <w:t xml:space="preserve">(uitzendkracht); JED= </w:t>
      </w:r>
      <w:proofErr w:type="spellStart"/>
      <w:r>
        <w:rPr>
          <w:sz w:val="18"/>
        </w:rPr>
        <w:t>Jeune</w:t>
      </w:r>
      <w:proofErr w:type="spellEnd"/>
      <w:r>
        <w:rPr>
          <w:sz w:val="18"/>
        </w:rPr>
        <w:t xml:space="preserve"> Expert en </w:t>
      </w:r>
      <w:proofErr w:type="spellStart"/>
      <w:r>
        <w:rPr>
          <w:sz w:val="18"/>
        </w:rPr>
        <w:t>Délégation</w:t>
      </w:r>
      <w:proofErr w:type="spellEnd"/>
      <w:r>
        <w:rPr>
          <w:sz w:val="18"/>
        </w:rPr>
        <w:t xml:space="preserve"> (jonge deskundige in delegaties).</w:t>
      </w:r>
    </w:p>
  </w:footnote>
  <w:footnote w:id="28">
    <w:p w:rsidR="00A93FE6" w:rsidRDefault="008C548F">
      <w:pPr>
        <w:pStyle w:val="FootnoteText"/>
        <w:spacing w:after="120"/>
      </w:pPr>
      <w:r>
        <w:rPr>
          <w:rStyle w:val="FootnoteReference"/>
        </w:rPr>
        <w:footnoteRef/>
      </w:r>
      <w:r>
        <w:tab/>
      </w:r>
      <w:r>
        <w:rPr>
          <w:sz w:val="18"/>
        </w:rPr>
        <w:t xml:space="preserve">AC= Agent </w:t>
      </w:r>
      <w:proofErr w:type="spellStart"/>
      <w:r>
        <w:rPr>
          <w:sz w:val="18"/>
        </w:rPr>
        <w:t>Contractuel</w:t>
      </w:r>
      <w:proofErr w:type="spellEnd"/>
      <w:r>
        <w:rPr>
          <w:sz w:val="18"/>
        </w:rPr>
        <w:t xml:space="preserve"> (arbeidscontractant); AL = Agent </w:t>
      </w:r>
      <w:proofErr w:type="spellStart"/>
      <w:r>
        <w:rPr>
          <w:sz w:val="18"/>
        </w:rPr>
        <w:t>Local</w:t>
      </w:r>
      <w:proofErr w:type="spellEnd"/>
      <w:r>
        <w:rPr>
          <w:sz w:val="18"/>
        </w:rPr>
        <w:t xml:space="preserve"> (plaatselijke functionaris); END = Expert Nationaal </w:t>
      </w:r>
      <w:proofErr w:type="spellStart"/>
      <w:r>
        <w:rPr>
          <w:sz w:val="18"/>
        </w:rPr>
        <w:t>Détaché</w:t>
      </w:r>
      <w:proofErr w:type="spellEnd"/>
      <w:r>
        <w:rPr>
          <w:sz w:val="18"/>
        </w:rPr>
        <w:t xml:space="preserve"> (gedetacheerd nationaal deskundige); INT= </w:t>
      </w:r>
      <w:proofErr w:type="spellStart"/>
      <w:r>
        <w:rPr>
          <w:sz w:val="18"/>
        </w:rPr>
        <w:t>Intérima</w:t>
      </w:r>
      <w:r>
        <w:rPr>
          <w:sz w:val="18"/>
        </w:rPr>
        <w:t>ire</w:t>
      </w:r>
      <w:proofErr w:type="spellEnd"/>
      <w:r>
        <w:rPr>
          <w:sz w:val="18"/>
        </w:rPr>
        <w:t xml:space="preserve"> (uitzendkracht); JED= </w:t>
      </w:r>
      <w:proofErr w:type="spellStart"/>
      <w:r>
        <w:rPr>
          <w:sz w:val="18"/>
        </w:rPr>
        <w:t>Jeune</w:t>
      </w:r>
      <w:proofErr w:type="spellEnd"/>
      <w:r>
        <w:rPr>
          <w:sz w:val="18"/>
        </w:rPr>
        <w:t xml:space="preserve"> Expert en </w:t>
      </w:r>
      <w:proofErr w:type="spellStart"/>
      <w:r>
        <w:rPr>
          <w:sz w:val="18"/>
        </w:rPr>
        <w:t>Délégation</w:t>
      </w:r>
      <w:proofErr w:type="spellEnd"/>
      <w:r>
        <w:rPr>
          <w:sz w:val="18"/>
        </w:rPr>
        <w:t xml:space="preserve"> (jonge deskundige in delegaties).</w:t>
      </w:r>
    </w:p>
  </w:footnote>
  <w:footnote w:id="29">
    <w:p w:rsidR="00A93FE6" w:rsidRDefault="008C548F">
      <w:pPr>
        <w:pStyle w:val="FootnoteText"/>
      </w:pPr>
      <w:r>
        <w:rPr>
          <w:rStyle w:val="FootnoteReference"/>
        </w:rPr>
        <w:footnoteRef/>
      </w:r>
      <w:r>
        <w:tab/>
      </w:r>
      <w:r>
        <w:rPr>
          <w:sz w:val="18"/>
        </w:rPr>
        <w:t>Specificeer het soort comité en de groep waartoe het behoort.</w:t>
      </w:r>
    </w:p>
  </w:footnote>
  <w:footnote w:id="30">
    <w:p w:rsidR="00A93FE6" w:rsidRDefault="008C548F">
      <w:pPr>
        <w:pStyle w:val="FootnoteText"/>
      </w:pPr>
      <w:r>
        <w:rPr>
          <w:rStyle w:val="FootnoteReference"/>
        </w:rPr>
        <w:footnoteRef/>
      </w:r>
      <w:r>
        <w:tab/>
        <w:t>ICT Informatie- en communicatietechnologieën: DIGIT moet worden geraadpleegd.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F" w:rsidRPr="008C548F" w:rsidRDefault="008C548F" w:rsidP="008C548F">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6: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5818CBB7543F4B0A93071A252CF2A549"/>
    <w:docVar w:name="LW_CROSSREFERENCE" w:val="&lt;UNUSED&gt;"/>
    <w:docVar w:name="LW_DocType" w:val="COM"/>
    <w:docVar w:name="LW_EMISSION" w:val="14.9.2016"/>
    <w:docVar w:name="LW_EMISSION_ISODATE" w:val="2016-09-1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Voorstel voor een"/>
    <w:docVar w:name="LW_SUPERTITRE" w:val="&lt;UNUSED&gt;"/>
    <w:docVar w:name="LW_TITRE.OBJ.CP" w:val="tot wijziging van de Verordeningen (EU) nr. 1316/2013 en (EU) nr. 283/2014 wat de bevordering van internetconnectiviteit in lokale gemeenschappen betreft"/>
    <w:docVar w:name="LW_TYPE.DOC.CP" w:val="VERORDENING VAN HET EUROPEES PARLEMENT EN DE RAAD"/>
  </w:docVars>
  <w:rsids>
    <w:rsidRoot w:val="00A93FE6"/>
    <w:rsid w:val="008C548F"/>
    <w:rsid w:val="00A93F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nl-NL"/>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nl-NL"/>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nl-NL" w:eastAsia="nl-NL"/>
    </w:rPr>
  </w:style>
  <w:style w:type="paragraph" w:styleId="Header">
    <w:name w:val="header"/>
    <w:basedOn w:val="Normal"/>
    <w:link w:val="HeaderChar"/>
    <w:uiPriority w:val="99"/>
    <w:unhideWhenUsed/>
    <w:rsid w:val="008C548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C548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C548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nl-NL"/>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nl-NL"/>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nl-NL" w:eastAsia="nl-NL"/>
    </w:rPr>
  </w:style>
  <w:style w:type="paragraph" w:styleId="Header">
    <w:name w:val="header"/>
    <w:basedOn w:val="Normal"/>
    <w:link w:val="HeaderChar"/>
    <w:uiPriority w:val="99"/>
    <w:unhideWhenUsed/>
    <w:rsid w:val="008C548F"/>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C548F"/>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C548F"/>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4222-FF21-40FB-8CD5-E3B86BE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8881</Words>
  <Characters>54876</Characters>
  <Application>Microsoft Office Word</Application>
  <DocSecurity>0</DocSecurity>
  <Lines>2151</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2016-09-30T12:17:00Z</dcterms:created>
  <dcterms:modified xsi:type="dcterms:W3CDTF">2016-10-03T13:45:00Z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