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91" w:rsidRDefault="005F1CD3" w:rsidP="005F1CD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36A935F0E0D4877B22DD733125673D7" style="width:450.4pt;height:409.4pt">
            <v:imagedata r:id="rId9" o:title=""/>
          </v:shape>
        </w:pict>
      </w:r>
    </w:p>
    <w:p w:rsidR="00FC6891" w:rsidRDefault="00FC6891">
      <w:pPr>
        <w:rPr>
          <w:noProof/>
        </w:rPr>
        <w:sectPr w:rsidR="00FC6891" w:rsidSect="005F1CD3">
          <w:footerReference w:type="default" r:id="rId10"/>
          <w:pgSz w:w="11907" w:h="16839"/>
          <w:pgMar w:top="1134" w:right="1417" w:bottom="1134" w:left="1417" w:header="709" w:footer="709" w:gutter="0"/>
          <w:pgNumType w:start="1"/>
          <w:cols w:space="720"/>
          <w:docGrid w:linePitch="360"/>
        </w:sectPr>
      </w:pPr>
    </w:p>
    <w:p w:rsidR="00FC6891" w:rsidRDefault="005F1CD3">
      <w:pPr>
        <w:pStyle w:val="Exposdesmotifstitre"/>
        <w:rPr>
          <w:noProof/>
        </w:rPr>
      </w:pPr>
      <w:bookmarkStart w:id="0" w:name="_GoBack"/>
      <w:bookmarkEnd w:id="0"/>
      <w:r>
        <w:rPr>
          <w:noProof/>
        </w:rPr>
        <w:lastRenderedPageBreak/>
        <w:t>DŮVODOVÁ ZPRÁVA</w:t>
      </w:r>
    </w:p>
    <w:p w:rsidR="00FC6891" w:rsidRDefault="005F1CD3">
      <w:pPr>
        <w:pStyle w:val="ManualHeading1"/>
        <w:tabs>
          <w:tab w:val="left" w:pos="5190"/>
        </w:tabs>
        <w:rPr>
          <w:noProof/>
        </w:rPr>
      </w:pPr>
      <w:r>
        <w:rPr>
          <w:noProof/>
        </w:rPr>
        <w:t>1.</w:t>
      </w:r>
      <w:r>
        <w:rPr>
          <w:noProof/>
        </w:rPr>
        <w:tab/>
        <w:t>SOUVISLOSTI NÁVRHU</w:t>
      </w:r>
      <w:r>
        <w:rPr>
          <w:noProof/>
        </w:rPr>
        <w:tab/>
      </w:r>
    </w:p>
    <w:p w:rsidR="00FC6891" w:rsidRDefault="005F1CD3">
      <w:pPr>
        <w:pStyle w:val="ManualHeading2"/>
        <w:rPr>
          <w:rFonts w:eastAsia="Arial Unicode MS"/>
          <w:noProof/>
        </w:rPr>
      </w:pPr>
      <w:r>
        <w:rPr>
          <w:noProof/>
        </w:rPr>
        <w:t>•</w:t>
      </w:r>
      <w:r>
        <w:rPr>
          <w:noProof/>
        </w:rPr>
        <w:tab/>
        <w:t>Odůvodnění a cíle návrhu</w:t>
      </w:r>
    </w:p>
    <w:p w:rsidR="00FC6891" w:rsidRDefault="005F1CD3">
      <w:pPr>
        <w:rPr>
          <w:noProof/>
          <w:szCs w:val="24"/>
        </w:rPr>
      </w:pPr>
      <w:r>
        <w:rPr>
          <w:noProof/>
        </w:rPr>
        <w:t>Nový balíček v oblasti telekomunikací,</w:t>
      </w:r>
      <w:r>
        <w:rPr>
          <w:noProof/>
        </w:rPr>
        <w:t xml:space="preserve"> který dnes Komise přijala, obsahuje sdělení o evropské vizi internetového připojení občanů a podniků na jednotném digitálním trhu</w:t>
      </w:r>
      <w:r>
        <w:rPr>
          <w:rStyle w:val="FootnoteReference"/>
          <w:noProof/>
        </w:rPr>
        <w:footnoteReference w:id="1"/>
      </w:r>
      <w:r>
        <w:rPr>
          <w:noProof/>
        </w:rPr>
        <w:t>, jakož i legislativní návrh evropského kodexu pro elektronické komunikace</w:t>
      </w:r>
      <w:r>
        <w:rPr>
          <w:rStyle w:val="FootnoteReference"/>
          <w:noProof/>
        </w:rPr>
        <w:footnoteReference w:id="2"/>
      </w:r>
      <w:r>
        <w:rPr>
          <w:noProof/>
        </w:rPr>
        <w:t>, v němž je přepracován regulační rámec pro elektr</w:t>
      </w:r>
      <w:r>
        <w:rPr>
          <w:noProof/>
        </w:rPr>
        <w:t xml:space="preserve">onické komunikace. Návrhy Komise stanoví reformy potřebné pro zajištění dostupnosti a zavedení sítí s velmi vysokou kapacitou, které umožní široké využití výrobků, služeb a aplikací na jednotném digitálním trhu. </w:t>
      </w:r>
    </w:p>
    <w:p w:rsidR="00FC6891" w:rsidRDefault="005F1CD3">
      <w:pPr>
        <w:rPr>
          <w:noProof/>
          <w:szCs w:val="24"/>
        </w:rPr>
      </w:pPr>
      <w:r>
        <w:rPr>
          <w:noProof/>
        </w:rPr>
        <w:t>Internet a digitální připojení mění náš oso</w:t>
      </w:r>
      <w:r>
        <w:rPr>
          <w:noProof/>
        </w:rPr>
        <w:t>bní život a pracovní postupy uvnitř Unie i mimo ni. Je třeba zajistit, aby široká veřejnost byla povzbuzována, aby využila příležitostí, které tato proměna nabízí.</w:t>
      </w:r>
    </w:p>
    <w:p w:rsidR="00FC6891" w:rsidRDefault="005F1CD3">
      <w:pPr>
        <w:rPr>
          <w:noProof/>
          <w:szCs w:val="24"/>
        </w:rPr>
      </w:pPr>
      <w:r>
        <w:rPr>
          <w:noProof/>
        </w:rPr>
        <w:t>Proto je jedním ze strategických cílů Komise, aby webové stránky v Unii, na nichž jsou posky</w:t>
      </w:r>
      <w:r>
        <w:rPr>
          <w:noProof/>
        </w:rPr>
        <w:t>továny veřejné služby, jako jsou například webové stránky veřejné správy, knihoven a nemocnic, byly do roku 2025 vybaveny gigabitovým internetovým připojením. Pokud budou tato a další střediska společenského života, včetně venkovních prostor přístupných ši</w:t>
      </w:r>
      <w:r>
        <w:rPr>
          <w:noProof/>
        </w:rPr>
        <w:t>roké veřejnosti, vybavena internetovým připojením o rychlostech, které přesahují rychlosti dostatečné pro funkční přístup k internetu, budou občané z nejrůznějších společenských skupin moci využívat na cestách a na místech, kde je internetové připojení důl</w:t>
      </w:r>
      <w:r>
        <w:rPr>
          <w:noProof/>
        </w:rPr>
        <w:t xml:space="preserve">ežité, výhody připojení příští generace. </w:t>
      </w:r>
    </w:p>
    <w:p w:rsidR="00FC6891" w:rsidRDefault="005F1CD3">
      <w:pPr>
        <w:rPr>
          <w:noProof/>
          <w:szCs w:val="24"/>
        </w:rPr>
      </w:pPr>
      <w:r>
        <w:rPr>
          <w:noProof/>
        </w:rPr>
        <w:t>Jedním z opatření nového balíčku, které má napomoci splnit tento cíl, je podpora zavádění místních bezdrátových přístupových bodů prostřednictvím zjednodušených plánovacích postupů a mírnějších regulačních požadavk</w:t>
      </w:r>
      <w:r>
        <w:rPr>
          <w:noProof/>
        </w:rPr>
        <w:t xml:space="preserve">ů, mimo jiné tehdy, pokud je takový přístup poskytován na nekomerčním základě nebo je doplňkem k poskytování jiných veřejných služeb. </w:t>
      </w:r>
    </w:p>
    <w:p w:rsidR="00FC6891" w:rsidRDefault="005F1CD3">
      <w:pPr>
        <w:rPr>
          <w:noProof/>
        </w:rPr>
      </w:pPr>
      <w:r>
        <w:rPr>
          <w:noProof/>
        </w:rPr>
        <w:t>Zde navrhované opatření doplňuje toto úsilí prostřednictvím změn právního rámce pro telekomunikace v Nástroji pro propoje</w:t>
      </w:r>
      <w:r>
        <w:rPr>
          <w:noProof/>
        </w:rPr>
        <w:t>ní Evropy, které jsou stanoveny v nařízení (EU) č. 1316/2013</w:t>
      </w:r>
      <w:r>
        <w:rPr>
          <w:rStyle w:val="FootnoteReference"/>
          <w:noProof/>
        </w:rPr>
        <w:footnoteReference w:id="3"/>
      </w:r>
      <w:r>
        <w:rPr>
          <w:noProof/>
        </w:rPr>
        <w:t xml:space="preserve"> (dále jen „nařízení o nástroji pro propojení Evropy“) a nařízení (EU) č. 283/2014</w:t>
      </w:r>
      <w:r>
        <w:rPr>
          <w:rStyle w:val="FootnoteReference"/>
          <w:noProof/>
        </w:rPr>
        <w:footnoteReference w:id="4"/>
      </w:r>
      <w:r>
        <w:rPr>
          <w:noProof/>
        </w:rPr>
        <w:t xml:space="preserve"> (dále jen „nařízení o hlavních směrech“). Tyto změny podpoří subjekty působící ve veřejném zájmu, jako jsou veř</w:t>
      </w:r>
      <w:r>
        <w:rPr>
          <w:noProof/>
        </w:rPr>
        <w:t>ejné orgány a poskytovatelé veřejných služeb, aby ve střediscích místního veřejného života (např. veřejná správa, knihovny, zdravotnická střediska a venkovní veřejné prostory) nabízely bezplatné místní bezdrátové připojení. Za tímto účelem poskytuje finanč</w:t>
      </w:r>
      <w:r>
        <w:rPr>
          <w:noProof/>
        </w:rPr>
        <w:t xml:space="preserve">ní pobídky subjektům, které chtějí poskytovat bezplatné, vysokokapacitní místní bezdrátové připojení ve veřejných prostorách v rámci své příslušnosti nebo v místech, kde poskytují své služby. V první fázi opatření bude v popředí finanční podpora místních </w:t>
      </w:r>
      <w:r>
        <w:rPr>
          <w:noProof/>
        </w:rPr>
        <w:lastRenderedPageBreak/>
        <w:t>v</w:t>
      </w:r>
      <w:r>
        <w:rPr>
          <w:noProof/>
        </w:rPr>
        <w:t>eřejných orgánů při vytváření přístupových míst ve střediscích místního veřejného života, včetně venkovních prostor přístupných široké veřejnosti.</w:t>
      </w:r>
    </w:p>
    <w:p w:rsidR="00FC6891" w:rsidRDefault="005F1CD3">
      <w:pPr>
        <w:rPr>
          <w:noProof/>
        </w:rPr>
      </w:pPr>
      <w:r>
        <w:rPr>
          <w:noProof/>
        </w:rPr>
        <w:t>Tím, že se podpoří integrace se stávajícími veřejnými službami, podpoří opatření zájem občanů o vysokokapacit</w:t>
      </w:r>
      <w:r>
        <w:rPr>
          <w:noProof/>
        </w:rPr>
        <w:t>ní internetové služby, a tím značně přispěje jak k zavádění širokopásmových služeb, tak k rozvoji veřejné infrastruktury. Bezplatné bezdrátové internetové připojení na místech, kde se v průběhu dne nachází nebo čeká velký počet lidí, může uživatelům přinés</w:t>
      </w:r>
      <w:r>
        <w:rPr>
          <w:noProof/>
        </w:rPr>
        <w:t xml:space="preserve">t značnou přidanou hodnotu tím, že jim umožní strávit neaktivní období dne nebo přechody mezi jeho jednotlivými fázemi produktivním, zábavným a informativním způsobem. Tyto místní bezdrátové přístupové body mohou navíc poskytovat vyšší granularitu pokrytí </w:t>
      </w:r>
      <w:r>
        <w:rPr>
          <w:noProof/>
        </w:rPr>
        <w:t>v hůře přístupných místech nebo tam, kde by z důvodu velkého počtu uživatelů byla výrazně omezena kvalita bezdrátového připojení. Uživatelé, kteří budou mít při vykonávání každodenních činností k dispozici bezdrátové připojení, budou mobilnější a flexibiln</w:t>
      </w:r>
      <w:r>
        <w:rPr>
          <w:noProof/>
        </w:rPr>
        <w:t>ější, budou mít zájem o využívání služeb poskytovaných subjekty působícími ve veřejném zájmu a budou moci lépe hospodařit se svým časem. Omezený dosah jediného přístupového místa současně zaručuje, že tato veřejná nabídka nebude konkurovat komerčním nabídk</w:t>
      </w:r>
      <w:r>
        <w:rPr>
          <w:noProof/>
        </w:rPr>
        <w:t>ám, a že by naopak mohla hrát důležitou roli při podpoře využívání širokého pásma a počítačové gramotnosti. To rovněž probudí zájem uživatelů o nabídky pevného nebo mobilního komerčního širokopásmového připojení. Navržené opatření doplňuje nový legislativn</w:t>
      </w:r>
      <w:r>
        <w:rPr>
          <w:noProof/>
        </w:rPr>
        <w:t>í koncept univerzální služby v návrhu evropského kodexu pro elektronické komunikace, v jejímž rámci má každý občan EU právo na internetové připojení: právo na funkční internetové připojení, alespoň v pevně daném místě, které je cenově dostupné a umožňuje p</w:t>
      </w:r>
      <w:r>
        <w:rPr>
          <w:noProof/>
        </w:rPr>
        <w:t>lné zapojení do digitální ekonomiky a společnosti.</w:t>
      </w:r>
    </w:p>
    <w:p w:rsidR="00FC6891" w:rsidRDefault="005F1CD3">
      <w:pPr>
        <w:rPr>
          <w:noProof/>
          <w:szCs w:val="24"/>
        </w:rPr>
      </w:pPr>
      <w:r>
        <w:rPr>
          <w:noProof/>
        </w:rPr>
        <w:t>Navrhované opatření stanoví jednoduchý mechanismus, kterým bude financováno zřizování místních bezdrátových přístupových bodů. Toto opatření je navrženo tak, aby bylo posílením zájmu občanů o služby intern</w:t>
      </w:r>
      <w:r>
        <w:rPr>
          <w:noProof/>
        </w:rPr>
        <w:t>etového připojení dosaženo maximálního krátkodobého dopadu a usnadnilo se používání veřejných digitálních služeb, včetně přístupu k infrastrukturám digitálních služeb. Očekává se, že na základě takto vzniklého zájmu o přístupové body bude možné je i nadále</w:t>
      </w:r>
      <w:r>
        <w:rPr>
          <w:noProof/>
        </w:rPr>
        <w:t xml:space="preserve"> provozovat, popřípadě nahrazovat bez další finanční pomoci stanovené nařízením. To je v souladu s cílem ukončit tuto pomoc, jakmile to bude možné, a podpořit využívání alternativních finančních mechanismů.  </w:t>
      </w:r>
    </w:p>
    <w:p w:rsidR="00FC6891" w:rsidRDefault="005F1CD3">
      <w:pPr>
        <w:rPr>
          <w:noProof/>
          <w:szCs w:val="24"/>
        </w:rPr>
      </w:pPr>
      <w:r>
        <w:rPr>
          <w:noProof/>
        </w:rPr>
        <w:t>Aby byl zajištěn cílený charakter opatření a by</w:t>
      </w:r>
      <w:r>
        <w:rPr>
          <w:noProof/>
        </w:rPr>
        <w:t>la dosažena maximální veřejná prospěšnost, omezí se financování na situace, kde ještě nejsou k dispozici volně přístupné veřejné nebo soukromé přístupové body s širokopásmovým připojením s velmi vysokou rychlostí. Protože hodnota finanční pomoci Unie posky</w:t>
      </w:r>
      <w:r>
        <w:rPr>
          <w:noProof/>
        </w:rPr>
        <w:t>tované na jednotlivá opatření klesne pod prahovou hodnotu pro granty nízké hodnoty (60 000 EUR), jak je uvedeno ve finančním nařízení</w:t>
      </w:r>
      <w:r>
        <w:rPr>
          <w:rStyle w:val="FootnoteReference"/>
          <w:noProof/>
        </w:rPr>
        <w:footnoteReference w:id="5"/>
      </w:r>
      <w:r>
        <w:rPr>
          <w:noProof/>
        </w:rPr>
        <w:t>, neočekává se žádný významný vliv opatření na hospodářskou soutěž</w:t>
      </w:r>
      <w:r>
        <w:rPr>
          <w:rStyle w:val="FootnoteReference"/>
          <w:noProof/>
        </w:rPr>
        <w:footnoteReference w:id="6"/>
      </w:r>
      <w:r>
        <w:rPr>
          <w:noProof/>
        </w:rPr>
        <w:t>. Finanční prostředky by měly být přidělovány geografic</w:t>
      </w:r>
      <w:r>
        <w:rPr>
          <w:noProof/>
        </w:rPr>
        <w:t xml:space="preserve">ky vyváženým způsobem, který přispívá k hospodářské, sociální a územní soudržnosti v Unii, přičemž zvláštní pozornost bude věnována potřebám </w:t>
      </w:r>
      <w:r>
        <w:rPr>
          <w:noProof/>
        </w:rPr>
        <w:lastRenderedPageBreak/>
        <w:t>místních komunit</w:t>
      </w:r>
      <w:r>
        <w:rPr>
          <w:rStyle w:val="FootnoteReference"/>
          <w:noProof/>
        </w:rPr>
        <w:footnoteReference w:id="7"/>
      </w:r>
      <w:r>
        <w:rPr>
          <w:noProof/>
        </w:rPr>
        <w:t>. Při zohlednění všech těchto kritérií je navrhované opatření v souladu s rámcem systému otevřenýc</w:t>
      </w:r>
      <w:r>
        <w:rPr>
          <w:noProof/>
        </w:rPr>
        <w:t>h a konkurenčních trhů, který je základem fungování transevropských sítí.</w:t>
      </w:r>
    </w:p>
    <w:p w:rsidR="00FC6891" w:rsidRDefault="005F1CD3">
      <w:pPr>
        <w:rPr>
          <w:noProof/>
        </w:rPr>
      </w:pPr>
      <w:r>
        <w:rPr>
          <w:noProof/>
        </w:rPr>
        <w:t>Kromě stimulace poptávky v oblasti vysokorychlostního širokopásmového připojení a podpory širokého zavádění na úrovni místních komunit bude mít opatření rovněž několik pozitivních úč</w:t>
      </w:r>
      <w:r>
        <w:rPr>
          <w:noProof/>
        </w:rPr>
        <w:t>inků sahajících od lepšího přístupu k elektronické veřejné správě a vyšší angažovanosti v demokratickém procesu (rovněž pro skupiny obyvatel, které by jinak měly obtížný přístup k internetu, např. uprchlíci a nízkopříjmové skupiny) po nové infrastruktury p</w:t>
      </w:r>
      <w:r>
        <w:rPr>
          <w:noProof/>
        </w:rPr>
        <w:t>ro nouzovou a krizovou komunikaci a oznámení ve veřejném zájmu. Aby přínosy plynoucí z účasti na jednotném digitálním trhu mohly využívat i místní komunity s omezenými zdroji, měla by být v rámci tohoto opatření k dispozici podpora až do výše 100 % způsobi</w:t>
      </w:r>
      <w:r>
        <w:rPr>
          <w:noProof/>
        </w:rPr>
        <w:t>lých nákladů, aniž by tím byla dotčena zásada spolufinancování. Mezi potenciální příjemce by mohli patřit členové místní komunity, kteří provádějí opatření financovaná z navrhovaného opatření, jejichž účelem je určit, ve kterých střediscích veřejného život</w:t>
      </w:r>
      <w:r>
        <w:rPr>
          <w:noProof/>
        </w:rPr>
        <w:t>a by zřízení bezdrátových přístupových bodů poskytlo pro společenství nejvyšší přidanou hodnotu.</w:t>
      </w:r>
    </w:p>
    <w:p w:rsidR="00FC6891" w:rsidRDefault="005F1CD3">
      <w:pPr>
        <w:rPr>
          <w:noProof/>
          <w:szCs w:val="24"/>
        </w:rPr>
      </w:pPr>
      <w:r>
        <w:rPr>
          <w:noProof/>
        </w:rPr>
        <w:t>Vzhledem ke svému flexibilnímu a cílenému charakteru by toto opatření na podporu širokopásmových sítí v rámci balíčku v odvětví telekomunikací pro provádění Ná</w:t>
      </w:r>
      <w:r>
        <w:rPr>
          <w:noProof/>
        </w:rPr>
        <w:t xml:space="preserve">stroje pro propojení Evropy mělo být považováno za samostatný projekt společného zájmu, který má k dispozici příslušná opatření v rámci nařízení o nástroji pro propojení Evropy a zvláštní rozpočet, přičemž podrobné informace by měly být uvedeny v nařízení </w:t>
      </w:r>
      <w:r>
        <w:rPr>
          <w:noProof/>
        </w:rPr>
        <w:t>o hlavních směrech. Vzhledem k tomu, že pro jednotlivá opatření je poskytována pouze omezená finanční pomoc, avšak celkový počet příjemců je vysoký, je důležité v zájmu efektivního a rychlého rozhodování zjednodušit administrativní postupy. Za tímto účelem</w:t>
      </w:r>
      <w:r>
        <w:rPr>
          <w:noProof/>
        </w:rPr>
        <w:t xml:space="preserve"> by členské státy podle nařízení o nástroji pro propojení Evropy měly mít možnost podpořit kategorie návrhů v rámci tohoto opatření a nemusely schvalovat seznamy jednotlivých příjemců. Tím, že tato změna je prováděna horizontálně a mají z ní přínos i jiné </w:t>
      </w:r>
      <w:r>
        <w:rPr>
          <w:noProof/>
        </w:rPr>
        <w:t xml:space="preserve">projekty společného zájmu, reaguje návrh na žádosti členských států o účinnější prostředky k provádění opatření v oblasti infrastruktur digitálních služeb. </w:t>
      </w:r>
    </w:p>
    <w:p w:rsidR="00FC6891" w:rsidRDefault="005F1CD3">
      <w:pPr>
        <w:rPr>
          <w:noProof/>
          <w:szCs w:val="24"/>
        </w:rPr>
      </w:pPr>
      <w:r>
        <w:rPr>
          <w:noProof/>
        </w:rPr>
        <w:t>Aby se zajistilo, že opatření může reagovat nejrůznější situace a rychle přinášet konkrétní výsledk</w:t>
      </w:r>
      <w:r>
        <w:rPr>
          <w:noProof/>
        </w:rPr>
        <w:t>y, je nezbytné, aby dostupné formy finanční pomoci nebyly zbytečně omezovány. Významnou míru flexibility v tomto kontextu lze zachovat tak, že se umožní, aby provádění využívalo co nejvíce forem podpory, které jsou pro toto opatření vhodné. Za tímto účelem</w:t>
      </w:r>
      <w:r>
        <w:rPr>
          <w:noProof/>
        </w:rPr>
        <w:t xml:space="preserve"> a s ohledem na probíhající jednání o revizi finančního nařízení by znění nařízení o nástroji pro propojení Evropy mělo být pozměněno tak, aby bylo jasné, že všechna opatření přispívající k projektům společného zájmu, včetně současného opatření, jsou obecn</w:t>
      </w:r>
      <w:r>
        <w:rPr>
          <w:noProof/>
        </w:rPr>
        <w:t xml:space="preserve">ě způsobilá pro podporu prostřednictvím forem finanční pomoci, které jsou nebo budou v rámci finančního nařízení k dispozici.  </w:t>
      </w:r>
    </w:p>
    <w:p w:rsidR="00FC6891" w:rsidRDefault="005F1CD3">
      <w:pPr>
        <w:rPr>
          <w:noProof/>
          <w:szCs w:val="24"/>
        </w:rPr>
      </w:pPr>
      <w:r>
        <w:rPr>
          <w:noProof/>
        </w:rPr>
        <w:t>Na druhé straně se ze stejných důvodů navrhuje, aby formy dostupné finanční pomoci pro opatření byly v nařízení o nástroji pro p</w:t>
      </w:r>
      <w:r>
        <w:rPr>
          <w:noProof/>
        </w:rPr>
        <w:t>ropojení Evropy a nařízení o hlavních směrech určeny jednotně. Převládající formou finanční pomoci vhodné k dosažení cíle, který spočívá v podpoře bezplatného místního bezdrátového připojení v místních komunitách, budou pravděpodobně granty, avšak od saméh</w:t>
      </w:r>
      <w:r>
        <w:rPr>
          <w:noProof/>
        </w:rPr>
        <w:t>o počátku by neměly být vylučovány jiné formy podpory, s výjimkou finančních nástrojů. Důvodem vyloučení finančních nástrojů je s nimi spojená poměrně vysoká administrativní zátěž a z toho plynoucí časové prodlevy při provádění, což není dostatečně v soula</w:t>
      </w:r>
      <w:r>
        <w:rPr>
          <w:noProof/>
        </w:rPr>
        <w:t>du s vlastnostmi zamýšlených opatření.</w:t>
      </w:r>
    </w:p>
    <w:p w:rsidR="00FC6891" w:rsidRDefault="005F1CD3">
      <w:pPr>
        <w:rPr>
          <w:noProof/>
        </w:rPr>
      </w:pPr>
      <w:r>
        <w:rPr>
          <w:noProof/>
        </w:rPr>
        <w:t>Pro zajištění rychlého a účinného provádění tohoto opatření budou zjednodušeny správní postupy používáním standardizované dokumentace (například poukázek) a internetových nástrojů pro vyřizování žádostí, jakož i pro n</w:t>
      </w:r>
      <w:r>
        <w:rPr>
          <w:noProof/>
        </w:rPr>
        <w:t>ásledné monitorování a audit zavedených místních bezdrátových přístupových míst.</w:t>
      </w:r>
    </w:p>
    <w:p w:rsidR="00FC6891" w:rsidRDefault="005F1CD3">
      <w:pPr>
        <w:rPr>
          <w:noProof/>
        </w:rPr>
      </w:pPr>
      <w:r>
        <w:rPr>
          <w:noProof/>
        </w:rPr>
        <w:t>Očekává se, že navrhované opatření propagované evropskou sítí poradenských kanceláří pro širokopásmové připojení</w:t>
      </w:r>
      <w:r>
        <w:rPr>
          <w:rStyle w:val="FootnoteReference"/>
          <w:noProof/>
        </w:rPr>
        <w:footnoteReference w:id="8"/>
      </w:r>
      <w:r>
        <w:rPr>
          <w:noProof/>
        </w:rPr>
        <w:t xml:space="preserve"> zvýší informovanost místních orgánů a občanů o nových </w:t>
      </w:r>
      <w:r>
        <w:rPr>
          <w:noProof/>
        </w:rPr>
        <w:t xml:space="preserve">prioritách Komise v oblasti gigabitové společnosti a rovněž poskytne vysoký stupeň viditelnosti a důvěry ve schopnost EU zajistit připojení a přístup k digitálním službám na celém evropském kontinentě. Rozpoznatelnost opatření financovaných z navrhovaného </w:t>
      </w:r>
      <w:r>
        <w:rPr>
          <w:noProof/>
        </w:rPr>
        <w:t>opatření bude zaručena zvláštní vizuální identitou, kterou Komise vytvořila a dá k dispozici příjemcům pro provádění, čímž se zajistí rozpoznání značky.</w:t>
      </w:r>
    </w:p>
    <w:p w:rsidR="00FC6891" w:rsidRDefault="005F1CD3">
      <w:pPr>
        <w:pStyle w:val="ManualHeading2"/>
        <w:rPr>
          <w:rFonts w:eastAsia="Arial Unicode MS"/>
          <w:noProof/>
          <w:u w:color="000000"/>
        </w:rPr>
      </w:pPr>
      <w:r>
        <w:rPr>
          <w:noProof/>
        </w:rPr>
        <w:t>•</w:t>
      </w:r>
      <w:r>
        <w:rPr>
          <w:noProof/>
        </w:rPr>
        <w:tab/>
        <w:t>Soulad se stávajícími předpisy v dané oblasti politiky</w:t>
      </w:r>
    </w:p>
    <w:p w:rsidR="00FC6891" w:rsidRDefault="005F1CD3">
      <w:pPr>
        <w:rPr>
          <w:noProof/>
        </w:rPr>
      </w:pPr>
      <w:r>
        <w:rPr>
          <w:noProof/>
        </w:rPr>
        <w:t>V současné době právní rámec pro telekomunikace v rámci Nástroje pro propojení Evropy poskytuje finanční podporu v oblasti telekomunikací infrastrukturám digitálních služeb (ve formě grantů a/nebo zadávání zakázek) a širokopásmovým sítím (ve formě finanční</w:t>
      </w:r>
      <w:r>
        <w:rPr>
          <w:noProof/>
        </w:rPr>
        <w:t xml:space="preserve">ch nástrojů).  </w:t>
      </w:r>
    </w:p>
    <w:p w:rsidR="00FC6891" w:rsidRDefault="005F1CD3">
      <w:pPr>
        <w:rPr>
          <w:noProof/>
        </w:rPr>
      </w:pPr>
      <w:r>
        <w:rPr>
          <w:noProof/>
        </w:rPr>
        <w:t>Pokud jde o opatření na podporu širokého pásma, jsou vzhledem k zásadnímu významu širokopásmových sítí pro růst a zaměstnanost a s ohledem na výzvy – technické i finanční – spojené s veřejnými investicemi v daném odvětví, v nařízení o hlavn</w:t>
      </w:r>
      <w:r>
        <w:rPr>
          <w:noProof/>
        </w:rPr>
        <w:t>ích směrech stanovena jen omezená opatření. Nástroj pro propojení Evropy financuje malý příspěvek pro vytvoření finančních nástrojů na úrovni Unie, zejména ve spolupráci s Evropskou investiční bankou, s cílem usnadnit účinné využívání jiných veřejných, jak</w:t>
      </w:r>
      <w:r>
        <w:rPr>
          <w:noProof/>
        </w:rPr>
        <w:t xml:space="preserve">ož i soukromých zdrojů. Jeho cílem je zavedení inovativních širokopásmových projektů založených na nejmodernějších technologiích, které mají potenciál replikovatelnosti, a tím dosáhnout cílů přímo i prostřednictvím demonstračního účinku. </w:t>
      </w:r>
    </w:p>
    <w:p w:rsidR="00FC6891" w:rsidRDefault="005F1CD3">
      <w:pPr>
        <w:rPr>
          <w:i/>
          <w:noProof/>
        </w:rPr>
      </w:pPr>
      <w:r>
        <w:rPr>
          <w:noProof/>
        </w:rPr>
        <w:t>Navrhované opatře</w:t>
      </w:r>
      <w:r>
        <w:rPr>
          <w:noProof/>
        </w:rPr>
        <w:t>ní doplňuje prvky návrhu na vytvoření evropského kodexu elektronických komunikací zaměřené na konečného uživatele.  Podpora pro zřízení místních bezdrátových přístupových bodů ve střediscích místního veřejného života doplňuje ostatní opatření v rámci Nástr</w:t>
      </w:r>
      <w:r>
        <w:rPr>
          <w:noProof/>
        </w:rPr>
        <w:t>oje pro propojení Evropy v odvětví telekomunikací, jakož i jiné zdroje finanční podpory, jako jsou například evropské strukturální a investiční fondy, které podporují rozvoj širokopásmových sítí. Jelikož se na tato opatření v současné době nevztahuje Nástr</w:t>
      </w:r>
      <w:r>
        <w:rPr>
          <w:noProof/>
        </w:rPr>
        <w:t>oj pro propojení Evropy ani nařízení o hlavních směrech, navrhuje se tato nařízení odpovídajícím způsobem změnit.</w:t>
      </w:r>
    </w:p>
    <w:p w:rsidR="00FC6891" w:rsidRDefault="005F1CD3">
      <w:pPr>
        <w:pStyle w:val="ManualHeading1"/>
        <w:rPr>
          <w:noProof/>
        </w:rPr>
      </w:pPr>
      <w:r>
        <w:rPr>
          <w:noProof/>
        </w:rPr>
        <w:t>2.</w:t>
      </w:r>
      <w:r>
        <w:rPr>
          <w:noProof/>
        </w:rPr>
        <w:tab/>
        <w:t>PRÁVNÍ ZÁKLAD, SUBSIDIARITA A PROPORCIONALITA</w:t>
      </w:r>
    </w:p>
    <w:p w:rsidR="00FC6891" w:rsidRDefault="005F1CD3">
      <w:pPr>
        <w:pStyle w:val="ManualHeading2"/>
        <w:rPr>
          <w:rFonts w:eastAsia="Arial Unicode MS"/>
          <w:noProof/>
          <w:u w:color="000000"/>
        </w:rPr>
      </w:pPr>
      <w:r>
        <w:rPr>
          <w:noProof/>
        </w:rPr>
        <w:t>•</w:t>
      </w:r>
      <w:r>
        <w:rPr>
          <w:noProof/>
        </w:rPr>
        <w:tab/>
        <w:t>Právní základ</w:t>
      </w:r>
    </w:p>
    <w:p w:rsidR="00FC6891" w:rsidRDefault="005F1CD3">
      <w:pPr>
        <w:rPr>
          <w:noProof/>
        </w:rPr>
      </w:pPr>
      <w:r>
        <w:rPr>
          <w:noProof/>
        </w:rPr>
        <w:t>Návrh vychází z článku 172 SFEU, který předpokládá zásah EU podporující vytvo</w:t>
      </w:r>
      <w:r>
        <w:rPr>
          <w:noProof/>
        </w:rPr>
        <w:t xml:space="preserve">ření a rozvoj transevropských sítí v oblasti dopravních, telekomunikačních a energetických infrastruktur. V souladu s čl. 170 odst. 1 SFEU je cílem iniciativy zajistit, aby místní komunity mohly plně využívat jednotného digitálního trhu díky tomu, že bude </w:t>
      </w:r>
      <w:r>
        <w:rPr>
          <w:noProof/>
        </w:rPr>
        <w:t>v důsledku zavedení takových sítí vytvořen prostor bez vnitřních hranic.</w:t>
      </w:r>
    </w:p>
    <w:p w:rsidR="00FC6891" w:rsidRDefault="005F1CD3">
      <w:pPr>
        <w:pStyle w:val="ManualHeading2"/>
        <w:rPr>
          <w:rFonts w:eastAsia="Arial Unicode MS"/>
          <w:i/>
          <w:noProof/>
          <w:u w:color="000000"/>
        </w:rPr>
      </w:pPr>
      <w:r>
        <w:rPr>
          <w:noProof/>
        </w:rPr>
        <w:t>•</w:t>
      </w:r>
      <w:r>
        <w:rPr>
          <w:noProof/>
        </w:rPr>
        <w:tab/>
        <w:t>Subsidiarita a proporcionalita</w:t>
      </w:r>
    </w:p>
    <w:p w:rsidR="00FC6891" w:rsidRDefault="005F1CD3">
      <w:pPr>
        <w:autoSpaceDE w:val="0"/>
        <w:autoSpaceDN w:val="0"/>
        <w:adjustRightInd w:val="0"/>
        <w:rPr>
          <w:noProof/>
          <w:szCs w:val="24"/>
        </w:rPr>
      </w:pPr>
      <w:r>
        <w:rPr>
          <w:noProof/>
        </w:rPr>
        <w:t xml:space="preserve">Návrh je v souladu se zásadou proporcionality a zůstává v rámci opatření v oblasti transevropských telekomunikačních sítí podle ustanovení článku 170 </w:t>
      </w:r>
      <w:r>
        <w:rPr>
          <w:noProof/>
        </w:rPr>
        <w:t>Smlouvy o fungování Evropské unie.</w:t>
      </w:r>
    </w:p>
    <w:p w:rsidR="00FC6891" w:rsidRDefault="005F1CD3">
      <w:pPr>
        <w:autoSpaceDE w:val="0"/>
        <w:autoSpaceDN w:val="0"/>
        <w:adjustRightInd w:val="0"/>
        <w:rPr>
          <w:noProof/>
        </w:rPr>
      </w:pPr>
      <w:r>
        <w:rPr>
          <w:noProof/>
        </w:rPr>
        <w:t>Zohledněním potřeb místních komunit v širším kontextu strategie pro jednotný digitální trh tento návrh přispívá k dosažení vnitřního trhu se službami elektronické komunikace a umožňuje, aby se tohoto trhu účastnily komuni</w:t>
      </w:r>
      <w:r>
        <w:rPr>
          <w:noProof/>
        </w:rPr>
        <w:t>ty. Protože vytvoření prostoru, který by pokrýval celou EU vysoce kvalitním bezdrátovým připojením, nemůže být uspokojivě dosaženo na úrovni jednotlivých členských států, je návrh v souladu se zásadou subsidiarity podle článku 5 SFEU. Očekává se, že opatře</w:t>
      </w:r>
      <w:r>
        <w:rPr>
          <w:noProof/>
        </w:rPr>
        <w:t>ní bude propagovat mimo jiné evropská síť poradenských kanceláří pro širokopásmové připojení, což pomůže zajistit, aby potřeby místních komunit mohly být řešeny účinně a aby administrativní zátěž byla co nejmenší.</w:t>
      </w:r>
    </w:p>
    <w:p w:rsidR="00FC6891" w:rsidRDefault="005F1CD3">
      <w:pPr>
        <w:autoSpaceDE w:val="0"/>
        <w:autoSpaceDN w:val="0"/>
        <w:adjustRightInd w:val="0"/>
        <w:rPr>
          <w:noProof/>
          <w:szCs w:val="24"/>
        </w:rPr>
      </w:pPr>
      <w:r>
        <w:rPr>
          <w:noProof/>
        </w:rPr>
        <w:t>Stávající iniciativy týkající se bezplatné</w:t>
      </w:r>
      <w:r>
        <w:rPr>
          <w:noProof/>
        </w:rPr>
        <w:t>ho místního bezdrátového připojení jsou roztříštěné, což snižuje jejich účinnost. Neexistuje zejména žádná zastřešující strategie, která by podporovala bezplatné bezdrátové připojení v celé Unii s cílem podpořit tak účast místních komunit na jednotném digi</w:t>
      </w:r>
      <w:r>
        <w:rPr>
          <w:noProof/>
        </w:rPr>
        <w:t>tálním trhu. Protože jednotlivé místní bezdrátové přístupové body, které jsou zřizovány v místních komunitách, jsou územně omezeny, je o to důležitější, aby tato opatření byla koordinována, aby byl soudržným způsobem splněn cíl společného zájmu - interneto</w:t>
      </w:r>
      <w:r>
        <w:rPr>
          <w:noProof/>
        </w:rPr>
        <w:t>vé připojení v celé EU. Soudržnost při celoeveropském zavádění bezplatného bezdrátového řešení připojení umožní optimalizovat náklady zásahu (zejména snížením nákladů na správu malých grantů v důsledku výhod z rozsahu, avšak rovněž snížením cen zařízení) a</w:t>
      </w:r>
      <w:r>
        <w:rPr>
          <w:noProof/>
        </w:rPr>
        <w:t> zajistit větší rovnost přístupu, čímž přispěje k hospodářské, sociální a územní soudržnosti v rámci Unie. Navrhované opatření je koncipováno tak, aby rozšířilo evropskou hodnotu – zajistí totiž, aby zavedená infrastruktura umožnila rovněž přístup prostřed</w:t>
      </w:r>
      <w:r>
        <w:rPr>
          <w:noProof/>
        </w:rPr>
        <w:t>nictvím infrastruktur digitálních služeb k transevropským interoperabilním službám společného zájmu, jako jsou Europeana, infrastruktury služeb bezpečnějšího internetu a interoperabilních přeshraničních služeb elektronického zdravotnictví.</w:t>
      </w:r>
    </w:p>
    <w:p w:rsidR="00FC6891" w:rsidRDefault="005F1CD3">
      <w:pPr>
        <w:autoSpaceDE w:val="0"/>
        <w:autoSpaceDN w:val="0"/>
        <w:adjustRightInd w:val="0"/>
        <w:rPr>
          <w:noProof/>
          <w:szCs w:val="24"/>
        </w:rPr>
      </w:pPr>
      <w:r>
        <w:rPr>
          <w:noProof/>
        </w:rPr>
        <w:t>Rozsah navrhovan</w:t>
      </w:r>
      <w:r>
        <w:rPr>
          <w:noProof/>
        </w:rPr>
        <w:t xml:space="preserve">ého opatření je omezen na poskytování připojení ve střediscích veřejného života a venkovních prostorách přístupných veřejnosti prostřednictvím přístupových bodů, které mají ze své podstaty omezené pokrytí, a jednotlivé projekty budou malého rozsahu. Zásah </w:t>
      </w:r>
      <w:r>
        <w:rPr>
          <w:noProof/>
        </w:rPr>
        <w:t>tedy zůstává přiměřený cíli, kterým je umožnit místním komunitám účastnit se bezdrátového segmentu jednotného digitálního trhu, aniž by byly dotčeny komerční nabídky. Současně se očekává, že opatření bude mít pozitivní vedlejší účinky na všeobecnou účast n</w:t>
      </w:r>
      <w:r>
        <w:rPr>
          <w:noProof/>
        </w:rPr>
        <w:t>a nabídkách připojení prostřednictvím komerčně poskytovaných služeb přístupu k internetu. Očekává se, že účinnost zásahu bude dále posílena snadnou replikovatelností a možnými demonstračními účinky příkladů úspěšného používání.</w:t>
      </w:r>
    </w:p>
    <w:p w:rsidR="00FC6891" w:rsidRDefault="005F1CD3">
      <w:pPr>
        <w:autoSpaceDE w:val="0"/>
        <w:autoSpaceDN w:val="0"/>
        <w:adjustRightInd w:val="0"/>
        <w:rPr>
          <w:noProof/>
          <w:szCs w:val="24"/>
        </w:rPr>
      </w:pPr>
      <w:r>
        <w:rPr>
          <w:noProof/>
        </w:rPr>
        <w:t xml:space="preserve">Internetová správa opatření </w:t>
      </w:r>
      <w:r>
        <w:rPr>
          <w:noProof/>
        </w:rPr>
        <w:t>navrhovaná mimo jiné ve spojení s podporou sítě domácích poradenských kanceláří pro širokopásmové připojení zajistí, aby správní zátěž vzniklá v souvislosti se zaváděním iniciativy a účasti na ní byla co nejmenší.</w:t>
      </w:r>
    </w:p>
    <w:p w:rsidR="00FC6891" w:rsidRDefault="005F1CD3">
      <w:pPr>
        <w:pStyle w:val="ManualHeading1"/>
        <w:rPr>
          <w:noProof/>
        </w:rPr>
      </w:pPr>
      <w:r>
        <w:rPr>
          <w:noProof/>
        </w:rPr>
        <w:t>3.</w:t>
      </w:r>
      <w:r>
        <w:rPr>
          <w:noProof/>
        </w:rPr>
        <w:tab/>
        <w:t xml:space="preserve">VÝSLEDKY HODNOCENÍ EX POST, KONZULTACÍ </w:t>
      </w:r>
      <w:r>
        <w:rPr>
          <w:noProof/>
        </w:rPr>
        <w:t>SE ZÚČASTNĚNÝMI STRANAMI A POSOUZENÍ DOPADŮ</w:t>
      </w:r>
    </w:p>
    <w:p w:rsidR="00FC6891" w:rsidRDefault="00FC6891">
      <w:pPr>
        <w:pStyle w:val="Text1"/>
        <w:ind w:left="0"/>
        <w:rPr>
          <w:i/>
          <w:noProof/>
        </w:rPr>
      </w:pPr>
    </w:p>
    <w:p w:rsidR="00FC6891" w:rsidRDefault="005F1CD3">
      <w:pPr>
        <w:pStyle w:val="Text1"/>
        <w:ind w:left="0"/>
        <w:rPr>
          <w:noProof/>
          <w:szCs w:val="24"/>
        </w:rPr>
      </w:pPr>
      <w:r>
        <w:rPr>
          <w:noProof/>
        </w:rPr>
        <w:t>Jelikož tato iniciativa doplňuje nový balíček v oblasti telekomunikací, včetně sdělení o evropské vizi internetového připojení občanů a podniků na jednotném digitálním trhu, a legislativní návrh, kterým se prová</w:t>
      </w:r>
      <w:r>
        <w:rPr>
          <w:noProof/>
        </w:rPr>
        <w:t>dí přezkum regulačního rámce pro elektronické komunikace, vychází do značné míry z podnětů zúčastněných stran a rozsáhlých analýz provedených v rámci vyhodnocování a posuzování dopadu pro tyto návrhy, jakož i pracovních dokumentů útvarů Komise doplňujících</w:t>
      </w:r>
      <w:r>
        <w:rPr>
          <w:noProof/>
        </w:rPr>
        <w:t xml:space="preserve"> uvedené sdělení. Nejdůležitější body navrhovaného opatření jsou shrnuty níže. Celkově z analýzy vyplývá, že zatímco legislativní a regulační opatření mohou odstranit překážky, posílit konkurenceschopné pobídky a zajistit větší předvídatelnost z pohledu in</w:t>
      </w:r>
      <w:r>
        <w:rPr>
          <w:noProof/>
        </w:rPr>
        <w:t xml:space="preserve">vestorů a nižší náklady zavádění sítí, při dosahování dlouhodobých evropských cílů v oblasti připojení hraje významnou roli veřejné financování. </w:t>
      </w:r>
    </w:p>
    <w:p w:rsidR="00FC6891" w:rsidRDefault="005F1CD3">
      <w:pPr>
        <w:rPr>
          <w:noProof/>
        </w:rPr>
      </w:pPr>
      <w:r>
        <w:rPr>
          <w:noProof/>
        </w:rPr>
        <w:t>Z nedávné zprávy</w:t>
      </w:r>
      <w:r>
        <w:rPr>
          <w:rStyle w:val="FootnoteReference"/>
          <w:noProof/>
        </w:rPr>
        <w:footnoteReference w:id="9"/>
      </w:r>
      <w:r>
        <w:rPr>
          <w:noProof/>
        </w:rPr>
        <w:t xml:space="preserve"> shrnující výsledek veřejné konzultace prováděné Komisí za účelem přezkumu regulačního rámce </w:t>
      </w:r>
      <w:r>
        <w:rPr>
          <w:noProof/>
        </w:rPr>
        <w:t xml:space="preserve">pro elektronické komunikace vyplývá, že mnoho veřejných orgánů a soukromých respondentů podporuje zavádění </w:t>
      </w:r>
      <w:r>
        <w:rPr>
          <w:noProof/>
        </w:rPr>
        <w:br/>
        <w:t xml:space="preserve">sítí Wi-Fi ve veřejných prostorách, přičemž mají zájem o vhodné regulační prostředí ve vztahu k otázkám, jako je odpovědnost poskytovatele přístupu </w:t>
      </w:r>
      <w:r>
        <w:rPr>
          <w:noProof/>
        </w:rPr>
        <w:t>a vystavení elektromagnetickému poli. Subjekty kladly důraz na to, že veřejná podpora by měla být technologicky neutrální, přičemž zdůraznily, že zavádění by mohlo být usnadněno prostřednictvím různých forem partnerství veřejného a soukromého sektoru. Tato</w:t>
      </w:r>
      <w:r>
        <w:rPr>
          <w:noProof/>
        </w:rPr>
        <w:t xml:space="preserve"> zjištění jsou v souladu s následným hodnocením současného režimu, které doprovází návrh na přezkum regulačního rámce.</w:t>
      </w:r>
    </w:p>
    <w:p w:rsidR="00FC6891" w:rsidRDefault="005F1CD3">
      <w:pPr>
        <w:rPr>
          <w:noProof/>
        </w:rPr>
      </w:pPr>
      <w:r>
        <w:rPr>
          <w:noProof/>
        </w:rPr>
        <w:t>Posouzení dopadu provedené pro účel přezkumu regulačního rámce vychází z úvah vyjádřených zúčastněnými stranami a navrhuje v něm zavést u</w:t>
      </w:r>
      <w:r>
        <w:rPr>
          <w:noProof/>
        </w:rPr>
        <w:t>stanovení pro zavedení malých buněk. Cílem těchto ustanovení je snížit náklady na zavádění velmi hustých sítí a zlepšit přístup k místnímu bezdrátovému připojení, aby byla splněna exponenciální poptávka po všudypřítomné možnosti připojení. Navrhované opatř</w:t>
      </w:r>
      <w:r>
        <w:rPr>
          <w:noProof/>
        </w:rPr>
        <w:t>ení, které doplňuje preferovanou možnost dalšího rozvoje nového regulačního rámce v oblasti řízení spektra, pomůže posílit poskytování bezplatného místního bezdrátového připojení, a tím přispěje k tomu, aby se evropská vize připojení k internetu pro občany</w:t>
      </w:r>
      <w:r>
        <w:rPr>
          <w:noProof/>
        </w:rPr>
        <w:t xml:space="preserve"> a podniky na jednotném digitálním trhu stala realitou.</w:t>
      </w:r>
    </w:p>
    <w:p w:rsidR="00FC6891" w:rsidRDefault="005F1CD3">
      <w:pPr>
        <w:pStyle w:val="ManualHeading1"/>
        <w:rPr>
          <w:noProof/>
        </w:rPr>
      </w:pPr>
      <w:r>
        <w:rPr>
          <w:noProof/>
        </w:rPr>
        <w:t>4.</w:t>
      </w:r>
      <w:r>
        <w:rPr>
          <w:noProof/>
        </w:rPr>
        <w:tab/>
        <w:t>ROZPOČTOVÉ DŮSLEDKY</w:t>
      </w:r>
    </w:p>
    <w:p w:rsidR="00FC6891" w:rsidRDefault="005F1CD3">
      <w:pPr>
        <w:rPr>
          <w:noProof/>
        </w:rPr>
      </w:pPr>
      <w:r>
        <w:rPr>
          <w:noProof/>
        </w:rPr>
        <w:t>Prostředky vyžadované tímto návrhem budou plně financovány ve víceletém finančním rámci na období 2014–2020. V rámci plánovaných částek pro Nástroj pro propojení Evropy v odvětv</w:t>
      </w:r>
      <w:r>
        <w:rPr>
          <w:noProof/>
        </w:rPr>
        <w:t>í telekomunikací na období 2017–2019 bude přerozdělena částka 70 milionů EUR a částka 50 milionů EUR bude převedena na finanční krytí pro odvětví telekomunikací prostřednictvím změny čl. 5 odst. 1 nařízení o nástroji pro propojení Evropy. Z důvodů jednotno</w:t>
      </w:r>
      <w:r>
        <w:rPr>
          <w:noProof/>
        </w:rPr>
        <w:t>sti je tento nárůst zohledněn rovněž v návrhu na změnu legislativního rámce pro Evropský fond pro strategické investice</w:t>
      </w:r>
      <w:r>
        <w:rPr>
          <w:rStyle w:val="FootnoteReference"/>
          <w:noProof/>
        </w:rPr>
        <w:footnoteReference w:id="10"/>
      </w:r>
      <w:r>
        <w:rPr>
          <w:noProof/>
        </w:rPr>
        <w:t>, jak je stanoveno v nařízení (EU) č. 2015/1017</w:t>
      </w:r>
      <w:r>
        <w:rPr>
          <w:rStyle w:val="FootnoteReference"/>
          <w:noProof/>
        </w:rPr>
        <w:footnoteReference w:id="11"/>
      </w:r>
      <w:r>
        <w:rPr>
          <w:noProof/>
        </w:rPr>
        <w:t>.</w:t>
      </w:r>
    </w:p>
    <w:p w:rsidR="00FC6891" w:rsidRDefault="00FC6891">
      <w:pPr>
        <w:rPr>
          <w:noProof/>
        </w:rPr>
        <w:sectPr w:rsidR="00FC6891" w:rsidSect="005F1CD3">
          <w:footerReference w:type="default" r:id="rId11"/>
          <w:footerReference w:type="first" r:id="rId12"/>
          <w:pgSz w:w="11907" w:h="16839"/>
          <w:pgMar w:top="1134" w:right="1417" w:bottom="1134" w:left="1417" w:header="709" w:footer="709" w:gutter="0"/>
          <w:cols w:space="708"/>
          <w:docGrid w:linePitch="360"/>
        </w:sectPr>
      </w:pPr>
    </w:p>
    <w:p w:rsidR="00FC6891" w:rsidRDefault="005F1CD3" w:rsidP="005F1CD3">
      <w:pPr>
        <w:pStyle w:val="Rfrenceinterinstitutionnelle"/>
        <w:rPr>
          <w:noProof/>
        </w:rPr>
      </w:pPr>
      <w:r w:rsidRPr="005F1CD3">
        <w:t>2016/0287 (COD)</w:t>
      </w:r>
    </w:p>
    <w:p w:rsidR="00FC6891" w:rsidRDefault="005F1CD3" w:rsidP="005F1CD3">
      <w:pPr>
        <w:pStyle w:val="Statut"/>
        <w:rPr>
          <w:noProof/>
        </w:rPr>
      </w:pPr>
      <w:r w:rsidRPr="005F1CD3">
        <w:t>Návrh</w:t>
      </w:r>
    </w:p>
    <w:p w:rsidR="00FC6891" w:rsidRDefault="005F1CD3" w:rsidP="005F1CD3">
      <w:pPr>
        <w:pStyle w:val="Typedudocument"/>
        <w:rPr>
          <w:noProof/>
        </w:rPr>
      </w:pPr>
      <w:r w:rsidRPr="005F1CD3">
        <w:t>NAŘÍZENÍ EVROPSKÉHO PARLAMENTU A RADY</w:t>
      </w:r>
    </w:p>
    <w:p w:rsidR="00FC6891" w:rsidRDefault="005F1CD3" w:rsidP="005F1CD3">
      <w:pPr>
        <w:pStyle w:val="Titreobjet"/>
        <w:rPr>
          <w:noProof/>
        </w:rPr>
      </w:pPr>
      <w:r w:rsidRPr="005F1CD3">
        <w:br/>
        <w:t>kterým se mění nařízení (EU) č.</w:t>
      </w:r>
      <w:r>
        <w:t> </w:t>
      </w:r>
      <w:r w:rsidRPr="005F1CD3">
        <w:t>1316/2013 a</w:t>
      </w:r>
      <w:r>
        <w:t> </w:t>
      </w:r>
      <w:r w:rsidRPr="005F1CD3">
        <w:t>(EU) č.</w:t>
      </w:r>
      <w:r>
        <w:t> </w:t>
      </w:r>
      <w:r w:rsidRPr="005F1CD3">
        <w:t>283/2014, pokud jde o podporu připojení k</w:t>
      </w:r>
      <w:r>
        <w:t> </w:t>
      </w:r>
      <w:r w:rsidRPr="005F1CD3">
        <w:t>internetu v</w:t>
      </w:r>
      <w:r>
        <w:t> </w:t>
      </w:r>
      <w:r w:rsidRPr="005F1CD3">
        <w:t>místních komunitách</w:t>
      </w:r>
    </w:p>
    <w:p w:rsidR="00FC6891" w:rsidRDefault="005F1CD3" w:rsidP="005F1CD3">
      <w:pPr>
        <w:pStyle w:val="IntrtEEE"/>
        <w:rPr>
          <w:noProof/>
        </w:rPr>
      </w:pPr>
      <w:r w:rsidRPr="005F1CD3">
        <w:t>(Text s významem pro EHP)</w:t>
      </w:r>
    </w:p>
    <w:p w:rsidR="00FC6891" w:rsidRDefault="005F1CD3">
      <w:pPr>
        <w:pStyle w:val="Institutionquiagit"/>
        <w:rPr>
          <w:noProof/>
        </w:rPr>
      </w:pPr>
      <w:r>
        <w:rPr>
          <w:noProof/>
        </w:rPr>
        <w:t xml:space="preserve">EVROPSKÝ PARLAMENT A </w:t>
      </w:r>
      <w:r>
        <w:rPr>
          <w:noProof/>
        </w:rPr>
        <w:t>RADA EVROPSKÉ UNIE,</w:t>
      </w:r>
    </w:p>
    <w:p w:rsidR="00FC6891" w:rsidRDefault="005F1CD3">
      <w:pPr>
        <w:rPr>
          <w:noProof/>
          <w:szCs w:val="24"/>
        </w:rPr>
      </w:pPr>
      <w:r>
        <w:rPr>
          <w:noProof/>
        </w:rPr>
        <w:t xml:space="preserve">s ohledem na Smlouvu o fungování Evropské unie, a zejména na článek 172 této smlouvy, </w:t>
      </w:r>
    </w:p>
    <w:p w:rsidR="00FC6891" w:rsidRDefault="005F1CD3">
      <w:pPr>
        <w:rPr>
          <w:noProof/>
          <w:szCs w:val="24"/>
        </w:rPr>
      </w:pPr>
      <w:r>
        <w:rPr>
          <w:noProof/>
        </w:rPr>
        <w:t>s ohledem na návrh Evropské komise,</w:t>
      </w:r>
    </w:p>
    <w:p w:rsidR="00FC6891" w:rsidRDefault="005F1CD3">
      <w:pPr>
        <w:rPr>
          <w:noProof/>
          <w:szCs w:val="24"/>
        </w:rPr>
      </w:pPr>
      <w:r>
        <w:rPr>
          <w:noProof/>
        </w:rPr>
        <w:t>po postoupení návrhu legislativního aktu vnitrostátním parlamentům,</w:t>
      </w:r>
    </w:p>
    <w:p w:rsidR="00FC6891" w:rsidRDefault="005F1CD3">
      <w:pPr>
        <w:rPr>
          <w:noProof/>
          <w:szCs w:val="24"/>
        </w:rPr>
      </w:pPr>
      <w:r>
        <w:rPr>
          <w:noProof/>
        </w:rPr>
        <w:t>s ohledem na stanovisko Evropského hospodářsk</w:t>
      </w:r>
      <w:r>
        <w:rPr>
          <w:noProof/>
        </w:rPr>
        <w:t>ého a sociálního výboru</w:t>
      </w:r>
      <w:r>
        <w:rPr>
          <w:rStyle w:val="FootnoteReference"/>
          <w:noProof/>
        </w:rPr>
        <w:footnoteReference w:id="12"/>
      </w:r>
      <w:r>
        <w:rPr>
          <w:noProof/>
        </w:rPr>
        <w:t xml:space="preserve">, </w:t>
      </w:r>
    </w:p>
    <w:p w:rsidR="00FC6891" w:rsidRDefault="005F1CD3">
      <w:pPr>
        <w:rPr>
          <w:noProof/>
          <w:szCs w:val="24"/>
        </w:rPr>
      </w:pPr>
      <w:r>
        <w:rPr>
          <w:noProof/>
        </w:rPr>
        <w:t>s ohledem na stanovisko Výboru regionů</w:t>
      </w:r>
      <w:r>
        <w:rPr>
          <w:rStyle w:val="FootnoteReference"/>
          <w:noProof/>
        </w:rPr>
        <w:footnoteReference w:id="13"/>
      </w:r>
      <w:r>
        <w:rPr>
          <w:noProof/>
        </w:rPr>
        <w:t xml:space="preserve">, </w:t>
      </w:r>
    </w:p>
    <w:p w:rsidR="00FC6891" w:rsidRDefault="005F1CD3">
      <w:pPr>
        <w:rPr>
          <w:noProof/>
          <w:szCs w:val="24"/>
        </w:rPr>
      </w:pPr>
      <w:r>
        <w:rPr>
          <w:noProof/>
        </w:rPr>
        <w:t>v souladu s řádným legislativním postupem,</w:t>
      </w:r>
    </w:p>
    <w:p w:rsidR="00FC6891" w:rsidRDefault="005F1CD3">
      <w:pPr>
        <w:rPr>
          <w:noProof/>
        </w:rPr>
      </w:pPr>
      <w:r>
        <w:rPr>
          <w:noProof/>
        </w:rPr>
        <w:t>vzhledem k těmto důvodům:</w:t>
      </w:r>
    </w:p>
    <w:p w:rsidR="00FC6891" w:rsidRDefault="005F1CD3">
      <w:pPr>
        <w:pStyle w:val="ManualConsidrant"/>
        <w:rPr>
          <w:noProof/>
        </w:rPr>
      </w:pPr>
      <w:r>
        <w:t>(1)</w:t>
      </w:r>
      <w:r>
        <w:tab/>
      </w:r>
      <w:r>
        <w:rPr>
          <w:noProof/>
        </w:rPr>
        <w:t>Sdělení Komise, kterým se stanoví evropská vize internetového připojení občanů a podniků na jednotném digitálním t</w:t>
      </w:r>
      <w:r>
        <w:rPr>
          <w:noProof/>
        </w:rPr>
        <w:t>rhu</w:t>
      </w:r>
      <w:r>
        <w:rPr>
          <w:rStyle w:val="FootnoteReference"/>
          <w:noProof/>
        </w:rPr>
        <w:footnoteReference w:id="14"/>
      </w:r>
      <w:r>
        <w:rPr>
          <w:noProof/>
        </w:rPr>
        <w:t xml:space="preserve">, popisuje řadu možných opatření, která umožní zvýšit propojení v Evropské unii.  </w:t>
      </w:r>
    </w:p>
    <w:p w:rsidR="00FC6891" w:rsidRDefault="005F1CD3">
      <w:pPr>
        <w:pStyle w:val="ManualConsidrant"/>
        <w:rPr>
          <w:noProof/>
        </w:rPr>
      </w:pPr>
      <w:r>
        <w:t>(2)</w:t>
      </w:r>
      <w:r>
        <w:tab/>
      </w:r>
      <w:r>
        <w:rPr>
          <w:noProof/>
        </w:rPr>
        <w:t>Jako jedno z opatření napomáhajících uskutečnění vize evropského internetového propojení podporuje zavádění místních bezdrátových přístupových bodů prostřednictvím z</w:t>
      </w:r>
      <w:r>
        <w:rPr>
          <w:noProof/>
        </w:rPr>
        <w:t>jednodušených postupů plánování a omezených regulačních překážek. Taková přístupová místa, včetně těch, která doplňují poskytování jiných veřejných služeb nebo mají nekomerční charakter, mohou významně přispět ke zlepšení současných a zavádění budoucích ge</w:t>
      </w:r>
      <w:r>
        <w:rPr>
          <w:noProof/>
        </w:rPr>
        <w:t>nerací bezdrátových komunikačních sítí tím, že zvýší granularitu pokrytí v souladu s měnícími se potřebami.</w:t>
      </w:r>
    </w:p>
    <w:p w:rsidR="00FC6891" w:rsidRDefault="005F1CD3">
      <w:pPr>
        <w:pStyle w:val="ManualConsidrant"/>
        <w:rPr>
          <w:noProof/>
        </w:rPr>
      </w:pPr>
      <w:r>
        <w:t>(3)</w:t>
      </w:r>
      <w:r>
        <w:tab/>
      </w:r>
      <w:r>
        <w:rPr>
          <w:noProof/>
        </w:rPr>
        <w:t xml:space="preserve">Na základě sdělení, kterým se stanoví Evropská vize připojení k internetu pro jednotný digitální trh, a s cílem podpořit digitální začlenění by </w:t>
      </w:r>
      <w:r>
        <w:rPr>
          <w:noProof/>
        </w:rPr>
        <w:t>Unie měla podporovat poskytování bezplatného místního bezdrátového připojení ve střediscích místního veřejného života, včetně venkovních prostor přístupných široké veřejnosti, prostřednictvím cílené podpory. Nařízení (EU) č. 1316/2013</w:t>
      </w:r>
      <w:r>
        <w:rPr>
          <w:rStyle w:val="FootnoteReference"/>
          <w:noProof/>
        </w:rPr>
        <w:footnoteReference w:id="15"/>
      </w:r>
      <w:r>
        <w:rPr>
          <w:noProof/>
        </w:rPr>
        <w:t xml:space="preserve"> a (EU) č. 283/2014</w:t>
      </w:r>
      <w:r>
        <w:rPr>
          <w:rStyle w:val="FootnoteReference"/>
          <w:noProof/>
        </w:rPr>
        <w:footnoteReference w:id="16"/>
      </w:r>
      <w:r>
        <w:rPr>
          <w:noProof/>
        </w:rPr>
        <w:t xml:space="preserve"> </w:t>
      </w:r>
      <w:r>
        <w:rPr>
          <w:noProof/>
        </w:rPr>
        <w:t>dosud neobsahují žádná ustanovení týkající se takové podpory.</w:t>
      </w:r>
    </w:p>
    <w:p w:rsidR="00FC6891" w:rsidRDefault="005F1CD3">
      <w:pPr>
        <w:pStyle w:val="ManualConsidrant"/>
        <w:rPr>
          <w:noProof/>
        </w:rPr>
      </w:pPr>
      <w:r>
        <w:t>(4)</w:t>
      </w:r>
      <w:r>
        <w:tab/>
      </w:r>
      <w:r>
        <w:rPr>
          <w:noProof/>
        </w:rPr>
        <w:t>Podpora tohoto druhu by měla podpořit subjekty působící ve veřejném zájmu, jako jsou například veřejné subjekty a poskytovatelé veřejných služeb, aby nabízely bezplatné místní bezdrátové při</w:t>
      </w:r>
      <w:r>
        <w:rPr>
          <w:noProof/>
        </w:rPr>
        <w:t>pojení jako doplňkovou službu ke svému veřejnému poslání, tak aby zajistily, že místní komunity mohou využívat výhod velmi rychlého širokého pásma ve střediscích veřejného života.  Mezi tyto subjekty by mohly patřit obce a jiné orgány místní správy, knihov</w:t>
      </w:r>
      <w:r>
        <w:rPr>
          <w:noProof/>
        </w:rPr>
        <w:t>ny a nemocnice.</w:t>
      </w:r>
    </w:p>
    <w:p w:rsidR="00FC6891" w:rsidRDefault="005F1CD3">
      <w:pPr>
        <w:pStyle w:val="ManualConsidrant"/>
        <w:rPr>
          <w:noProof/>
        </w:rPr>
      </w:pPr>
      <w:r>
        <w:t>(5)</w:t>
      </w:r>
      <w:r>
        <w:tab/>
      </w:r>
      <w:r>
        <w:rPr>
          <w:noProof/>
        </w:rPr>
        <w:t>Místní bezdrátové připojení by se mělo považovat za bezplatné pouze tehdy, pokud je poskytováno bez odpovídající odměny, ať přímou platbou či jinými typy protihodnoty, včetně mimo jiné reklamy a poskytování osobních údajů.</w:t>
      </w:r>
    </w:p>
    <w:p w:rsidR="00FC6891" w:rsidRDefault="005F1CD3">
      <w:pPr>
        <w:pStyle w:val="ManualConsidrant"/>
        <w:rPr>
          <w:noProof/>
        </w:rPr>
      </w:pPr>
      <w:r>
        <w:t>(6)</w:t>
      </w:r>
      <w:r>
        <w:tab/>
      </w:r>
      <w:r>
        <w:rPr>
          <w:noProof/>
        </w:rPr>
        <w:t xml:space="preserve">Vzhledem </w:t>
      </w:r>
      <w:r>
        <w:rPr>
          <w:noProof/>
        </w:rPr>
        <w:t>ke zvláštnímu účelu a zaměření na místní potřeby by opatření mělo být uznáno za samostatný projekt společného zájmu v odvětví telekomunikací ve smyslu nařízení (EU) č. 1316/2013 a (EU) č. 283/2014.</w:t>
      </w:r>
    </w:p>
    <w:p w:rsidR="00FC6891" w:rsidRDefault="005F1CD3">
      <w:pPr>
        <w:pStyle w:val="ManualConsidrant"/>
        <w:rPr>
          <w:noProof/>
        </w:rPr>
      </w:pPr>
      <w:r>
        <w:t>(7)</w:t>
      </w:r>
      <w:r>
        <w:tab/>
      </w:r>
      <w:r>
        <w:rPr>
          <w:noProof/>
        </w:rPr>
        <w:t xml:space="preserve">Aby opatření bylo podpořeno odpovídajícími finančními </w:t>
      </w:r>
      <w:r>
        <w:rPr>
          <w:noProof/>
        </w:rPr>
        <w:t>prostředky, mělo by být finanční krytí pro provádění Nástroje pro propojení Evropy v odvětví telekomunikací zvýšeno o částku 50 000 000 EUR.</w:t>
      </w:r>
    </w:p>
    <w:p w:rsidR="00FC6891" w:rsidRDefault="005F1CD3">
      <w:pPr>
        <w:pStyle w:val="ManualConsidrant"/>
        <w:rPr>
          <w:noProof/>
        </w:rPr>
      </w:pPr>
      <w:r>
        <w:t>(8)</w:t>
      </w:r>
      <w:r>
        <w:tab/>
      </w:r>
      <w:r>
        <w:rPr>
          <w:noProof/>
        </w:rPr>
        <w:t>Vzhledem k nekomerční povaze tohoto opatření a malému rozsahu předpokládaných jednotlivých projektů by administ</w:t>
      </w:r>
      <w:r>
        <w:rPr>
          <w:noProof/>
        </w:rPr>
        <w:t xml:space="preserve">rativní zátěž měla být omezena na minimum. Z tohoto důvodu by opatření mělo být nyní či v budoucnu prováděno prostřednictvím nejvhodnějších forem finanční pomoci, zejména prostřednictvím grantů, které jsou k dispozici ve finančním nařízení. Opatření by se </w:t>
      </w:r>
      <w:r>
        <w:rPr>
          <w:noProof/>
        </w:rPr>
        <w:t>tedy nemělo opírat o finanční nástroje.</w:t>
      </w:r>
    </w:p>
    <w:p w:rsidR="00FC6891" w:rsidRDefault="005F1CD3">
      <w:pPr>
        <w:pStyle w:val="ManualConsidrant"/>
        <w:rPr>
          <w:noProof/>
        </w:rPr>
      </w:pPr>
      <w:r>
        <w:t>(9)</w:t>
      </w:r>
      <w:r>
        <w:tab/>
      </w:r>
      <w:r>
        <w:rPr>
          <w:noProof/>
        </w:rPr>
        <w:t>Vzhledem k omezenému dosahu každého jednotlivého místního bezdrátového přístupového bodu a nízké hodnotě jednotlivých projektů se neočekává, že přístupové body využívající finanční pomoc v rámci tohoto nařízení b</w:t>
      </w:r>
      <w:r>
        <w:rPr>
          <w:noProof/>
        </w:rPr>
        <w:t>udou představovat konkurenci pro komerční nabídky. Aby bylo zajištěno, že tato finanční pomoc nepovede k nepřiměřenému narušení hospodářské soutěže a k vytěsnění soukromých investic nebo vytváření překážek, které soukromé investory odradí, mělo by být opat</w:t>
      </w:r>
      <w:r>
        <w:rPr>
          <w:noProof/>
        </w:rPr>
        <w:t>ření omezeno na projekty, které nezdvojují již stávající soukromé či veřejné nabídky podobných vlastností v téže oblasti. Tím by neměla být vyloučena dodatečná podpora na zavádění v rámci této iniciativy z financování z veřejných či soukromých zdrojů.</w:t>
      </w:r>
    </w:p>
    <w:p w:rsidR="00FC6891" w:rsidRDefault="005F1CD3">
      <w:pPr>
        <w:pStyle w:val="ManualConsidrant"/>
        <w:rPr>
          <w:noProof/>
        </w:rPr>
      </w:pPr>
      <w:r>
        <w:t>(10)</w:t>
      </w:r>
      <w:r>
        <w:tab/>
      </w:r>
      <w:r>
        <w:rPr>
          <w:noProof/>
        </w:rPr>
        <w:t>S cílem zajistit, aby internetové připojení v souladu s tímto nařízením bylo rychle k dispozici, by finanční pomoc měla být prováděna s využitím co nejširšího rozsahu internetových nástrojů, které umožňují rychlé podávání a vyřizování žádostí a měla by po</w:t>
      </w:r>
      <w:r>
        <w:rPr>
          <w:noProof/>
        </w:rPr>
        <w:t xml:space="preserve">dporovat provádění, monitorování a audity zřízených místních bezdrátových přístupových bodů. </w:t>
      </w:r>
    </w:p>
    <w:p w:rsidR="00FC6891" w:rsidRDefault="005F1CD3">
      <w:pPr>
        <w:pStyle w:val="ManualConsidrant"/>
        <w:rPr>
          <w:noProof/>
        </w:rPr>
      </w:pPr>
      <w:r>
        <w:t>(11)</w:t>
      </w:r>
      <w:r>
        <w:tab/>
      </w:r>
      <w:r>
        <w:rPr>
          <w:noProof/>
        </w:rPr>
        <w:t>Vzhledem k potřebám internetového připojení v Unii a naléhavosti potřeby podpořit přístupové sítě, které mohou v celé EU přinést internetové připojení vysoké</w:t>
      </w:r>
      <w:r>
        <w:rPr>
          <w:noProof/>
        </w:rPr>
        <w:t xml:space="preserve"> kvality založené na širokopásmových službách s velmi vysokou rychlostí, by finanční pomoc měla usilovat o zeměpisně vyvážené rozdělení.</w:t>
      </w:r>
    </w:p>
    <w:p w:rsidR="00FC6891" w:rsidRDefault="005F1CD3">
      <w:pPr>
        <w:pStyle w:val="ManualConsidrant"/>
        <w:rPr>
          <w:noProof/>
        </w:rPr>
      </w:pPr>
      <w:r>
        <w:t>(12)</w:t>
      </w:r>
      <w:r>
        <w:tab/>
      </w:r>
      <w:r>
        <w:rPr>
          <w:noProof/>
        </w:rPr>
        <w:t>Nařízení (EU) č. 1316/2013 a (EU) č. 283/2014 by proto měla být odpovídajícím způsobem změněna.</w:t>
      </w:r>
    </w:p>
    <w:p w:rsidR="00FC6891" w:rsidRDefault="005F1CD3">
      <w:pPr>
        <w:pStyle w:val="Formuledadoption"/>
        <w:rPr>
          <w:noProof/>
        </w:rPr>
      </w:pPr>
      <w:r>
        <w:rPr>
          <w:noProof/>
        </w:rPr>
        <w:t>PŘIJALY TOTO NAŘÍZ</w:t>
      </w:r>
      <w:r>
        <w:rPr>
          <w:noProof/>
        </w:rPr>
        <w:t>ENÍ:</w:t>
      </w:r>
    </w:p>
    <w:p w:rsidR="00FC6891" w:rsidRDefault="005F1CD3">
      <w:pPr>
        <w:pStyle w:val="Titrearticle"/>
        <w:rPr>
          <w:noProof/>
        </w:rPr>
      </w:pPr>
      <w:r>
        <w:rPr>
          <w:noProof/>
        </w:rPr>
        <w:t>Článek 1</w:t>
      </w:r>
    </w:p>
    <w:p w:rsidR="00FC6891" w:rsidRDefault="005F1CD3">
      <w:pPr>
        <w:pStyle w:val="Titrearticle"/>
        <w:rPr>
          <w:b/>
          <w:noProof/>
        </w:rPr>
      </w:pPr>
      <w:r>
        <w:rPr>
          <w:b/>
          <w:i w:val="0"/>
          <w:noProof/>
        </w:rPr>
        <w:t>Změny nařízení (EU) č. 1316/2013</w:t>
      </w:r>
    </w:p>
    <w:p w:rsidR="00FC6891" w:rsidRDefault="005F1CD3">
      <w:pPr>
        <w:pStyle w:val="Text1"/>
        <w:ind w:left="0"/>
        <w:rPr>
          <w:noProof/>
        </w:rPr>
      </w:pPr>
      <w:r>
        <w:rPr>
          <w:noProof/>
        </w:rPr>
        <w:t>Nařízení (EU) č. 1316/2013 se mění takto:</w:t>
      </w:r>
    </w:p>
    <w:p w:rsidR="00FC6891" w:rsidRDefault="005F1CD3">
      <w:pPr>
        <w:pStyle w:val="Text1"/>
        <w:ind w:left="0"/>
        <w:rPr>
          <w:noProof/>
        </w:rPr>
      </w:pPr>
      <w:r>
        <w:rPr>
          <w:noProof/>
        </w:rPr>
        <w:t>1. V čl. 5 odst. 1 prvním pododstavci se písmeno b) nahrazuje tímto:</w:t>
      </w:r>
    </w:p>
    <w:p w:rsidR="00FC6891" w:rsidRDefault="005F1CD3">
      <w:pPr>
        <w:pStyle w:val="Text1"/>
        <w:ind w:left="360" w:firstLine="360"/>
        <w:rPr>
          <w:noProof/>
        </w:rPr>
      </w:pPr>
      <w:r>
        <w:rPr>
          <w:noProof/>
        </w:rPr>
        <w:t>„ b) odvětví telekomunikací: 1 091 602 000 EUR; “</w:t>
      </w:r>
    </w:p>
    <w:p w:rsidR="00FC6891" w:rsidRDefault="005F1CD3">
      <w:pPr>
        <w:pStyle w:val="Text1"/>
        <w:ind w:left="0"/>
        <w:rPr>
          <w:noProof/>
        </w:rPr>
      </w:pPr>
      <w:r>
        <w:rPr>
          <w:noProof/>
        </w:rPr>
        <w:t xml:space="preserve">2. Článek 7 se mění takto: </w:t>
      </w:r>
    </w:p>
    <w:p w:rsidR="00FC6891" w:rsidRDefault="005F1CD3">
      <w:pPr>
        <w:pStyle w:val="ManualNumPar3"/>
        <w:ind w:left="1200"/>
        <w:rPr>
          <w:noProof/>
        </w:rPr>
      </w:pPr>
      <w:r>
        <w:rPr>
          <w:noProof/>
        </w:rPr>
        <w:t>a)</w:t>
      </w:r>
      <w:r>
        <w:rPr>
          <w:noProof/>
        </w:rPr>
        <w:tab/>
        <w:t xml:space="preserve">odstavec 1 se </w:t>
      </w:r>
      <w:r>
        <w:rPr>
          <w:noProof/>
        </w:rPr>
        <w:t>nahrazuje tímto:</w:t>
      </w:r>
    </w:p>
    <w:p w:rsidR="00FC6891" w:rsidRDefault="005F1CD3">
      <w:pPr>
        <w:pStyle w:val="Text1"/>
        <w:spacing w:after="240"/>
        <w:ind w:left="360"/>
        <w:rPr>
          <w:noProof/>
        </w:rPr>
      </w:pPr>
      <w:r>
        <w:rPr>
          <w:noProof/>
        </w:rPr>
        <w:t>„1. Pro finanční pomoc Unie zejména ve formě grantů, zadávání veřejných zakázek a finančních nástrojů jsou způsobilá pouze opatření přispívající k projektům společného zájmu podle nařízení (EU) č. 1315/2013, nařízení (EU) č. 347/2013 a nař</w:t>
      </w:r>
      <w:r>
        <w:rPr>
          <w:noProof/>
        </w:rPr>
        <w:t>ízení o hlavních směrech transevropských sítí v oblasti telekomunikační infrastruktury, jakož i podpůrná opatření programu.</w:t>
      </w:r>
    </w:p>
    <w:p w:rsidR="00FC6891" w:rsidRDefault="005F1CD3">
      <w:pPr>
        <w:pStyle w:val="ManualNumPar3"/>
        <w:ind w:left="1200"/>
        <w:rPr>
          <w:noProof/>
        </w:rPr>
      </w:pPr>
      <w:r>
        <w:rPr>
          <w:noProof/>
        </w:rPr>
        <w:t>b)</w:t>
      </w:r>
      <w:r>
        <w:rPr>
          <w:noProof/>
        </w:rPr>
        <w:tab/>
        <w:t xml:space="preserve">odstavec 4 se nahrazuje tímto: </w:t>
      </w:r>
    </w:p>
    <w:p w:rsidR="00FC6891" w:rsidRDefault="005F1CD3">
      <w:pPr>
        <w:pStyle w:val="Text1"/>
        <w:ind w:left="360"/>
        <w:rPr>
          <w:noProof/>
        </w:rPr>
      </w:pPr>
      <w:r>
        <w:rPr>
          <w:noProof/>
        </w:rPr>
        <w:t>„4. V odvětví telekomunikací jsou pro finanční pomoc Unie podle tohoto nařízení způsobilá všechna</w:t>
      </w:r>
      <w:r>
        <w:rPr>
          <w:noProof/>
        </w:rPr>
        <w:t xml:space="preserve"> opatření, jimiž se realizují projekty společného zájmu, a podpůrná opatření programu definovaná v příslušném nařízení o hlavních směrech transevropských sítí v oblasti telekomunikační infrastruktury, která splňují kritéria a/nebo podmínky způsobilosti sta</w:t>
      </w:r>
      <w:r>
        <w:rPr>
          <w:noProof/>
        </w:rPr>
        <w:t>novená v souladu s uvedeným nařízením, a to takto:</w:t>
      </w:r>
    </w:p>
    <w:p w:rsidR="00FC6891" w:rsidRDefault="005F1CD3">
      <w:pPr>
        <w:pStyle w:val="Text1"/>
        <w:ind w:left="360"/>
        <w:rPr>
          <w:noProof/>
        </w:rPr>
      </w:pPr>
      <w:r>
        <w:rPr>
          <w:noProof/>
        </w:rPr>
        <w:t>a) obecné služby, platformy hlavních služeb a podpůrná opatření programu jsou financovány formou grantů nebo zadávání veřejných zakázek;</w:t>
      </w:r>
    </w:p>
    <w:p w:rsidR="00FC6891" w:rsidRDefault="005F1CD3">
      <w:pPr>
        <w:pStyle w:val="Text1"/>
        <w:ind w:left="360"/>
        <w:rPr>
          <w:noProof/>
        </w:rPr>
      </w:pPr>
      <w:r>
        <w:rPr>
          <w:noProof/>
        </w:rPr>
        <w:t>b) opatření v oblasti širokopásmových sítí jsou financována formou f</w:t>
      </w:r>
      <w:r>
        <w:rPr>
          <w:noProof/>
        </w:rPr>
        <w:t>inančních nástrojů;</w:t>
      </w:r>
    </w:p>
    <w:p w:rsidR="00FC6891" w:rsidRDefault="005F1CD3">
      <w:pPr>
        <w:pStyle w:val="Text1"/>
        <w:spacing w:after="240"/>
        <w:ind w:left="360"/>
        <w:rPr>
          <w:noProof/>
        </w:rPr>
      </w:pPr>
      <w:r>
        <w:rPr>
          <w:noProof/>
        </w:rPr>
        <w:t>c) opatření v oblasti poskytování bezplatného místního bezdrátového připojení v místních komunitách jsou financována formou grantů nebo jinými formami finanční pomoci, než jsou finanční nástroje.“</w:t>
      </w:r>
    </w:p>
    <w:p w:rsidR="00FC6891" w:rsidRDefault="005F1CD3">
      <w:pPr>
        <w:pStyle w:val="Text1"/>
        <w:ind w:left="0"/>
        <w:rPr>
          <w:noProof/>
        </w:rPr>
      </w:pPr>
      <w:r>
        <w:rPr>
          <w:noProof/>
        </w:rPr>
        <w:t>3. V článku 9 se doplňuje nový odstavec</w:t>
      </w:r>
      <w:r>
        <w:rPr>
          <w:noProof/>
        </w:rPr>
        <w:t xml:space="preserve">, který zní: </w:t>
      </w:r>
    </w:p>
    <w:p w:rsidR="00FC6891" w:rsidRDefault="005F1CD3">
      <w:pPr>
        <w:pStyle w:val="Text1"/>
        <w:ind w:left="0"/>
        <w:rPr>
          <w:noProof/>
        </w:rPr>
      </w:pPr>
      <w:r>
        <w:rPr>
          <w:noProof/>
        </w:rPr>
        <w:t>„1a. Pokud je to odůvodněno potřebou zabránit nepřiměřené administrativní zátěži, zejména v případě grantů nízké hodnoty ve smyslu článku 185 nařízení (EU) č. 1286/2012, mohou se členské státy dohodnout na určité kategorii návrhů v rámci prac</w:t>
      </w:r>
      <w:r>
        <w:rPr>
          <w:noProof/>
        </w:rPr>
        <w:t>ovních programů podle článku 17, aniž by uváděly jednotlivé uchazeče.“</w:t>
      </w:r>
    </w:p>
    <w:p w:rsidR="00FC6891" w:rsidRDefault="005F1CD3">
      <w:pPr>
        <w:pStyle w:val="Text1"/>
        <w:ind w:left="0"/>
        <w:rPr>
          <w:noProof/>
        </w:rPr>
      </w:pPr>
      <w:r>
        <w:rPr>
          <w:noProof/>
        </w:rPr>
        <w:t xml:space="preserve">4. V čl. 10 odst. 4 se doplňuje třetí pododstavec, který zní: </w:t>
      </w:r>
    </w:p>
    <w:p w:rsidR="00FC6891" w:rsidRDefault="005F1CD3">
      <w:pPr>
        <w:pStyle w:val="Text1"/>
        <w:ind w:left="0"/>
        <w:rPr>
          <w:noProof/>
        </w:rPr>
      </w:pPr>
      <w:r>
        <w:rPr>
          <w:noProof/>
        </w:rPr>
        <w:t>„Opatření v oblasti poskytování bezplatného místního bezdrátové připojení v místních komunitách jsou financována z finančn</w:t>
      </w:r>
      <w:r>
        <w:rPr>
          <w:noProof/>
        </w:rPr>
        <w:t>í pomoci Unie až do 100 % způsobilých nákladů, aniž je tím dotčena zásada spolufinancování.“</w:t>
      </w:r>
    </w:p>
    <w:p w:rsidR="00FC6891" w:rsidRDefault="00FC6891">
      <w:pPr>
        <w:pStyle w:val="Text1"/>
        <w:ind w:left="0"/>
        <w:rPr>
          <w:noProof/>
        </w:rPr>
      </w:pPr>
    </w:p>
    <w:p w:rsidR="00FC6891" w:rsidRDefault="005F1CD3">
      <w:pPr>
        <w:pStyle w:val="Titrearticle"/>
        <w:rPr>
          <w:noProof/>
        </w:rPr>
      </w:pPr>
      <w:r>
        <w:rPr>
          <w:noProof/>
        </w:rPr>
        <w:t>Článek 2</w:t>
      </w:r>
    </w:p>
    <w:p w:rsidR="00FC6891" w:rsidRDefault="005F1CD3">
      <w:pPr>
        <w:pStyle w:val="Titrearticle"/>
        <w:rPr>
          <w:b/>
          <w:i w:val="0"/>
          <w:noProof/>
        </w:rPr>
      </w:pPr>
      <w:r>
        <w:rPr>
          <w:b/>
          <w:i w:val="0"/>
          <w:noProof/>
        </w:rPr>
        <w:t>Změny nařízení (EU) č. 283/2014</w:t>
      </w:r>
    </w:p>
    <w:p w:rsidR="00FC6891" w:rsidRDefault="005F1CD3">
      <w:pPr>
        <w:pStyle w:val="Text1"/>
        <w:ind w:left="0"/>
        <w:rPr>
          <w:noProof/>
        </w:rPr>
      </w:pPr>
      <w:r>
        <w:rPr>
          <w:noProof/>
        </w:rPr>
        <w:t>Nařízení (EU) č. 283/2014 se mění takto:</w:t>
      </w:r>
    </w:p>
    <w:p w:rsidR="00FC6891" w:rsidRDefault="005F1CD3">
      <w:pPr>
        <w:pStyle w:val="Text1"/>
        <w:ind w:left="0"/>
        <w:rPr>
          <w:bCs/>
          <w:noProof/>
        </w:rPr>
      </w:pPr>
      <w:r>
        <w:rPr>
          <w:noProof/>
        </w:rPr>
        <w:t>1. V čl. 2 odst. 2 se doplňuje nové písmeno h), které zní:</w:t>
      </w:r>
    </w:p>
    <w:p w:rsidR="00FC6891" w:rsidRDefault="005F1CD3">
      <w:pPr>
        <w:pStyle w:val="Text1"/>
        <w:spacing w:after="240"/>
        <w:ind w:left="0"/>
        <w:rPr>
          <w:bCs/>
          <w:noProof/>
        </w:rPr>
      </w:pPr>
      <w:r>
        <w:rPr>
          <w:noProof/>
        </w:rPr>
        <w:t>„h) „místními bezdrát</w:t>
      </w:r>
      <w:r>
        <w:rPr>
          <w:noProof/>
        </w:rPr>
        <w:t>ovými přístupovými body“ se rozumí zařízení malých rozměrů, s nízkým výkonem a malého dosahu, využívající na nevýhradním základě rádiové spektrum, jehož dostupnost a efektivní využívání pro tento účel je harmonizováno na úrovni Unie, a uživatelům bezdrátov</w:t>
      </w:r>
      <w:r>
        <w:rPr>
          <w:noProof/>
        </w:rPr>
        <w:t xml:space="preserve">ý přístup k elektronické komunikační síti;“ </w:t>
      </w:r>
    </w:p>
    <w:p w:rsidR="00FC6891" w:rsidRDefault="005F1CD3">
      <w:pPr>
        <w:pStyle w:val="Text1"/>
        <w:spacing w:after="240"/>
        <w:ind w:left="0"/>
        <w:rPr>
          <w:bCs/>
          <w:noProof/>
        </w:rPr>
      </w:pPr>
      <w:r>
        <w:rPr>
          <w:noProof/>
        </w:rPr>
        <w:t>V čl. 4 odst. 1 se doplňuje nové písmeno c), které zní:</w:t>
      </w:r>
    </w:p>
    <w:p w:rsidR="00FC6891" w:rsidRDefault="005F1CD3">
      <w:pPr>
        <w:pStyle w:val="Text1"/>
        <w:spacing w:after="240"/>
        <w:ind w:left="0"/>
        <w:rPr>
          <w:bCs/>
          <w:noProof/>
        </w:rPr>
      </w:pPr>
      <w:r>
        <w:rPr>
          <w:noProof/>
        </w:rPr>
        <w:t>„c) podpora poskytování bezplatného místního bezdrátového připojení v místních komunitách.“</w:t>
      </w:r>
    </w:p>
    <w:p w:rsidR="00FC6891" w:rsidRDefault="005F1CD3">
      <w:pPr>
        <w:pStyle w:val="Text1"/>
        <w:ind w:left="0"/>
        <w:rPr>
          <w:bCs/>
          <w:noProof/>
        </w:rPr>
      </w:pPr>
      <w:r>
        <w:rPr>
          <w:noProof/>
        </w:rPr>
        <w:t xml:space="preserve">3. Článek 5 se mění takto: </w:t>
      </w:r>
    </w:p>
    <w:p w:rsidR="00FC6891" w:rsidRDefault="005F1CD3">
      <w:pPr>
        <w:pStyle w:val="ManualNumPar1"/>
        <w:ind w:hanging="370"/>
        <w:rPr>
          <w:noProof/>
        </w:rPr>
      </w:pPr>
      <w:r>
        <w:rPr>
          <w:noProof/>
        </w:rPr>
        <w:t>a)</w:t>
      </w:r>
      <w:r>
        <w:rPr>
          <w:noProof/>
        </w:rPr>
        <w:tab/>
        <w:t>odstavec 7 se nahrazuje tímto:</w:t>
      </w:r>
    </w:p>
    <w:p w:rsidR="00FC6891" w:rsidRDefault="005F1CD3">
      <w:pPr>
        <w:spacing w:after="240"/>
        <w:ind w:left="720"/>
        <w:rPr>
          <w:noProof/>
        </w:rPr>
      </w:pPr>
      <w:r>
        <w:rPr>
          <w:noProof/>
        </w:rPr>
        <w:t>„7. Celková částka rozpočtových prostředků přidělených na finanční nástroje pro širokopásmové sítě nepřekročí minimální částku nezbytnou k zajištění nákladově efektivních intervencí, které se stanoví na základě předběžného hodnocení uvedeného v čl. 14 odst</w:t>
      </w:r>
      <w:r>
        <w:rPr>
          <w:noProof/>
        </w:rPr>
        <w:t xml:space="preserve">. 1 nařízení (EU) č. 1316/2013. </w:t>
      </w:r>
    </w:p>
    <w:p w:rsidR="00FC6891" w:rsidRDefault="005F1CD3">
      <w:pPr>
        <w:spacing w:after="240"/>
        <w:ind w:left="720"/>
        <w:rPr>
          <w:noProof/>
          <w:szCs w:val="24"/>
        </w:rPr>
      </w:pPr>
      <w:r>
        <w:rPr>
          <w:noProof/>
        </w:rPr>
        <w:t>Tato částka představuje až 15 % z finančního krytí určeného pro odvětví telekomunikací uvedeného v čl. 5 odst. 1 písm. b) nařízení (EU) č. 1316/2013.“</w:t>
      </w:r>
    </w:p>
    <w:p w:rsidR="00FC6891" w:rsidRDefault="005F1CD3">
      <w:pPr>
        <w:pStyle w:val="ManualNumPar1"/>
        <w:ind w:hanging="370"/>
        <w:rPr>
          <w:noProof/>
        </w:rPr>
      </w:pPr>
      <w:r>
        <w:rPr>
          <w:noProof/>
        </w:rPr>
        <w:t>b)</w:t>
      </w:r>
      <w:r>
        <w:rPr>
          <w:noProof/>
        </w:rPr>
        <w:tab/>
        <w:t>doplňuje se nový odstavec, který zní:</w:t>
      </w:r>
    </w:p>
    <w:p w:rsidR="00FC6891" w:rsidRDefault="005F1CD3">
      <w:pPr>
        <w:pStyle w:val="Text1"/>
        <w:spacing w:after="240"/>
        <w:ind w:left="720"/>
        <w:rPr>
          <w:bCs/>
          <w:noProof/>
        </w:rPr>
      </w:pPr>
      <w:r>
        <w:rPr>
          <w:noProof/>
        </w:rPr>
        <w:t>„5 a. Opatření podporující proj</w:t>
      </w:r>
      <w:r>
        <w:rPr>
          <w:noProof/>
        </w:rPr>
        <w:t>ekty společného zájmu v oblasti poskytování bezplatného místního bezdrátového připojení v místních komunitách, jsou podporovány:</w:t>
      </w:r>
    </w:p>
    <w:p w:rsidR="00FC6891" w:rsidRDefault="005F1CD3">
      <w:pPr>
        <w:pStyle w:val="Text1"/>
        <w:spacing w:after="240"/>
        <w:ind w:left="720"/>
        <w:rPr>
          <w:bCs/>
          <w:noProof/>
        </w:rPr>
      </w:pPr>
      <w:r>
        <w:rPr>
          <w:noProof/>
        </w:rPr>
        <w:t xml:space="preserve">a) granty; a/nebo </w:t>
      </w:r>
    </w:p>
    <w:p w:rsidR="00FC6891" w:rsidRDefault="005F1CD3">
      <w:pPr>
        <w:pStyle w:val="Text1"/>
        <w:spacing w:after="240"/>
        <w:ind w:left="720"/>
        <w:rPr>
          <w:noProof/>
        </w:rPr>
      </w:pPr>
      <w:r>
        <w:rPr>
          <w:noProof/>
        </w:rPr>
        <w:t>b) jinými formami pomoci, než jsou finanční nástroje.“</w:t>
      </w:r>
    </w:p>
    <w:p w:rsidR="00FC6891" w:rsidRDefault="005F1CD3">
      <w:pPr>
        <w:pStyle w:val="Text1"/>
        <w:ind w:left="0"/>
        <w:rPr>
          <w:bCs/>
          <w:noProof/>
        </w:rPr>
      </w:pPr>
      <w:r>
        <w:rPr>
          <w:noProof/>
        </w:rPr>
        <w:t>4. V článku 6 se vkládá nový odstavec 8a, který zní:</w:t>
      </w:r>
    </w:p>
    <w:p w:rsidR="00FC6891" w:rsidRDefault="005F1CD3">
      <w:pPr>
        <w:pStyle w:val="Text1"/>
        <w:spacing w:after="240"/>
        <w:ind w:left="0"/>
        <w:rPr>
          <w:bCs/>
          <w:noProof/>
        </w:rPr>
      </w:pPr>
      <w:r>
        <w:rPr>
          <w:noProof/>
        </w:rPr>
        <w:t>„8a. Opatření podporující projekty společného zájmu v oblasti poskytování bezplatného místního bezdrátového připojení v místních komunitách splňují podmínky stanovené v oddíle 4 přílohy.“</w:t>
      </w:r>
    </w:p>
    <w:p w:rsidR="00FC6891" w:rsidRDefault="005F1CD3">
      <w:pPr>
        <w:pStyle w:val="Text1"/>
        <w:ind w:left="0"/>
        <w:rPr>
          <w:bCs/>
          <w:noProof/>
        </w:rPr>
      </w:pPr>
      <w:r>
        <w:rPr>
          <w:noProof/>
        </w:rPr>
        <w:t>5. V čl. 8 odst. 9 se doplňuje nové písmeno d), které zní:</w:t>
      </w:r>
    </w:p>
    <w:p w:rsidR="00FC6891" w:rsidRDefault="005F1CD3">
      <w:pPr>
        <w:pStyle w:val="Text1"/>
        <w:spacing w:after="240"/>
        <w:ind w:left="0"/>
        <w:rPr>
          <w:bCs/>
          <w:noProof/>
        </w:rPr>
      </w:pPr>
      <w:r>
        <w:rPr>
          <w:noProof/>
        </w:rPr>
        <w:t>„d) počtu</w:t>
      </w:r>
      <w:r>
        <w:rPr>
          <w:noProof/>
        </w:rPr>
        <w:t xml:space="preserve"> připojení k místním bezdrátovým přístupovým bodům vytvořeným v rámci opatření, kterými se provádí oddíl 4 přílohy.“</w:t>
      </w:r>
    </w:p>
    <w:p w:rsidR="00FC6891" w:rsidRDefault="005F1CD3">
      <w:pPr>
        <w:rPr>
          <w:noProof/>
          <w:szCs w:val="24"/>
        </w:rPr>
      </w:pPr>
      <w:r>
        <w:rPr>
          <w:noProof/>
        </w:rPr>
        <w:t xml:space="preserve">6. V příloze se vkládá nový oddíl, který zní: </w:t>
      </w:r>
    </w:p>
    <w:p w:rsidR="00FC6891" w:rsidRDefault="005F1CD3">
      <w:pPr>
        <w:jc w:val="center"/>
        <w:rPr>
          <w:noProof/>
          <w:szCs w:val="24"/>
        </w:rPr>
      </w:pPr>
      <w:r>
        <w:rPr>
          <w:noProof/>
        </w:rPr>
        <w:t>„ODDÍL 4. BEZDRÁTOVÉ PŘIPOJENÍ V MÍSTNÍCH KOMUNITÁCH</w:t>
      </w:r>
    </w:p>
    <w:p w:rsidR="00FC6891" w:rsidRDefault="005F1CD3">
      <w:pPr>
        <w:rPr>
          <w:noProof/>
          <w:szCs w:val="24"/>
        </w:rPr>
      </w:pPr>
      <w:r>
        <w:rPr>
          <w:noProof/>
        </w:rPr>
        <w:t xml:space="preserve">Opatření, jejichž cílem je poskytování </w:t>
      </w:r>
      <w:r>
        <w:rPr>
          <w:noProof/>
        </w:rPr>
        <w:t xml:space="preserve">bezplatného místního bezdrátového připojení ve střediscích veřejného života, včetně veřejných prostor přístupných široké veřejnosti, které hraje důležitou roli ve veřejném životě místních komunit, jsou způsobilá pro finanční pomoc. </w:t>
      </w:r>
    </w:p>
    <w:p w:rsidR="00FC6891" w:rsidRDefault="005F1CD3">
      <w:pPr>
        <w:rPr>
          <w:noProof/>
          <w:szCs w:val="24"/>
        </w:rPr>
      </w:pPr>
      <w:r>
        <w:rPr>
          <w:noProof/>
        </w:rPr>
        <w:t>Finanční pomoc je k dis</w:t>
      </w:r>
      <w:r>
        <w:rPr>
          <w:noProof/>
        </w:rPr>
        <w:t>pozici pro subjekty s veřejným posláním, jako jsou například místní orgány a poskytovatelé veřejných služeb, aby poskytovali bezplatné místní bezdrátové připojení prostřednictvím zřízení místních bezdrátových přístupových bodů.</w:t>
      </w:r>
    </w:p>
    <w:p w:rsidR="00FC6891" w:rsidRDefault="005F1CD3">
      <w:pPr>
        <w:rPr>
          <w:noProof/>
          <w:szCs w:val="24"/>
        </w:rPr>
      </w:pPr>
      <w:r>
        <w:rPr>
          <w:noProof/>
        </w:rPr>
        <w:t>Projekty na poskytování bezd</w:t>
      </w:r>
      <w:r>
        <w:rPr>
          <w:noProof/>
        </w:rPr>
        <w:t>rátového připojení prostřednictvím bezplatných místních bezdrátových přístupových bodů mohou obdržet financování, pokud:</w:t>
      </w:r>
    </w:p>
    <w:p w:rsidR="00FC6891" w:rsidRDefault="005F1CD3">
      <w:pPr>
        <w:pStyle w:val="ManualNumPar1"/>
        <w:rPr>
          <w:noProof/>
        </w:rPr>
      </w:pPr>
      <w:r>
        <w:rPr>
          <w:noProof/>
        </w:rPr>
        <w:t>1)</w:t>
      </w:r>
      <w:r>
        <w:rPr>
          <w:noProof/>
        </w:rPr>
        <w:tab/>
        <w:t>jsou prováděny subjektem působícím ve veřejném zájmu schopným naplánovat zřízení vnitřních či venkovních místních bezdrátových příst</w:t>
      </w:r>
      <w:r>
        <w:rPr>
          <w:noProof/>
        </w:rPr>
        <w:t>upových bodů ve veřejných prostorách a vykonávat nad nimi dohled;</w:t>
      </w:r>
    </w:p>
    <w:p w:rsidR="00FC6891" w:rsidRDefault="005F1CD3">
      <w:pPr>
        <w:pStyle w:val="ManualNumPar1"/>
        <w:rPr>
          <w:noProof/>
          <w:szCs w:val="24"/>
        </w:rPr>
      </w:pPr>
      <w:r>
        <w:rPr>
          <w:noProof/>
        </w:rPr>
        <w:t>2)</w:t>
      </w:r>
      <w:r>
        <w:rPr>
          <w:noProof/>
        </w:rPr>
        <w:tab/>
        <w:t xml:space="preserve">jsou založeny na širokopásmovém připojení s velmi vysokou rychlostí, které umožňuje uživatelům vysokou kvalitu internetového připojení, které je </w:t>
      </w:r>
    </w:p>
    <w:p w:rsidR="00FC6891" w:rsidRDefault="005F1CD3">
      <w:pPr>
        <w:pStyle w:val="ManualNumPar4"/>
        <w:ind w:left="1560" w:hanging="720"/>
        <w:rPr>
          <w:noProof/>
        </w:rPr>
      </w:pPr>
      <w:r>
        <w:rPr>
          <w:noProof/>
        </w:rPr>
        <w:t>a.</w:t>
      </w:r>
      <w:r>
        <w:rPr>
          <w:noProof/>
        </w:rPr>
        <w:tab/>
        <w:t>bezplatné, snadno dostupné a využívá n</w:t>
      </w:r>
      <w:r>
        <w:rPr>
          <w:noProof/>
        </w:rPr>
        <w:t xml:space="preserve">ejmodernější zařízení a </w:t>
      </w:r>
    </w:p>
    <w:p w:rsidR="00FC6891" w:rsidRDefault="005F1CD3">
      <w:pPr>
        <w:pStyle w:val="ManualNumPar4"/>
        <w:ind w:left="1560" w:hanging="720"/>
        <w:rPr>
          <w:noProof/>
          <w:szCs w:val="24"/>
        </w:rPr>
      </w:pPr>
      <w:r>
        <w:rPr>
          <w:noProof/>
        </w:rPr>
        <w:t>b.</w:t>
      </w:r>
      <w:r>
        <w:rPr>
          <w:noProof/>
        </w:rPr>
        <w:tab/>
        <w:t>podporuje přístup k inovativním digitálním službám, jako jsou například služby nabízené prostřednictvím infrastruktur digitálních služeb;</w:t>
      </w:r>
    </w:p>
    <w:p w:rsidR="00FC6891" w:rsidRDefault="005F1CD3">
      <w:pPr>
        <w:pStyle w:val="ManualNumPar1"/>
        <w:rPr>
          <w:noProof/>
        </w:rPr>
      </w:pPr>
      <w:r>
        <w:rPr>
          <w:noProof/>
        </w:rPr>
        <w:t>3)</w:t>
      </w:r>
      <w:r>
        <w:rPr>
          <w:noProof/>
        </w:rPr>
        <w:tab/>
        <w:t>používá společnou vizuální identitu, kterou poskytuje Komise, a odkaz na související in</w:t>
      </w:r>
      <w:r>
        <w:rPr>
          <w:noProof/>
        </w:rPr>
        <w:t>ternetové nástroje.</w:t>
      </w:r>
    </w:p>
    <w:p w:rsidR="00FC6891" w:rsidRDefault="005F1CD3">
      <w:pPr>
        <w:rPr>
          <w:noProof/>
          <w:szCs w:val="24"/>
        </w:rPr>
      </w:pPr>
      <w:r>
        <w:rPr>
          <w:noProof/>
        </w:rPr>
        <w:t>Projekty duplikující již stávající soukromé nebo veřejné nabídky podobných vlastností, včetně kvality, v téže se nezahrnují.</w:t>
      </w:r>
    </w:p>
    <w:p w:rsidR="00FC6891" w:rsidRDefault="005F1CD3">
      <w:pPr>
        <w:rPr>
          <w:noProof/>
          <w:szCs w:val="24"/>
        </w:rPr>
      </w:pPr>
      <w:r>
        <w:rPr>
          <w:noProof/>
        </w:rPr>
        <w:t>Dostupné rozpočtové prostředky jsou přidělovány geograficky vyváženým způsobem projektům, které splňují výše uv</w:t>
      </w:r>
      <w:r>
        <w:rPr>
          <w:noProof/>
        </w:rPr>
        <w:t>edené podmínky, pokud jde o obdržené návrhy, a podle zásady „kdo dřív přijde, je dřív na řadě“.</w:t>
      </w:r>
    </w:p>
    <w:p w:rsidR="00FC6891" w:rsidRDefault="005F1CD3">
      <w:pPr>
        <w:keepNext/>
        <w:spacing w:before="360"/>
        <w:jc w:val="center"/>
        <w:rPr>
          <w:i/>
          <w:noProof/>
        </w:rPr>
      </w:pPr>
      <w:r>
        <w:rPr>
          <w:i/>
          <w:noProof/>
        </w:rPr>
        <w:t>Článek 3</w:t>
      </w:r>
    </w:p>
    <w:p w:rsidR="00FC6891" w:rsidRDefault="005F1CD3">
      <w:pPr>
        <w:keepNext/>
        <w:spacing w:before="360"/>
        <w:jc w:val="center"/>
        <w:rPr>
          <w:i/>
          <w:noProof/>
        </w:rPr>
      </w:pPr>
      <w:r>
        <w:rPr>
          <w:b/>
          <w:noProof/>
        </w:rPr>
        <w:t>Vstup v platnost</w:t>
      </w:r>
    </w:p>
    <w:p w:rsidR="00FC6891" w:rsidRDefault="005F1CD3">
      <w:pPr>
        <w:rPr>
          <w:noProof/>
          <w:szCs w:val="24"/>
        </w:rPr>
      </w:pPr>
      <w:r>
        <w:rPr>
          <w:noProof/>
        </w:rPr>
        <w:t xml:space="preserve">Toto nařízení vstupuje v platnost dvacátým dnem po vyhlášení v </w:t>
      </w:r>
      <w:r>
        <w:rPr>
          <w:i/>
          <w:noProof/>
        </w:rPr>
        <w:t>Úředním věstníku Evropské unie.</w:t>
      </w:r>
    </w:p>
    <w:p w:rsidR="00FC6891" w:rsidRDefault="00FC6891">
      <w:pPr>
        <w:rPr>
          <w:noProof/>
          <w:szCs w:val="24"/>
        </w:rPr>
      </w:pPr>
    </w:p>
    <w:p w:rsidR="00FC6891" w:rsidRDefault="005F1CD3">
      <w:pPr>
        <w:pStyle w:val="Applicationdirecte"/>
        <w:keepNext/>
        <w:keepLines/>
        <w:rPr>
          <w:noProof/>
        </w:rPr>
      </w:pPr>
      <w:r>
        <w:rPr>
          <w:noProof/>
        </w:rPr>
        <w:t xml:space="preserve">Toto nařízení je závazné v celém </w:t>
      </w:r>
      <w:r>
        <w:rPr>
          <w:noProof/>
        </w:rPr>
        <w:t>rozsahu a přímo použitelné ve všech členských státech.</w:t>
      </w:r>
    </w:p>
    <w:p w:rsidR="00FC6891" w:rsidRDefault="005F1CD3" w:rsidP="005F1CD3">
      <w:pPr>
        <w:pStyle w:val="Fait"/>
        <w:rPr>
          <w:noProof/>
        </w:rPr>
      </w:pPr>
      <w:r w:rsidRPr="005F1CD3">
        <w:t>V Bruselu dne</w:t>
      </w:r>
    </w:p>
    <w:p w:rsidR="00FC6891" w:rsidRDefault="005F1CD3">
      <w:pPr>
        <w:pStyle w:val="Institutionquisigne"/>
        <w:rPr>
          <w:noProof/>
        </w:rPr>
      </w:pPr>
      <w:r>
        <w:rPr>
          <w:noProof/>
        </w:rPr>
        <w:t>Za Evropský parlament</w:t>
      </w:r>
      <w:r>
        <w:rPr>
          <w:noProof/>
        </w:rPr>
        <w:tab/>
        <w:t>Za Radu</w:t>
      </w:r>
    </w:p>
    <w:p w:rsidR="00FC6891" w:rsidRDefault="005F1CD3">
      <w:pPr>
        <w:pStyle w:val="Personnequisigne"/>
        <w:rPr>
          <w:noProof/>
        </w:rPr>
      </w:pPr>
      <w:r>
        <w:rPr>
          <w:noProof/>
        </w:rPr>
        <w:t>předseda / předsedkyně</w:t>
      </w:r>
      <w:r>
        <w:rPr>
          <w:noProof/>
        </w:rPr>
        <w:tab/>
        <w:t>předseda / předsedkyně</w:t>
      </w:r>
    </w:p>
    <w:p w:rsidR="00FC6891" w:rsidRDefault="00FC6891">
      <w:pPr>
        <w:pStyle w:val="Institutionquisigne"/>
        <w:rPr>
          <w:rStyle w:val="CommentReference"/>
          <w:noProof/>
        </w:rPr>
        <w:sectPr w:rsidR="00FC6891" w:rsidSect="005F1CD3">
          <w:pgSz w:w="11907" w:h="16840" w:code="9"/>
          <w:pgMar w:top="1134" w:right="1418" w:bottom="1134" w:left="1418" w:header="709" w:footer="709" w:gutter="0"/>
          <w:cols w:space="708"/>
          <w:docGrid w:linePitch="360"/>
        </w:sectPr>
      </w:pPr>
    </w:p>
    <w:p w:rsidR="00FC6891" w:rsidRDefault="005F1CD3">
      <w:pPr>
        <w:pStyle w:val="Fichefinanciretitre"/>
        <w:rPr>
          <w:noProof/>
        </w:rPr>
      </w:pPr>
      <w:r>
        <w:rPr>
          <w:noProof/>
        </w:rPr>
        <w:t>PŘÍLOHA II</w:t>
      </w:r>
      <w:r>
        <w:rPr>
          <w:noProof/>
        </w:rPr>
        <w:br/>
      </w:r>
      <w:r>
        <w:rPr>
          <w:noProof/>
        </w:rPr>
        <w:br/>
        <w:t>Legislativní finanční výkaz</w:t>
      </w:r>
      <w:r>
        <w:rPr>
          <w:noProof/>
        </w:rPr>
        <w:br/>
      </w:r>
      <w:r>
        <w:rPr>
          <w:noProof/>
        </w:rPr>
        <w:br/>
        <w:t>Návrh nařízení, kterým se mění nařízení (EU) č</w:t>
      </w:r>
      <w:r>
        <w:rPr>
          <w:noProof/>
        </w:rPr>
        <w:t xml:space="preserve">. 1316/2013 a (EU) </w:t>
      </w:r>
      <w:r>
        <w:rPr>
          <w:noProof/>
        </w:rPr>
        <w:br/>
        <w:t xml:space="preserve">č. 283/2014, pokud jde o podporu připojení k internetu v místních komunitách </w:t>
      </w:r>
    </w:p>
    <w:p w:rsidR="00FC6891" w:rsidRDefault="005F1CD3">
      <w:pPr>
        <w:pStyle w:val="ManualHeading1"/>
        <w:rPr>
          <w:noProof/>
        </w:rPr>
      </w:pPr>
      <w:r>
        <w:rPr>
          <w:noProof/>
        </w:rPr>
        <w:t>1.</w:t>
      </w:r>
      <w:r>
        <w:rPr>
          <w:noProof/>
        </w:rPr>
        <w:tab/>
        <w:t xml:space="preserve">RÁMEC NÁVRHU/PODNĚTU </w:t>
      </w:r>
    </w:p>
    <w:p w:rsidR="00FC6891" w:rsidRDefault="005F1CD3">
      <w:pPr>
        <w:pStyle w:val="ManualHeading2"/>
        <w:rPr>
          <w:b w:val="0"/>
          <w:noProof/>
        </w:rPr>
      </w:pPr>
      <w:r>
        <w:rPr>
          <w:noProof/>
        </w:rPr>
        <w:tab/>
      </w:r>
      <w:r>
        <w:rPr>
          <w:b w:val="0"/>
          <w:noProof/>
        </w:rPr>
        <w:t>1.1.</w:t>
      </w:r>
      <w:r>
        <w:rPr>
          <w:noProof/>
        </w:rPr>
        <w:tab/>
      </w:r>
      <w:r>
        <w:rPr>
          <w:b w:val="0"/>
          <w:noProof/>
        </w:rPr>
        <w:t xml:space="preserve">Název návrhu/podnětu </w:t>
      </w:r>
    </w:p>
    <w:p w:rsidR="00FC6891" w:rsidRDefault="005F1CD3">
      <w:pPr>
        <w:pStyle w:val="ManualHeading2"/>
        <w:rPr>
          <w:b w:val="0"/>
          <w:noProof/>
        </w:rPr>
      </w:pPr>
      <w:r>
        <w:rPr>
          <w:noProof/>
        </w:rPr>
        <w:tab/>
      </w:r>
      <w:r>
        <w:rPr>
          <w:b w:val="0"/>
          <w:noProof/>
        </w:rPr>
        <w:t>1.2.</w:t>
      </w:r>
      <w:r>
        <w:rPr>
          <w:noProof/>
        </w:rPr>
        <w:tab/>
      </w:r>
      <w:r>
        <w:rPr>
          <w:b w:val="0"/>
          <w:noProof/>
        </w:rPr>
        <w:t>Příslušné oblasti politik podle členění ABM/ABB</w:t>
      </w:r>
    </w:p>
    <w:p w:rsidR="00FC6891" w:rsidRDefault="005F1CD3">
      <w:pPr>
        <w:pStyle w:val="ManualHeading2"/>
        <w:rPr>
          <w:b w:val="0"/>
          <w:noProof/>
        </w:rPr>
      </w:pPr>
      <w:r>
        <w:rPr>
          <w:noProof/>
        </w:rPr>
        <w:tab/>
      </w:r>
      <w:r>
        <w:rPr>
          <w:b w:val="0"/>
          <w:noProof/>
        </w:rPr>
        <w:t>1.3.</w:t>
      </w:r>
      <w:r>
        <w:rPr>
          <w:noProof/>
        </w:rPr>
        <w:tab/>
      </w:r>
      <w:r>
        <w:rPr>
          <w:b w:val="0"/>
          <w:noProof/>
        </w:rPr>
        <w:t xml:space="preserve">Povaha návrhu/podnětu </w:t>
      </w:r>
    </w:p>
    <w:p w:rsidR="00FC6891" w:rsidRDefault="005F1CD3">
      <w:pPr>
        <w:pStyle w:val="ManualHeading2"/>
        <w:rPr>
          <w:b w:val="0"/>
          <w:noProof/>
        </w:rPr>
      </w:pPr>
      <w:r>
        <w:rPr>
          <w:noProof/>
        </w:rPr>
        <w:tab/>
      </w:r>
      <w:r>
        <w:rPr>
          <w:b w:val="0"/>
          <w:noProof/>
        </w:rPr>
        <w:t>1.4.</w:t>
      </w:r>
      <w:r>
        <w:rPr>
          <w:noProof/>
        </w:rPr>
        <w:tab/>
      </w:r>
      <w:r>
        <w:rPr>
          <w:b w:val="0"/>
          <w:noProof/>
        </w:rPr>
        <w:t xml:space="preserve">Cíle </w:t>
      </w:r>
    </w:p>
    <w:p w:rsidR="00FC6891" w:rsidRDefault="005F1CD3">
      <w:pPr>
        <w:pStyle w:val="ManualHeading2"/>
        <w:rPr>
          <w:b w:val="0"/>
          <w:noProof/>
        </w:rPr>
      </w:pPr>
      <w:r>
        <w:rPr>
          <w:noProof/>
        </w:rPr>
        <w:tab/>
      </w:r>
      <w:r>
        <w:rPr>
          <w:b w:val="0"/>
          <w:noProof/>
        </w:rPr>
        <w:t>1.5.</w:t>
      </w:r>
      <w:r>
        <w:rPr>
          <w:noProof/>
        </w:rPr>
        <w:tab/>
      </w:r>
      <w:r>
        <w:rPr>
          <w:b w:val="0"/>
          <w:noProof/>
        </w:rPr>
        <w:t>Odův</w:t>
      </w:r>
      <w:r>
        <w:rPr>
          <w:b w:val="0"/>
          <w:noProof/>
        </w:rPr>
        <w:t xml:space="preserve">odnění návrhu/podnětu </w:t>
      </w:r>
    </w:p>
    <w:p w:rsidR="00FC6891" w:rsidRDefault="005F1CD3">
      <w:pPr>
        <w:pStyle w:val="ManualHeading2"/>
        <w:rPr>
          <w:b w:val="0"/>
          <w:noProof/>
        </w:rPr>
      </w:pPr>
      <w:r>
        <w:rPr>
          <w:noProof/>
        </w:rPr>
        <w:tab/>
      </w:r>
      <w:r>
        <w:rPr>
          <w:b w:val="0"/>
          <w:noProof/>
        </w:rPr>
        <w:t>1.6.</w:t>
      </w:r>
      <w:r>
        <w:rPr>
          <w:noProof/>
        </w:rPr>
        <w:tab/>
      </w:r>
      <w:r>
        <w:rPr>
          <w:b w:val="0"/>
          <w:noProof/>
        </w:rPr>
        <w:t xml:space="preserve">Doba trvání akce a finanční dopad </w:t>
      </w:r>
    </w:p>
    <w:p w:rsidR="00FC6891" w:rsidRDefault="005F1CD3">
      <w:pPr>
        <w:pStyle w:val="ManualHeading2"/>
        <w:rPr>
          <w:b w:val="0"/>
          <w:noProof/>
        </w:rPr>
      </w:pPr>
      <w:r>
        <w:rPr>
          <w:noProof/>
        </w:rPr>
        <w:tab/>
      </w:r>
      <w:r>
        <w:rPr>
          <w:b w:val="0"/>
          <w:noProof/>
        </w:rPr>
        <w:t>1.7.</w:t>
      </w:r>
      <w:r>
        <w:rPr>
          <w:noProof/>
        </w:rPr>
        <w:tab/>
      </w:r>
      <w:r>
        <w:rPr>
          <w:b w:val="0"/>
          <w:noProof/>
        </w:rPr>
        <w:t xml:space="preserve">Předpokládaný způsob řízení </w:t>
      </w:r>
    </w:p>
    <w:p w:rsidR="00FC6891" w:rsidRDefault="005F1CD3">
      <w:pPr>
        <w:pStyle w:val="ManualHeading1"/>
        <w:rPr>
          <w:noProof/>
        </w:rPr>
      </w:pPr>
      <w:r>
        <w:rPr>
          <w:noProof/>
        </w:rPr>
        <w:t>2.</w:t>
      </w:r>
      <w:r>
        <w:rPr>
          <w:noProof/>
        </w:rPr>
        <w:tab/>
        <w:t xml:space="preserve">SPRÁVNÍ OPATŘENÍ </w:t>
      </w:r>
    </w:p>
    <w:p w:rsidR="00FC6891" w:rsidRDefault="005F1CD3">
      <w:pPr>
        <w:pStyle w:val="ManualHeading2"/>
        <w:rPr>
          <w:b w:val="0"/>
          <w:noProof/>
        </w:rPr>
      </w:pPr>
      <w:r>
        <w:rPr>
          <w:noProof/>
        </w:rPr>
        <w:tab/>
      </w:r>
      <w:r>
        <w:rPr>
          <w:b w:val="0"/>
          <w:noProof/>
        </w:rPr>
        <w:t>2.1.</w:t>
      </w:r>
      <w:r>
        <w:rPr>
          <w:noProof/>
        </w:rPr>
        <w:tab/>
      </w:r>
      <w:r>
        <w:rPr>
          <w:b w:val="0"/>
          <w:noProof/>
        </w:rPr>
        <w:t xml:space="preserve">Pravidla pro sledování a podávání zpráv </w:t>
      </w:r>
    </w:p>
    <w:p w:rsidR="00FC6891" w:rsidRDefault="005F1CD3">
      <w:pPr>
        <w:pStyle w:val="ManualHeading2"/>
        <w:rPr>
          <w:b w:val="0"/>
          <w:noProof/>
        </w:rPr>
      </w:pPr>
      <w:r>
        <w:rPr>
          <w:noProof/>
        </w:rPr>
        <w:tab/>
      </w:r>
      <w:r>
        <w:rPr>
          <w:b w:val="0"/>
          <w:noProof/>
        </w:rPr>
        <w:t>2.2.</w:t>
      </w:r>
      <w:r>
        <w:rPr>
          <w:noProof/>
        </w:rPr>
        <w:tab/>
      </w:r>
      <w:r>
        <w:rPr>
          <w:b w:val="0"/>
          <w:noProof/>
        </w:rPr>
        <w:t xml:space="preserve">Systém řízení a kontroly </w:t>
      </w:r>
    </w:p>
    <w:p w:rsidR="00FC6891" w:rsidRDefault="005F1CD3">
      <w:pPr>
        <w:pStyle w:val="ManualHeading2"/>
        <w:rPr>
          <w:b w:val="0"/>
          <w:noProof/>
        </w:rPr>
      </w:pPr>
      <w:r>
        <w:rPr>
          <w:noProof/>
        </w:rPr>
        <w:tab/>
      </w:r>
      <w:r>
        <w:rPr>
          <w:b w:val="0"/>
          <w:noProof/>
        </w:rPr>
        <w:t>2.3.</w:t>
      </w:r>
      <w:r>
        <w:rPr>
          <w:noProof/>
        </w:rPr>
        <w:tab/>
      </w:r>
      <w:r>
        <w:rPr>
          <w:b w:val="0"/>
          <w:noProof/>
        </w:rPr>
        <w:t xml:space="preserve">Opatření k zamezení podvodů a nesrovnalostí </w:t>
      </w:r>
    </w:p>
    <w:p w:rsidR="00FC6891" w:rsidRDefault="005F1CD3">
      <w:pPr>
        <w:pStyle w:val="ManualHeading1"/>
        <w:rPr>
          <w:noProof/>
        </w:rPr>
      </w:pPr>
      <w:r>
        <w:rPr>
          <w:noProof/>
        </w:rPr>
        <w:t>3.</w:t>
      </w:r>
      <w:r>
        <w:rPr>
          <w:noProof/>
        </w:rPr>
        <w:tab/>
        <w:t>ODH</w:t>
      </w:r>
      <w:r>
        <w:rPr>
          <w:noProof/>
        </w:rPr>
        <w:t xml:space="preserve">ADOVANÝ FINANČNÍ DOPAD NÁVRHU/PODNĚTU </w:t>
      </w:r>
    </w:p>
    <w:p w:rsidR="00FC6891" w:rsidRDefault="005F1CD3">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rsidR="00FC6891" w:rsidRDefault="005F1CD3">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rsidR="00FC6891" w:rsidRDefault="005F1CD3">
      <w:pPr>
        <w:pStyle w:val="ManualHeading3"/>
        <w:rPr>
          <w:noProof/>
        </w:rPr>
      </w:pPr>
      <w:r>
        <w:rPr>
          <w:noProof/>
        </w:rPr>
        <w:tab/>
        <w:t>3.2.1.</w:t>
      </w:r>
      <w:r>
        <w:rPr>
          <w:noProof/>
        </w:rPr>
        <w:tab/>
        <w:t xml:space="preserve">Odhadovaný souhrnný dopad na výdaje </w:t>
      </w:r>
    </w:p>
    <w:p w:rsidR="00FC6891" w:rsidRDefault="005F1CD3">
      <w:pPr>
        <w:pStyle w:val="ManualHeading3"/>
        <w:rPr>
          <w:noProof/>
        </w:rPr>
      </w:pPr>
      <w:r>
        <w:rPr>
          <w:noProof/>
        </w:rPr>
        <w:tab/>
        <w:t>3.2.2.</w:t>
      </w:r>
      <w:r>
        <w:rPr>
          <w:noProof/>
        </w:rPr>
        <w:tab/>
        <w:t xml:space="preserve">Odhadovaný dopad na operační prostředky </w:t>
      </w:r>
    </w:p>
    <w:p w:rsidR="00FC6891" w:rsidRDefault="005F1CD3">
      <w:pPr>
        <w:pStyle w:val="ManualHeading3"/>
        <w:rPr>
          <w:noProof/>
        </w:rPr>
      </w:pPr>
      <w:r>
        <w:rPr>
          <w:noProof/>
        </w:rPr>
        <w:tab/>
        <w:t>3.3.2.</w:t>
      </w:r>
      <w:r>
        <w:rPr>
          <w:noProof/>
        </w:rPr>
        <w:tab/>
      </w:r>
      <w:r>
        <w:rPr>
          <w:noProof/>
        </w:rPr>
        <w:t>Odhadovaný dopad na prostředky správní povahy</w:t>
      </w:r>
    </w:p>
    <w:p w:rsidR="00FC6891" w:rsidRDefault="005F1CD3">
      <w:pPr>
        <w:pStyle w:val="ManualHeading3"/>
        <w:rPr>
          <w:noProof/>
        </w:rPr>
      </w:pPr>
      <w:r>
        <w:rPr>
          <w:noProof/>
        </w:rPr>
        <w:tab/>
        <w:t>4.3.2.</w:t>
      </w:r>
      <w:r>
        <w:rPr>
          <w:noProof/>
        </w:rPr>
        <w:tab/>
        <w:t>Soulad se stávajícím víceletým finančním rámcem</w:t>
      </w:r>
    </w:p>
    <w:p w:rsidR="00FC6891" w:rsidRDefault="005F1CD3">
      <w:pPr>
        <w:pStyle w:val="ManualHeading3"/>
        <w:rPr>
          <w:noProof/>
        </w:rPr>
      </w:pPr>
      <w:r>
        <w:rPr>
          <w:noProof/>
        </w:rPr>
        <w:tab/>
        <w:t>5.3.2.</w:t>
      </w:r>
      <w:r>
        <w:rPr>
          <w:noProof/>
        </w:rPr>
        <w:tab/>
        <w:t xml:space="preserve">Příspěvky třetích stran </w:t>
      </w:r>
    </w:p>
    <w:p w:rsidR="00FC6891" w:rsidRDefault="005F1CD3">
      <w:pPr>
        <w:pStyle w:val="ManualHeading2"/>
        <w:jc w:val="left"/>
        <w:rPr>
          <w:b w:val="0"/>
          <w:noProof/>
        </w:rPr>
        <w:sectPr w:rsidR="00FC6891" w:rsidSect="005F1CD3">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dopad na příjmy</w:t>
      </w:r>
    </w:p>
    <w:p w:rsidR="00FC6891" w:rsidRDefault="005F1CD3">
      <w:pPr>
        <w:jc w:val="center"/>
        <w:rPr>
          <w:b/>
          <w:noProof/>
          <w:u w:val="single"/>
        </w:rPr>
      </w:pPr>
      <w:r>
        <w:rPr>
          <w:b/>
          <w:noProof/>
          <w:u w:val="single"/>
        </w:rPr>
        <w:t>LEGISLATIVNÍ FINANČNÍ VÝKAZ</w:t>
      </w:r>
    </w:p>
    <w:p w:rsidR="00FC6891" w:rsidRDefault="005F1CD3">
      <w:pPr>
        <w:pStyle w:val="ManualHeading1"/>
        <w:rPr>
          <w:noProof/>
        </w:rPr>
      </w:pPr>
      <w:r>
        <w:t>1.</w:t>
      </w:r>
      <w:r>
        <w:tab/>
      </w:r>
      <w:r>
        <w:rPr>
          <w:noProof/>
        </w:rPr>
        <w:t xml:space="preserve">RÁMEC NÁVRHU/PODNĚTU </w:t>
      </w:r>
    </w:p>
    <w:p w:rsidR="00FC6891" w:rsidRDefault="005F1CD3">
      <w:pPr>
        <w:pStyle w:val="ManualHeading2"/>
        <w:rPr>
          <w:noProof/>
        </w:rPr>
      </w:pPr>
      <w:r>
        <w:t>1.1.</w:t>
      </w:r>
      <w:r>
        <w:tab/>
      </w:r>
      <w:r>
        <w:rPr>
          <w:noProof/>
        </w:rPr>
        <w:t>Název n</w:t>
      </w:r>
      <w:r>
        <w:rPr>
          <w:noProof/>
        </w:rPr>
        <w:t xml:space="preserve">ávrhu/podnětu </w:t>
      </w:r>
    </w:p>
    <w:p w:rsidR="00FC6891" w:rsidRDefault="005F1CD3">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Návrh nařízení, kterým se mění nařízení (EU) č. 1316/2013 a (EU) </w:t>
      </w:r>
      <w:r>
        <w:rPr>
          <w:noProof/>
        </w:rPr>
        <w:br/>
        <w:t>č. 283/2014, pokud jde o podporu připojení k internetu v místních komunitách</w:t>
      </w:r>
    </w:p>
    <w:p w:rsidR="00FC6891" w:rsidRDefault="005F1CD3">
      <w:pPr>
        <w:pStyle w:val="ManualHeading2"/>
        <w:rPr>
          <w:noProof/>
          <w:szCs w:val="24"/>
        </w:rPr>
      </w:pPr>
      <w:r>
        <w:t>1.2.</w:t>
      </w:r>
      <w:r>
        <w:tab/>
      </w:r>
      <w:r>
        <w:rPr>
          <w:noProof/>
        </w:rPr>
        <w:t>Příslušné oblasti politik podle členění ABM/ABB</w:t>
      </w:r>
      <w:r>
        <w:rPr>
          <w:rStyle w:val="FootnoteReference"/>
          <w:noProof/>
        </w:rPr>
        <w:footnoteReference w:id="17"/>
      </w:r>
      <w:r>
        <w:rPr>
          <w:i/>
          <w:noProof/>
        </w:rPr>
        <w:t xml:space="preserve"> </w:t>
      </w:r>
    </w:p>
    <w:p w:rsidR="00FC6891" w:rsidRDefault="005F1CD3">
      <w:pPr>
        <w:pStyle w:val="Text1"/>
        <w:pBdr>
          <w:top w:val="single" w:sz="4" w:space="1" w:color="auto"/>
          <w:left w:val="single" w:sz="4" w:space="4" w:color="auto"/>
          <w:bottom w:val="single" w:sz="4" w:space="1" w:color="auto"/>
          <w:right w:val="single" w:sz="4" w:space="4" w:color="auto"/>
        </w:pBdr>
        <w:rPr>
          <w:noProof/>
        </w:rPr>
      </w:pPr>
      <w:r>
        <w:rPr>
          <w:noProof/>
        </w:rPr>
        <w:t>09. Komunikační sítě, obsah a technologie</w:t>
      </w:r>
    </w:p>
    <w:p w:rsidR="00FC6891" w:rsidRDefault="005F1CD3">
      <w:pPr>
        <w:pStyle w:val="ManualHeading2"/>
        <w:rPr>
          <w:bCs/>
          <w:noProof/>
          <w:szCs w:val="24"/>
        </w:rPr>
      </w:pPr>
      <w:r>
        <w:t>1</w:t>
      </w:r>
      <w:r>
        <w:t>.3.</w:t>
      </w:r>
      <w:r>
        <w:tab/>
      </w:r>
      <w:r>
        <w:rPr>
          <w:noProof/>
        </w:rPr>
        <w:t xml:space="preserve">Povaha návrhu/podnětu </w:t>
      </w:r>
    </w:p>
    <w:p w:rsidR="00FC6891" w:rsidRDefault="005F1CD3">
      <w:pPr>
        <w:pStyle w:val="Text1"/>
        <w:rPr>
          <w:b/>
          <w:noProof/>
          <w:sz w:val="22"/>
        </w:rPr>
      </w:pPr>
      <w:r>
        <w:rPr>
          <w:noProof/>
        </w:rPr>
        <w:t xml:space="preserve">x Návrh/podnět se týká </w:t>
      </w:r>
      <w:r>
        <w:rPr>
          <w:b/>
          <w:noProof/>
        </w:rPr>
        <w:t>nové akce</w:t>
      </w:r>
      <w:r>
        <w:rPr>
          <w:b/>
          <w:noProof/>
          <w:sz w:val="22"/>
        </w:rPr>
        <w:t xml:space="preserve"> </w:t>
      </w:r>
    </w:p>
    <w:p w:rsidR="00FC6891" w:rsidRDefault="005F1CD3">
      <w:pPr>
        <w:pStyle w:val="Text1"/>
        <w:rPr>
          <w:noProof/>
          <w:sz w:val="22"/>
        </w:rPr>
      </w:pPr>
      <w:r>
        <w:rPr>
          <w:noProof/>
          <w:sz w:val="22"/>
        </w:rPr>
        <w:sym w:font="Wingdings" w:char="F0A8"/>
      </w:r>
      <w:r>
        <w:rPr>
          <w:noProof/>
          <w:sz w:val="22"/>
        </w:rPr>
        <w:t xml:space="preserve"> </w:t>
      </w:r>
      <w:r>
        <w:rPr>
          <w:noProof/>
        </w:rPr>
        <w:t xml:space="preserve">Návrh/podnět se týká </w:t>
      </w:r>
      <w:r>
        <w:rPr>
          <w:b/>
          <w:noProof/>
        </w:rPr>
        <w:t>nové akce následující po pilotním projektu / přípravné akci</w:t>
      </w:r>
      <w:r>
        <w:rPr>
          <w:rStyle w:val="FootnoteReference"/>
          <w:b/>
          <w:noProof/>
        </w:rPr>
        <w:footnoteReference w:id="18"/>
      </w:r>
      <w:r>
        <w:rPr>
          <w:noProof/>
          <w:sz w:val="22"/>
        </w:rPr>
        <w:t xml:space="preserve"> </w:t>
      </w:r>
    </w:p>
    <w:p w:rsidR="00FC6891" w:rsidRDefault="005F1CD3">
      <w:pPr>
        <w:pStyle w:val="Text1"/>
        <w:rPr>
          <w:noProof/>
          <w:sz w:val="22"/>
        </w:rPr>
      </w:pPr>
      <w:r>
        <w:rPr>
          <w:noProof/>
          <w:sz w:val="22"/>
        </w:rPr>
        <w:sym w:font="Wingdings" w:char="F0A8"/>
      </w:r>
      <w:r>
        <w:rPr>
          <w:noProof/>
          <w:sz w:val="22"/>
        </w:rPr>
        <w:t xml:space="preserve"> </w:t>
      </w:r>
      <w:r>
        <w:rPr>
          <w:noProof/>
        </w:rPr>
        <w:t xml:space="preserve">Návrh/podnět se týká </w:t>
      </w:r>
      <w:r>
        <w:rPr>
          <w:b/>
          <w:noProof/>
        </w:rPr>
        <w:t>prodloužení stávající akce</w:t>
      </w:r>
      <w:r>
        <w:rPr>
          <w:noProof/>
          <w:sz w:val="22"/>
        </w:rPr>
        <w:t xml:space="preserve"> </w:t>
      </w:r>
    </w:p>
    <w:p w:rsidR="00FC6891" w:rsidRDefault="005F1CD3">
      <w:pPr>
        <w:pStyle w:val="Text1"/>
        <w:rPr>
          <w:noProof/>
        </w:rPr>
      </w:pPr>
      <w:r>
        <w:rPr>
          <w:noProof/>
          <w:sz w:val="22"/>
        </w:rPr>
        <w:sym w:font="Wingdings" w:char="F0A8"/>
      </w:r>
      <w:r>
        <w:rPr>
          <w:noProof/>
          <w:sz w:val="22"/>
        </w:rPr>
        <w:t xml:space="preserve"> </w:t>
      </w:r>
      <w:r>
        <w:rPr>
          <w:noProof/>
        </w:rPr>
        <w:t xml:space="preserve">Návrh/podnět se týká </w:t>
      </w:r>
      <w:r>
        <w:rPr>
          <w:b/>
          <w:noProof/>
        </w:rPr>
        <w:t>akce přesměrované na jinou akci</w:t>
      </w:r>
      <w:r>
        <w:rPr>
          <w:noProof/>
        </w:rPr>
        <w:t xml:space="preserve"> </w:t>
      </w:r>
    </w:p>
    <w:p w:rsidR="00FC6891" w:rsidRDefault="005F1CD3">
      <w:pPr>
        <w:pStyle w:val="ManualHeading2"/>
        <w:rPr>
          <w:bCs/>
          <w:noProof/>
          <w:szCs w:val="24"/>
        </w:rPr>
      </w:pPr>
      <w:r>
        <w:t>1.4.</w:t>
      </w:r>
      <w:r>
        <w:tab/>
      </w:r>
      <w:r>
        <w:rPr>
          <w:noProof/>
        </w:rPr>
        <w:t>Cíle</w:t>
      </w:r>
    </w:p>
    <w:p w:rsidR="00FC6891" w:rsidRDefault="005F1CD3">
      <w:pPr>
        <w:pStyle w:val="ManualHeading3"/>
        <w:rPr>
          <w:noProof/>
        </w:rPr>
      </w:pPr>
      <w:r>
        <w:t>1.4.1.</w:t>
      </w:r>
      <w:r>
        <w:tab/>
      </w:r>
      <w:r>
        <w:rPr>
          <w:noProof/>
        </w:rPr>
        <w:t xml:space="preserve">Víceleté strategické cíle Komise sledované návrhem/podnětem </w:t>
      </w:r>
    </w:p>
    <w:p w:rsidR="00FC6891" w:rsidRDefault="005F1CD3">
      <w:pPr>
        <w:rPr>
          <w:noProof/>
          <w:szCs w:val="24"/>
        </w:rPr>
      </w:pPr>
      <w:r>
        <w:rPr>
          <w:noProof/>
        </w:rPr>
        <w:t>Součástí nového balíčku v oblasti telekomunikací, který Komise přijala dne 13. září 2016, bude sdělení, kterým se stanoví evropská vize internetového připojení evropských občanů a podniků, jakož i legislativní návrh, jehož cílem je přezkum regulačního rámc</w:t>
      </w:r>
      <w:r>
        <w:rPr>
          <w:noProof/>
        </w:rPr>
        <w:t xml:space="preserve">e pro telekomunikace. V návrzích Komise jsou stanoveny reformy, které jsou potřebné pro další podporu zavádění sítí budoucnosti a zajištění, aby nebyl opomenut žádný region. </w:t>
      </w:r>
    </w:p>
    <w:p w:rsidR="00FC6891" w:rsidRDefault="005F1CD3">
      <w:pPr>
        <w:rPr>
          <w:noProof/>
          <w:szCs w:val="24"/>
        </w:rPr>
      </w:pPr>
      <w:r>
        <w:rPr>
          <w:noProof/>
        </w:rPr>
        <w:t>Tento návrh</w:t>
      </w:r>
      <w:r>
        <w:rPr>
          <w:b/>
          <w:noProof/>
        </w:rPr>
        <w:t xml:space="preserve"> podpoří subjekty působící ve veřejném zájmu, jako jsou například míst</w:t>
      </w:r>
      <w:r>
        <w:rPr>
          <w:b/>
          <w:noProof/>
        </w:rPr>
        <w:t>ní veřejné orgány, aby ve střediscích společenského života nabízely bezplatné připojení wi-fi</w:t>
      </w:r>
      <w:r>
        <w:rPr>
          <w:noProof/>
        </w:rPr>
        <w:t xml:space="preserve"> (např. například uvnitř a v blízkosti veřejných budov, zdravotních středisek, parků nebo náměstí.).</w:t>
      </w:r>
    </w:p>
    <w:p w:rsidR="00FC6891" w:rsidRDefault="005F1CD3">
      <w:pPr>
        <w:pStyle w:val="ManualHeading3"/>
        <w:rPr>
          <w:bCs/>
          <w:noProof/>
          <w:szCs w:val="24"/>
        </w:rPr>
      </w:pPr>
      <w:r>
        <w:t>1.4.2.</w:t>
      </w:r>
      <w:r>
        <w:tab/>
      </w:r>
      <w:r>
        <w:rPr>
          <w:noProof/>
        </w:rPr>
        <w:t xml:space="preserve">Specifické cíle a příslušné aktivity ABM/ABB </w:t>
      </w:r>
    </w:p>
    <w:p w:rsidR="00FC6891" w:rsidRDefault="005F1CD3">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Specifick</w:t>
      </w:r>
      <w:r>
        <w:rPr>
          <w:noProof/>
          <w:u w:val="single"/>
        </w:rPr>
        <w:t xml:space="preserve">ý cíl </w:t>
      </w:r>
    </w:p>
    <w:p w:rsidR="00FC6891" w:rsidRDefault="005F1CD3">
      <w:pPr>
        <w:rPr>
          <w:noProof/>
          <w:szCs w:val="24"/>
        </w:rPr>
      </w:pPr>
      <w:r>
        <w:rPr>
          <w:noProof/>
        </w:rPr>
        <w:t>Nový balíček poskytne finanční pobídky na projekty navržené subjekty působícími ve veřejném zájmu, jako jsou například veřejné orgány a poskytovatelé veřejných služeb, aby vybudovaly bezdrátové přístupové body a nabídly bezplatné připojení ve středi</w:t>
      </w:r>
      <w:r>
        <w:rPr>
          <w:noProof/>
        </w:rPr>
        <w:t xml:space="preserve">scích společenského života nacházejících se v jejich oblasti příslušnosti nebo v místě, kde poskytují služby (např. orgány veřejné správy, knihovny, zdravotnická střediska a venkovní veřejné prostory). </w:t>
      </w:r>
    </w:p>
    <w:p w:rsidR="00FC6891" w:rsidRDefault="005F1CD3">
      <w:pPr>
        <w:spacing w:before="0" w:after="200"/>
        <w:rPr>
          <w:rFonts w:ascii="Calibri" w:hAnsi="Calibri"/>
          <w:noProof/>
          <w:sz w:val="22"/>
        </w:rPr>
      </w:pPr>
      <w:r>
        <w:rPr>
          <w:noProof/>
        </w:rPr>
        <w:t>Kromě stimulace poptávky v oblasti vysokorychlostního</w:t>
      </w:r>
      <w:r>
        <w:rPr>
          <w:noProof/>
        </w:rPr>
        <w:t xml:space="preserve"> širokopásmového připojení a podpory jeho širokého využívání na místní úrovni bude mít iniciativa také několik pozitivních dopadů – od rozšířeného přístupu po inovativní digitální služby a první přínosy gigabitové společnosti, které budou zohledněny v nové</w:t>
      </w:r>
      <w:r>
        <w:rPr>
          <w:noProof/>
        </w:rPr>
        <w:t xml:space="preserve"> strategii přijaté Evropskou komisí.</w:t>
      </w:r>
    </w:p>
    <w:p w:rsidR="00FC6891" w:rsidRDefault="005F1CD3">
      <w:pPr>
        <w:pStyle w:val="Text1"/>
        <w:pBdr>
          <w:top w:val="single" w:sz="4" w:space="1" w:color="auto"/>
          <w:left w:val="single" w:sz="4" w:space="4" w:color="auto"/>
          <w:bottom w:val="single" w:sz="4" w:space="1" w:color="auto"/>
          <w:right w:val="single" w:sz="4" w:space="4" w:color="auto"/>
        </w:pBdr>
        <w:rPr>
          <w:noProof/>
          <w:u w:val="single"/>
        </w:rPr>
      </w:pPr>
      <w:r>
        <w:rPr>
          <w:noProof/>
          <w:u w:val="single"/>
        </w:rPr>
        <w:t>Příslušné aktivity ABM/ABB</w:t>
      </w:r>
    </w:p>
    <w:p w:rsidR="00FC6891" w:rsidRDefault="005F1CD3">
      <w:pPr>
        <w:pStyle w:val="Text1"/>
        <w:pBdr>
          <w:top w:val="single" w:sz="4" w:space="1" w:color="auto"/>
          <w:left w:val="single" w:sz="4" w:space="4" w:color="auto"/>
          <w:bottom w:val="single" w:sz="4" w:space="1" w:color="auto"/>
          <w:right w:val="single" w:sz="4" w:space="4" w:color="auto"/>
        </w:pBdr>
        <w:rPr>
          <w:noProof/>
        </w:rPr>
      </w:pPr>
      <w:r>
        <w:rPr>
          <w:noProof/>
        </w:rPr>
        <w:t>Nástroj pro propojení Evropy – telekomunikační sítě</w:t>
      </w:r>
    </w:p>
    <w:p w:rsidR="00FC6891" w:rsidRDefault="005F1CD3">
      <w:pPr>
        <w:pStyle w:val="ManualHeading3"/>
        <w:rPr>
          <w:bCs/>
          <w:noProof/>
          <w:szCs w:val="24"/>
        </w:rPr>
      </w:pPr>
      <w:r>
        <w:t>1.4.3.</w:t>
      </w:r>
      <w:r>
        <w:tab/>
      </w:r>
      <w:r>
        <w:rPr>
          <w:noProof/>
        </w:rPr>
        <w:t>Očekávané výsledky a dopady</w:t>
      </w:r>
    </w:p>
    <w:p w:rsidR="00FC6891" w:rsidRDefault="005F1CD3">
      <w:pPr>
        <w:pStyle w:val="Text1"/>
        <w:rPr>
          <w:i/>
          <w:noProof/>
          <w:sz w:val="20"/>
        </w:rPr>
      </w:pPr>
      <w:r>
        <w:rPr>
          <w:i/>
          <w:noProof/>
          <w:sz w:val="20"/>
        </w:rPr>
        <w:t>Upřesněte účinky, které by návrh/podnět měl mít na příjemce / cílové skupiny.</w:t>
      </w:r>
    </w:p>
    <w:p w:rsidR="00FC6891" w:rsidRDefault="005F1CD3">
      <w:pPr>
        <w:pStyle w:val="Text1"/>
        <w:pBdr>
          <w:top w:val="single" w:sz="4" w:space="1" w:color="auto"/>
          <w:left w:val="single" w:sz="4" w:space="4" w:color="auto"/>
          <w:bottom w:val="single" w:sz="4" w:space="1" w:color="auto"/>
          <w:right w:val="single" w:sz="4" w:space="4" w:color="auto"/>
        </w:pBdr>
        <w:rPr>
          <w:noProof/>
          <w:szCs w:val="24"/>
        </w:rPr>
      </w:pPr>
      <w:r>
        <w:rPr>
          <w:noProof/>
        </w:rPr>
        <w:t>Očekává se, že iniciativa b</w:t>
      </w:r>
      <w:r>
        <w:rPr>
          <w:noProof/>
        </w:rPr>
        <w:t>ude mít tyto důsledky:</w:t>
      </w:r>
    </w:p>
    <w:p w:rsidR="00FC6891" w:rsidRDefault="005F1CD3">
      <w:pPr>
        <w:pStyle w:val="Text1"/>
        <w:pBdr>
          <w:top w:val="single" w:sz="4" w:space="1" w:color="auto"/>
          <w:left w:val="single" w:sz="4" w:space="4" w:color="auto"/>
          <w:bottom w:val="single" w:sz="4" w:space="1" w:color="auto"/>
          <w:right w:val="single" w:sz="4" w:space="4" w:color="auto"/>
        </w:pBdr>
        <w:rPr>
          <w:noProof/>
        </w:rPr>
      </w:pPr>
      <w:r>
        <w:rPr>
          <w:noProof/>
        </w:rPr>
        <w:t>Tento režim má potenciál připojit tisíce veřejných prostor k internetu, což by znamenalo 40 až 50 milionů bezdrátového připojení k internetu denně. Toto místní připojení podpoří orgány veřejné správy a místní podniky, které svým obyv</w:t>
      </w:r>
      <w:r>
        <w:rPr>
          <w:noProof/>
        </w:rPr>
        <w:t>atelům i návštěvníkům nabízejí širší škálu místních digitálních služeb, aplikací a produktů, aby se lépe zapojily do jednotného digitálního trhu.</w:t>
      </w:r>
    </w:p>
    <w:p w:rsidR="00FC6891" w:rsidRDefault="005F1CD3">
      <w:pPr>
        <w:pStyle w:val="ManualHeading3"/>
        <w:rPr>
          <w:bCs/>
          <w:noProof/>
          <w:szCs w:val="24"/>
        </w:rPr>
      </w:pPr>
      <w:r>
        <w:t>1.4.4.</w:t>
      </w:r>
      <w:r>
        <w:tab/>
      </w:r>
      <w:r>
        <w:rPr>
          <w:noProof/>
        </w:rPr>
        <w:t xml:space="preserve">Ukazatele výsledků a dopadů </w:t>
      </w:r>
    </w:p>
    <w:p w:rsidR="00FC6891" w:rsidRDefault="005F1CD3">
      <w:pPr>
        <w:pStyle w:val="Text1"/>
        <w:rPr>
          <w:i/>
          <w:noProof/>
          <w:sz w:val="20"/>
        </w:rPr>
      </w:pPr>
      <w:r>
        <w:rPr>
          <w:i/>
          <w:noProof/>
          <w:sz w:val="20"/>
        </w:rPr>
        <w:t xml:space="preserve">Upřesněte ukazatele, podle kterých je možno uskutečňování návrhu/podnětu </w:t>
      </w:r>
      <w:r>
        <w:rPr>
          <w:i/>
          <w:noProof/>
          <w:sz w:val="20"/>
        </w:rPr>
        <w:t>sledovat.</w:t>
      </w:r>
    </w:p>
    <w:p w:rsidR="00FC6891" w:rsidRDefault="005F1CD3">
      <w:pPr>
        <w:pStyle w:val="Text1"/>
        <w:pBdr>
          <w:top w:val="single" w:sz="4" w:space="1" w:color="auto"/>
          <w:left w:val="single" w:sz="4" w:space="4" w:color="auto"/>
          <w:bottom w:val="single" w:sz="4" w:space="1" w:color="auto"/>
          <w:right w:val="single" w:sz="4" w:space="4" w:color="auto"/>
        </w:pBdr>
        <w:rPr>
          <w:noProof/>
        </w:rPr>
      </w:pPr>
      <w:r>
        <w:rPr>
          <w:noProof/>
        </w:rPr>
        <w:t>Hlavní ukazatele pro sledování: a) počet vybudovaných přístupových míst a b) počet připojení, která generují.</w:t>
      </w:r>
    </w:p>
    <w:p w:rsidR="00FC6891" w:rsidRDefault="005F1CD3">
      <w:pPr>
        <w:pStyle w:val="ManualHeading2"/>
        <w:rPr>
          <w:bCs/>
          <w:noProof/>
          <w:szCs w:val="24"/>
        </w:rPr>
      </w:pPr>
      <w:r>
        <w:t>1.5.</w:t>
      </w:r>
      <w:r>
        <w:tab/>
      </w:r>
      <w:r>
        <w:rPr>
          <w:noProof/>
        </w:rPr>
        <w:t xml:space="preserve">Odůvodnění návrhu/podnětu </w:t>
      </w:r>
    </w:p>
    <w:p w:rsidR="00FC6891" w:rsidRDefault="005F1CD3">
      <w:pPr>
        <w:pStyle w:val="ManualHeading3"/>
        <w:rPr>
          <w:noProof/>
        </w:rPr>
      </w:pPr>
      <w:r>
        <w:t>1.5.1.</w:t>
      </w:r>
      <w:r>
        <w:tab/>
      </w:r>
      <w:r>
        <w:rPr>
          <w:noProof/>
        </w:rPr>
        <w:t xml:space="preserve">Potřeby, které mají být uspokojeny v krátkodobém nebo dlouhodobém horizontu </w:t>
      </w:r>
    </w:p>
    <w:p w:rsidR="00FC6891" w:rsidRDefault="005F1CD3">
      <w:pPr>
        <w:autoSpaceDE w:val="0"/>
        <w:autoSpaceDN w:val="0"/>
        <w:adjustRightInd w:val="0"/>
        <w:rPr>
          <w:noProof/>
          <w:szCs w:val="24"/>
        </w:rPr>
      </w:pPr>
      <w:r>
        <w:rPr>
          <w:noProof/>
        </w:rPr>
        <w:t xml:space="preserve">Iniciativa spadá do </w:t>
      </w:r>
      <w:r>
        <w:rPr>
          <w:noProof/>
        </w:rPr>
        <w:t>rámce opatření v oblasti transevropských telekomunikačních sítí podle ustanovení článku 170 Smlouvy o fungování Evropské unie.</w:t>
      </w:r>
    </w:p>
    <w:p w:rsidR="00FC6891" w:rsidRDefault="005F1CD3">
      <w:pPr>
        <w:autoSpaceDE w:val="0"/>
        <w:autoSpaceDN w:val="0"/>
        <w:adjustRightInd w:val="0"/>
        <w:rPr>
          <w:noProof/>
          <w:szCs w:val="24"/>
        </w:rPr>
      </w:pPr>
      <w:r>
        <w:rPr>
          <w:noProof/>
        </w:rPr>
        <w:t>V rámci legislativního návrhu týkajícího se nového kodexu pro elektronické komunikace, který modernizuje stávající regulační ráme</w:t>
      </w:r>
      <w:r>
        <w:rPr>
          <w:noProof/>
        </w:rPr>
        <w:t>c pro služby elektronických komunikací, budou současně zejména odstraněny legislativní překážky, na které by mohly subjekty narazit při budování a využívání přístupu wi-fi v Evropě, poté, co některé místní komunity či soukromé subjekty vyjádřily zájem nabí</w:t>
      </w:r>
      <w:r>
        <w:rPr>
          <w:noProof/>
        </w:rPr>
        <w:t>zet svým občanům přístup k wi-fi.</w:t>
      </w:r>
    </w:p>
    <w:p w:rsidR="00FC6891" w:rsidRDefault="005F1CD3">
      <w:pPr>
        <w:autoSpaceDE w:val="0"/>
        <w:autoSpaceDN w:val="0"/>
        <w:adjustRightInd w:val="0"/>
        <w:rPr>
          <w:noProof/>
          <w:szCs w:val="24"/>
        </w:rPr>
      </w:pPr>
      <w:r>
        <w:rPr>
          <w:noProof/>
        </w:rPr>
        <w:t>Podle strategických cílů Unie pro rok 2025 (sdělení týkající se připojení pro evropskou gigabitovou společnost) by všechny hlavní subjekty stimulující socioekonomický rozvoj, jako jsou školy, dopravní uzly a hlavní poskyto</w:t>
      </w:r>
      <w:r>
        <w:rPr>
          <w:noProof/>
        </w:rPr>
        <w:t>vatelé veřejných služeb</w:t>
      </w:r>
      <w:r>
        <w:rPr>
          <w:rStyle w:val="FootnoteReference"/>
          <w:noProof/>
        </w:rPr>
        <w:footnoteReference w:id="19"/>
      </w:r>
      <w:r>
        <w:rPr>
          <w:noProof/>
        </w:rPr>
        <w:t>, jakož i silně digitalizované podniky, měli mít gigabitové připojení. Iniciativa podporující bezplatné wi-fi připojení v hlavních střediscích veřejného života, včetně venkovních prostor přístupných široké veřejnosti, představuje pr</w:t>
      </w:r>
      <w:r>
        <w:rPr>
          <w:noProof/>
        </w:rPr>
        <w:t>oto konkrétní příklad opatření na podporu propojení prostřednictvím nejmodernějších digitálních infrastruktur.</w:t>
      </w:r>
    </w:p>
    <w:p w:rsidR="00FC6891" w:rsidRDefault="005F1CD3">
      <w:pPr>
        <w:pStyle w:val="ManualHeading3"/>
        <w:rPr>
          <w:noProof/>
        </w:rPr>
      </w:pPr>
      <w:r>
        <w:t>1.5.2.</w:t>
      </w:r>
      <w:r>
        <w:tab/>
      </w:r>
      <w:r>
        <w:rPr>
          <w:noProof/>
        </w:rPr>
        <w:t>Přidaná hodnota ze zapojení EU</w:t>
      </w:r>
    </w:p>
    <w:p w:rsidR="00FC6891" w:rsidRDefault="005F1CD3">
      <w:pPr>
        <w:rPr>
          <w:bCs/>
          <w:i/>
          <w:noProof/>
          <w:szCs w:val="24"/>
        </w:rPr>
      </w:pPr>
      <w:r>
        <w:rPr>
          <w:noProof/>
        </w:rPr>
        <w:t>Iniciativa vychází se systému poukázek a bude prováděna vysoce účinným způsobem. Vzbudí zájem nových katego</w:t>
      </w:r>
      <w:r>
        <w:rPr>
          <w:noProof/>
        </w:rPr>
        <w:t>rií navrhovatelů projektů (zejména místních orgánů) o Nástroj pro propojení Evropy. Místní orgány a ostatní poskytovatele veřejných služeb bude k účasti podněcovat evropská síť poradenských kanceláří pro širokopásmové připojení, která má být zřízena v rámc</w:t>
      </w:r>
      <w:r>
        <w:rPr>
          <w:noProof/>
        </w:rPr>
        <w:t>i nového balíčku v oblasti telekomunikací. Celkově iniciativa urychlí šíření povědomí o nových prioritách Komise pro gigabitovou společnost na všech úrovních správy a rovněž posílí rozpoznání značky, viditelnost a důvěru ve schopnost EU poskytovat digitáln</w:t>
      </w:r>
      <w:r>
        <w:rPr>
          <w:noProof/>
        </w:rPr>
        <w:t xml:space="preserve">í služby občanům na evropském kontinentě.  Přístupové body budou vytvořeny jednotným způsobem a poskytnou osvědčené postupy subjektům, které mají zájem zavádět přístup k wi-fi, a budou tedy sloužit jako inovativní model zaměřený na replikovatelnost v celé </w:t>
      </w:r>
      <w:r>
        <w:rPr>
          <w:noProof/>
        </w:rPr>
        <w:t xml:space="preserve">EU. </w:t>
      </w:r>
    </w:p>
    <w:p w:rsidR="00FC6891" w:rsidRDefault="005F1CD3">
      <w:pPr>
        <w:pStyle w:val="ManualHeading3"/>
        <w:rPr>
          <w:noProof/>
        </w:rPr>
      </w:pPr>
      <w:r>
        <w:t>1.5.3.</w:t>
      </w:r>
      <w:r>
        <w:tab/>
      </w:r>
      <w:r>
        <w:rPr>
          <w:noProof/>
        </w:rPr>
        <w:t>Závěry vyvozené z podobných zkušeností v minulosti</w:t>
      </w:r>
    </w:p>
    <w:p w:rsidR="00FC6891" w:rsidRDefault="005F1CD3">
      <w:pPr>
        <w:rPr>
          <w:noProof/>
        </w:rPr>
      </w:pPr>
      <w:r>
        <w:rPr>
          <w:noProof/>
        </w:rPr>
        <w:t xml:space="preserve">V posledních letech vznikla na místní úrovni v celé Evropě řada projektů bezplatného přístupu k wi-fi podporovaná obcemi. Toto opatření bude tedy vycházet z těchto zkušeností a posílí </w:t>
      </w:r>
      <w:r>
        <w:rPr>
          <w:noProof/>
        </w:rPr>
        <w:t>replikovatelnost tohoto modelu tím, že bude platit současně ve všech členských státech EU.</w:t>
      </w:r>
    </w:p>
    <w:p w:rsidR="00FC6891" w:rsidRDefault="005F1CD3">
      <w:pPr>
        <w:pStyle w:val="ManualHeading3"/>
        <w:rPr>
          <w:noProof/>
        </w:rPr>
      </w:pPr>
      <w:r>
        <w:t>1.5.4.</w:t>
      </w:r>
      <w:r>
        <w:tab/>
      </w:r>
      <w:r>
        <w:rPr>
          <w:noProof/>
        </w:rPr>
        <w:t>Soulad a možná synergie s dalšími vhodnými nástroji</w:t>
      </w:r>
    </w:p>
    <w:p w:rsidR="00FC6891" w:rsidRDefault="005F1CD3">
      <w:pPr>
        <w:rPr>
          <w:noProof/>
        </w:rPr>
      </w:pPr>
      <w:r>
        <w:rPr>
          <w:noProof/>
        </w:rPr>
        <w:t xml:space="preserve">Tato iniciativa doplní zavádění digitálních sítí financovaných z evropských strukturálních a investičních </w:t>
      </w:r>
      <w:r>
        <w:rPr>
          <w:noProof/>
        </w:rPr>
        <w:t>fondů (zejména EFDR a EZFRV), jehož prostřednictvím vznikne sítě páteřního propojení a přístupové širokopásmové sítě v oblastech, v nichž provozovatelé telekomunikačních sítí nechtějí investovat. Tak vzniknou další pobídky pro místní orgány, aby vybavily c</w:t>
      </w:r>
      <w:r>
        <w:rPr>
          <w:noProof/>
        </w:rPr>
        <w:t>elé území spadající do jejich pole působnosti a uvedené veřejné prostory propojily pomocí velmi vysokokapacitních sítí páteřního propojení.</w:t>
      </w:r>
    </w:p>
    <w:p w:rsidR="00FC6891" w:rsidRDefault="005F1CD3">
      <w:pPr>
        <w:spacing w:after="0"/>
        <w:rPr>
          <w:noProof/>
        </w:rPr>
      </w:pPr>
      <w:r>
        <w:rPr>
          <w:noProof/>
        </w:rPr>
        <w:t>Tato iniciativa bude rovněž podporovat rozvoj inovativních digitálních služeb a aplikací vytvořených na místní úrovn</w:t>
      </w:r>
      <w:r>
        <w:rPr>
          <w:noProof/>
        </w:rPr>
        <w:t xml:space="preserve">i - často místními malými a středními podniky. Například na základě digitalizace místního obsahu a ostatních historických zdrojů mohou muzea nebo památky kulturního či přírodního dědictví nacházející se ve venkovních prostorách vytvořit aplikace rozšířené </w:t>
      </w:r>
      <w:r>
        <w:rPr>
          <w:noProof/>
        </w:rPr>
        <w:t>reality, aby zvýšily zážitek svých návštěvníků. Totéž platí pro aplikaci eTourism, která je využívána při obchodování na místní úrovni a při obecních činnostech. Tato iniciativa bude tedy podporovat politiku Evropské komise v oblasti digitálního podnikání.</w:t>
      </w:r>
    </w:p>
    <w:p w:rsidR="00FC6891" w:rsidRDefault="00FC6891">
      <w:pPr>
        <w:spacing w:after="0"/>
        <w:rPr>
          <w:noProof/>
        </w:rPr>
      </w:pPr>
    </w:p>
    <w:p w:rsidR="00FC6891" w:rsidRDefault="005F1CD3">
      <w:pPr>
        <w:pStyle w:val="ManualHeading2"/>
        <w:rPr>
          <w:bCs/>
          <w:noProof/>
          <w:szCs w:val="24"/>
        </w:rPr>
      </w:pPr>
      <w:r>
        <w:t>1.6.</w:t>
      </w:r>
      <w:r>
        <w:tab/>
      </w:r>
      <w:r>
        <w:rPr>
          <w:noProof/>
        </w:rPr>
        <w:t xml:space="preserve">Doba trvání akce a finanční dopad </w:t>
      </w:r>
    </w:p>
    <w:p w:rsidR="00FC6891" w:rsidRDefault="005F1CD3">
      <w:pPr>
        <w:pStyle w:val="Text1"/>
        <w:rPr>
          <w:noProof/>
        </w:rPr>
      </w:pPr>
      <w:r>
        <w:rPr>
          <w:noProof/>
        </w:rPr>
        <w:t xml:space="preserve">x </w:t>
      </w:r>
      <w:r>
        <w:rPr>
          <w:b/>
          <w:noProof/>
        </w:rPr>
        <w:t>Časově omezený</w:t>
      </w:r>
      <w:r>
        <w:rPr>
          <w:noProof/>
        </w:rPr>
        <w:t xml:space="preserve"> návrh/podnět</w:t>
      </w:r>
      <w:r>
        <w:rPr>
          <w:b/>
          <w:noProof/>
        </w:rPr>
        <w:t xml:space="preserve"> </w:t>
      </w:r>
    </w:p>
    <w:p w:rsidR="00FC6891" w:rsidRDefault="005F1CD3">
      <w:pPr>
        <w:pStyle w:val="ListDash2"/>
        <w:rPr>
          <w:noProof/>
        </w:rPr>
      </w:pPr>
      <w:r>
        <w:rPr>
          <w:noProof/>
        </w:rPr>
        <w:t>x</w:t>
      </w:r>
      <w:r>
        <w:rPr>
          <w:noProof/>
        </w:rPr>
        <w:tab/>
        <w:t>Návrh/podnět s platností od roku 2017 do roku 2020</w:t>
      </w:r>
    </w:p>
    <w:p w:rsidR="00FC6891" w:rsidRDefault="005F1CD3">
      <w:pPr>
        <w:pStyle w:val="ListDash2"/>
        <w:rPr>
          <w:noProof/>
        </w:rPr>
      </w:pPr>
      <w:r>
        <w:rPr>
          <w:noProof/>
        </w:rPr>
        <w:t>x</w:t>
      </w:r>
      <w:r>
        <w:rPr>
          <w:noProof/>
        </w:rPr>
        <w:tab/>
        <w:t xml:space="preserve">Finanční dopad od roku 2017 do roku 2020 </w:t>
      </w:r>
    </w:p>
    <w:p w:rsidR="00FC6891" w:rsidRDefault="005F1CD3">
      <w:pPr>
        <w:pStyle w:val="Text1"/>
        <w:rPr>
          <w:noProof/>
        </w:rPr>
      </w:pPr>
      <w:r>
        <w:rPr>
          <w:noProof/>
          <w:szCs w:val="24"/>
        </w:rPr>
        <w:sym w:font="Wingdings" w:char="F0A8"/>
      </w:r>
      <w:r>
        <w:rPr>
          <w:noProof/>
          <w:szCs w:val="24"/>
        </w:rPr>
        <w:t xml:space="preserve"> </w:t>
      </w:r>
      <w:r>
        <w:rPr>
          <w:b/>
          <w:noProof/>
        </w:rPr>
        <w:t>Časově neomezený</w:t>
      </w:r>
      <w:r>
        <w:rPr>
          <w:noProof/>
        </w:rPr>
        <w:t xml:space="preserve"> návrh/podnět</w:t>
      </w:r>
    </w:p>
    <w:p w:rsidR="00FC6891" w:rsidRDefault="005F1CD3">
      <w:pPr>
        <w:pStyle w:val="ListDash1"/>
        <w:rPr>
          <w:noProof/>
        </w:rPr>
      </w:pPr>
      <w:r>
        <w:rPr>
          <w:noProof/>
        </w:rPr>
        <w:t>Provádění s obdobím rozběhu od XXX do XXX,</w:t>
      </w:r>
    </w:p>
    <w:p w:rsidR="00FC6891" w:rsidRDefault="005F1CD3">
      <w:pPr>
        <w:pStyle w:val="ListDash1"/>
        <w:rPr>
          <w:noProof/>
        </w:rPr>
      </w:pPr>
      <w:r>
        <w:rPr>
          <w:noProof/>
        </w:rPr>
        <w:t>poté plné f</w:t>
      </w:r>
      <w:r>
        <w:rPr>
          <w:noProof/>
        </w:rPr>
        <w:t>ungování.</w:t>
      </w:r>
    </w:p>
    <w:p w:rsidR="00FC6891" w:rsidRDefault="005F1CD3">
      <w:pPr>
        <w:pStyle w:val="ManualHeading2"/>
        <w:rPr>
          <w:bCs/>
          <w:noProof/>
          <w:szCs w:val="24"/>
        </w:rPr>
      </w:pPr>
      <w:r>
        <w:t>1.7.</w:t>
      </w:r>
      <w:r>
        <w:tab/>
      </w:r>
      <w:r>
        <w:rPr>
          <w:noProof/>
        </w:rPr>
        <w:t>Předpokládaný způsob řízení</w:t>
      </w:r>
      <w:r>
        <w:rPr>
          <w:rStyle w:val="FootnoteReference"/>
          <w:noProof/>
        </w:rPr>
        <w:footnoteReference w:id="20"/>
      </w:r>
      <w:r>
        <w:rPr>
          <w:rStyle w:val="FootnoteReference"/>
          <w:noProof/>
        </w:rPr>
        <w:t xml:space="preserve"> </w:t>
      </w:r>
    </w:p>
    <w:p w:rsidR="00FC6891" w:rsidRDefault="005F1CD3">
      <w:pPr>
        <w:pStyle w:val="Text1"/>
        <w:rPr>
          <w:noProof/>
        </w:rPr>
      </w:pPr>
      <w:r>
        <w:rPr>
          <w:noProof/>
          <w:szCs w:val="24"/>
        </w:rPr>
        <w:sym w:font="Wingdings" w:char="F0A8"/>
      </w:r>
      <w:r>
        <w:rPr>
          <w:i/>
          <w:noProof/>
        </w:rPr>
        <w:t xml:space="preserve"> </w:t>
      </w:r>
      <w:r>
        <w:rPr>
          <w:b/>
          <w:noProof/>
        </w:rPr>
        <w:t>Přímé řízení</w:t>
      </w:r>
      <w:r>
        <w:rPr>
          <w:noProof/>
        </w:rPr>
        <w:t xml:space="preserve"> Komisí</w:t>
      </w:r>
    </w:p>
    <w:p w:rsidR="00FC6891" w:rsidRDefault="005F1CD3">
      <w:pPr>
        <w:pStyle w:val="ListDash2"/>
        <w:rPr>
          <w:rFonts w:cs="EUAlbertina"/>
          <w:noProof/>
        </w:rPr>
      </w:pPr>
      <w:r>
        <w:rPr>
          <w:noProof/>
          <w:szCs w:val="24"/>
        </w:rPr>
        <w:sym w:font="Wingdings" w:char="F0A8"/>
      </w:r>
      <w:r>
        <w:rPr>
          <w:noProof/>
        </w:rPr>
        <w:t xml:space="preserve"> prostřednictvím jejích útvarů, včetně jejích zaměstnanců v delegacích Unie; </w:t>
      </w:r>
    </w:p>
    <w:p w:rsidR="00FC6891" w:rsidRDefault="005F1CD3">
      <w:pPr>
        <w:pStyle w:val="ListDash2"/>
        <w:rPr>
          <w:noProof/>
        </w:rPr>
      </w:pPr>
      <w:r>
        <w:rPr>
          <w:noProof/>
        </w:rPr>
        <w:t>x</w:t>
      </w:r>
      <w:r>
        <w:rPr>
          <w:noProof/>
        </w:rPr>
        <w:tab/>
        <w:t xml:space="preserve">prostřednictvím výkonných agentur </w:t>
      </w:r>
    </w:p>
    <w:p w:rsidR="00FC6891" w:rsidRDefault="005F1CD3">
      <w:pPr>
        <w:pStyle w:val="Text1"/>
        <w:rPr>
          <w:noProof/>
        </w:rPr>
      </w:pPr>
      <w:r>
        <w:rPr>
          <w:noProof/>
          <w:szCs w:val="24"/>
        </w:rPr>
        <w:sym w:font="Wingdings" w:char="F0A8"/>
      </w:r>
      <w:r>
        <w:rPr>
          <w:noProof/>
          <w:szCs w:val="24"/>
        </w:rPr>
        <w:t xml:space="preserve"> </w:t>
      </w:r>
      <w:r>
        <w:rPr>
          <w:b/>
          <w:noProof/>
        </w:rPr>
        <w:t>Sdílené řízení</w:t>
      </w:r>
      <w:r>
        <w:rPr>
          <w:noProof/>
        </w:rPr>
        <w:t xml:space="preserve"> s členskými státy </w:t>
      </w:r>
    </w:p>
    <w:p w:rsidR="00FC6891" w:rsidRDefault="005F1CD3">
      <w:pPr>
        <w:pStyle w:val="Text1"/>
        <w:rPr>
          <w:noProof/>
        </w:rPr>
      </w:pPr>
      <w:r>
        <w:rPr>
          <w:noProof/>
          <w:szCs w:val="24"/>
        </w:rPr>
        <w:sym w:font="Wingdings" w:char="F0A8"/>
      </w:r>
      <w:r>
        <w:rPr>
          <w:i/>
          <w:noProof/>
        </w:rPr>
        <w:t xml:space="preserve"> </w:t>
      </w:r>
      <w:r>
        <w:rPr>
          <w:b/>
          <w:noProof/>
        </w:rPr>
        <w:t>Nepřímé řízení,</w:t>
      </w:r>
      <w:r>
        <w:rPr>
          <w:noProof/>
        </w:rPr>
        <w:t xml:space="preserve"> při kterém jsou úkoly souvisejícími s plněním rozpočtu pověřeny:</w:t>
      </w:r>
    </w:p>
    <w:p w:rsidR="00FC6891" w:rsidRDefault="005F1CD3">
      <w:pPr>
        <w:pStyle w:val="ListDash2"/>
        <w:rPr>
          <w:noProof/>
        </w:rPr>
      </w:pPr>
      <w:r>
        <w:rPr>
          <w:noProof/>
          <w:szCs w:val="24"/>
        </w:rPr>
        <w:sym w:font="Wingdings" w:char="F0A8"/>
      </w:r>
      <w:r>
        <w:rPr>
          <w:noProof/>
        </w:rPr>
        <w:t xml:space="preserve"> třetí země nebo subjekty určené těmito zeměmi;</w:t>
      </w:r>
    </w:p>
    <w:p w:rsidR="00FC6891" w:rsidRDefault="005F1CD3">
      <w:pPr>
        <w:pStyle w:val="ListDash2"/>
        <w:rPr>
          <w:noProof/>
        </w:rPr>
      </w:pPr>
      <w:r>
        <w:rPr>
          <w:noProof/>
          <w:szCs w:val="24"/>
        </w:rPr>
        <w:sym w:font="Wingdings" w:char="F0A8"/>
      </w:r>
      <w:r>
        <w:rPr>
          <w:noProof/>
          <w:szCs w:val="24"/>
        </w:rPr>
        <w:t xml:space="preserve"> </w:t>
      </w:r>
      <w:r>
        <w:rPr>
          <w:noProof/>
        </w:rPr>
        <w:t>mezinárodní organizace a jejich agentury (upřesněte);</w:t>
      </w:r>
    </w:p>
    <w:p w:rsidR="00FC6891" w:rsidRDefault="005F1CD3">
      <w:pPr>
        <w:pStyle w:val="ListDash2"/>
        <w:rPr>
          <w:noProof/>
        </w:rPr>
      </w:pPr>
      <w:r>
        <w:rPr>
          <w:noProof/>
          <w:szCs w:val="24"/>
        </w:rPr>
        <w:sym w:font="Wingdings" w:char="F0A8"/>
      </w:r>
      <w:r>
        <w:rPr>
          <w:noProof/>
          <w:szCs w:val="24"/>
        </w:rPr>
        <w:t xml:space="preserve"> </w:t>
      </w:r>
      <w:r>
        <w:rPr>
          <w:noProof/>
        </w:rPr>
        <w:t>EIB a Evropský investiční fond;</w:t>
      </w:r>
    </w:p>
    <w:p w:rsidR="00FC6891" w:rsidRDefault="005F1CD3">
      <w:pPr>
        <w:pStyle w:val="ListDash2"/>
        <w:rPr>
          <w:noProof/>
        </w:rPr>
      </w:pPr>
      <w:r>
        <w:rPr>
          <w:noProof/>
          <w:szCs w:val="24"/>
        </w:rPr>
        <w:sym w:font="Wingdings" w:char="F0A8"/>
      </w:r>
      <w:r>
        <w:rPr>
          <w:noProof/>
        </w:rPr>
        <w:t xml:space="preserve"> subjekty uvedené v článcích 208 a 209 finančního </w:t>
      </w:r>
      <w:r>
        <w:rPr>
          <w:noProof/>
        </w:rPr>
        <w:t>nařízení;</w:t>
      </w:r>
    </w:p>
    <w:p w:rsidR="00FC6891" w:rsidRDefault="005F1CD3">
      <w:pPr>
        <w:pStyle w:val="ListDash2"/>
        <w:rPr>
          <w:noProof/>
        </w:rPr>
      </w:pPr>
      <w:r>
        <w:rPr>
          <w:noProof/>
          <w:szCs w:val="24"/>
        </w:rPr>
        <w:sym w:font="Wingdings" w:char="F0A8"/>
      </w:r>
      <w:r>
        <w:rPr>
          <w:noProof/>
          <w:szCs w:val="24"/>
        </w:rPr>
        <w:t xml:space="preserve"> </w:t>
      </w:r>
      <w:r>
        <w:rPr>
          <w:noProof/>
        </w:rPr>
        <w:t>veřejnoprávní subjekty;</w:t>
      </w:r>
    </w:p>
    <w:p w:rsidR="00FC6891" w:rsidRDefault="005F1CD3">
      <w:pPr>
        <w:pStyle w:val="ListDash2"/>
        <w:rPr>
          <w:noProof/>
        </w:rPr>
      </w:pPr>
      <w:r>
        <w:rPr>
          <w:noProof/>
          <w:szCs w:val="24"/>
        </w:rPr>
        <w:sym w:font="Wingdings" w:char="F0A8"/>
      </w:r>
      <w:r>
        <w:rPr>
          <w:noProof/>
          <w:szCs w:val="24"/>
        </w:rPr>
        <w:t xml:space="preserve"> </w:t>
      </w:r>
      <w:r>
        <w:rPr>
          <w:noProof/>
        </w:rPr>
        <w:t>soukromoprávní subjekty pověřené výkonem veřejné služby v rozsahu, v jakém poskytují dostatečné finanční záruky;</w:t>
      </w:r>
    </w:p>
    <w:p w:rsidR="00FC6891" w:rsidRDefault="005F1CD3">
      <w:pPr>
        <w:pStyle w:val="ListDash2"/>
        <w:rPr>
          <w:noProof/>
        </w:rPr>
      </w:pPr>
      <w:r>
        <w:rPr>
          <w:noProof/>
          <w:szCs w:val="24"/>
        </w:rPr>
        <w:sym w:font="Wingdings" w:char="F0A8"/>
      </w:r>
      <w:r>
        <w:rPr>
          <w:noProof/>
          <w:szCs w:val="24"/>
        </w:rPr>
        <w:t xml:space="preserve"> </w:t>
      </w:r>
      <w:r>
        <w:rPr>
          <w:noProof/>
        </w:rPr>
        <w:t>soukromoprávní subjekty členského státu pověřené uskutečňováním partnerství soukromého a veřejného sekt</w:t>
      </w:r>
      <w:r>
        <w:rPr>
          <w:noProof/>
        </w:rPr>
        <w:t>oru a poskytující dostatečné finanční záruky;</w:t>
      </w:r>
    </w:p>
    <w:p w:rsidR="00FC6891" w:rsidRDefault="005F1CD3">
      <w:pPr>
        <w:pStyle w:val="ListDash2"/>
        <w:rPr>
          <w:noProof/>
        </w:rPr>
      </w:pPr>
      <w:r>
        <w:rPr>
          <w:noProof/>
          <w:szCs w:val="24"/>
        </w:rPr>
        <w:sym w:font="Wingdings" w:char="F0A8"/>
      </w:r>
      <w:r>
        <w:rPr>
          <w:noProof/>
          <w:szCs w:val="24"/>
        </w:rPr>
        <w:t xml:space="preserve"> </w:t>
      </w:r>
      <w:r>
        <w:rPr>
          <w:noProof/>
        </w:rPr>
        <w:t>osoby pověřené prováděním zvláštních činností v rámci společné zahraniční a bezpečnostní politiky podle hlavy V Smlouvy o EU a určené v příslušném základním právním aktu.</w:t>
      </w:r>
    </w:p>
    <w:p w:rsidR="00FC6891" w:rsidRDefault="005F1CD3">
      <w:pPr>
        <w:pStyle w:val="ListDash2"/>
        <w:rPr>
          <w:i/>
          <w:noProof/>
          <w:sz w:val="18"/>
          <w:u w:val="single"/>
        </w:rPr>
      </w:pPr>
      <w:r>
        <w:rPr>
          <w:i/>
          <w:noProof/>
          <w:sz w:val="18"/>
        </w:rPr>
        <w:t>Pokud vyberete více způsobů řízení, u</w:t>
      </w:r>
      <w:r>
        <w:rPr>
          <w:i/>
          <w:noProof/>
          <w:sz w:val="18"/>
        </w:rPr>
        <w:t>přesněte je v části „Poznámky“.</w:t>
      </w:r>
    </w:p>
    <w:p w:rsidR="00FC6891" w:rsidRDefault="005F1CD3">
      <w:pPr>
        <w:rPr>
          <w:noProof/>
        </w:rPr>
      </w:pPr>
      <w:r>
        <w:rPr>
          <w:noProof/>
        </w:rPr>
        <w:t xml:space="preserve">Poznámky </w:t>
      </w:r>
    </w:p>
    <w:p w:rsidR="00FC6891" w:rsidRDefault="00FC6891">
      <w:pPr>
        <w:rPr>
          <w:noProof/>
        </w:rPr>
        <w:sectPr w:rsidR="00FC6891" w:rsidSect="005F1CD3">
          <w:pgSz w:w="11907" w:h="16840" w:code="9"/>
          <w:pgMar w:top="1134" w:right="1418" w:bottom="1134" w:left="1418" w:header="709" w:footer="709" w:gutter="0"/>
          <w:cols w:space="708"/>
          <w:rtlGutter/>
          <w:docGrid w:linePitch="360"/>
        </w:sectPr>
      </w:pPr>
    </w:p>
    <w:p w:rsidR="00FC6891" w:rsidRDefault="005F1CD3">
      <w:pPr>
        <w:pStyle w:val="ManualHeading1"/>
        <w:rPr>
          <w:bCs/>
          <w:noProof/>
          <w:szCs w:val="24"/>
        </w:rPr>
      </w:pPr>
      <w:r>
        <w:t>2.</w:t>
      </w:r>
      <w:r>
        <w:tab/>
      </w:r>
      <w:r>
        <w:rPr>
          <w:noProof/>
        </w:rPr>
        <w:t xml:space="preserve">SPRÁVNÍ OPATŘENÍ </w:t>
      </w:r>
    </w:p>
    <w:p w:rsidR="00FC6891" w:rsidRDefault="005F1CD3">
      <w:pPr>
        <w:pStyle w:val="ManualHeading2"/>
        <w:rPr>
          <w:noProof/>
        </w:rPr>
      </w:pPr>
      <w:r>
        <w:t>2.1.</w:t>
      </w:r>
      <w:r>
        <w:tab/>
      </w:r>
      <w:r>
        <w:rPr>
          <w:noProof/>
        </w:rPr>
        <w:t xml:space="preserve">Pravidla pro sledování a podávání zpráv </w:t>
      </w:r>
    </w:p>
    <w:p w:rsidR="00FC6891" w:rsidRDefault="005F1CD3">
      <w:pPr>
        <w:pStyle w:val="Text1"/>
        <w:rPr>
          <w:i/>
          <w:noProof/>
          <w:sz w:val="20"/>
        </w:rPr>
      </w:pPr>
      <w:r>
        <w:rPr>
          <w:i/>
          <w:noProof/>
          <w:sz w:val="20"/>
        </w:rPr>
        <w:t>Upřesněte četnost a podmínky.</w:t>
      </w:r>
    </w:p>
    <w:p w:rsidR="00FC6891" w:rsidRDefault="005F1CD3">
      <w:pPr>
        <w:pStyle w:val="Text1"/>
        <w:pBdr>
          <w:top w:val="single" w:sz="4" w:space="1" w:color="auto"/>
          <w:left w:val="single" w:sz="4" w:space="4" w:color="auto"/>
          <w:bottom w:val="single" w:sz="4" w:space="1" w:color="auto"/>
          <w:right w:val="single" w:sz="4" w:space="4" w:color="auto"/>
        </w:pBdr>
        <w:rPr>
          <w:noProof/>
        </w:rPr>
      </w:pPr>
      <w:r>
        <w:rPr>
          <w:noProof/>
        </w:rPr>
        <w:t xml:space="preserve">Bude zaveden systém sledování, aby se zajistilo, že tato iniciativa je prováděna rychle a </w:t>
      </w:r>
      <w:r>
        <w:rPr>
          <w:noProof/>
        </w:rPr>
        <w:t>přináší okamžité výsledky. K tomuto účelu budou využívány zejména elektronické nástroje a namátkové kontroly zařízení na úrovni místních bezdrátových přístupových bodů.</w:t>
      </w:r>
    </w:p>
    <w:p w:rsidR="00FC6891" w:rsidRDefault="005F1CD3">
      <w:pPr>
        <w:pStyle w:val="ManualHeading2"/>
        <w:rPr>
          <w:bCs/>
          <w:noProof/>
          <w:szCs w:val="24"/>
        </w:rPr>
      </w:pPr>
      <w:r>
        <w:t>2.2.</w:t>
      </w:r>
      <w:r>
        <w:tab/>
      </w:r>
      <w:r>
        <w:rPr>
          <w:noProof/>
        </w:rPr>
        <w:t xml:space="preserve">Systém řízení a kontroly </w:t>
      </w:r>
    </w:p>
    <w:p w:rsidR="00FC6891" w:rsidRDefault="005F1CD3">
      <w:pPr>
        <w:pStyle w:val="ManualHeading3"/>
        <w:rPr>
          <w:noProof/>
        </w:rPr>
      </w:pPr>
      <w:r>
        <w:t>2.2.1.</w:t>
      </w:r>
      <w:r>
        <w:tab/>
      </w:r>
      <w:r>
        <w:rPr>
          <w:noProof/>
        </w:rPr>
        <w:t xml:space="preserve">Zjištěná rizika </w:t>
      </w:r>
    </w:p>
    <w:p w:rsidR="00FC6891" w:rsidRDefault="005F1CD3">
      <w:pPr>
        <w:pStyle w:val="Text1"/>
        <w:pBdr>
          <w:top w:val="single" w:sz="4" w:space="1" w:color="auto"/>
          <w:left w:val="single" w:sz="4" w:space="4" w:color="auto"/>
          <w:bottom w:val="single" w:sz="4" w:space="1" w:color="auto"/>
          <w:right w:val="single" w:sz="4" w:space="4" w:color="auto"/>
        </w:pBdr>
        <w:rPr>
          <w:noProof/>
        </w:rPr>
      </w:pPr>
      <w:r>
        <w:rPr>
          <w:noProof/>
        </w:rPr>
        <w:t>Rizika provádění: Nebyrokratická</w:t>
      </w:r>
      <w:r>
        <w:rPr>
          <w:noProof/>
        </w:rPr>
        <w:t xml:space="preserve"> povaha systému poukázek bude vycházet ze zkušeností podobných iniciativ (např. inovace IKT pro malé a střední podniky, satelitní připojení atd.) na regionální a vnitrostátní úrovni, systém však bude převeden na úroveň EU.</w:t>
      </w:r>
    </w:p>
    <w:p w:rsidR="00FC6891" w:rsidRDefault="005F1CD3">
      <w:pPr>
        <w:pStyle w:val="Text1"/>
        <w:pBdr>
          <w:top w:val="single" w:sz="4" w:space="1" w:color="auto"/>
          <w:left w:val="single" w:sz="4" w:space="4" w:color="auto"/>
          <w:bottom w:val="single" w:sz="4" w:space="1" w:color="auto"/>
          <w:right w:val="single" w:sz="4" w:space="4" w:color="auto"/>
        </w:pBdr>
        <w:rPr>
          <w:noProof/>
        </w:rPr>
      </w:pPr>
      <w:r>
        <w:rPr>
          <w:noProof/>
        </w:rPr>
        <w:t>Riziko provádění: Vzhledem k tomu</w:t>
      </w:r>
      <w:r>
        <w:rPr>
          <w:noProof/>
        </w:rPr>
        <w:t>, že podpora bude probíhat na základě zásady „kdo dřív přijde, je dřív na řadě“, existuje riziko nevyrovnaného využívání mezi územími. Komise se nicméně zavázala zajistit vyvážený zeměpisný dopad a zohlednit specifické potřeby menších a ekonomicky zaostáva</w:t>
      </w:r>
      <w:r>
        <w:rPr>
          <w:noProof/>
        </w:rPr>
        <w:t>jících členských států a regionů.</w:t>
      </w:r>
    </w:p>
    <w:p w:rsidR="00FC6891" w:rsidRDefault="005F1CD3">
      <w:pPr>
        <w:pStyle w:val="Text1"/>
        <w:pBdr>
          <w:top w:val="single" w:sz="4" w:space="1" w:color="auto"/>
          <w:left w:val="single" w:sz="4" w:space="4" w:color="auto"/>
          <w:bottom w:val="single" w:sz="4" w:space="1" w:color="auto"/>
          <w:right w:val="single" w:sz="4" w:space="4" w:color="auto"/>
        </w:pBdr>
        <w:rPr>
          <w:noProof/>
        </w:rPr>
      </w:pPr>
      <w:r>
        <w:rPr>
          <w:noProof/>
        </w:rPr>
        <w:t>Bezpečností riziko a riziko ochrany údajů: Tento režim zajistí plnou ochranu osobních údajů a dostatečnou úroveň ověřování za účelem zajištění uživatelské vstřícnosti spojení na úrovni přístupového místa.</w:t>
      </w:r>
    </w:p>
    <w:p w:rsidR="00FC6891" w:rsidRDefault="005F1CD3">
      <w:pPr>
        <w:pStyle w:val="Text1"/>
        <w:pBdr>
          <w:top w:val="single" w:sz="4" w:space="1" w:color="auto"/>
          <w:left w:val="single" w:sz="4" w:space="4" w:color="auto"/>
          <w:bottom w:val="single" w:sz="4" w:space="1" w:color="auto"/>
          <w:right w:val="single" w:sz="4" w:space="4" w:color="auto"/>
        </w:pBdr>
        <w:rPr>
          <w:noProof/>
          <w:szCs w:val="24"/>
        </w:rPr>
      </w:pPr>
      <w:r>
        <w:rPr>
          <w:noProof/>
        </w:rPr>
        <w:t>Riziko ohrožení p</w:t>
      </w:r>
      <w:r>
        <w:rPr>
          <w:noProof/>
        </w:rPr>
        <w:t>ověsti: Kvalita služeb bude zajištěna prostřednictvím závazku příjemců vybudovat velmi vysokorychlostní širokopásmové připojení umožňující vysokou kvalitu internetu pro uživatele, přičemž tato kvalita bude pravidelně sledována.</w:t>
      </w:r>
    </w:p>
    <w:p w:rsidR="00FC6891" w:rsidRDefault="005F1CD3">
      <w:pPr>
        <w:pStyle w:val="ManualHeading3"/>
        <w:rPr>
          <w:bCs/>
          <w:noProof/>
          <w:szCs w:val="24"/>
        </w:rPr>
      </w:pPr>
      <w:r>
        <w:t>2.2.2.</w:t>
      </w:r>
      <w:r>
        <w:tab/>
      </w:r>
      <w:r>
        <w:rPr>
          <w:noProof/>
        </w:rPr>
        <w:t>#Informace o zavedené</w:t>
      </w:r>
      <w:r>
        <w:rPr>
          <w:noProof/>
        </w:rPr>
        <w:t xml:space="preserve">m systému vnitřní kontroly </w:t>
      </w:r>
    </w:p>
    <w:p w:rsidR="00FC6891" w:rsidRDefault="005F1CD3">
      <w:pPr>
        <w:pStyle w:val="Text1"/>
        <w:pBdr>
          <w:top w:val="single" w:sz="4" w:space="1" w:color="auto"/>
          <w:left w:val="single" w:sz="4" w:space="4" w:color="auto"/>
          <w:bottom w:val="single" w:sz="4" w:space="1" w:color="auto"/>
          <w:right w:val="single" w:sz="4" w:space="4" w:color="auto"/>
        </w:pBdr>
        <w:rPr>
          <w:noProof/>
        </w:rPr>
      </w:pPr>
      <w:r>
        <w:rPr>
          <w:noProof/>
        </w:rPr>
        <w:t>Dohody a rozhodnutí o realizaci opatření v rámci Nástroje pro propojení Evropy zajistí dohled a finanční kontrolu ze strany Komise nebo zástupce pověřeného Komisí stejně jako audity Účetního dvora a kontroly na místě prováděné E</w:t>
      </w:r>
      <w:r>
        <w:rPr>
          <w:noProof/>
        </w:rPr>
        <w:t>vropským úřadem pro boj proti podvodům (OLAF) v souladu s postupy stanovenými nařízením Rady (Euratom, ES) č. 2185/96 ze dne 11. listopadu 1996 o kontrolách a inspekcích na místě prováděných Komisí za účelem ochrany finančních zájmů Evropských společenství</w:t>
      </w:r>
      <w:r>
        <w:rPr>
          <w:noProof/>
        </w:rPr>
        <w:t xml:space="preserve"> proti podvodům a jiným nesrovnalostem a nařízení Evropského parlamentu a Rady (ES) č. 1073/1999 ze dne 25. května 1999 o vyšetřování prováděném Evropským úřadem pro boj proti podvodům (OLAF). </w:t>
      </w:r>
    </w:p>
    <w:p w:rsidR="00FC6891" w:rsidRDefault="005F1CD3">
      <w:pPr>
        <w:pStyle w:val="ManualHeading3"/>
        <w:rPr>
          <w:noProof/>
        </w:rPr>
      </w:pPr>
      <w:r>
        <w:t>2.2.3.</w:t>
      </w:r>
      <w:r>
        <w:tab/>
      </w:r>
      <w:r>
        <w:rPr>
          <w:noProof/>
        </w:rPr>
        <w:t>Odhad nákladů a přínosů kontrol a posouzení očekávané m</w:t>
      </w:r>
      <w:r>
        <w:rPr>
          <w:noProof/>
        </w:rPr>
        <w:t xml:space="preserve">íry rizika výskytu chyb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320"/>
        <w:gridCol w:w="2040"/>
        <w:gridCol w:w="1942"/>
        <w:gridCol w:w="1237"/>
      </w:tblGrid>
      <w:tr w:rsidR="00FC6891">
        <w:trPr>
          <w:trHeight w:val="680"/>
        </w:trPr>
        <w:tc>
          <w:tcPr>
            <w:tcW w:w="1920" w:type="dxa"/>
          </w:tcPr>
          <w:p w:rsidR="00FC6891" w:rsidRDefault="005F1CD3">
            <w:pPr>
              <w:spacing w:before="0" w:after="0"/>
              <w:jc w:val="left"/>
              <w:rPr>
                <w:b/>
                <w:noProof/>
                <w:sz w:val="20"/>
                <w:szCs w:val="24"/>
              </w:rPr>
            </w:pPr>
            <w:r>
              <w:rPr>
                <w:b/>
                <w:noProof/>
                <w:sz w:val="20"/>
              </w:rPr>
              <w:t>Přehled kontrol</w:t>
            </w:r>
          </w:p>
        </w:tc>
        <w:tc>
          <w:tcPr>
            <w:tcW w:w="1320" w:type="dxa"/>
          </w:tcPr>
          <w:p w:rsidR="00FC6891" w:rsidRDefault="005F1CD3">
            <w:pPr>
              <w:spacing w:before="0" w:after="0"/>
              <w:jc w:val="left"/>
              <w:rPr>
                <w:b/>
                <w:noProof/>
                <w:sz w:val="20"/>
                <w:szCs w:val="24"/>
              </w:rPr>
            </w:pPr>
            <w:r>
              <w:rPr>
                <w:b/>
                <w:noProof/>
                <w:sz w:val="20"/>
              </w:rPr>
              <w:t>Částka v milionech EUR</w:t>
            </w:r>
          </w:p>
        </w:tc>
        <w:tc>
          <w:tcPr>
            <w:tcW w:w="2040" w:type="dxa"/>
          </w:tcPr>
          <w:p w:rsidR="00FC6891" w:rsidRDefault="005F1CD3">
            <w:pPr>
              <w:spacing w:before="0" w:after="0"/>
              <w:jc w:val="left"/>
              <w:rPr>
                <w:b/>
                <w:noProof/>
                <w:sz w:val="20"/>
                <w:szCs w:val="24"/>
              </w:rPr>
            </w:pPr>
            <w:r>
              <w:rPr>
                <w:b/>
                <w:noProof/>
                <w:sz w:val="20"/>
              </w:rPr>
              <w:t>Počet příjemců: transakce (v % z celkové částky)</w:t>
            </w:r>
          </w:p>
        </w:tc>
        <w:tc>
          <w:tcPr>
            <w:tcW w:w="1942" w:type="dxa"/>
          </w:tcPr>
          <w:p w:rsidR="00FC6891" w:rsidRDefault="005F1CD3">
            <w:pPr>
              <w:spacing w:before="0" w:after="0"/>
              <w:jc w:val="left"/>
              <w:rPr>
                <w:b/>
                <w:noProof/>
                <w:sz w:val="20"/>
                <w:szCs w:val="24"/>
              </w:rPr>
            </w:pPr>
            <w:r>
              <w:rPr>
                <w:b/>
                <w:noProof/>
                <w:sz w:val="20"/>
              </w:rPr>
              <w:t>Hloubka kontroly * (posouzení 1–4)</w:t>
            </w:r>
          </w:p>
        </w:tc>
        <w:tc>
          <w:tcPr>
            <w:tcW w:w="1237" w:type="dxa"/>
          </w:tcPr>
          <w:p w:rsidR="00FC6891" w:rsidRDefault="005F1CD3">
            <w:pPr>
              <w:spacing w:before="0" w:after="0"/>
              <w:jc w:val="left"/>
              <w:rPr>
                <w:b/>
                <w:noProof/>
                <w:sz w:val="20"/>
                <w:szCs w:val="24"/>
              </w:rPr>
            </w:pPr>
            <w:r>
              <w:rPr>
                <w:b/>
                <w:noProof/>
                <w:sz w:val="20"/>
              </w:rPr>
              <w:t>Pokrytí (hodnota v %)</w:t>
            </w:r>
          </w:p>
        </w:tc>
      </w:tr>
      <w:tr w:rsidR="00FC6891">
        <w:trPr>
          <w:trHeight w:val="555"/>
        </w:trPr>
        <w:tc>
          <w:tcPr>
            <w:tcW w:w="1920" w:type="dxa"/>
            <w:vMerge w:val="restart"/>
          </w:tcPr>
          <w:p w:rsidR="00FC6891" w:rsidRDefault="005F1CD3">
            <w:pPr>
              <w:spacing w:before="0" w:after="0"/>
              <w:jc w:val="center"/>
              <w:rPr>
                <w:noProof/>
                <w:sz w:val="20"/>
                <w:szCs w:val="24"/>
              </w:rPr>
            </w:pPr>
            <w:r>
              <w:rPr>
                <w:noProof/>
                <w:sz w:val="20"/>
              </w:rPr>
              <w:t>Řízení opatření od hodnocení po následné audity</w:t>
            </w:r>
          </w:p>
        </w:tc>
        <w:tc>
          <w:tcPr>
            <w:tcW w:w="1320" w:type="dxa"/>
            <w:vMerge w:val="restart"/>
          </w:tcPr>
          <w:p w:rsidR="00FC6891" w:rsidRDefault="00FC6891">
            <w:pPr>
              <w:spacing w:before="0" w:after="0"/>
              <w:jc w:val="center"/>
              <w:rPr>
                <w:noProof/>
                <w:sz w:val="20"/>
                <w:szCs w:val="24"/>
              </w:rPr>
            </w:pPr>
          </w:p>
          <w:p w:rsidR="00FC6891" w:rsidRDefault="005F1CD3">
            <w:pPr>
              <w:spacing w:before="0" w:after="0"/>
              <w:jc w:val="center"/>
              <w:rPr>
                <w:noProof/>
                <w:sz w:val="20"/>
                <w:szCs w:val="24"/>
              </w:rPr>
            </w:pPr>
            <w:r>
              <w:rPr>
                <w:noProof/>
                <w:sz w:val="20"/>
              </w:rPr>
              <w:t>0,060</w:t>
            </w:r>
          </w:p>
        </w:tc>
        <w:tc>
          <w:tcPr>
            <w:tcW w:w="2040" w:type="dxa"/>
          </w:tcPr>
          <w:p w:rsidR="00FC6891" w:rsidRDefault="005F1CD3">
            <w:pPr>
              <w:spacing w:before="0" w:after="0"/>
              <w:jc w:val="left"/>
              <w:rPr>
                <w:noProof/>
                <w:sz w:val="20"/>
                <w:szCs w:val="24"/>
              </w:rPr>
            </w:pPr>
            <w:r>
              <w:rPr>
                <w:noProof/>
                <w:sz w:val="20"/>
              </w:rPr>
              <w:t xml:space="preserve">1) celkové sledování všech </w:t>
            </w:r>
            <w:r>
              <w:rPr>
                <w:noProof/>
                <w:sz w:val="20"/>
              </w:rPr>
              <w:t>projektů: 100 %</w:t>
            </w:r>
          </w:p>
        </w:tc>
        <w:tc>
          <w:tcPr>
            <w:tcW w:w="1942" w:type="dxa"/>
          </w:tcPr>
          <w:p w:rsidR="00FC6891" w:rsidRDefault="005F1CD3">
            <w:pPr>
              <w:spacing w:before="0" w:after="0"/>
              <w:jc w:val="center"/>
              <w:rPr>
                <w:noProof/>
                <w:sz w:val="20"/>
                <w:szCs w:val="24"/>
              </w:rPr>
            </w:pPr>
            <w:r>
              <w:rPr>
                <w:noProof/>
                <w:sz w:val="20"/>
              </w:rPr>
              <w:t>1.</w:t>
            </w:r>
          </w:p>
        </w:tc>
        <w:tc>
          <w:tcPr>
            <w:tcW w:w="1237" w:type="dxa"/>
          </w:tcPr>
          <w:p w:rsidR="00FC6891" w:rsidRDefault="005F1CD3">
            <w:pPr>
              <w:spacing w:before="0" w:after="0"/>
              <w:jc w:val="center"/>
              <w:rPr>
                <w:noProof/>
                <w:sz w:val="20"/>
                <w:szCs w:val="24"/>
              </w:rPr>
            </w:pPr>
            <w:r>
              <w:rPr>
                <w:noProof/>
                <w:sz w:val="20"/>
              </w:rPr>
              <w:t>100 %</w:t>
            </w:r>
          </w:p>
        </w:tc>
      </w:tr>
      <w:tr w:rsidR="00FC6891">
        <w:trPr>
          <w:trHeight w:val="555"/>
        </w:trPr>
        <w:tc>
          <w:tcPr>
            <w:tcW w:w="1920" w:type="dxa"/>
            <w:vMerge/>
          </w:tcPr>
          <w:p w:rsidR="00FC6891" w:rsidRDefault="00FC6891">
            <w:pPr>
              <w:spacing w:before="0" w:after="0"/>
              <w:jc w:val="center"/>
              <w:rPr>
                <w:noProof/>
                <w:sz w:val="20"/>
                <w:szCs w:val="24"/>
              </w:rPr>
            </w:pPr>
          </w:p>
        </w:tc>
        <w:tc>
          <w:tcPr>
            <w:tcW w:w="1320" w:type="dxa"/>
            <w:vMerge/>
          </w:tcPr>
          <w:p w:rsidR="00FC6891" w:rsidRDefault="00FC6891">
            <w:pPr>
              <w:spacing w:before="0" w:after="0"/>
              <w:jc w:val="center"/>
              <w:rPr>
                <w:noProof/>
                <w:sz w:val="20"/>
                <w:szCs w:val="24"/>
              </w:rPr>
            </w:pPr>
          </w:p>
        </w:tc>
        <w:tc>
          <w:tcPr>
            <w:tcW w:w="2040" w:type="dxa"/>
          </w:tcPr>
          <w:p w:rsidR="00FC6891" w:rsidRDefault="005F1CD3">
            <w:pPr>
              <w:spacing w:before="0" w:after="0"/>
              <w:jc w:val="left"/>
              <w:rPr>
                <w:noProof/>
                <w:sz w:val="20"/>
                <w:szCs w:val="24"/>
              </w:rPr>
            </w:pPr>
            <w:r>
              <w:rPr>
                <w:noProof/>
                <w:sz w:val="20"/>
              </w:rPr>
              <w:t>2) audit vybraných projektů: 5 %</w:t>
            </w:r>
          </w:p>
        </w:tc>
        <w:tc>
          <w:tcPr>
            <w:tcW w:w="1942" w:type="dxa"/>
          </w:tcPr>
          <w:p w:rsidR="00FC6891" w:rsidRDefault="005F1CD3">
            <w:pPr>
              <w:spacing w:before="0" w:after="0"/>
              <w:jc w:val="center"/>
              <w:rPr>
                <w:noProof/>
                <w:sz w:val="20"/>
                <w:szCs w:val="24"/>
              </w:rPr>
            </w:pPr>
            <w:r>
              <w:rPr>
                <w:noProof/>
                <w:sz w:val="20"/>
              </w:rPr>
              <w:t>4.</w:t>
            </w:r>
          </w:p>
        </w:tc>
        <w:tc>
          <w:tcPr>
            <w:tcW w:w="1237" w:type="dxa"/>
          </w:tcPr>
          <w:p w:rsidR="00FC6891" w:rsidRDefault="005F1CD3">
            <w:pPr>
              <w:spacing w:before="0" w:after="0"/>
              <w:jc w:val="center"/>
              <w:rPr>
                <w:noProof/>
                <w:sz w:val="20"/>
                <w:szCs w:val="24"/>
              </w:rPr>
            </w:pPr>
            <w:r>
              <w:rPr>
                <w:noProof/>
                <w:sz w:val="20"/>
              </w:rPr>
              <w:t>10 %</w:t>
            </w:r>
          </w:p>
        </w:tc>
      </w:tr>
    </w:tbl>
    <w:p w:rsidR="00FC6891" w:rsidRDefault="005F1CD3">
      <w:pPr>
        <w:pStyle w:val="ManualHeading2"/>
        <w:rPr>
          <w:bCs/>
          <w:noProof/>
          <w:szCs w:val="24"/>
        </w:rPr>
      </w:pPr>
      <w:r>
        <w:t>2.3.</w:t>
      </w:r>
      <w:r>
        <w:tab/>
      </w:r>
      <w:r>
        <w:rPr>
          <w:noProof/>
        </w:rPr>
        <w:t xml:space="preserve">Opatření k zamezení podvodů a nesrovnalostí </w:t>
      </w:r>
    </w:p>
    <w:p w:rsidR="00FC6891" w:rsidRDefault="005F1CD3">
      <w:pPr>
        <w:pStyle w:val="Text1"/>
        <w:rPr>
          <w:i/>
          <w:noProof/>
          <w:sz w:val="20"/>
        </w:rPr>
      </w:pPr>
      <w:r>
        <w:rPr>
          <w:i/>
          <w:noProof/>
          <w:sz w:val="20"/>
        </w:rPr>
        <w:t>Upřesněte stávající či předpokládaná preventivní a ochranná opatření.</w:t>
      </w:r>
    </w:p>
    <w:p w:rsidR="00FC6891" w:rsidRDefault="005F1CD3">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Komise zajistí, aby při provádění akcí financovaných na základě </w:t>
      </w:r>
      <w:r>
        <w:rPr>
          <w:noProof/>
        </w:rPr>
        <w:t>tohoto nařízení byly chráněny finanční zájmy Unie uplatněním preventivních opatření proti podvodům, korupci a jiným nedovoleným činnostem, a to pomocí účinných kontrol a vymáháním neoprávněně vyplacených částek, a v případě zjištění nesrovnalostí pomocí úč</w:t>
      </w:r>
      <w:r>
        <w:rPr>
          <w:noProof/>
        </w:rPr>
        <w:t>inných, přiměřených a odrazujících sankcí v souladu s nařízením (ES, Euratom) č. 2988/95, nařízením Rady (Euratom, ES) č. 2185/96 a nařízením Evropského parlamentu a Rady (ES) č. 1073/1999.</w:t>
      </w:r>
    </w:p>
    <w:p w:rsidR="00FC6891" w:rsidRDefault="005F1CD3">
      <w:pPr>
        <w:pBdr>
          <w:top w:val="single" w:sz="4" w:space="1" w:color="auto"/>
          <w:left w:val="single" w:sz="4" w:space="4" w:color="auto"/>
          <w:bottom w:val="single" w:sz="4" w:space="1" w:color="auto"/>
          <w:right w:val="single" w:sz="4" w:space="4" w:color="auto"/>
        </w:pBdr>
        <w:spacing w:before="0" w:after="0"/>
        <w:ind w:left="850"/>
        <w:jc w:val="left"/>
        <w:rPr>
          <w:noProof/>
          <w:szCs w:val="24"/>
        </w:rPr>
      </w:pPr>
      <w:r>
        <w:rPr>
          <w:noProof/>
        </w:rPr>
        <w:t>Smlouvy budou vycházet ze standardních vzorů, které budou upravova</w:t>
      </w:r>
      <w:r>
        <w:rPr>
          <w:noProof/>
        </w:rPr>
        <w:t>t obecně používaná opatření proti podvodům.</w:t>
      </w:r>
    </w:p>
    <w:p w:rsidR="00FC6891" w:rsidRDefault="005F1CD3">
      <w:pPr>
        <w:pStyle w:val="ManualHeading1"/>
        <w:rPr>
          <w:bCs/>
          <w:noProof/>
          <w:szCs w:val="24"/>
        </w:rPr>
      </w:pPr>
      <w:r>
        <w:t>3.</w:t>
      </w:r>
      <w:r>
        <w:tab/>
      </w:r>
      <w:r>
        <w:rPr>
          <w:noProof/>
        </w:rPr>
        <w:t xml:space="preserve">ODHADOVANÝ FINANČNÍ DOPAD NÁVRHU/PODNĚTU </w:t>
      </w:r>
    </w:p>
    <w:p w:rsidR="00FC6891" w:rsidRDefault="005F1CD3">
      <w:pPr>
        <w:pStyle w:val="ManualHeading2"/>
        <w:rPr>
          <w:noProof/>
        </w:rPr>
      </w:pPr>
      <w:r>
        <w:t>3.1.</w:t>
      </w:r>
      <w:r>
        <w:tab/>
      </w:r>
      <w:r>
        <w:rPr>
          <w:noProof/>
        </w:rPr>
        <w:t xml:space="preserve">Okruhy víceletého finančního rámce a dotčené výdajové rozpočtové položky </w:t>
      </w:r>
    </w:p>
    <w:p w:rsidR="00FC6891" w:rsidRDefault="005F1CD3">
      <w:pPr>
        <w:pStyle w:val="ListBullet1"/>
        <w:rPr>
          <w:noProof/>
        </w:rPr>
      </w:pPr>
      <w:r>
        <w:rPr>
          <w:noProof/>
        </w:rPr>
        <w:t xml:space="preserve">Nové rozpočtové položky, jejichž vytvoření se požaduje </w:t>
      </w:r>
    </w:p>
    <w:p w:rsidR="00FC6891" w:rsidRDefault="005F1CD3">
      <w:pPr>
        <w:pStyle w:val="Text1"/>
        <w:rPr>
          <w:i/>
          <w:noProof/>
          <w:sz w:val="20"/>
        </w:rPr>
      </w:pPr>
      <w:r>
        <w:rPr>
          <w:i/>
          <w:noProof/>
          <w:u w:val="single"/>
        </w:rPr>
        <w:t>V pořadí</w:t>
      </w:r>
      <w:r>
        <w:rPr>
          <w:i/>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FC6891">
        <w:tc>
          <w:tcPr>
            <w:tcW w:w="1080" w:type="dxa"/>
            <w:vMerge w:val="restart"/>
            <w:vAlign w:val="center"/>
          </w:tcPr>
          <w:p w:rsidR="00FC6891" w:rsidRDefault="005F1CD3">
            <w:pPr>
              <w:spacing w:before="60" w:after="60"/>
              <w:jc w:val="center"/>
              <w:rPr>
                <w:noProof/>
                <w:sz w:val="18"/>
                <w:szCs w:val="18"/>
              </w:rPr>
            </w:pPr>
            <w:r>
              <w:rPr>
                <w:noProof/>
                <w:sz w:val="18"/>
              </w:rPr>
              <w:t>Okruh víceletého finančního rámce</w:t>
            </w:r>
          </w:p>
        </w:tc>
        <w:tc>
          <w:tcPr>
            <w:tcW w:w="3960" w:type="dxa"/>
            <w:vAlign w:val="center"/>
          </w:tcPr>
          <w:p w:rsidR="00FC6891" w:rsidRDefault="005F1CD3">
            <w:pPr>
              <w:spacing w:before="60" w:after="60"/>
              <w:jc w:val="center"/>
              <w:rPr>
                <w:noProof/>
              </w:rPr>
            </w:pPr>
            <w:r>
              <w:rPr>
                <w:noProof/>
                <w:sz w:val="20"/>
              </w:rPr>
              <w:t>Rozpočtová položka</w:t>
            </w:r>
          </w:p>
        </w:tc>
        <w:tc>
          <w:tcPr>
            <w:tcW w:w="1080" w:type="dxa"/>
            <w:vAlign w:val="center"/>
          </w:tcPr>
          <w:p w:rsidR="00FC6891" w:rsidRDefault="005F1CD3">
            <w:pPr>
              <w:spacing w:before="60" w:after="60"/>
              <w:jc w:val="center"/>
              <w:rPr>
                <w:noProof/>
              </w:rPr>
            </w:pPr>
            <w:r>
              <w:rPr>
                <w:noProof/>
                <w:sz w:val="18"/>
              </w:rPr>
              <w:t>Druhvýdaje</w:t>
            </w:r>
          </w:p>
        </w:tc>
        <w:tc>
          <w:tcPr>
            <w:tcW w:w="4440" w:type="dxa"/>
            <w:gridSpan w:val="4"/>
            <w:vAlign w:val="center"/>
          </w:tcPr>
          <w:p w:rsidR="00FC6891" w:rsidRDefault="005F1CD3">
            <w:pPr>
              <w:spacing w:before="60" w:after="60"/>
              <w:jc w:val="center"/>
              <w:rPr>
                <w:noProof/>
              </w:rPr>
            </w:pPr>
            <w:r>
              <w:rPr>
                <w:noProof/>
                <w:sz w:val="20"/>
              </w:rPr>
              <w:t xml:space="preserve">Příspěvek </w:t>
            </w:r>
          </w:p>
        </w:tc>
      </w:tr>
      <w:tr w:rsidR="00FC6891">
        <w:tc>
          <w:tcPr>
            <w:tcW w:w="1080" w:type="dxa"/>
            <w:vMerge/>
            <w:vAlign w:val="center"/>
          </w:tcPr>
          <w:p w:rsidR="00FC6891" w:rsidRDefault="00FC6891">
            <w:pPr>
              <w:jc w:val="center"/>
              <w:rPr>
                <w:noProof/>
              </w:rPr>
            </w:pPr>
          </w:p>
        </w:tc>
        <w:tc>
          <w:tcPr>
            <w:tcW w:w="3960" w:type="dxa"/>
            <w:vAlign w:val="center"/>
          </w:tcPr>
          <w:p w:rsidR="00FC6891" w:rsidRDefault="005F1CD3">
            <w:pPr>
              <w:rPr>
                <w:noProof/>
              </w:rPr>
            </w:pPr>
            <w:r>
              <w:rPr>
                <w:noProof/>
                <w:sz w:val="20"/>
              </w:rPr>
              <w:t>1a Konkurenceschopnost pro růst a zaměstnanost</w:t>
            </w:r>
          </w:p>
        </w:tc>
        <w:tc>
          <w:tcPr>
            <w:tcW w:w="1080" w:type="dxa"/>
            <w:vAlign w:val="center"/>
          </w:tcPr>
          <w:p w:rsidR="00FC6891" w:rsidRDefault="005F1CD3">
            <w:pPr>
              <w:jc w:val="center"/>
              <w:rPr>
                <w:noProof/>
              </w:rPr>
            </w:pPr>
            <w:r>
              <w:rPr>
                <w:noProof/>
                <w:sz w:val="18"/>
              </w:rPr>
              <w:t>RP/NRP</w:t>
            </w:r>
          </w:p>
        </w:tc>
        <w:tc>
          <w:tcPr>
            <w:tcW w:w="956" w:type="dxa"/>
            <w:vAlign w:val="center"/>
          </w:tcPr>
          <w:p w:rsidR="00FC6891" w:rsidRDefault="005F1CD3">
            <w:pPr>
              <w:jc w:val="center"/>
              <w:rPr>
                <w:noProof/>
                <w:sz w:val="18"/>
              </w:rPr>
            </w:pPr>
            <w:r>
              <w:rPr>
                <w:noProof/>
                <w:sz w:val="18"/>
              </w:rPr>
              <w:t>zemí ESVO</w:t>
            </w:r>
          </w:p>
        </w:tc>
        <w:tc>
          <w:tcPr>
            <w:tcW w:w="1080" w:type="dxa"/>
            <w:vAlign w:val="center"/>
          </w:tcPr>
          <w:p w:rsidR="00FC6891" w:rsidRDefault="005F1CD3">
            <w:pPr>
              <w:jc w:val="center"/>
              <w:rPr>
                <w:noProof/>
                <w:sz w:val="18"/>
              </w:rPr>
            </w:pPr>
            <w:r>
              <w:rPr>
                <w:noProof/>
                <w:sz w:val="18"/>
              </w:rPr>
              <w:t>kandidátských zemí</w:t>
            </w:r>
          </w:p>
        </w:tc>
        <w:tc>
          <w:tcPr>
            <w:tcW w:w="956" w:type="dxa"/>
            <w:vAlign w:val="center"/>
          </w:tcPr>
          <w:p w:rsidR="00FC6891" w:rsidRDefault="005F1CD3">
            <w:pPr>
              <w:jc w:val="center"/>
              <w:rPr>
                <w:noProof/>
                <w:sz w:val="18"/>
              </w:rPr>
            </w:pPr>
            <w:r>
              <w:rPr>
                <w:noProof/>
                <w:sz w:val="18"/>
              </w:rPr>
              <w:t>třetích zemí</w:t>
            </w:r>
          </w:p>
        </w:tc>
        <w:tc>
          <w:tcPr>
            <w:tcW w:w="1448" w:type="dxa"/>
            <w:vAlign w:val="center"/>
          </w:tcPr>
          <w:p w:rsidR="00FC6891" w:rsidRDefault="005F1CD3">
            <w:pPr>
              <w:jc w:val="center"/>
              <w:rPr>
                <w:noProof/>
              </w:rPr>
            </w:pPr>
            <w:r>
              <w:rPr>
                <w:noProof/>
                <w:sz w:val="16"/>
              </w:rPr>
              <w:t>ve smyslu čl. 21 odst. </w:t>
            </w:r>
            <w:r>
              <w:rPr>
                <w:noProof/>
                <w:sz w:val="16"/>
              </w:rPr>
              <w:t xml:space="preserve">2 písm. b) finančního nařízení </w:t>
            </w:r>
          </w:p>
        </w:tc>
      </w:tr>
      <w:tr w:rsidR="00FC6891">
        <w:tc>
          <w:tcPr>
            <w:tcW w:w="1080" w:type="dxa"/>
            <w:vAlign w:val="center"/>
          </w:tcPr>
          <w:p w:rsidR="00FC6891" w:rsidRDefault="00FC6891">
            <w:pPr>
              <w:jc w:val="center"/>
              <w:rPr>
                <w:noProof/>
                <w:color w:val="0000FF"/>
              </w:rPr>
            </w:pPr>
          </w:p>
        </w:tc>
        <w:tc>
          <w:tcPr>
            <w:tcW w:w="3960" w:type="dxa"/>
            <w:vAlign w:val="center"/>
          </w:tcPr>
          <w:p w:rsidR="00FC6891" w:rsidRDefault="005F1CD3">
            <w:pPr>
              <w:spacing w:after="60"/>
              <w:rPr>
                <w:noProof/>
              </w:rPr>
            </w:pPr>
            <w:r>
              <w:rPr>
                <w:b/>
                <w:noProof/>
                <w:sz w:val="20"/>
              </w:rPr>
              <w:t xml:space="preserve">09 03 04 Wireless for EU (W4EU)  </w:t>
            </w:r>
          </w:p>
        </w:tc>
        <w:tc>
          <w:tcPr>
            <w:tcW w:w="1080" w:type="dxa"/>
            <w:vAlign w:val="center"/>
          </w:tcPr>
          <w:p w:rsidR="00FC6891" w:rsidRDefault="005F1CD3">
            <w:pPr>
              <w:jc w:val="center"/>
              <w:rPr>
                <w:noProof/>
              </w:rPr>
            </w:pPr>
            <w:r>
              <w:rPr>
                <w:noProof/>
              </w:rPr>
              <w:t>RP</w:t>
            </w:r>
          </w:p>
        </w:tc>
        <w:tc>
          <w:tcPr>
            <w:tcW w:w="956" w:type="dxa"/>
            <w:vAlign w:val="center"/>
          </w:tcPr>
          <w:p w:rsidR="00FC6891" w:rsidRDefault="005F1CD3">
            <w:pPr>
              <w:jc w:val="center"/>
              <w:rPr>
                <w:noProof/>
              </w:rPr>
            </w:pPr>
            <w:r>
              <w:rPr>
                <w:noProof/>
                <w:sz w:val="22"/>
              </w:rPr>
              <w:t>ANO</w:t>
            </w:r>
          </w:p>
        </w:tc>
        <w:tc>
          <w:tcPr>
            <w:tcW w:w="1080" w:type="dxa"/>
            <w:vAlign w:val="center"/>
          </w:tcPr>
          <w:p w:rsidR="00FC6891" w:rsidRDefault="005F1CD3">
            <w:pPr>
              <w:jc w:val="center"/>
              <w:rPr>
                <w:noProof/>
                <w:color w:val="0000FF"/>
                <w:sz w:val="18"/>
              </w:rPr>
            </w:pPr>
            <w:r>
              <w:rPr>
                <w:noProof/>
                <w:sz w:val="22"/>
              </w:rPr>
              <w:t>NE</w:t>
            </w:r>
          </w:p>
        </w:tc>
        <w:tc>
          <w:tcPr>
            <w:tcW w:w="956" w:type="dxa"/>
            <w:vAlign w:val="center"/>
          </w:tcPr>
          <w:p w:rsidR="00FC6891" w:rsidRDefault="005F1CD3">
            <w:pPr>
              <w:jc w:val="center"/>
              <w:rPr>
                <w:noProof/>
                <w:color w:val="0000FF"/>
                <w:sz w:val="18"/>
              </w:rPr>
            </w:pPr>
            <w:r>
              <w:rPr>
                <w:noProof/>
                <w:sz w:val="22"/>
              </w:rPr>
              <w:t>NE</w:t>
            </w:r>
          </w:p>
        </w:tc>
        <w:tc>
          <w:tcPr>
            <w:tcW w:w="1448" w:type="dxa"/>
            <w:vAlign w:val="center"/>
          </w:tcPr>
          <w:p w:rsidR="00FC6891" w:rsidRDefault="005F1CD3">
            <w:pPr>
              <w:jc w:val="center"/>
              <w:rPr>
                <w:noProof/>
              </w:rPr>
            </w:pPr>
            <w:r>
              <w:rPr>
                <w:noProof/>
                <w:sz w:val="22"/>
              </w:rPr>
              <w:t>NE</w:t>
            </w:r>
          </w:p>
        </w:tc>
      </w:tr>
    </w:tbl>
    <w:p w:rsidR="00FC6891" w:rsidRDefault="00FC6891">
      <w:pPr>
        <w:rPr>
          <w:noProof/>
        </w:rPr>
        <w:sectPr w:rsidR="00FC6891" w:rsidSect="005F1CD3">
          <w:pgSz w:w="11907" w:h="16840" w:code="1"/>
          <w:pgMar w:top="1134" w:right="1418" w:bottom="1134" w:left="1418" w:header="709" w:footer="709" w:gutter="0"/>
          <w:cols w:space="708"/>
          <w:docGrid w:linePitch="360"/>
        </w:sectPr>
      </w:pPr>
    </w:p>
    <w:p w:rsidR="00FC6891" w:rsidRDefault="005F1CD3">
      <w:pPr>
        <w:pStyle w:val="ManualHeading2"/>
        <w:rPr>
          <w:bCs/>
          <w:noProof/>
          <w:szCs w:val="24"/>
        </w:rPr>
      </w:pPr>
      <w:r>
        <w:t>3.2.</w:t>
      </w:r>
      <w:r>
        <w:tab/>
      </w:r>
      <w:r>
        <w:rPr>
          <w:noProof/>
        </w:rPr>
        <w:t xml:space="preserve">Odhadovaný dopad na výdaje </w:t>
      </w:r>
    </w:p>
    <w:p w:rsidR="00FC6891" w:rsidRDefault="005F1CD3">
      <w:pPr>
        <w:pStyle w:val="Text1"/>
        <w:rPr>
          <w:noProof/>
        </w:rPr>
      </w:pPr>
      <w:r>
        <w:rPr>
          <w:noProof/>
          <w:highlight w:val="lightGray"/>
        </w:rPr>
        <w:t xml:space="preserve">[Tento oddíl se vyplní pomocí </w:t>
      </w:r>
      <w:hyperlink r:id="rId13">
        <w:r>
          <w:rPr>
            <w:rStyle w:val="Hyperlink"/>
            <w:rFonts w:ascii="Times New Roman" w:hAnsi="Times New Roman"/>
            <w:b/>
            <w:noProof/>
            <w:highlight w:val="lightGray"/>
          </w:rPr>
          <w:t>tabulky rozpočtových údajů správní povahy</w:t>
        </w:r>
      </w:hyperlink>
      <w:r>
        <w:rPr>
          <w:noProof/>
          <w:highlight w:val="lightGray"/>
        </w:rPr>
        <w:t xml:space="preserve"> (druhý dokument v příloze tohoto finančního výkazu) a pro účely konzultace mezi útvary se vloží do aplikace DECIDE.]</w:t>
      </w:r>
    </w:p>
    <w:p w:rsidR="00FC6891" w:rsidRDefault="005F1CD3">
      <w:pPr>
        <w:pStyle w:val="ManualHeading3"/>
        <w:rPr>
          <w:noProof/>
          <w:u w:val="single"/>
        </w:rPr>
      </w:pPr>
      <w:r>
        <w:t>3.2.1.</w:t>
      </w:r>
      <w:r>
        <w:tab/>
      </w:r>
      <w:r>
        <w:rPr>
          <w:noProof/>
        </w:rPr>
        <w:t xml:space="preserve">Odhadovaný souhrnný dopad na výdaje </w:t>
      </w:r>
    </w:p>
    <w:p w:rsidR="00FC6891" w:rsidRDefault="005F1CD3">
      <w:pPr>
        <w:jc w:val="right"/>
        <w:rPr>
          <w:noProof/>
          <w:sz w:val="20"/>
        </w:rPr>
      </w:pPr>
      <w:r>
        <w:rPr>
          <w:noProof/>
          <w:sz w:val="20"/>
        </w:rPr>
        <w:t>v milionech EUR (zaokrouhleno na tři desetinná místa)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9"/>
        <w:gridCol w:w="960"/>
        <w:gridCol w:w="7102"/>
      </w:tblGrid>
      <w:tr w:rsidR="00FC6891">
        <w:trPr>
          <w:jc w:val="center"/>
        </w:trPr>
        <w:tc>
          <w:tcPr>
            <w:tcW w:w="5579" w:type="dxa"/>
            <w:shd w:val="thinDiagStripe" w:color="C0C0C0" w:fill="auto"/>
            <w:vAlign w:val="center"/>
          </w:tcPr>
          <w:p w:rsidR="00FC6891" w:rsidRDefault="005F1CD3">
            <w:pPr>
              <w:spacing w:before="60" w:after="60"/>
              <w:jc w:val="center"/>
              <w:rPr>
                <w:b/>
                <w:noProof/>
              </w:rPr>
            </w:pPr>
            <w:r>
              <w:rPr>
                <w:b/>
                <w:noProof/>
              </w:rPr>
              <w:t>Okruh víceletého finančního</w:t>
            </w:r>
            <w:r>
              <w:rPr>
                <w:noProof/>
                <w:sz w:val="22"/>
              </w:rPr>
              <w:br/>
            </w:r>
            <w:r>
              <w:rPr>
                <w:b/>
                <w:noProof/>
                <w:sz w:val="22"/>
              </w:rPr>
              <w:t xml:space="preserve">rámce </w:t>
            </w:r>
          </w:p>
        </w:tc>
        <w:tc>
          <w:tcPr>
            <w:tcW w:w="960" w:type="dxa"/>
            <w:vAlign w:val="center"/>
          </w:tcPr>
          <w:p w:rsidR="00FC6891" w:rsidRDefault="005F1CD3">
            <w:pPr>
              <w:spacing w:before="60" w:after="60"/>
              <w:jc w:val="center"/>
              <w:rPr>
                <w:b/>
                <w:noProof/>
                <w:sz w:val="22"/>
              </w:rPr>
            </w:pPr>
            <w:r>
              <w:rPr>
                <w:b/>
                <w:noProof/>
                <w:sz w:val="22"/>
              </w:rPr>
              <w:t>1a.</w:t>
            </w:r>
          </w:p>
        </w:tc>
        <w:tc>
          <w:tcPr>
            <w:tcW w:w="7102" w:type="dxa"/>
            <w:vAlign w:val="center"/>
          </w:tcPr>
          <w:p w:rsidR="00FC6891" w:rsidRDefault="005F1CD3">
            <w:pPr>
              <w:spacing w:before="60" w:after="60"/>
              <w:rPr>
                <w:noProof/>
              </w:rPr>
            </w:pPr>
            <w:r>
              <w:rPr>
                <w:noProof/>
              </w:rPr>
              <w:t xml:space="preserve"> </w:t>
            </w:r>
            <w:r>
              <w:rPr>
                <w:noProof/>
                <w:sz w:val="22"/>
              </w:rPr>
              <w:t>Konkurenceschopnost pro růst a zaměstnanost</w:t>
            </w:r>
          </w:p>
        </w:tc>
      </w:tr>
    </w:tbl>
    <w:p w:rsidR="00FC6891" w:rsidRDefault="00FC6891">
      <w:pPr>
        <w:rPr>
          <w:noProof/>
          <w:sz w:val="16"/>
        </w:rPr>
      </w:pPr>
    </w:p>
    <w:p w:rsidR="00FC6891" w:rsidRDefault="005F1CD3">
      <w:pPr>
        <w:pStyle w:val="Text1"/>
        <w:ind w:right="804"/>
        <w:rPr>
          <w:noProof/>
        </w:rPr>
      </w:pPr>
      <w:r>
        <w:rPr>
          <w:noProof/>
        </w:rPr>
        <w:t>Prostředky vyžadované tímto návrhem budou plně financovány ve víceletém finančním rámci na období 2014–2020. Jak je uvedeno níže, v rámci částek plánovaných pro telekomunikační složku Nástroje pro propojení Evropy v období 2017–2020 bude převedeno 70 milio</w:t>
      </w:r>
      <w:r>
        <w:rPr>
          <w:noProof/>
        </w:rPr>
        <w:t xml:space="preserve">nů EUR a 50 milionů EUR bude financováno z nepřiděleného rozpětí. </w:t>
      </w:r>
    </w:p>
    <w:p w:rsidR="00FC6891" w:rsidRDefault="00FC6891">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560"/>
        <w:gridCol w:w="1680"/>
        <w:gridCol w:w="1560"/>
        <w:gridCol w:w="1680"/>
        <w:gridCol w:w="1560"/>
      </w:tblGrid>
      <w:tr w:rsidR="00FC6891">
        <w:trPr>
          <w:trHeight w:val="416"/>
        </w:trPr>
        <w:tc>
          <w:tcPr>
            <w:tcW w:w="5520" w:type="dxa"/>
            <w:shd w:val="clear" w:color="auto" w:fill="auto"/>
          </w:tcPr>
          <w:p w:rsidR="00FC6891" w:rsidRDefault="005F1CD3">
            <w:pPr>
              <w:pStyle w:val="Text1"/>
              <w:ind w:left="0"/>
              <w:rPr>
                <w:b/>
                <w:noProof/>
                <w:sz w:val="18"/>
                <w:szCs w:val="18"/>
              </w:rPr>
            </w:pPr>
            <w:r>
              <w:rPr>
                <w:b/>
                <w:noProof/>
                <w:sz w:val="22"/>
              </w:rPr>
              <w:t>Zdroje financování iniciativy</w:t>
            </w:r>
          </w:p>
        </w:tc>
        <w:tc>
          <w:tcPr>
            <w:tcW w:w="1560" w:type="dxa"/>
          </w:tcPr>
          <w:p w:rsidR="00FC6891" w:rsidRDefault="005F1CD3">
            <w:pPr>
              <w:jc w:val="center"/>
              <w:rPr>
                <w:b/>
                <w:noProof/>
                <w:sz w:val="20"/>
              </w:rPr>
            </w:pPr>
            <w:r>
              <w:rPr>
                <w:b/>
                <w:noProof/>
                <w:sz w:val="20"/>
              </w:rPr>
              <w:t>2017</w:t>
            </w:r>
          </w:p>
        </w:tc>
        <w:tc>
          <w:tcPr>
            <w:tcW w:w="1680" w:type="dxa"/>
          </w:tcPr>
          <w:p w:rsidR="00FC6891" w:rsidRDefault="005F1CD3">
            <w:pPr>
              <w:jc w:val="center"/>
              <w:rPr>
                <w:b/>
                <w:noProof/>
                <w:sz w:val="20"/>
              </w:rPr>
            </w:pPr>
            <w:r>
              <w:rPr>
                <w:b/>
                <w:noProof/>
                <w:sz w:val="20"/>
              </w:rPr>
              <w:t>2018</w:t>
            </w:r>
          </w:p>
        </w:tc>
        <w:tc>
          <w:tcPr>
            <w:tcW w:w="1560" w:type="dxa"/>
            <w:shd w:val="clear" w:color="auto" w:fill="auto"/>
          </w:tcPr>
          <w:p w:rsidR="00FC6891" w:rsidRDefault="005F1CD3">
            <w:pPr>
              <w:jc w:val="center"/>
              <w:rPr>
                <w:b/>
                <w:noProof/>
                <w:sz w:val="20"/>
              </w:rPr>
            </w:pPr>
            <w:r>
              <w:rPr>
                <w:b/>
                <w:noProof/>
                <w:sz w:val="20"/>
              </w:rPr>
              <w:t>2019</w:t>
            </w:r>
          </w:p>
        </w:tc>
        <w:tc>
          <w:tcPr>
            <w:tcW w:w="1680" w:type="dxa"/>
            <w:shd w:val="clear" w:color="auto" w:fill="auto"/>
          </w:tcPr>
          <w:p w:rsidR="00FC6891" w:rsidRDefault="005F1CD3">
            <w:pPr>
              <w:jc w:val="center"/>
              <w:rPr>
                <w:b/>
                <w:noProof/>
                <w:sz w:val="20"/>
              </w:rPr>
            </w:pPr>
            <w:r>
              <w:rPr>
                <w:b/>
                <w:noProof/>
                <w:sz w:val="20"/>
              </w:rPr>
              <w:t>2020</w:t>
            </w:r>
          </w:p>
        </w:tc>
        <w:tc>
          <w:tcPr>
            <w:tcW w:w="1560" w:type="dxa"/>
            <w:shd w:val="clear" w:color="auto" w:fill="auto"/>
          </w:tcPr>
          <w:p w:rsidR="00FC6891" w:rsidRDefault="005F1CD3">
            <w:pPr>
              <w:jc w:val="center"/>
              <w:rPr>
                <w:b/>
                <w:noProof/>
                <w:sz w:val="20"/>
              </w:rPr>
            </w:pPr>
            <w:r>
              <w:rPr>
                <w:b/>
                <w:noProof/>
                <w:sz w:val="20"/>
              </w:rPr>
              <w:t>Celkem</w:t>
            </w:r>
          </w:p>
        </w:tc>
      </w:tr>
      <w:tr w:rsidR="00FC6891">
        <w:trPr>
          <w:trHeight w:val="488"/>
        </w:trPr>
        <w:tc>
          <w:tcPr>
            <w:tcW w:w="5520" w:type="dxa"/>
            <w:shd w:val="clear" w:color="auto" w:fill="auto"/>
            <w:vAlign w:val="center"/>
          </w:tcPr>
          <w:p w:rsidR="00FC6891" w:rsidRDefault="005F1CD3">
            <w:pPr>
              <w:pStyle w:val="Text1"/>
              <w:ind w:left="0"/>
              <w:jc w:val="left"/>
              <w:rPr>
                <w:b/>
                <w:noProof/>
                <w:sz w:val="20"/>
                <w:szCs w:val="18"/>
              </w:rPr>
            </w:pPr>
            <w:r>
              <w:rPr>
                <w:b/>
                <w:noProof/>
                <w:sz w:val="20"/>
              </w:rPr>
              <w:t xml:space="preserve">09 03 02 Vytvoření prostředí příznivějšího pro soukromé investice do projektů telekomunikační infrastruktury – Širokopásmové </w:t>
            </w:r>
            <w:r>
              <w:rPr>
                <w:b/>
                <w:noProof/>
                <w:sz w:val="20"/>
              </w:rPr>
              <w:t>připojení v rámci Nástroje pro propojení Evropy</w:t>
            </w:r>
          </w:p>
        </w:tc>
        <w:tc>
          <w:tcPr>
            <w:tcW w:w="1560" w:type="dxa"/>
            <w:vAlign w:val="center"/>
          </w:tcPr>
          <w:p w:rsidR="00FC6891" w:rsidRDefault="005F1CD3">
            <w:pPr>
              <w:pStyle w:val="Text1"/>
              <w:ind w:left="0"/>
              <w:jc w:val="left"/>
              <w:rPr>
                <w:noProof/>
                <w:sz w:val="18"/>
                <w:szCs w:val="18"/>
              </w:rPr>
            </w:pPr>
            <w:r>
              <w:rPr>
                <w:noProof/>
                <w:sz w:val="18"/>
              </w:rPr>
              <w:t>19 422</w:t>
            </w:r>
          </w:p>
        </w:tc>
        <w:tc>
          <w:tcPr>
            <w:tcW w:w="1680" w:type="dxa"/>
            <w:vAlign w:val="center"/>
          </w:tcPr>
          <w:p w:rsidR="00FC6891" w:rsidRDefault="005F1CD3">
            <w:pPr>
              <w:pStyle w:val="Text1"/>
              <w:ind w:left="0"/>
              <w:jc w:val="left"/>
              <w:rPr>
                <w:noProof/>
                <w:sz w:val="18"/>
                <w:szCs w:val="18"/>
              </w:rPr>
            </w:pPr>
            <w:r>
              <w:rPr>
                <w:noProof/>
                <w:sz w:val="18"/>
              </w:rPr>
              <w:t>19 967</w:t>
            </w:r>
          </w:p>
        </w:tc>
        <w:tc>
          <w:tcPr>
            <w:tcW w:w="1560" w:type="dxa"/>
            <w:shd w:val="clear" w:color="auto" w:fill="auto"/>
            <w:vAlign w:val="center"/>
          </w:tcPr>
          <w:p w:rsidR="00FC6891" w:rsidRDefault="00FC6891">
            <w:pPr>
              <w:pStyle w:val="Text1"/>
              <w:ind w:left="0"/>
              <w:jc w:val="left"/>
              <w:rPr>
                <w:noProof/>
                <w:sz w:val="18"/>
                <w:szCs w:val="18"/>
              </w:rPr>
            </w:pPr>
          </w:p>
        </w:tc>
        <w:tc>
          <w:tcPr>
            <w:tcW w:w="1680" w:type="dxa"/>
            <w:shd w:val="clear" w:color="auto" w:fill="auto"/>
            <w:vAlign w:val="center"/>
          </w:tcPr>
          <w:p w:rsidR="00FC6891" w:rsidRDefault="00FC6891">
            <w:pPr>
              <w:pStyle w:val="Text1"/>
              <w:ind w:left="0"/>
              <w:jc w:val="left"/>
              <w:rPr>
                <w:noProof/>
                <w:sz w:val="18"/>
                <w:szCs w:val="18"/>
              </w:rPr>
            </w:pPr>
          </w:p>
        </w:tc>
        <w:tc>
          <w:tcPr>
            <w:tcW w:w="1560" w:type="dxa"/>
            <w:shd w:val="clear" w:color="auto" w:fill="auto"/>
            <w:vAlign w:val="center"/>
          </w:tcPr>
          <w:p w:rsidR="00FC6891" w:rsidRDefault="005F1CD3">
            <w:pPr>
              <w:pStyle w:val="Text1"/>
              <w:ind w:left="0"/>
              <w:jc w:val="left"/>
              <w:rPr>
                <w:noProof/>
                <w:sz w:val="18"/>
                <w:szCs w:val="18"/>
              </w:rPr>
            </w:pPr>
            <w:r>
              <w:rPr>
                <w:noProof/>
                <w:sz w:val="18"/>
              </w:rPr>
              <w:t>39 389</w:t>
            </w:r>
          </w:p>
        </w:tc>
      </w:tr>
      <w:tr w:rsidR="00FC6891">
        <w:trPr>
          <w:trHeight w:val="801"/>
        </w:trPr>
        <w:tc>
          <w:tcPr>
            <w:tcW w:w="5520" w:type="dxa"/>
            <w:shd w:val="clear" w:color="auto" w:fill="auto"/>
            <w:vAlign w:val="center"/>
          </w:tcPr>
          <w:p w:rsidR="00FC6891" w:rsidRDefault="005F1CD3">
            <w:pPr>
              <w:jc w:val="left"/>
              <w:rPr>
                <w:b/>
                <w:noProof/>
                <w:sz w:val="20"/>
                <w:szCs w:val="18"/>
              </w:rPr>
            </w:pPr>
            <w:r>
              <w:rPr>
                <w:b/>
                <w:noProof/>
                <w:sz w:val="20"/>
              </w:rPr>
              <w:t>09 03 03 Podpora interoperability, udržitelného zavádění, provozu a modernizace transevropských infrastruktur digitálních služeb, jakož i koordinace na evropské úrovni</w:t>
            </w:r>
          </w:p>
        </w:tc>
        <w:tc>
          <w:tcPr>
            <w:tcW w:w="1560" w:type="dxa"/>
            <w:vAlign w:val="center"/>
          </w:tcPr>
          <w:p w:rsidR="00FC6891" w:rsidRDefault="005F1CD3">
            <w:pPr>
              <w:pStyle w:val="Text1"/>
              <w:ind w:left="0"/>
              <w:jc w:val="left"/>
              <w:rPr>
                <w:noProof/>
                <w:sz w:val="18"/>
                <w:szCs w:val="18"/>
              </w:rPr>
            </w:pPr>
            <w:r>
              <w:rPr>
                <w:noProof/>
                <w:sz w:val="18"/>
              </w:rPr>
              <w:t>0,578</w:t>
            </w:r>
          </w:p>
        </w:tc>
        <w:tc>
          <w:tcPr>
            <w:tcW w:w="1680" w:type="dxa"/>
            <w:vAlign w:val="center"/>
          </w:tcPr>
          <w:p w:rsidR="00FC6891" w:rsidRDefault="00FC6891">
            <w:pPr>
              <w:pStyle w:val="Text1"/>
              <w:ind w:left="0"/>
              <w:jc w:val="left"/>
              <w:rPr>
                <w:noProof/>
                <w:sz w:val="18"/>
                <w:szCs w:val="18"/>
              </w:rPr>
            </w:pPr>
          </w:p>
        </w:tc>
        <w:tc>
          <w:tcPr>
            <w:tcW w:w="1560" w:type="dxa"/>
            <w:shd w:val="clear" w:color="auto" w:fill="auto"/>
            <w:vAlign w:val="center"/>
          </w:tcPr>
          <w:p w:rsidR="00FC6891" w:rsidRDefault="00FC6891">
            <w:pPr>
              <w:pStyle w:val="Text1"/>
              <w:ind w:left="0"/>
              <w:jc w:val="left"/>
              <w:rPr>
                <w:noProof/>
                <w:sz w:val="18"/>
                <w:szCs w:val="18"/>
              </w:rPr>
            </w:pPr>
          </w:p>
        </w:tc>
        <w:tc>
          <w:tcPr>
            <w:tcW w:w="1680" w:type="dxa"/>
            <w:shd w:val="clear" w:color="auto" w:fill="auto"/>
            <w:vAlign w:val="center"/>
          </w:tcPr>
          <w:p w:rsidR="00FC6891" w:rsidRDefault="005F1CD3">
            <w:pPr>
              <w:pStyle w:val="Text1"/>
              <w:ind w:left="0"/>
              <w:jc w:val="left"/>
              <w:rPr>
                <w:noProof/>
                <w:sz w:val="18"/>
                <w:szCs w:val="18"/>
              </w:rPr>
            </w:pPr>
            <w:r>
              <w:rPr>
                <w:noProof/>
                <w:sz w:val="18"/>
              </w:rPr>
              <w:t>0,350</w:t>
            </w:r>
          </w:p>
        </w:tc>
        <w:tc>
          <w:tcPr>
            <w:tcW w:w="1560" w:type="dxa"/>
            <w:shd w:val="clear" w:color="auto" w:fill="auto"/>
            <w:vAlign w:val="center"/>
          </w:tcPr>
          <w:p w:rsidR="00FC6891" w:rsidRDefault="005F1CD3">
            <w:pPr>
              <w:pStyle w:val="Text1"/>
              <w:ind w:left="0"/>
              <w:jc w:val="left"/>
              <w:rPr>
                <w:noProof/>
                <w:sz w:val="18"/>
                <w:szCs w:val="18"/>
              </w:rPr>
            </w:pPr>
            <w:r>
              <w:rPr>
                <w:noProof/>
                <w:sz w:val="18"/>
              </w:rPr>
              <w:t>0,928</w:t>
            </w:r>
          </w:p>
        </w:tc>
      </w:tr>
      <w:tr w:rsidR="00FC6891">
        <w:trPr>
          <w:trHeight w:val="464"/>
        </w:trPr>
        <w:tc>
          <w:tcPr>
            <w:tcW w:w="5520" w:type="dxa"/>
            <w:shd w:val="clear" w:color="auto" w:fill="auto"/>
            <w:vAlign w:val="center"/>
          </w:tcPr>
          <w:p w:rsidR="00FC6891" w:rsidRDefault="005F1CD3">
            <w:pPr>
              <w:jc w:val="left"/>
              <w:rPr>
                <w:b/>
                <w:noProof/>
                <w:sz w:val="20"/>
                <w:szCs w:val="18"/>
              </w:rPr>
            </w:pPr>
            <w:r>
              <w:rPr>
                <w:b/>
                <w:noProof/>
                <w:sz w:val="20"/>
              </w:rPr>
              <w:t>04 02 01 Vedoucí postavení v informačních a komunikačních technologiích (LEIT)</w:t>
            </w:r>
          </w:p>
        </w:tc>
        <w:tc>
          <w:tcPr>
            <w:tcW w:w="1560" w:type="dxa"/>
            <w:vAlign w:val="center"/>
          </w:tcPr>
          <w:p w:rsidR="00FC6891" w:rsidRDefault="00FC6891">
            <w:pPr>
              <w:pStyle w:val="Text1"/>
              <w:ind w:left="0"/>
              <w:jc w:val="left"/>
              <w:rPr>
                <w:noProof/>
                <w:sz w:val="18"/>
                <w:szCs w:val="18"/>
              </w:rPr>
            </w:pPr>
          </w:p>
        </w:tc>
        <w:tc>
          <w:tcPr>
            <w:tcW w:w="1680" w:type="dxa"/>
            <w:vAlign w:val="center"/>
          </w:tcPr>
          <w:p w:rsidR="00FC6891" w:rsidRDefault="005F1CD3">
            <w:pPr>
              <w:pStyle w:val="Text1"/>
              <w:ind w:left="0"/>
              <w:jc w:val="left"/>
              <w:rPr>
                <w:noProof/>
                <w:sz w:val="18"/>
                <w:szCs w:val="18"/>
              </w:rPr>
            </w:pPr>
            <w:r>
              <w:rPr>
                <w:noProof/>
                <w:sz w:val="18"/>
              </w:rPr>
              <w:t>30,033</w:t>
            </w:r>
            <w:r>
              <w:rPr>
                <w:rStyle w:val="FootnoteReference"/>
                <w:noProof/>
                <w:sz w:val="18"/>
              </w:rPr>
              <w:footnoteReference w:id="21"/>
            </w:r>
          </w:p>
        </w:tc>
        <w:tc>
          <w:tcPr>
            <w:tcW w:w="1560" w:type="dxa"/>
            <w:shd w:val="clear" w:color="auto" w:fill="auto"/>
            <w:vAlign w:val="center"/>
          </w:tcPr>
          <w:p w:rsidR="00FC6891" w:rsidRDefault="00FC6891">
            <w:pPr>
              <w:pStyle w:val="Text1"/>
              <w:ind w:left="0"/>
              <w:jc w:val="left"/>
              <w:rPr>
                <w:noProof/>
                <w:sz w:val="18"/>
                <w:szCs w:val="18"/>
              </w:rPr>
            </w:pPr>
          </w:p>
        </w:tc>
        <w:tc>
          <w:tcPr>
            <w:tcW w:w="1680" w:type="dxa"/>
            <w:shd w:val="clear" w:color="auto" w:fill="auto"/>
            <w:vAlign w:val="center"/>
          </w:tcPr>
          <w:p w:rsidR="00FC6891" w:rsidRDefault="00FC6891">
            <w:pPr>
              <w:pStyle w:val="Text1"/>
              <w:ind w:left="0"/>
              <w:jc w:val="left"/>
              <w:rPr>
                <w:noProof/>
                <w:sz w:val="18"/>
                <w:szCs w:val="18"/>
              </w:rPr>
            </w:pPr>
          </w:p>
        </w:tc>
        <w:tc>
          <w:tcPr>
            <w:tcW w:w="1560" w:type="dxa"/>
            <w:shd w:val="clear" w:color="auto" w:fill="auto"/>
            <w:vAlign w:val="center"/>
          </w:tcPr>
          <w:p w:rsidR="00FC6891" w:rsidRDefault="005F1CD3">
            <w:pPr>
              <w:pStyle w:val="Text1"/>
              <w:ind w:left="0"/>
              <w:jc w:val="left"/>
              <w:rPr>
                <w:noProof/>
                <w:sz w:val="18"/>
                <w:szCs w:val="18"/>
              </w:rPr>
            </w:pPr>
            <w:r>
              <w:rPr>
                <w:noProof/>
                <w:sz w:val="18"/>
              </w:rPr>
              <w:t>30 033</w:t>
            </w:r>
          </w:p>
        </w:tc>
      </w:tr>
      <w:tr w:rsidR="00FC6891">
        <w:trPr>
          <w:trHeight w:val="464"/>
        </w:trPr>
        <w:tc>
          <w:tcPr>
            <w:tcW w:w="5520" w:type="dxa"/>
            <w:shd w:val="clear" w:color="auto" w:fill="auto"/>
            <w:vAlign w:val="center"/>
          </w:tcPr>
          <w:p w:rsidR="00FC6891" w:rsidRDefault="005F1CD3">
            <w:pPr>
              <w:jc w:val="left"/>
              <w:rPr>
                <w:b/>
                <w:noProof/>
                <w:sz w:val="20"/>
                <w:szCs w:val="18"/>
              </w:rPr>
            </w:pPr>
            <w:r>
              <w:rPr>
                <w:b/>
                <w:noProof/>
                <w:sz w:val="20"/>
              </w:rPr>
              <w:t>Nepřidělené rozpětí okruhu 1</w:t>
            </w:r>
          </w:p>
        </w:tc>
        <w:tc>
          <w:tcPr>
            <w:tcW w:w="1560" w:type="dxa"/>
            <w:vAlign w:val="center"/>
          </w:tcPr>
          <w:p w:rsidR="00FC6891" w:rsidRDefault="00FC6891">
            <w:pPr>
              <w:pStyle w:val="Text1"/>
              <w:ind w:left="0"/>
              <w:jc w:val="left"/>
              <w:rPr>
                <w:noProof/>
                <w:sz w:val="18"/>
                <w:szCs w:val="18"/>
              </w:rPr>
            </w:pPr>
          </w:p>
        </w:tc>
        <w:tc>
          <w:tcPr>
            <w:tcW w:w="1680" w:type="dxa"/>
            <w:vAlign w:val="center"/>
          </w:tcPr>
          <w:p w:rsidR="00FC6891" w:rsidRDefault="00FC6891">
            <w:pPr>
              <w:pStyle w:val="Text1"/>
              <w:ind w:left="0"/>
              <w:jc w:val="left"/>
              <w:rPr>
                <w:noProof/>
                <w:sz w:val="18"/>
                <w:szCs w:val="18"/>
              </w:rPr>
            </w:pPr>
          </w:p>
        </w:tc>
        <w:tc>
          <w:tcPr>
            <w:tcW w:w="1560" w:type="dxa"/>
            <w:shd w:val="clear" w:color="auto" w:fill="auto"/>
            <w:vAlign w:val="center"/>
          </w:tcPr>
          <w:p w:rsidR="00FC6891" w:rsidRDefault="005F1CD3">
            <w:pPr>
              <w:pStyle w:val="Text1"/>
              <w:ind w:left="0"/>
              <w:jc w:val="left"/>
              <w:rPr>
                <w:noProof/>
                <w:sz w:val="18"/>
                <w:szCs w:val="18"/>
              </w:rPr>
            </w:pPr>
            <w:r>
              <w:rPr>
                <w:noProof/>
                <w:sz w:val="18"/>
              </w:rPr>
              <w:t>49 650</w:t>
            </w:r>
          </w:p>
        </w:tc>
        <w:tc>
          <w:tcPr>
            <w:tcW w:w="1680" w:type="dxa"/>
            <w:shd w:val="clear" w:color="auto" w:fill="auto"/>
            <w:vAlign w:val="center"/>
          </w:tcPr>
          <w:p w:rsidR="00FC6891" w:rsidRDefault="00FC6891">
            <w:pPr>
              <w:pStyle w:val="Text1"/>
              <w:ind w:left="0"/>
              <w:jc w:val="left"/>
              <w:rPr>
                <w:noProof/>
                <w:sz w:val="18"/>
                <w:szCs w:val="18"/>
              </w:rPr>
            </w:pPr>
          </w:p>
        </w:tc>
        <w:tc>
          <w:tcPr>
            <w:tcW w:w="1560" w:type="dxa"/>
            <w:shd w:val="clear" w:color="auto" w:fill="auto"/>
            <w:vAlign w:val="center"/>
          </w:tcPr>
          <w:p w:rsidR="00FC6891" w:rsidRDefault="005F1CD3">
            <w:pPr>
              <w:pStyle w:val="Text1"/>
              <w:ind w:left="0"/>
              <w:jc w:val="left"/>
              <w:rPr>
                <w:noProof/>
                <w:sz w:val="18"/>
                <w:szCs w:val="18"/>
              </w:rPr>
            </w:pPr>
            <w:r>
              <w:rPr>
                <w:noProof/>
                <w:sz w:val="18"/>
              </w:rPr>
              <w:t>49 650</w:t>
            </w:r>
          </w:p>
        </w:tc>
      </w:tr>
      <w:tr w:rsidR="00FC6891">
        <w:trPr>
          <w:trHeight w:val="344"/>
        </w:trPr>
        <w:tc>
          <w:tcPr>
            <w:tcW w:w="5520" w:type="dxa"/>
            <w:shd w:val="clear" w:color="auto" w:fill="auto"/>
            <w:vAlign w:val="center"/>
          </w:tcPr>
          <w:p w:rsidR="00FC6891" w:rsidRDefault="005F1CD3">
            <w:pPr>
              <w:jc w:val="left"/>
              <w:rPr>
                <w:b/>
                <w:noProof/>
                <w:sz w:val="22"/>
                <w:szCs w:val="18"/>
              </w:rPr>
            </w:pPr>
            <w:r>
              <w:rPr>
                <w:b/>
                <w:caps/>
                <w:noProof/>
                <w:sz w:val="22"/>
              </w:rPr>
              <w:t xml:space="preserve">Celkem </w:t>
            </w:r>
          </w:p>
        </w:tc>
        <w:tc>
          <w:tcPr>
            <w:tcW w:w="1560" w:type="dxa"/>
            <w:vAlign w:val="center"/>
          </w:tcPr>
          <w:p w:rsidR="00FC6891" w:rsidRDefault="005F1CD3">
            <w:pPr>
              <w:pStyle w:val="Text1"/>
              <w:ind w:left="0"/>
              <w:jc w:val="left"/>
              <w:rPr>
                <w:b/>
                <w:noProof/>
                <w:sz w:val="22"/>
                <w:szCs w:val="18"/>
              </w:rPr>
            </w:pPr>
            <w:r>
              <w:rPr>
                <w:b/>
                <w:noProof/>
                <w:sz w:val="22"/>
              </w:rPr>
              <w:t>20 000</w:t>
            </w:r>
          </w:p>
        </w:tc>
        <w:tc>
          <w:tcPr>
            <w:tcW w:w="1680" w:type="dxa"/>
            <w:vAlign w:val="center"/>
          </w:tcPr>
          <w:p w:rsidR="00FC6891" w:rsidRDefault="005F1CD3">
            <w:pPr>
              <w:pStyle w:val="Text1"/>
              <w:ind w:left="0"/>
              <w:jc w:val="left"/>
              <w:rPr>
                <w:b/>
                <w:noProof/>
                <w:sz w:val="22"/>
                <w:szCs w:val="18"/>
              </w:rPr>
            </w:pPr>
            <w:r>
              <w:rPr>
                <w:b/>
                <w:noProof/>
                <w:sz w:val="22"/>
              </w:rPr>
              <w:t>50 000</w:t>
            </w:r>
          </w:p>
        </w:tc>
        <w:tc>
          <w:tcPr>
            <w:tcW w:w="1560" w:type="dxa"/>
            <w:shd w:val="clear" w:color="auto" w:fill="auto"/>
            <w:vAlign w:val="center"/>
          </w:tcPr>
          <w:p w:rsidR="00FC6891" w:rsidRDefault="005F1CD3">
            <w:pPr>
              <w:pStyle w:val="Text1"/>
              <w:ind w:left="0"/>
              <w:jc w:val="left"/>
              <w:rPr>
                <w:b/>
                <w:noProof/>
                <w:sz w:val="22"/>
                <w:szCs w:val="18"/>
              </w:rPr>
            </w:pPr>
            <w:r>
              <w:rPr>
                <w:b/>
                <w:noProof/>
                <w:sz w:val="22"/>
              </w:rPr>
              <w:t>49 650</w:t>
            </w:r>
          </w:p>
        </w:tc>
        <w:tc>
          <w:tcPr>
            <w:tcW w:w="1680" w:type="dxa"/>
            <w:shd w:val="clear" w:color="auto" w:fill="auto"/>
            <w:vAlign w:val="center"/>
          </w:tcPr>
          <w:p w:rsidR="00FC6891" w:rsidRDefault="005F1CD3">
            <w:pPr>
              <w:pStyle w:val="Text1"/>
              <w:ind w:left="0"/>
              <w:jc w:val="left"/>
              <w:rPr>
                <w:b/>
                <w:noProof/>
                <w:sz w:val="22"/>
                <w:szCs w:val="18"/>
              </w:rPr>
            </w:pPr>
            <w:r>
              <w:rPr>
                <w:b/>
                <w:noProof/>
                <w:sz w:val="22"/>
              </w:rPr>
              <w:t>0 350</w:t>
            </w:r>
          </w:p>
        </w:tc>
        <w:tc>
          <w:tcPr>
            <w:tcW w:w="1560" w:type="dxa"/>
            <w:shd w:val="clear" w:color="auto" w:fill="auto"/>
            <w:vAlign w:val="center"/>
          </w:tcPr>
          <w:p w:rsidR="00FC6891" w:rsidRDefault="005F1CD3">
            <w:pPr>
              <w:pStyle w:val="Text1"/>
              <w:ind w:left="0"/>
              <w:jc w:val="left"/>
              <w:rPr>
                <w:b/>
                <w:noProof/>
                <w:sz w:val="22"/>
                <w:szCs w:val="18"/>
              </w:rPr>
            </w:pPr>
            <w:r>
              <w:rPr>
                <w:b/>
                <w:noProof/>
                <w:sz w:val="22"/>
              </w:rPr>
              <w:t>120 000</w:t>
            </w:r>
          </w:p>
        </w:tc>
      </w:tr>
    </w:tbl>
    <w:p w:rsidR="00FC6891" w:rsidRDefault="00FC6891">
      <w:pPr>
        <w:rPr>
          <w:noProof/>
          <w:sz w:val="16"/>
        </w:rPr>
      </w:pPr>
    </w:p>
    <w:p w:rsidR="00FC6891" w:rsidRDefault="00FC6891">
      <w:pPr>
        <w:spacing w:before="0" w:after="0"/>
        <w:jc w:val="left"/>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320"/>
        <w:gridCol w:w="840"/>
        <w:gridCol w:w="1555"/>
        <w:gridCol w:w="1621"/>
        <w:gridCol w:w="1621"/>
        <w:gridCol w:w="1621"/>
        <w:gridCol w:w="1622"/>
      </w:tblGrid>
      <w:tr w:rsidR="00FC6891">
        <w:tc>
          <w:tcPr>
            <w:tcW w:w="3360" w:type="dxa"/>
            <w:vAlign w:val="center"/>
          </w:tcPr>
          <w:p w:rsidR="00FC6891" w:rsidRDefault="005F1CD3">
            <w:pPr>
              <w:ind w:left="612" w:hanging="600"/>
              <w:jc w:val="left"/>
              <w:rPr>
                <w:noProof/>
              </w:rPr>
            </w:pPr>
            <w:r>
              <w:rPr>
                <w:noProof/>
                <w:sz w:val="22"/>
              </w:rPr>
              <w:t xml:space="preserve">GŘ:  CNECT / </w:t>
            </w:r>
            <w:r>
              <w:rPr>
                <w:noProof/>
              </w:rPr>
              <w:t>MOVE</w:t>
            </w:r>
          </w:p>
        </w:tc>
        <w:tc>
          <w:tcPr>
            <w:tcW w:w="1320" w:type="dxa"/>
          </w:tcPr>
          <w:p w:rsidR="00FC6891" w:rsidRDefault="00FC6891">
            <w:pPr>
              <w:rPr>
                <w:noProof/>
                <w:sz w:val="20"/>
              </w:rPr>
            </w:pPr>
          </w:p>
        </w:tc>
        <w:tc>
          <w:tcPr>
            <w:tcW w:w="840" w:type="dxa"/>
          </w:tcPr>
          <w:p w:rsidR="00FC6891" w:rsidRDefault="00FC6891">
            <w:pPr>
              <w:jc w:val="center"/>
              <w:rPr>
                <w:noProof/>
                <w:sz w:val="20"/>
              </w:rPr>
            </w:pPr>
          </w:p>
        </w:tc>
        <w:tc>
          <w:tcPr>
            <w:tcW w:w="1555" w:type="dxa"/>
            <w:vAlign w:val="center"/>
          </w:tcPr>
          <w:p w:rsidR="00FC6891" w:rsidRDefault="005F1CD3">
            <w:pPr>
              <w:jc w:val="center"/>
              <w:rPr>
                <w:noProof/>
                <w:sz w:val="20"/>
              </w:rPr>
            </w:pPr>
            <w:r>
              <w:rPr>
                <w:b/>
                <w:noProof/>
                <w:sz w:val="20"/>
              </w:rPr>
              <w:t>2017</w:t>
            </w:r>
          </w:p>
        </w:tc>
        <w:tc>
          <w:tcPr>
            <w:tcW w:w="1621" w:type="dxa"/>
            <w:vAlign w:val="center"/>
          </w:tcPr>
          <w:p w:rsidR="00FC6891" w:rsidRDefault="005F1CD3">
            <w:pPr>
              <w:jc w:val="center"/>
              <w:rPr>
                <w:b/>
                <w:noProof/>
                <w:sz w:val="20"/>
              </w:rPr>
            </w:pPr>
            <w:r>
              <w:rPr>
                <w:b/>
                <w:noProof/>
                <w:sz w:val="20"/>
              </w:rPr>
              <w:t>2018</w:t>
            </w:r>
          </w:p>
        </w:tc>
        <w:tc>
          <w:tcPr>
            <w:tcW w:w="1621" w:type="dxa"/>
            <w:vAlign w:val="center"/>
          </w:tcPr>
          <w:p w:rsidR="00FC6891" w:rsidRDefault="005F1CD3">
            <w:pPr>
              <w:jc w:val="center"/>
              <w:rPr>
                <w:b/>
                <w:noProof/>
                <w:sz w:val="20"/>
              </w:rPr>
            </w:pPr>
            <w:r>
              <w:rPr>
                <w:b/>
                <w:noProof/>
                <w:sz w:val="20"/>
              </w:rPr>
              <w:t>2019</w:t>
            </w:r>
          </w:p>
        </w:tc>
        <w:tc>
          <w:tcPr>
            <w:tcW w:w="1621" w:type="dxa"/>
            <w:vAlign w:val="center"/>
          </w:tcPr>
          <w:p w:rsidR="00FC6891" w:rsidRDefault="005F1CD3">
            <w:pPr>
              <w:jc w:val="center"/>
              <w:rPr>
                <w:b/>
                <w:noProof/>
                <w:sz w:val="20"/>
              </w:rPr>
            </w:pPr>
            <w:r>
              <w:rPr>
                <w:b/>
                <w:noProof/>
                <w:sz w:val="20"/>
              </w:rPr>
              <w:t>2020</w:t>
            </w:r>
          </w:p>
        </w:tc>
        <w:tc>
          <w:tcPr>
            <w:tcW w:w="1622" w:type="dxa"/>
            <w:vAlign w:val="center"/>
          </w:tcPr>
          <w:p w:rsidR="00FC6891" w:rsidRDefault="005F1CD3">
            <w:pPr>
              <w:jc w:val="center"/>
              <w:rPr>
                <w:b/>
                <w:noProof/>
                <w:sz w:val="20"/>
              </w:rPr>
            </w:pPr>
            <w:r>
              <w:rPr>
                <w:b/>
                <w:noProof/>
                <w:sz w:val="20"/>
              </w:rPr>
              <w:t>CELKEM</w:t>
            </w:r>
          </w:p>
        </w:tc>
      </w:tr>
      <w:tr w:rsidR="00FC6891">
        <w:trPr>
          <w:trHeight w:val="213"/>
        </w:trPr>
        <w:tc>
          <w:tcPr>
            <w:tcW w:w="13560" w:type="dxa"/>
            <w:gridSpan w:val="8"/>
            <w:vAlign w:val="center"/>
          </w:tcPr>
          <w:p w:rsidR="00FC6891" w:rsidRDefault="005F1CD3">
            <w:pPr>
              <w:rPr>
                <w:b/>
                <w:noProof/>
                <w:sz w:val="20"/>
              </w:rPr>
            </w:pPr>
            <w:r>
              <w:rPr>
                <w:noProof/>
                <w:sz w:val="21"/>
              </w:rPr>
              <w:t xml:space="preserve">Operační </w:t>
            </w:r>
            <w:r>
              <w:rPr>
                <w:noProof/>
                <w:sz w:val="21"/>
              </w:rPr>
              <w:t>prostředky (v mil. EUR)</w:t>
            </w:r>
          </w:p>
        </w:tc>
      </w:tr>
      <w:tr w:rsidR="00FC6891">
        <w:trPr>
          <w:trHeight w:val="277"/>
        </w:trPr>
        <w:tc>
          <w:tcPr>
            <w:tcW w:w="3360" w:type="dxa"/>
            <w:vMerge w:val="restart"/>
            <w:vAlign w:val="center"/>
          </w:tcPr>
          <w:p w:rsidR="00FC6891" w:rsidRDefault="005F1CD3">
            <w:pPr>
              <w:rPr>
                <w:b/>
                <w:noProof/>
              </w:rPr>
            </w:pPr>
            <w:r>
              <w:rPr>
                <w:b/>
                <w:noProof/>
                <w:sz w:val="20"/>
              </w:rPr>
              <w:t xml:space="preserve">09 03 04 Wireless for EU (W4EU)  </w:t>
            </w:r>
          </w:p>
        </w:tc>
        <w:tc>
          <w:tcPr>
            <w:tcW w:w="1320" w:type="dxa"/>
            <w:vAlign w:val="center"/>
          </w:tcPr>
          <w:p w:rsidR="00FC6891" w:rsidRDefault="005F1CD3">
            <w:pPr>
              <w:spacing w:before="20" w:after="20"/>
              <w:rPr>
                <w:noProof/>
                <w:sz w:val="18"/>
              </w:rPr>
            </w:pPr>
            <w:r>
              <w:rPr>
                <w:noProof/>
                <w:sz w:val="18"/>
              </w:rPr>
              <w:t>Závazky</w:t>
            </w:r>
          </w:p>
        </w:tc>
        <w:tc>
          <w:tcPr>
            <w:tcW w:w="840" w:type="dxa"/>
            <w:vAlign w:val="center"/>
          </w:tcPr>
          <w:p w:rsidR="00FC6891" w:rsidRDefault="005F1CD3">
            <w:pPr>
              <w:spacing w:before="20" w:after="20"/>
              <w:jc w:val="center"/>
              <w:rPr>
                <w:noProof/>
                <w:sz w:val="14"/>
              </w:rPr>
            </w:pPr>
            <w:r>
              <w:rPr>
                <w:noProof/>
                <w:sz w:val="14"/>
              </w:rPr>
              <w:t>(1)</w:t>
            </w:r>
          </w:p>
        </w:tc>
        <w:tc>
          <w:tcPr>
            <w:tcW w:w="1555" w:type="dxa"/>
            <w:vAlign w:val="bottom"/>
          </w:tcPr>
          <w:p w:rsidR="00FC6891" w:rsidRDefault="005F1CD3">
            <w:pPr>
              <w:spacing w:before="20" w:after="20"/>
              <w:jc w:val="right"/>
              <w:rPr>
                <w:noProof/>
                <w:sz w:val="20"/>
                <w:szCs w:val="20"/>
              </w:rPr>
            </w:pPr>
            <w:r>
              <w:rPr>
                <w:noProof/>
                <w:color w:val="000000"/>
                <w:sz w:val="20"/>
              </w:rPr>
              <w:t>19 330</w:t>
            </w:r>
          </w:p>
        </w:tc>
        <w:tc>
          <w:tcPr>
            <w:tcW w:w="1621" w:type="dxa"/>
            <w:vAlign w:val="bottom"/>
          </w:tcPr>
          <w:p w:rsidR="00FC6891" w:rsidRDefault="005F1CD3">
            <w:pPr>
              <w:spacing w:before="20" w:after="20"/>
              <w:jc w:val="right"/>
              <w:rPr>
                <w:noProof/>
                <w:sz w:val="20"/>
                <w:szCs w:val="20"/>
              </w:rPr>
            </w:pPr>
            <w:r>
              <w:rPr>
                <w:noProof/>
                <w:color w:val="000000"/>
                <w:sz w:val="20"/>
              </w:rPr>
              <w:t>49 610</w:t>
            </w:r>
          </w:p>
        </w:tc>
        <w:tc>
          <w:tcPr>
            <w:tcW w:w="1621" w:type="dxa"/>
            <w:vAlign w:val="bottom"/>
          </w:tcPr>
          <w:p w:rsidR="00FC6891" w:rsidRDefault="005F1CD3">
            <w:pPr>
              <w:spacing w:before="20" w:after="20"/>
              <w:jc w:val="right"/>
              <w:rPr>
                <w:noProof/>
                <w:sz w:val="20"/>
                <w:szCs w:val="20"/>
              </w:rPr>
            </w:pPr>
            <w:r>
              <w:rPr>
                <w:noProof/>
                <w:color w:val="000000"/>
                <w:sz w:val="20"/>
              </w:rPr>
              <w:t>49 260</w:t>
            </w:r>
          </w:p>
        </w:tc>
        <w:tc>
          <w:tcPr>
            <w:tcW w:w="1621" w:type="dxa"/>
            <w:vAlign w:val="center"/>
          </w:tcPr>
          <w:p w:rsidR="00FC6891" w:rsidRDefault="00FC6891">
            <w:pPr>
              <w:spacing w:before="20" w:after="20"/>
              <w:jc w:val="right"/>
              <w:rPr>
                <w:noProof/>
                <w:sz w:val="20"/>
                <w:szCs w:val="20"/>
              </w:rPr>
            </w:pPr>
          </w:p>
        </w:tc>
        <w:tc>
          <w:tcPr>
            <w:tcW w:w="1622" w:type="dxa"/>
            <w:vAlign w:val="center"/>
          </w:tcPr>
          <w:p w:rsidR="00FC6891" w:rsidRDefault="005F1CD3">
            <w:pPr>
              <w:spacing w:before="20" w:after="20"/>
              <w:jc w:val="right"/>
              <w:rPr>
                <w:b/>
                <w:noProof/>
                <w:sz w:val="20"/>
                <w:szCs w:val="20"/>
              </w:rPr>
            </w:pPr>
            <w:r>
              <w:rPr>
                <w:b/>
                <w:noProof/>
                <w:sz w:val="20"/>
              </w:rPr>
              <w:t>118 200</w:t>
            </w:r>
          </w:p>
        </w:tc>
      </w:tr>
      <w:tr w:rsidR="00FC6891">
        <w:tc>
          <w:tcPr>
            <w:tcW w:w="3360" w:type="dxa"/>
            <w:vMerge/>
          </w:tcPr>
          <w:p w:rsidR="00FC6891" w:rsidRDefault="00FC6891">
            <w:pPr>
              <w:jc w:val="center"/>
              <w:rPr>
                <w:noProof/>
                <w:sz w:val="20"/>
              </w:rPr>
            </w:pPr>
          </w:p>
        </w:tc>
        <w:tc>
          <w:tcPr>
            <w:tcW w:w="1320" w:type="dxa"/>
            <w:vAlign w:val="center"/>
          </w:tcPr>
          <w:p w:rsidR="00FC6891" w:rsidRDefault="005F1CD3">
            <w:pPr>
              <w:spacing w:before="20" w:after="20"/>
              <w:rPr>
                <w:noProof/>
                <w:sz w:val="18"/>
              </w:rPr>
            </w:pPr>
            <w:r>
              <w:rPr>
                <w:noProof/>
                <w:sz w:val="18"/>
              </w:rPr>
              <w:t>Platby</w:t>
            </w:r>
          </w:p>
        </w:tc>
        <w:tc>
          <w:tcPr>
            <w:tcW w:w="840" w:type="dxa"/>
            <w:vAlign w:val="center"/>
          </w:tcPr>
          <w:p w:rsidR="00FC6891" w:rsidRDefault="005F1CD3">
            <w:pPr>
              <w:spacing w:before="20" w:after="20"/>
              <w:jc w:val="center"/>
              <w:rPr>
                <w:noProof/>
                <w:sz w:val="14"/>
              </w:rPr>
            </w:pPr>
            <w:r>
              <w:rPr>
                <w:noProof/>
                <w:sz w:val="14"/>
              </w:rPr>
              <w:t>(2)</w:t>
            </w:r>
          </w:p>
        </w:tc>
        <w:tc>
          <w:tcPr>
            <w:tcW w:w="1555" w:type="dxa"/>
            <w:vAlign w:val="bottom"/>
          </w:tcPr>
          <w:p w:rsidR="00FC6891" w:rsidRDefault="005F1CD3">
            <w:pPr>
              <w:spacing w:before="20" w:after="20"/>
              <w:jc w:val="right"/>
              <w:rPr>
                <w:noProof/>
                <w:sz w:val="20"/>
                <w:szCs w:val="20"/>
              </w:rPr>
            </w:pPr>
            <w:r>
              <w:rPr>
                <w:noProof/>
                <w:color w:val="000000"/>
                <w:sz w:val="20"/>
              </w:rPr>
              <w:t>0</w:t>
            </w:r>
          </w:p>
        </w:tc>
        <w:tc>
          <w:tcPr>
            <w:tcW w:w="1621" w:type="dxa"/>
            <w:vAlign w:val="bottom"/>
          </w:tcPr>
          <w:p w:rsidR="00FC6891" w:rsidRDefault="005F1CD3">
            <w:pPr>
              <w:spacing w:before="20" w:after="20"/>
              <w:jc w:val="right"/>
              <w:rPr>
                <w:noProof/>
                <w:sz w:val="20"/>
                <w:szCs w:val="20"/>
              </w:rPr>
            </w:pPr>
            <w:r>
              <w:rPr>
                <w:noProof/>
                <w:color w:val="000000"/>
                <w:sz w:val="20"/>
              </w:rPr>
              <w:t>44 135</w:t>
            </w:r>
          </w:p>
        </w:tc>
        <w:tc>
          <w:tcPr>
            <w:tcW w:w="1621" w:type="dxa"/>
            <w:vAlign w:val="bottom"/>
          </w:tcPr>
          <w:p w:rsidR="00FC6891" w:rsidRDefault="005F1CD3">
            <w:pPr>
              <w:spacing w:before="20" w:after="20"/>
              <w:jc w:val="right"/>
              <w:rPr>
                <w:noProof/>
                <w:sz w:val="20"/>
                <w:szCs w:val="20"/>
              </w:rPr>
            </w:pPr>
            <w:r>
              <w:rPr>
                <w:noProof/>
                <w:color w:val="000000"/>
                <w:sz w:val="20"/>
              </w:rPr>
              <w:t>49 435</w:t>
            </w:r>
          </w:p>
        </w:tc>
        <w:tc>
          <w:tcPr>
            <w:tcW w:w="1621" w:type="dxa"/>
            <w:vAlign w:val="bottom"/>
          </w:tcPr>
          <w:p w:rsidR="00FC6891" w:rsidRDefault="005F1CD3">
            <w:pPr>
              <w:spacing w:before="20" w:after="20"/>
              <w:jc w:val="right"/>
              <w:rPr>
                <w:noProof/>
                <w:sz w:val="20"/>
                <w:szCs w:val="20"/>
              </w:rPr>
            </w:pPr>
            <w:r>
              <w:rPr>
                <w:noProof/>
                <w:color w:val="000000"/>
                <w:sz w:val="20"/>
              </w:rPr>
              <w:t>24 630</w:t>
            </w:r>
          </w:p>
        </w:tc>
        <w:tc>
          <w:tcPr>
            <w:tcW w:w="1622" w:type="dxa"/>
            <w:vAlign w:val="center"/>
          </w:tcPr>
          <w:p w:rsidR="00FC6891" w:rsidRDefault="005F1CD3">
            <w:pPr>
              <w:spacing w:before="20" w:after="20"/>
              <w:jc w:val="right"/>
              <w:rPr>
                <w:b/>
                <w:noProof/>
                <w:sz w:val="20"/>
                <w:szCs w:val="20"/>
              </w:rPr>
            </w:pPr>
            <w:r>
              <w:rPr>
                <w:b/>
                <w:noProof/>
                <w:sz w:val="20"/>
              </w:rPr>
              <w:t>118 200</w:t>
            </w:r>
          </w:p>
        </w:tc>
      </w:tr>
      <w:tr w:rsidR="00FC6891">
        <w:trPr>
          <w:trHeight w:val="231"/>
        </w:trPr>
        <w:tc>
          <w:tcPr>
            <w:tcW w:w="13560" w:type="dxa"/>
            <w:gridSpan w:val="8"/>
            <w:vAlign w:val="center"/>
          </w:tcPr>
          <w:p w:rsidR="00FC6891" w:rsidRDefault="005F1CD3">
            <w:pPr>
              <w:rPr>
                <w:b/>
                <w:noProof/>
                <w:sz w:val="20"/>
                <w:szCs w:val="20"/>
              </w:rPr>
            </w:pPr>
            <w:r>
              <w:rPr>
                <w:noProof/>
                <w:sz w:val="20"/>
              </w:rPr>
              <w:t>Prostředky správní povahy financované z rámce na zvláštní programy</w:t>
            </w:r>
            <w:r>
              <w:rPr>
                <w:rStyle w:val="FootnoteReference"/>
                <w:noProof/>
                <w:sz w:val="20"/>
              </w:rPr>
              <w:footnoteReference w:id="22"/>
            </w:r>
            <w:r>
              <w:rPr>
                <w:noProof/>
                <w:sz w:val="20"/>
              </w:rPr>
              <w:t xml:space="preserve"> </w:t>
            </w:r>
          </w:p>
        </w:tc>
      </w:tr>
      <w:tr w:rsidR="00FC6891">
        <w:trPr>
          <w:trHeight w:val="488"/>
        </w:trPr>
        <w:tc>
          <w:tcPr>
            <w:tcW w:w="3360" w:type="dxa"/>
            <w:vMerge w:val="restart"/>
            <w:vAlign w:val="center"/>
          </w:tcPr>
          <w:p w:rsidR="00FC6891" w:rsidRDefault="005F1CD3">
            <w:pPr>
              <w:jc w:val="left"/>
              <w:rPr>
                <w:b/>
                <w:noProof/>
                <w:sz w:val="20"/>
              </w:rPr>
            </w:pPr>
            <w:r>
              <w:rPr>
                <w:b/>
                <w:noProof/>
                <w:sz w:val="20"/>
              </w:rPr>
              <w:t>06 01 06 01 Výkonná agentura pro inovace</w:t>
            </w:r>
            <w:r>
              <w:rPr>
                <w:b/>
                <w:noProof/>
                <w:sz w:val="20"/>
              </w:rPr>
              <w:t xml:space="preserve"> a sítě – příspěvek z Nástroje pro propojení Evropy</w:t>
            </w:r>
          </w:p>
        </w:tc>
        <w:tc>
          <w:tcPr>
            <w:tcW w:w="1320" w:type="dxa"/>
            <w:vAlign w:val="center"/>
          </w:tcPr>
          <w:p w:rsidR="00FC6891" w:rsidRDefault="005F1CD3">
            <w:pPr>
              <w:spacing w:before="0" w:after="0"/>
              <w:rPr>
                <w:noProof/>
                <w:sz w:val="18"/>
              </w:rPr>
            </w:pPr>
            <w:r>
              <w:rPr>
                <w:noProof/>
                <w:sz w:val="18"/>
              </w:rPr>
              <w:t>Závazky</w:t>
            </w:r>
          </w:p>
        </w:tc>
        <w:tc>
          <w:tcPr>
            <w:tcW w:w="840" w:type="dxa"/>
            <w:vAlign w:val="center"/>
          </w:tcPr>
          <w:p w:rsidR="00FC6891" w:rsidRDefault="00FC6891">
            <w:pPr>
              <w:spacing w:before="0" w:after="0"/>
              <w:jc w:val="center"/>
              <w:rPr>
                <w:noProof/>
                <w:sz w:val="14"/>
              </w:rPr>
            </w:pPr>
          </w:p>
        </w:tc>
        <w:tc>
          <w:tcPr>
            <w:tcW w:w="1555" w:type="dxa"/>
            <w:vAlign w:val="bottom"/>
          </w:tcPr>
          <w:p w:rsidR="00FC6891" w:rsidRDefault="005F1CD3">
            <w:pPr>
              <w:spacing w:before="0" w:after="0"/>
              <w:jc w:val="right"/>
              <w:rPr>
                <w:noProof/>
                <w:sz w:val="20"/>
                <w:szCs w:val="20"/>
              </w:rPr>
            </w:pPr>
            <w:r>
              <w:rPr>
                <w:noProof/>
                <w:color w:val="000000"/>
                <w:sz w:val="20"/>
              </w:rPr>
              <w:t>0,580</w:t>
            </w:r>
          </w:p>
        </w:tc>
        <w:tc>
          <w:tcPr>
            <w:tcW w:w="1621" w:type="dxa"/>
            <w:vAlign w:val="bottom"/>
          </w:tcPr>
          <w:p w:rsidR="00FC6891" w:rsidRDefault="005F1CD3">
            <w:pPr>
              <w:spacing w:before="0" w:after="0"/>
              <w:jc w:val="right"/>
              <w:rPr>
                <w:noProof/>
                <w:sz w:val="20"/>
                <w:szCs w:val="20"/>
              </w:rPr>
            </w:pPr>
            <w:r>
              <w:rPr>
                <w:noProof/>
                <w:color w:val="000000"/>
                <w:sz w:val="20"/>
              </w:rPr>
              <w:t>0,365</w:t>
            </w:r>
          </w:p>
        </w:tc>
        <w:tc>
          <w:tcPr>
            <w:tcW w:w="1621" w:type="dxa"/>
            <w:vAlign w:val="bottom"/>
          </w:tcPr>
          <w:p w:rsidR="00FC6891" w:rsidRDefault="005F1CD3">
            <w:pPr>
              <w:spacing w:before="0" w:after="0"/>
              <w:jc w:val="right"/>
              <w:rPr>
                <w:noProof/>
                <w:sz w:val="20"/>
                <w:szCs w:val="20"/>
              </w:rPr>
            </w:pPr>
            <w:r>
              <w:rPr>
                <w:noProof/>
                <w:color w:val="000000"/>
                <w:sz w:val="20"/>
              </w:rPr>
              <w:t>0,365</w:t>
            </w:r>
          </w:p>
        </w:tc>
        <w:tc>
          <w:tcPr>
            <w:tcW w:w="1621" w:type="dxa"/>
            <w:vAlign w:val="bottom"/>
          </w:tcPr>
          <w:p w:rsidR="00FC6891" w:rsidRDefault="005F1CD3">
            <w:pPr>
              <w:spacing w:before="0" w:after="0"/>
              <w:jc w:val="right"/>
              <w:rPr>
                <w:noProof/>
                <w:sz w:val="20"/>
                <w:szCs w:val="20"/>
              </w:rPr>
            </w:pPr>
            <w:r>
              <w:rPr>
                <w:noProof/>
                <w:color w:val="000000"/>
                <w:sz w:val="20"/>
              </w:rPr>
              <w:t>0,290</w:t>
            </w:r>
          </w:p>
        </w:tc>
        <w:tc>
          <w:tcPr>
            <w:tcW w:w="1622" w:type="dxa"/>
            <w:vAlign w:val="center"/>
          </w:tcPr>
          <w:p w:rsidR="00FC6891" w:rsidRDefault="005F1CD3">
            <w:pPr>
              <w:spacing w:before="0" w:after="0"/>
              <w:jc w:val="right"/>
              <w:rPr>
                <w:b/>
                <w:noProof/>
                <w:sz w:val="20"/>
                <w:szCs w:val="20"/>
              </w:rPr>
            </w:pPr>
            <w:r>
              <w:rPr>
                <w:b/>
                <w:noProof/>
                <w:sz w:val="20"/>
              </w:rPr>
              <w:t>1 600</w:t>
            </w:r>
          </w:p>
        </w:tc>
      </w:tr>
      <w:tr w:rsidR="00FC6891">
        <w:trPr>
          <w:trHeight w:val="344"/>
        </w:trPr>
        <w:tc>
          <w:tcPr>
            <w:tcW w:w="3360" w:type="dxa"/>
            <w:vMerge/>
            <w:vAlign w:val="center"/>
          </w:tcPr>
          <w:p w:rsidR="00FC6891" w:rsidRDefault="00FC6891">
            <w:pPr>
              <w:jc w:val="left"/>
              <w:rPr>
                <w:b/>
                <w:noProof/>
                <w:sz w:val="20"/>
              </w:rPr>
            </w:pPr>
          </w:p>
        </w:tc>
        <w:tc>
          <w:tcPr>
            <w:tcW w:w="1320" w:type="dxa"/>
            <w:vAlign w:val="center"/>
          </w:tcPr>
          <w:p w:rsidR="00FC6891" w:rsidRDefault="005F1CD3">
            <w:pPr>
              <w:spacing w:before="0" w:after="0"/>
              <w:rPr>
                <w:noProof/>
                <w:sz w:val="18"/>
              </w:rPr>
            </w:pPr>
            <w:r>
              <w:rPr>
                <w:noProof/>
                <w:sz w:val="18"/>
              </w:rPr>
              <w:t>Platby</w:t>
            </w:r>
          </w:p>
        </w:tc>
        <w:tc>
          <w:tcPr>
            <w:tcW w:w="840" w:type="dxa"/>
            <w:vAlign w:val="center"/>
          </w:tcPr>
          <w:p w:rsidR="00FC6891" w:rsidRDefault="00FC6891">
            <w:pPr>
              <w:spacing w:before="0" w:after="0"/>
              <w:jc w:val="center"/>
              <w:rPr>
                <w:noProof/>
                <w:sz w:val="14"/>
              </w:rPr>
            </w:pPr>
          </w:p>
        </w:tc>
        <w:tc>
          <w:tcPr>
            <w:tcW w:w="1555" w:type="dxa"/>
            <w:vAlign w:val="bottom"/>
          </w:tcPr>
          <w:p w:rsidR="00FC6891" w:rsidRDefault="005F1CD3">
            <w:pPr>
              <w:spacing w:before="0" w:after="0"/>
              <w:jc w:val="right"/>
              <w:rPr>
                <w:noProof/>
                <w:sz w:val="20"/>
                <w:szCs w:val="20"/>
              </w:rPr>
            </w:pPr>
            <w:r>
              <w:rPr>
                <w:noProof/>
                <w:color w:val="000000"/>
                <w:sz w:val="20"/>
              </w:rPr>
              <w:t>0,580</w:t>
            </w:r>
          </w:p>
        </w:tc>
        <w:tc>
          <w:tcPr>
            <w:tcW w:w="1621" w:type="dxa"/>
            <w:vAlign w:val="bottom"/>
          </w:tcPr>
          <w:p w:rsidR="00FC6891" w:rsidRDefault="005F1CD3">
            <w:pPr>
              <w:spacing w:before="0" w:after="0"/>
              <w:jc w:val="right"/>
              <w:rPr>
                <w:noProof/>
                <w:sz w:val="20"/>
                <w:szCs w:val="20"/>
              </w:rPr>
            </w:pPr>
            <w:r>
              <w:rPr>
                <w:noProof/>
                <w:color w:val="000000"/>
                <w:sz w:val="20"/>
              </w:rPr>
              <w:t>0,365</w:t>
            </w:r>
          </w:p>
        </w:tc>
        <w:tc>
          <w:tcPr>
            <w:tcW w:w="1621" w:type="dxa"/>
            <w:vAlign w:val="bottom"/>
          </w:tcPr>
          <w:p w:rsidR="00FC6891" w:rsidRDefault="005F1CD3">
            <w:pPr>
              <w:spacing w:before="0" w:after="0"/>
              <w:jc w:val="right"/>
              <w:rPr>
                <w:noProof/>
                <w:sz w:val="20"/>
                <w:szCs w:val="20"/>
              </w:rPr>
            </w:pPr>
            <w:r>
              <w:rPr>
                <w:noProof/>
                <w:color w:val="000000"/>
                <w:sz w:val="20"/>
              </w:rPr>
              <w:t>0,365</w:t>
            </w:r>
          </w:p>
        </w:tc>
        <w:tc>
          <w:tcPr>
            <w:tcW w:w="1621" w:type="dxa"/>
            <w:vAlign w:val="bottom"/>
          </w:tcPr>
          <w:p w:rsidR="00FC6891" w:rsidRDefault="005F1CD3">
            <w:pPr>
              <w:spacing w:before="0" w:after="0"/>
              <w:jc w:val="right"/>
              <w:rPr>
                <w:noProof/>
                <w:sz w:val="20"/>
                <w:szCs w:val="20"/>
              </w:rPr>
            </w:pPr>
            <w:r>
              <w:rPr>
                <w:noProof/>
                <w:color w:val="000000"/>
                <w:sz w:val="20"/>
              </w:rPr>
              <w:t>0,290</w:t>
            </w:r>
          </w:p>
        </w:tc>
        <w:tc>
          <w:tcPr>
            <w:tcW w:w="1622" w:type="dxa"/>
            <w:vAlign w:val="center"/>
          </w:tcPr>
          <w:p w:rsidR="00FC6891" w:rsidRDefault="005F1CD3">
            <w:pPr>
              <w:spacing w:before="0" w:after="0"/>
              <w:jc w:val="right"/>
              <w:rPr>
                <w:b/>
                <w:noProof/>
                <w:sz w:val="20"/>
                <w:szCs w:val="20"/>
              </w:rPr>
            </w:pPr>
            <w:r>
              <w:rPr>
                <w:b/>
                <w:noProof/>
                <w:sz w:val="20"/>
              </w:rPr>
              <w:t>1 600</w:t>
            </w:r>
          </w:p>
        </w:tc>
      </w:tr>
      <w:tr w:rsidR="00FC6891">
        <w:trPr>
          <w:trHeight w:val="512"/>
        </w:trPr>
        <w:tc>
          <w:tcPr>
            <w:tcW w:w="3360" w:type="dxa"/>
            <w:vMerge w:val="restart"/>
            <w:vAlign w:val="center"/>
          </w:tcPr>
          <w:p w:rsidR="00FC6891" w:rsidRDefault="005F1CD3">
            <w:pPr>
              <w:jc w:val="left"/>
              <w:rPr>
                <w:b/>
                <w:noProof/>
                <w:sz w:val="20"/>
              </w:rPr>
            </w:pPr>
            <w:r>
              <w:rPr>
                <w:b/>
                <w:noProof/>
                <w:sz w:val="20"/>
              </w:rPr>
              <w:t>09 01 04 01</w:t>
            </w:r>
            <w:r>
              <w:rPr>
                <w:noProof/>
                <w:sz w:val="20"/>
              </w:rPr>
              <w:t xml:space="preserve"> </w:t>
            </w:r>
            <w:r>
              <w:rPr>
                <w:b/>
                <w:noProof/>
                <w:sz w:val="20"/>
              </w:rPr>
              <w:t>Podpora výdajů pro Nástroj pro propojení Evropy (CEF)</w:t>
            </w:r>
          </w:p>
        </w:tc>
        <w:tc>
          <w:tcPr>
            <w:tcW w:w="1320" w:type="dxa"/>
            <w:vAlign w:val="center"/>
          </w:tcPr>
          <w:p w:rsidR="00FC6891" w:rsidRDefault="005F1CD3">
            <w:pPr>
              <w:spacing w:before="0" w:after="0"/>
              <w:rPr>
                <w:noProof/>
                <w:sz w:val="18"/>
              </w:rPr>
            </w:pPr>
            <w:r>
              <w:rPr>
                <w:noProof/>
                <w:sz w:val="18"/>
              </w:rPr>
              <w:t>Závazky</w:t>
            </w:r>
          </w:p>
        </w:tc>
        <w:tc>
          <w:tcPr>
            <w:tcW w:w="840" w:type="dxa"/>
            <w:vAlign w:val="center"/>
          </w:tcPr>
          <w:p w:rsidR="00FC6891" w:rsidRDefault="00FC6891">
            <w:pPr>
              <w:spacing w:before="0" w:after="0"/>
              <w:jc w:val="center"/>
              <w:rPr>
                <w:noProof/>
                <w:sz w:val="14"/>
              </w:rPr>
            </w:pPr>
          </w:p>
        </w:tc>
        <w:tc>
          <w:tcPr>
            <w:tcW w:w="1555" w:type="dxa"/>
            <w:vAlign w:val="bottom"/>
          </w:tcPr>
          <w:p w:rsidR="00FC6891" w:rsidRDefault="005F1CD3">
            <w:pPr>
              <w:spacing w:before="0" w:after="0"/>
              <w:jc w:val="right"/>
              <w:rPr>
                <w:noProof/>
                <w:sz w:val="20"/>
                <w:szCs w:val="20"/>
              </w:rPr>
            </w:pPr>
            <w:r>
              <w:rPr>
                <w:noProof/>
                <w:color w:val="000000"/>
                <w:sz w:val="20"/>
              </w:rPr>
              <w:t>0,090</w:t>
            </w:r>
          </w:p>
        </w:tc>
        <w:tc>
          <w:tcPr>
            <w:tcW w:w="1621" w:type="dxa"/>
            <w:vAlign w:val="bottom"/>
          </w:tcPr>
          <w:p w:rsidR="00FC6891" w:rsidRDefault="005F1CD3">
            <w:pPr>
              <w:spacing w:before="0" w:after="0"/>
              <w:jc w:val="right"/>
              <w:rPr>
                <w:noProof/>
                <w:sz w:val="20"/>
                <w:szCs w:val="20"/>
              </w:rPr>
            </w:pPr>
            <w:r>
              <w:rPr>
                <w:noProof/>
                <w:color w:val="000000"/>
                <w:sz w:val="20"/>
              </w:rPr>
              <w:t>0,025</w:t>
            </w:r>
          </w:p>
        </w:tc>
        <w:tc>
          <w:tcPr>
            <w:tcW w:w="1621" w:type="dxa"/>
            <w:vAlign w:val="bottom"/>
          </w:tcPr>
          <w:p w:rsidR="00FC6891" w:rsidRDefault="005F1CD3">
            <w:pPr>
              <w:spacing w:before="0" w:after="0"/>
              <w:jc w:val="right"/>
              <w:rPr>
                <w:noProof/>
                <w:sz w:val="20"/>
                <w:szCs w:val="20"/>
              </w:rPr>
            </w:pPr>
            <w:r>
              <w:rPr>
                <w:noProof/>
                <w:color w:val="000000"/>
                <w:sz w:val="20"/>
              </w:rPr>
              <w:t>0,025</w:t>
            </w:r>
          </w:p>
        </w:tc>
        <w:tc>
          <w:tcPr>
            <w:tcW w:w="1621" w:type="dxa"/>
            <w:vAlign w:val="bottom"/>
          </w:tcPr>
          <w:p w:rsidR="00FC6891" w:rsidRDefault="005F1CD3">
            <w:pPr>
              <w:spacing w:before="0" w:after="0"/>
              <w:jc w:val="right"/>
              <w:rPr>
                <w:noProof/>
                <w:sz w:val="20"/>
                <w:szCs w:val="20"/>
              </w:rPr>
            </w:pPr>
            <w:r>
              <w:rPr>
                <w:noProof/>
                <w:color w:val="000000"/>
                <w:sz w:val="20"/>
              </w:rPr>
              <w:t>0,060</w:t>
            </w:r>
          </w:p>
        </w:tc>
        <w:tc>
          <w:tcPr>
            <w:tcW w:w="1622" w:type="dxa"/>
            <w:vAlign w:val="bottom"/>
          </w:tcPr>
          <w:p w:rsidR="00FC6891" w:rsidRDefault="005F1CD3">
            <w:pPr>
              <w:spacing w:before="0" w:after="0"/>
              <w:jc w:val="right"/>
              <w:rPr>
                <w:b/>
                <w:noProof/>
                <w:sz w:val="20"/>
                <w:szCs w:val="20"/>
              </w:rPr>
            </w:pPr>
            <w:r>
              <w:rPr>
                <w:b/>
                <w:noProof/>
                <w:color w:val="000000"/>
                <w:sz w:val="20"/>
              </w:rPr>
              <w:t>0 200</w:t>
            </w:r>
          </w:p>
        </w:tc>
      </w:tr>
      <w:tr w:rsidR="00FC6891">
        <w:tc>
          <w:tcPr>
            <w:tcW w:w="3360" w:type="dxa"/>
            <w:vMerge/>
            <w:vAlign w:val="center"/>
          </w:tcPr>
          <w:p w:rsidR="00FC6891" w:rsidRDefault="00FC6891">
            <w:pPr>
              <w:jc w:val="left"/>
              <w:rPr>
                <w:b/>
                <w:noProof/>
              </w:rPr>
            </w:pPr>
          </w:p>
        </w:tc>
        <w:tc>
          <w:tcPr>
            <w:tcW w:w="1320" w:type="dxa"/>
            <w:vAlign w:val="center"/>
          </w:tcPr>
          <w:p w:rsidR="00FC6891" w:rsidRDefault="005F1CD3">
            <w:pPr>
              <w:spacing w:before="0" w:after="0"/>
              <w:rPr>
                <w:noProof/>
                <w:sz w:val="18"/>
              </w:rPr>
            </w:pPr>
            <w:r>
              <w:rPr>
                <w:noProof/>
                <w:sz w:val="18"/>
              </w:rPr>
              <w:t>Platby</w:t>
            </w:r>
          </w:p>
        </w:tc>
        <w:tc>
          <w:tcPr>
            <w:tcW w:w="840" w:type="dxa"/>
            <w:vAlign w:val="center"/>
          </w:tcPr>
          <w:p w:rsidR="00FC6891" w:rsidRDefault="00FC6891">
            <w:pPr>
              <w:spacing w:before="0" w:after="0"/>
              <w:jc w:val="center"/>
              <w:rPr>
                <w:noProof/>
                <w:sz w:val="14"/>
              </w:rPr>
            </w:pPr>
          </w:p>
        </w:tc>
        <w:tc>
          <w:tcPr>
            <w:tcW w:w="1555" w:type="dxa"/>
            <w:vAlign w:val="bottom"/>
          </w:tcPr>
          <w:p w:rsidR="00FC6891" w:rsidRDefault="005F1CD3">
            <w:pPr>
              <w:spacing w:before="0" w:after="0"/>
              <w:jc w:val="right"/>
              <w:rPr>
                <w:noProof/>
                <w:sz w:val="20"/>
                <w:szCs w:val="20"/>
              </w:rPr>
            </w:pPr>
            <w:r>
              <w:rPr>
                <w:noProof/>
                <w:color w:val="000000"/>
                <w:sz w:val="20"/>
              </w:rPr>
              <w:t>0,090</w:t>
            </w:r>
          </w:p>
        </w:tc>
        <w:tc>
          <w:tcPr>
            <w:tcW w:w="1621" w:type="dxa"/>
            <w:vAlign w:val="bottom"/>
          </w:tcPr>
          <w:p w:rsidR="00FC6891" w:rsidRDefault="005F1CD3">
            <w:pPr>
              <w:spacing w:before="0" w:after="0"/>
              <w:jc w:val="right"/>
              <w:rPr>
                <w:noProof/>
                <w:sz w:val="20"/>
                <w:szCs w:val="20"/>
              </w:rPr>
            </w:pPr>
            <w:r>
              <w:rPr>
                <w:noProof/>
                <w:color w:val="000000"/>
                <w:sz w:val="20"/>
              </w:rPr>
              <w:t>0,025</w:t>
            </w:r>
          </w:p>
        </w:tc>
        <w:tc>
          <w:tcPr>
            <w:tcW w:w="1621" w:type="dxa"/>
            <w:vAlign w:val="bottom"/>
          </w:tcPr>
          <w:p w:rsidR="00FC6891" w:rsidRDefault="005F1CD3">
            <w:pPr>
              <w:spacing w:before="0" w:after="0"/>
              <w:jc w:val="right"/>
              <w:rPr>
                <w:noProof/>
                <w:sz w:val="20"/>
                <w:szCs w:val="20"/>
              </w:rPr>
            </w:pPr>
            <w:r>
              <w:rPr>
                <w:noProof/>
                <w:color w:val="000000"/>
                <w:sz w:val="20"/>
              </w:rPr>
              <w:t>0,025</w:t>
            </w:r>
          </w:p>
        </w:tc>
        <w:tc>
          <w:tcPr>
            <w:tcW w:w="1621" w:type="dxa"/>
            <w:vAlign w:val="bottom"/>
          </w:tcPr>
          <w:p w:rsidR="00FC6891" w:rsidRDefault="005F1CD3">
            <w:pPr>
              <w:spacing w:before="0" w:after="0"/>
              <w:jc w:val="right"/>
              <w:rPr>
                <w:noProof/>
                <w:sz w:val="20"/>
                <w:szCs w:val="20"/>
              </w:rPr>
            </w:pPr>
            <w:r>
              <w:rPr>
                <w:noProof/>
                <w:color w:val="000000"/>
                <w:sz w:val="20"/>
              </w:rPr>
              <w:t>0,060</w:t>
            </w:r>
          </w:p>
        </w:tc>
        <w:tc>
          <w:tcPr>
            <w:tcW w:w="1622" w:type="dxa"/>
            <w:vAlign w:val="bottom"/>
          </w:tcPr>
          <w:p w:rsidR="00FC6891" w:rsidRDefault="005F1CD3">
            <w:pPr>
              <w:spacing w:before="0" w:after="0"/>
              <w:jc w:val="right"/>
              <w:rPr>
                <w:b/>
                <w:noProof/>
                <w:sz w:val="20"/>
                <w:szCs w:val="20"/>
              </w:rPr>
            </w:pPr>
            <w:r>
              <w:rPr>
                <w:b/>
                <w:noProof/>
                <w:color w:val="000000"/>
                <w:sz w:val="20"/>
              </w:rPr>
              <w:t>0 200</w:t>
            </w:r>
          </w:p>
        </w:tc>
      </w:tr>
      <w:tr w:rsidR="00FC6891">
        <w:trPr>
          <w:trHeight w:val="404"/>
        </w:trPr>
        <w:tc>
          <w:tcPr>
            <w:tcW w:w="3360" w:type="dxa"/>
            <w:vMerge w:val="restart"/>
            <w:vAlign w:val="center"/>
          </w:tcPr>
          <w:p w:rsidR="00FC6891" w:rsidRDefault="005F1CD3">
            <w:pPr>
              <w:jc w:val="left"/>
              <w:rPr>
                <w:b/>
                <w:noProof/>
              </w:rPr>
            </w:pPr>
            <w:r>
              <w:rPr>
                <w:b/>
                <w:noProof/>
              </w:rPr>
              <w:t>CELKEM prostředky</w:t>
            </w:r>
            <w:r>
              <w:rPr>
                <w:noProof/>
                <w:sz w:val="22"/>
              </w:rPr>
              <w:br/>
            </w:r>
            <w:r>
              <w:rPr>
                <w:b/>
                <w:noProof/>
                <w:sz w:val="22"/>
              </w:rPr>
              <w:t>pro GŘ CONNECT/MOVE</w:t>
            </w:r>
          </w:p>
        </w:tc>
        <w:tc>
          <w:tcPr>
            <w:tcW w:w="1320" w:type="dxa"/>
            <w:vAlign w:val="center"/>
          </w:tcPr>
          <w:p w:rsidR="00FC6891" w:rsidRDefault="005F1CD3">
            <w:pPr>
              <w:spacing w:before="0" w:after="0"/>
              <w:rPr>
                <w:noProof/>
                <w:sz w:val="18"/>
              </w:rPr>
            </w:pPr>
            <w:r>
              <w:rPr>
                <w:noProof/>
                <w:sz w:val="18"/>
              </w:rPr>
              <w:t>Závazky</w:t>
            </w:r>
          </w:p>
        </w:tc>
        <w:tc>
          <w:tcPr>
            <w:tcW w:w="840" w:type="dxa"/>
            <w:vAlign w:val="center"/>
          </w:tcPr>
          <w:p w:rsidR="00FC6891" w:rsidRDefault="005F1CD3">
            <w:pPr>
              <w:spacing w:before="0" w:after="0"/>
              <w:jc w:val="center"/>
              <w:rPr>
                <w:noProof/>
                <w:sz w:val="14"/>
              </w:rPr>
            </w:pPr>
            <w:r>
              <w:rPr>
                <w:noProof/>
                <w:sz w:val="14"/>
              </w:rPr>
              <w:t>=1+1a +3</w:t>
            </w:r>
          </w:p>
        </w:tc>
        <w:tc>
          <w:tcPr>
            <w:tcW w:w="1555" w:type="dxa"/>
            <w:vAlign w:val="bottom"/>
          </w:tcPr>
          <w:p w:rsidR="00FC6891" w:rsidRDefault="005F1CD3">
            <w:pPr>
              <w:spacing w:before="0" w:after="0"/>
              <w:jc w:val="right"/>
              <w:rPr>
                <w:b/>
                <w:noProof/>
                <w:sz w:val="20"/>
                <w:szCs w:val="20"/>
              </w:rPr>
            </w:pPr>
            <w:r>
              <w:rPr>
                <w:b/>
                <w:noProof/>
                <w:color w:val="000000"/>
                <w:sz w:val="20"/>
              </w:rPr>
              <w:t>20 000</w:t>
            </w:r>
          </w:p>
        </w:tc>
        <w:tc>
          <w:tcPr>
            <w:tcW w:w="1621" w:type="dxa"/>
            <w:vAlign w:val="bottom"/>
          </w:tcPr>
          <w:p w:rsidR="00FC6891" w:rsidRDefault="005F1CD3">
            <w:pPr>
              <w:spacing w:before="0" w:after="0"/>
              <w:jc w:val="right"/>
              <w:rPr>
                <w:b/>
                <w:noProof/>
                <w:sz w:val="20"/>
                <w:szCs w:val="20"/>
              </w:rPr>
            </w:pPr>
            <w:r>
              <w:rPr>
                <w:b/>
                <w:noProof/>
                <w:color w:val="000000"/>
                <w:sz w:val="20"/>
              </w:rPr>
              <w:t>50 000</w:t>
            </w:r>
          </w:p>
        </w:tc>
        <w:tc>
          <w:tcPr>
            <w:tcW w:w="1621" w:type="dxa"/>
            <w:vAlign w:val="bottom"/>
          </w:tcPr>
          <w:p w:rsidR="00FC6891" w:rsidRDefault="005F1CD3">
            <w:pPr>
              <w:spacing w:before="0" w:after="0"/>
              <w:jc w:val="right"/>
              <w:rPr>
                <w:b/>
                <w:noProof/>
                <w:sz w:val="20"/>
                <w:szCs w:val="20"/>
              </w:rPr>
            </w:pPr>
            <w:r>
              <w:rPr>
                <w:b/>
                <w:noProof/>
                <w:color w:val="000000"/>
                <w:sz w:val="20"/>
              </w:rPr>
              <w:t>49 650</w:t>
            </w:r>
          </w:p>
        </w:tc>
        <w:tc>
          <w:tcPr>
            <w:tcW w:w="1621" w:type="dxa"/>
            <w:vAlign w:val="bottom"/>
          </w:tcPr>
          <w:p w:rsidR="00FC6891" w:rsidRDefault="005F1CD3">
            <w:pPr>
              <w:spacing w:before="0" w:after="0"/>
              <w:jc w:val="right"/>
              <w:rPr>
                <w:b/>
                <w:noProof/>
                <w:sz w:val="20"/>
                <w:szCs w:val="20"/>
              </w:rPr>
            </w:pPr>
            <w:r>
              <w:rPr>
                <w:b/>
                <w:noProof/>
                <w:color w:val="000000"/>
                <w:sz w:val="20"/>
              </w:rPr>
              <w:t>0 350</w:t>
            </w:r>
          </w:p>
        </w:tc>
        <w:tc>
          <w:tcPr>
            <w:tcW w:w="1622" w:type="dxa"/>
            <w:vAlign w:val="center"/>
          </w:tcPr>
          <w:p w:rsidR="00FC6891" w:rsidRDefault="005F1CD3">
            <w:pPr>
              <w:spacing w:before="0" w:after="0"/>
              <w:jc w:val="right"/>
              <w:rPr>
                <w:b/>
                <w:noProof/>
                <w:sz w:val="20"/>
                <w:szCs w:val="20"/>
              </w:rPr>
            </w:pPr>
            <w:r>
              <w:rPr>
                <w:b/>
                <w:noProof/>
                <w:sz w:val="20"/>
              </w:rPr>
              <w:t>120 000</w:t>
            </w:r>
          </w:p>
        </w:tc>
      </w:tr>
      <w:tr w:rsidR="00FC6891">
        <w:trPr>
          <w:trHeight w:val="368"/>
        </w:trPr>
        <w:tc>
          <w:tcPr>
            <w:tcW w:w="3360" w:type="dxa"/>
            <w:vMerge/>
          </w:tcPr>
          <w:p w:rsidR="00FC6891" w:rsidRDefault="00FC6891">
            <w:pPr>
              <w:rPr>
                <w:noProof/>
                <w:sz w:val="20"/>
              </w:rPr>
            </w:pPr>
          </w:p>
        </w:tc>
        <w:tc>
          <w:tcPr>
            <w:tcW w:w="1320" w:type="dxa"/>
            <w:vAlign w:val="center"/>
          </w:tcPr>
          <w:p w:rsidR="00FC6891" w:rsidRDefault="005F1CD3">
            <w:pPr>
              <w:spacing w:before="0" w:after="0"/>
              <w:rPr>
                <w:noProof/>
                <w:sz w:val="18"/>
              </w:rPr>
            </w:pPr>
            <w:r>
              <w:rPr>
                <w:noProof/>
                <w:sz w:val="18"/>
              </w:rPr>
              <w:t>Platby</w:t>
            </w:r>
          </w:p>
        </w:tc>
        <w:tc>
          <w:tcPr>
            <w:tcW w:w="840" w:type="dxa"/>
            <w:vAlign w:val="center"/>
          </w:tcPr>
          <w:p w:rsidR="00FC6891" w:rsidRDefault="005F1CD3">
            <w:pPr>
              <w:spacing w:before="0" w:after="0"/>
              <w:jc w:val="center"/>
              <w:rPr>
                <w:noProof/>
                <w:sz w:val="14"/>
              </w:rPr>
            </w:pPr>
            <w:r>
              <w:rPr>
                <w:noProof/>
                <w:sz w:val="14"/>
              </w:rPr>
              <w:t>=2+2a</w:t>
            </w:r>
          </w:p>
          <w:p w:rsidR="00FC6891" w:rsidRDefault="005F1CD3">
            <w:pPr>
              <w:spacing w:before="0" w:after="0"/>
              <w:jc w:val="center"/>
              <w:rPr>
                <w:noProof/>
                <w:sz w:val="14"/>
              </w:rPr>
            </w:pPr>
            <w:r>
              <w:rPr>
                <w:noProof/>
                <w:sz w:val="14"/>
              </w:rPr>
              <w:t>+3</w:t>
            </w:r>
          </w:p>
        </w:tc>
        <w:tc>
          <w:tcPr>
            <w:tcW w:w="1555" w:type="dxa"/>
            <w:vAlign w:val="bottom"/>
          </w:tcPr>
          <w:p w:rsidR="00FC6891" w:rsidRDefault="005F1CD3">
            <w:pPr>
              <w:spacing w:before="0" w:after="0"/>
              <w:jc w:val="right"/>
              <w:rPr>
                <w:b/>
                <w:noProof/>
                <w:sz w:val="20"/>
                <w:szCs w:val="20"/>
              </w:rPr>
            </w:pPr>
            <w:r>
              <w:rPr>
                <w:b/>
                <w:noProof/>
                <w:color w:val="000000"/>
                <w:sz w:val="20"/>
              </w:rPr>
              <w:t>0 670</w:t>
            </w:r>
          </w:p>
        </w:tc>
        <w:tc>
          <w:tcPr>
            <w:tcW w:w="1621" w:type="dxa"/>
            <w:vAlign w:val="bottom"/>
          </w:tcPr>
          <w:p w:rsidR="00FC6891" w:rsidRDefault="005F1CD3">
            <w:pPr>
              <w:spacing w:before="0" w:after="0"/>
              <w:jc w:val="right"/>
              <w:rPr>
                <w:b/>
                <w:noProof/>
                <w:sz w:val="20"/>
                <w:szCs w:val="20"/>
              </w:rPr>
            </w:pPr>
            <w:r>
              <w:rPr>
                <w:b/>
                <w:noProof/>
                <w:color w:val="000000"/>
                <w:sz w:val="20"/>
              </w:rPr>
              <w:t>44 525</w:t>
            </w:r>
          </w:p>
        </w:tc>
        <w:tc>
          <w:tcPr>
            <w:tcW w:w="1621" w:type="dxa"/>
            <w:vAlign w:val="bottom"/>
          </w:tcPr>
          <w:p w:rsidR="00FC6891" w:rsidRDefault="005F1CD3">
            <w:pPr>
              <w:spacing w:before="0" w:after="0"/>
              <w:jc w:val="right"/>
              <w:rPr>
                <w:b/>
                <w:noProof/>
                <w:sz w:val="20"/>
                <w:szCs w:val="20"/>
              </w:rPr>
            </w:pPr>
            <w:r>
              <w:rPr>
                <w:b/>
                <w:noProof/>
                <w:color w:val="000000"/>
                <w:sz w:val="20"/>
              </w:rPr>
              <w:t>49 825</w:t>
            </w:r>
          </w:p>
        </w:tc>
        <w:tc>
          <w:tcPr>
            <w:tcW w:w="1621" w:type="dxa"/>
            <w:vAlign w:val="bottom"/>
          </w:tcPr>
          <w:p w:rsidR="00FC6891" w:rsidRDefault="005F1CD3">
            <w:pPr>
              <w:spacing w:before="0" w:after="0"/>
              <w:jc w:val="right"/>
              <w:rPr>
                <w:b/>
                <w:noProof/>
                <w:sz w:val="20"/>
                <w:szCs w:val="20"/>
              </w:rPr>
            </w:pPr>
            <w:r>
              <w:rPr>
                <w:b/>
                <w:noProof/>
                <w:color w:val="000000"/>
                <w:sz w:val="20"/>
              </w:rPr>
              <w:t>24 980</w:t>
            </w:r>
          </w:p>
        </w:tc>
        <w:tc>
          <w:tcPr>
            <w:tcW w:w="1622" w:type="dxa"/>
            <w:vAlign w:val="center"/>
          </w:tcPr>
          <w:p w:rsidR="00FC6891" w:rsidRDefault="005F1CD3">
            <w:pPr>
              <w:spacing w:before="0" w:after="0"/>
              <w:jc w:val="right"/>
              <w:rPr>
                <w:b/>
                <w:noProof/>
                <w:sz w:val="20"/>
                <w:szCs w:val="20"/>
              </w:rPr>
            </w:pPr>
            <w:r>
              <w:rPr>
                <w:b/>
                <w:noProof/>
                <w:sz w:val="20"/>
              </w:rPr>
              <w:t>120 000</w:t>
            </w:r>
          </w:p>
        </w:tc>
      </w:tr>
    </w:tbl>
    <w:p w:rsidR="00FC6891" w:rsidRDefault="005F1CD3">
      <w:pPr>
        <w:rPr>
          <w:noProof/>
        </w:rPr>
      </w:pPr>
      <w:r>
        <w:rPr>
          <w:noProof/>
        </w:rPr>
        <w:br/>
      </w:r>
    </w:p>
    <w:p w:rsidR="00FC6891" w:rsidRDefault="00FC6891">
      <w:pPr>
        <w:rPr>
          <w:strike/>
          <w:noProof/>
        </w:rPr>
      </w:pPr>
    </w:p>
    <w:p w:rsidR="00FC6891" w:rsidRDefault="005F1CD3">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C6891">
        <w:trPr>
          <w:jc w:val="center"/>
        </w:trPr>
        <w:tc>
          <w:tcPr>
            <w:tcW w:w="4744" w:type="dxa"/>
            <w:shd w:val="thinDiagStripe" w:color="C0C0C0" w:fill="auto"/>
            <w:vAlign w:val="center"/>
          </w:tcPr>
          <w:p w:rsidR="00FC6891" w:rsidRDefault="005F1CD3">
            <w:pPr>
              <w:spacing w:before="60" w:after="60"/>
              <w:jc w:val="center"/>
              <w:rPr>
                <w:b/>
                <w:noProof/>
              </w:rPr>
            </w:pPr>
            <w:r>
              <w:rPr>
                <w:noProof/>
              </w:rPr>
              <w:br w:type="page"/>
            </w:r>
            <w:r>
              <w:rPr>
                <w:b/>
                <w:noProof/>
              </w:rPr>
              <w:t>Okruh víceletého finančního</w:t>
            </w:r>
            <w:r>
              <w:rPr>
                <w:noProof/>
                <w:sz w:val="22"/>
              </w:rPr>
              <w:br/>
            </w:r>
            <w:r>
              <w:rPr>
                <w:b/>
                <w:noProof/>
                <w:sz w:val="22"/>
              </w:rPr>
              <w:t xml:space="preserve">rámce </w:t>
            </w:r>
          </w:p>
        </w:tc>
        <w:tc>
          <w:tcPr>
            <w:tcW w:w="1080" w:type="dxa"/>
            <w:shd w:val="thinDiagStripe" w:color="C0C0C0" w:fill="auto"/>
            <w:vAlign w:val="center"/>
          </w:tcPr>
          <w:p w:rsidR="00FC6891" w:rsidRDefault="005F1CD3">
            <w:pPr>
              <w:spacing w:before="60" w:after="60"/>
              <w:jc w:val="center"/>
              <w:rPr>
                <w:noProof/>
              </w:rPr>
            </w:pPr>
            <w:r>
              <w:rPr>
                <w:b/>
                <w:noProof/>
                <w:sz w:val="22"/>
              </w:rPr>
              <w:t>5</w:t>
            </w:r>
          </w:p>
        </w:tc>
        <w:tc>
          <w:tcPr>
            <w:tcW w:w="7817" w:type="dxa"/>
            <w:vAlign w:val="center"/>
          </w:tcPr>
          <w:p w:rsidR="00FC6891" w:rsidRDefault="005F1CD3">
            <w:pPr>
              <w:spacing w:before="60" w:after="60"/>
              <w:rPr>
                <w:noProof/>
              </w:rPr>
            </w:pPr>
            <w:r>
              <w:rPr>
                <w:noProof/>
                <w:sz w:val="22"/>
              </w:rPr>
              <w:t>Správní výdaje</w:t>
            </w:r>
          </w:p>
        </w:tc>
      </w:tr>
    </w:tbl>
    <w:p w:rsidR="00FC6891" w:rsidRDefault="005F1CD3">
      <w:pPr>
        <w:jc w:val="right"/>
        <w:rPr>
          <w:noProof/>
          <w:sz w:val="20"/>
        </w:rPr>
      </w:pPr>
      <w:r>
        <w:rPr>
          <w:noProof/>
          <w:sz w:val="20"/>
        </w:rPr>
        <w:t xml:space="preserve">v milionech EUR </w:t>
      </w:r>
      <w:r>
        <w:rPr>
          <w:noProof/>
          <w:sz w:val="20"/>
        </w:rPr>
        <w:t>(zaokrouhleno na tři desetinná místa)</w:t>
      </w:r>
    </w:p>
    <w:tbl>
      <w:tblPr>
        <w:tblW w:w="14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8"/>
        <w:gridCol w:w="2142"/>
        <w:gridCol w:w="1560"/>
        <w:gridCol w:w="1800"/>
        <w:gridCol w:w="1680"/>
        <w:gridCol w:w="1560"/>
        <w:gridCol w:w="1560"/>
      </w:tblGrid>
      <w:tr w:rsidR="00FC6891">
        <w:tc>
          <w:tcPr>
            <w:tcW w:w="6000" w:type="dxa"/>
            <w:gridSpan w:val="2"/>
            <w:tcBorders>
              <w:top w:val="nil"/>
              <w:left w:val="nil"/>
              <w:right w:val="nil"/>
            </w:tcBorders>
            <w:vAlign w:val="center"/>
          </w:tcPr>
          <w:p w:rsidR="00FC6891" w:rsidRDefault="00FC6891">
            <w:pPr>
              <w:jc w:val="center"/>
              <w:rPr>
                <w:noProof/>
              </w:rPr>
            </w:pPr>
          </w:p>
        </w:tc>
        <w:tc>
          <w:tcPr>
            <w:tcW w:w="1560" w:type="dxa"/>
            <w:vAlign w:val="center"/>
          </w:tcPr>
          <w:p w:rsidR="00FC6891" w:rsidRDefault="005F1CD3">
            <w:pPr>
              <w:jc w:val="center"/>
              <w:rPr>
                <w:noProof/>
                <w:sz w:val="20"/>
              </w:rPr>
            </w:pPr>
            <w:r>
              <w:rPr>
                <w:b/>
                <w:noProof/>
                <w:sz w:val="20"/>
              </w:rPr>
              <w:t>2017</w:t>
            </w:r>
          </w:p>
        </w:tc>
        <w:tc>
          <w:tcPr>
            <w:tcW w:w="1800" w:type="dxa"/>
            <w:vAlign w:val="center"/>
          </w:tcPr>
          <w:p w:rsidR="00FC6891" w:rsidRDefault="005F1CD3">
            <w:pPr>
              <w:jc w:val="center"/>
              <w:rPr>
                <w:noProof/>
                <w:sz w:val="20"/>
              </w:rPr>
            </w:pPr>
            <w:r>
              <w:rPr>
                <w:b/>
                <w:noProof/>
                <w:sz w:val="20"/>
              </w:rPr>
              <w:t>2018</w:t>
            </w:r>
          </w:p>
        </w:tc>
        <w:tc>
          <w:tcPr>
            <w:tcW w:w="1680" w:type="dxa"/>
            <w:vAlign w:val="center"/>
          </w:tcPr>
          <w:p w:rsidR="00FC6891" w:rsidRDefault="005F1CD3">
            <w:pPr>
              <w:jc w:val="center"/>
              <w:rPr>
                <w:noProof/>
                <w:sz w:val="20"/>
              </w:rPr>
            </w:pPr>
            <w:r>
              <w:rPr>
                <w:b/>
                <w:noProof/>
                <w:sz w:val="20"/>
              </w:rPr>
              <w:t>2019</w:t>
            </w:r>
          </w:p>
        </w:tc>
        <w:tc>
          <w:tcPr>
            <w:tcW w:w="1560" w:type="dxa"/>
            <w:vAlign w:val="center"/>
          </w:tcPr>
          <w:p w:rsidR="00FC6891" w:rsidRDefault="005F1CD3">
            <w:pPr>
              <w:jc w:val="center"/>
              <w:rPr>
                <w:noProof/>
                <w:sz w:val="20"/>
              </w:rPr>
            </w:pPr>
            <w:r>
              <w:rPr>
                <w:b/>
                <w:noProof/>
                <w:sz w:val="20"/>
              </w:rPr>
              <w:t>2020</w:t>
            </w:r>
          </w:p>
        </w:tc>
        <w:tc>
          <w:tcPr>
            <w:tcW w:w="1560" w:type="dxa"/>
            <w:vAlign w:val="center"/>
          </w:tcPr>
          <w:p w:rsidR="00FC6891" w:rsidRDefault="005F1CD3">
            <w:pPr>
              <w:jc w:val="center"/>
              <w:rPr>
                <w:b/>
                <w:noProof/>
                <w:sz w:val="20"/>
              </w:rPr>
            </w:pPr>
            <w:r>
              <w:rPr>
                <w:b/>
                <w:noProof/>
                <w:sz w:val="20"/>
              </w:rPr>
              <w:t>CELKEM</w:t>
            </w:r>
          </w:p>
        </w:tc>
      </w:tr>
      <w:tr w:rsidR="00FC6891">
        <w:trPr>
          <w:gridAfter w:val="5"/>
          <w:wAfter w:w="8160" w:type="dxa"/>
        </w:trPr>
        <w:tc>
          <w:tcPr>
            <w:tcW w:w="6000" w:type="dxa"/>
            <w:gridSpan w:val="2"/>
            <w:vAlign w:val="center"/>
          </w:tcPr>
          <w:p w:rsidR="00FC6891" w:rsidRDefault="005F1CD3">
            <w:pPr>
              <w:spacing w:before="60" w:after="60"/>
              <w:jc w:val="center"/>
              <w:rPr>
                <w:noProof/>
              </w:rPr>
            </w:pPr>
            <w:r>
              <w:rPr>
                <w:noProof/>
                <w:sz w:val="22"/>
              </w:rPr>
              <w:t>GŘ: &lt;CONNECT …….&gt;</w:t>
            </w:r>
          </w:p>
        </w:tc>
      </w:tr>
      <w:tr w:rsidR="00FC6891">
        <w:trPr>
          <w:trHeight w:val="313"/>
        </w:trPr>
        <w:tc>
          <w:tcPr>
            <w:tcW w:w="6000" w:type="dxa"/>
            <w:gridSpan w:val="2"/>
            <w:vAlign w:val="center"/>
          </w:tcPr>
          <w:p w:rsidR="00FC6891" w:rsidRDefault="005F1CD3">
            <w:pPr>
              <w:spacing w:before="20" w:after="20"/>
              <w:rPr>
                <w:noProof/>
              </w:rPr>
            </w:pPr>
            <w:r>
              <w:rPr>
                <w:noProof/>
                <w:sz w:val="22"/>
              </w:rPr>
              <w:sym w:font="Wingdings" w:char="F09F"/>
            </w:r>
            <w:r>
              <w:rPr>
                <w:noProof/>
              </w:rPr>
              <w:t>Lidské zdroje</w:t>
            </w:r>
          </w:p>
        </w:tc>
        <w:tc>
          <w:tcPr>
            <w:tcW w:w="1560" w:type="dxa"/>
            <w:vAlign w:val="center"/>
          </w:tcPr>
          <w:p w:rsidR="00FC6891" w:rsidRDefault="005F1CD3">
            <w:pPr>
              <w:spacing w:before="20" w:after="20"/>
              <w:jc w:val="right"/>
              <w:rPr>
                <w:noProof/>
                <w:sz w:val="20"/>
              </w:rPr>
            </w:pPr>
            <w:r>
              <w:rPr>
                <w:noProof/>
                <w:sz w:val="20"/>
              </w:rPr>
              <w:t>0,204</w:t>
            </w:r>
          </w:p>
        </w:tc>
        <w:tc>
          <w:tcPr>
            <w:tcW w:w="1800" w:type="dxa"/>
            <w:vAlign w:val="center"/>
          </w:tcPr>
          <w:p w:rsidR="00FC6891" w:rsidRDefault="005F1CD3">
            <w:pPr>
              <w:spacing w:before="20" w:after="20"/>
              <w:jc w:val="right"/>
              <w:rPr>
                <w:noProof/>
                <w:sz w:val="20"/>
              </w:rPr>
            </w:pPr>
            <w:r>
              <w:rPr>
                <w:noProof/>
                <w:sz w:val="20"/>
              </w:rPr>
              <w:t>0,204</w:t>
            </w:r>
          </w:p>
        </w:tc>
        <w:tc>
          <w:tcPr>
            <w:tcW w:w="1680" w:type="dxa"/>
            <w:vAlign w:val="center"/>
          </w:tcPr>
          <w:p w:rsidR="00FC6891" w:rsidRDefault="005F1CD3">
            <w:pPr>
              <w:spacing w:before="20" w:after="20"/>
              <w:jc w:val="right"/>
              <w:rPr>
                <w:noProof/>
                <w:sz w:val="20"/>
              </w:rPr>
            </w:pPr>
            <w:r>
              <w:rPr>
                <w:noProof/>
                <w:sz w:val="20"/>
              </w:rPr>
              <w:t>0,204</w:t>
            </w:r>
          </w:p>
        </w:tc>
        <w:tc>
          <w:tcPr>
            <w:tcW w:w="1560" w:type="dxa"/>
            <w:vAlign w:val="center"/>
          </w:tcPr>
          <w:p w:rsidR="00FC6891" w:rsidRDefault="005F1CD3">
            <w:pPr>
              <w:spacing w:before="20" w:after="20"/>
              <w:jc w:val="right"/>
              <w:rPr>
                <w:noProof/>
                <w:sz w:val="20"/>
              </w:rPr>
            </w:pPr>
            <w:r>
              <w:rPr>
                <w:noProof/>
                <w:sz w:val="20"/>
              </w:rPr>
              <w:t>0,204</w:t>
            </w:r>
          </w:p>
        </w:tc>
        <w:tc>
          <w:tcPr>
            <w:tcW w:w="1560" w:type="dxa"/>
            <w:vAlign w:val="center"/>
          </w:tcPr>
          <w:p w:rsidR="00FC6891" w:rsidRDefault="005F1CD3">
            <w:pPr>
              <w:spacing w:before="20" w:after="20"/>
              <w:jc w:val="right"/>
              <w:rPr>
                <w:b/>
                <w:noProof/>
                <w:sz w:val="20"/>
              </w:rPr>
            </w:pPr>
            <w:r>
              <w:rPr>
                <w:b/>
                <w:noProof/>
                <w:sz w:val="20"/>
              </w:rPr>
              <w:t>0,816</w:t>
            </w:r>
          </w:p>
        </w:tc>
      </w:tr>
      <w:tr w:rsidR="00FC6891">
        <w:trPr>
          <w:trHeight w:val="351"/>
        </w:trPr>
        <w:tc>
          <w:tcPr>
            <w:tcW w:w="6000" w:type="dxa"/>
            <w:gridSpan w:val="2"/>
            <w:vAlign w:val="center"/>
          </w:tcPr>
          <w:p w:rsidR="00FC6891" w:rsidRDefault="005F1CD3">
            <w:pPr>
              <w:spacing w:before="20" w:after="20"/>
              <w:rPr>
                <w:noProof/>
              </w:rPr>
            </w:pPr>
            <w:r>
              <w:rPr>
                <w:noProof/>
                <w:sz w:val="22"/>
              </w:rPr>
              <w:sym w:font="Wingdings" w:char="F09F"/>
            </w:r>
            <w:r>
              <w:rPr>
                <w:noProof/>
              </w:rPr>
              <w:t>Ostatní správní výdaje</w:t>
            </w:r>
          </w:p>
        </w:tc>
        <w:tc>
          <w:tcPr>
            <w:tcW w:w="1560" w:type="dxa"/>
            <w:vAlign w:val="center"/>
          </w:tcPr>
          <w:p w:rsidR="00FC6891" w:rsidRDefault="005F1CD3">
            <w:pPr>
              <w:spacing w:before="20" w:after="20"/>
              <w:jc w:val="right"/>
              <w:rPr>
                <w:noProof/>
                <w:sz w:val="20"/>
              </w:rPr>
            </w:pPr>
            <w:r>
              <w:rPr>
                <w:noProof/>
                <w:sz w:val="20"/>
              </w:rPr>
              <w:t>0,020</w:t>
            </w:r>
          </w:p>
        </w:tc>
        <w:tc>
          <w:tcPr>
            <w:tcW w:w="1800" w:type="dxa"/>
            <w:vAlign w:val="center"/>
          </w:tcPr>
          <w:p w:rsidR="00FC6891" w:rsidRDefault="005F1CD3">
            <w:pPr>
              <w:spacing w:before="20" w:after="20"/>
              <w:jc w:val="right"/>
              <w:rPr>
                <w:noProof/>
                <w:sz w:val="20"/>
              </w:rPr>
            </w:pPr>
            <w:r>
              <w:rPr>
                <w:noProof/>
                <w:sz w:val="20"/>
              </w:rPr>
              <w:t>0,020</w:t>
            </w:r>
          </w:p>
        </w:tc>
        <w:tc>
          <w:tcPr>
            <w:tcW w:w="1680" w:type="dxa"/>
            <w:vAlign w:val="center"/>
          </w:tcPr>
          <w:p w:rsidR="00FC6891" w:rsidRDefault="005F1CD3">
            <w:pPr>
              <w:spacing w:before="20" w:after="20"/>
              <w:jc w:val="right"/>
              <w:rPr>
                <w:noProof/>
                <w:sz w:val="20"/>
              </w:rPr>
            </w:pPr>
            <w:r>
              <w:rPr>
                <w:noProof/>
                <w:sz w:val="20"/>
              </w:rPr>
              <w:t>0,010</w:t>
            </w:r>
          </w:p>
        </w:tc>
        <w:tc>
          <w:tcPr>
            <w:tcW w:w="1560" w:type="dxa"/>
            <w:vAlign w:val="center"/>
          </w:tcPr>
          <w:p w:rsidR="00FC6891" w:rsidRDefault="005F1CD3">
            <w:pPr>
              <w:spacing w:before="20" w:after="20"/>
              <w:jc w:val="right"/>
              <w:rPr>
                <w:noProof/>
                <w:sz w:val="20"/>
              </w:rPr>
            </w:pPr>
            <w:r>
              <w:rPr>
                <w:noProof/>
                <w:sz w:val="20"/>
              </w:rPr>
              <w:t>0,010</w:t>
            </w:r>
          </w:p>
        </w:tc>
        <w:tc>
          <w:tcPr>
            <w:tcW w:w="1560" w:type="dxa"/>
            <w:vAlign w:val="center"/>
          </w:tcPr>
          <w:p w:rsidR="00FC6891" w:rsidRDefault="005F1CD3">
            <w:pPr>
              <w:spacing w:before="20" w:after="20"/>
              <w:jc w:val="right"/>
              <w:rPr>
                <w:b/>
                <w:noProof/>
                <w:sz w:val="20"/>
              </w:rPr>
            </w:pPr>
            <w:r>
              <w:rPr>
                <w:b/>
                <w:noProof/>
                <w:sz w:val="20"/>
              </w:rPr>
              <w:t>0,060</w:t>
            </w:r>
          </w:p>
        </w:tc>
      </w:tr>
      <w:tr w:rsidR="00FC6891">
        <w:tc>
          <w:tcPr>
            <w:tcW w:w="3858" w:type="dxa"/>
            <w:vAlign w:val="center"/>
          </w:tcPr>
          <w:p w:rsidR="00FC6891" w:rsidRDefault="005F1CD3">
            <w:pPr>
              <w:jc w:val="center"/>
              <w:rPr>
                <w:b/>
                <w:noProof/>
              </w:rPr>
            </w:pPr>
            <w:r>
              <w:rPr>
                <w:b/>
                <w:noProof/>
                <w:sz w:val="22"/>
              </w:rPr>
              <w:t xml:space="preserve">GŘ </w:t>
            </w:r>
            <w:r>
              <w:rPr>
                <w:noProof/>
                <w:sz w:val="22"/>
              </w:rPr>
              <w:t xml:space="preserve">CONNECT </w:t>
            </w:r>
            <w:r>
              <w:rPr>
                <w:b/>
                <w:noProof/>
                <w:sz w:val="22"/>
              </w:rPr>
              <w:t>CELKEM</w:t>
            </w:r>
          </w:p>
        </w:tc>
        <w:tc>
          <w:tcPr>
            <w:tcW w:w="2142" w:type="dxa"/>
            <w:vAlign w:val="center"/>
          </w:tcPr>
          <w:p w:rsidR="00FC6891" w:rsidRDefault="005F1CD3">
            <w:pPr>
              <w:rPr>
                <w:noProof/>
                <w:sz w:val="14"/>
              </w:rPr>
            </w:pPr>
            <w:r>
              <w:rPr>
                <w:noProof/>
                <w:sz w:val="18"/>
              </w:rPr>
              <w:t xml:space="preserve">Prostředky </w:t>
            </w:r>
          </w:p>
        </w:tc>
        <w:tc>
          <w:tcPr>
            <w:tcW w:w="1560" w:type="dxa"/>
            <w:vAlign w:val="center"/>
          </w:tcPr>
          <w:p w:rsidR="00FC6891" w:rsidRDefault="005F1CD3">
            <w:pPr>
              <w:spacing w:before="60" w:after="60"/>
              <w:jc w:val="right"/>
              <w:rPr>
                <w:b/>
                <w:noProof/>
                <w:sz w:val="20"/>
              </w:rPr>
            </w:pPr>
            <w:r>
              <w:rPr>
                <w:b/>
                <w:noProof/>
                <w:sz w:val="20"/>
              </w:rPr>
              <w:t>0,224</w:t>
            </w:r>
          </w:p>
        </w:tc>
        <w:tc>
          <w:tcPr>
            <w:tcW w:w="1800" w:type="dxa"/>
            <w:vAlign w:val="center"/>
          </w:tcPr>
          <w:p w:rsidR="00FC6891" w:rsidRDefault="005F1CD3">
            <w:pPr>
              <w:spacing w:before="20" w:after="20"/>
              <w:jc w:val="right"/>
              <w:rPr>
                <w:b/>
                <w:noProof/>
                <w:sz w:val="20"/>
              </w:rPr>
            </w:pPr>
            <w:r>
              <w:rPr>
                <w:b/>
                <w:noProof/>
                <w:sz w:val="20"/>
              </w:rPr>
              <w:t>0,224</w:t>
            </w:r>
          </w:p>
        </w:tc>
        <w:tc>
          <w:tcPr>
            <w:tcW w:w="1680" w:type="dxa"/>
            <w:vAlign w:val="center"/>
          </w:tcPr>
          <w:p w:rsidR="00FC6891" w:rsidRDefault="005F1CD3">
            <w:pPr>
              <w:spacing w:before="20" w:after="20"/>
              <w:jc w:val="right"/>
              <w:rPr>
                <w:b/>
                <w:noProof/>
                <w:sz w:val="20"/>
              </w:rPr>
            </w:pPr>
            <w:r>
              <w:rPr>
                <w:b/>
                <w:noProof/>
                <w:sz w:val="20"/>
              </w:rPr>
              <w:t>0,214</w:t>
            </w:r>
          </w:p>
        </w:tc>
        <w:tc>
          <w:tcPr>
            <w:tcW w:w="1560" w:type="dxa"/>
            <w:vAlign w:val="center"/>
          </w:tcPr>
          <w:p w:rsidR="00FC6891" w:rsidRDefault="005F1CD3">
            <w:pPr>
              <w:spacing w:before="20" w:after="20"/>
              <w:jc w:val="right"/>
              <w:rPr>
                <w:b/>
                <w:noProof/>
                <w:sz w:val="20"/>
              </w:rPr>
            </w:pPr>
            <w:r>
              <w:rPr>
                <w:b/>
                <w:noProof/>
                <w:sz w:val="20"/>
              </w:rPr>
              <w:t>0,214</w:t>
            </w:r>
          </w:p>
        </w:tc>
        <w:tc>
          <w:tcPr>
            <w:tcW w:w="1560" w:type="dxa"/>
            <w:vAlign w:val="center"/>
          </w:tcPr>
          <w:p w:rsidR="00FC6891" w:rsidRDefault="005F1CD3">
            <w:pPr>
              <w:spacing w:before="20" w:after="20"/>
              <w:jc w:val="right"/>
              <w:rPr>
                <w:b/>
                <w:noProof/>
                <w:sz w:val="20"/>
              </w:rPr>
            </w:pPr>
            <w:r>
              <w:rPr>
                <w:b/>
                <w:noProof/>
                <w:sz w:val="20"/>
              </w:rPr>
              <w:t>0,876</w:t>
            </w:r>
          </w:p>
        </w:tc>
      </w:tr>
    </w:tbl>
    <w:p w:rsidR="00FC6891" w:rsidRDefault="005F1CD3">
      <w:pPr>
        <w:rPr>
          <w:noProof/>
        </w:rPr>
      </w:pPr>
      <w:r>
        <w:rPr>
          <w:noProof/>
        </w:rPr>
        <w:t>X</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40"/>
        <w:gridCol w:w="1560"/>
        <w:gridCol w:w="1800"/>
        <w:gridCol w:w="1680"/>
        <w:gridCol w:w="1560"/>
        <w:gridCol w:w="1560"/>
      </w:tblGrid>
      <w:tr w:rsidR="00FC6891">
        <w:tc>
          <w:tcPr>
            <w:tcW w:w="3960" w:type="dxa"/>
            <w:shd w:val="thinDiagStripe" w:color="C0C0C0" w:fill="auto"/>
            <w:vAlign w:val="center"/>
          </w:tcPr>
          <w:p w:rsidR="00FC6891" w:rsidRDefault="005F1CD3">
            <w:pPr>
              <w:jc w:val="center"/>
              <w:rPr>
                <w:b/>
                <w:noProof/>
              </w:rPr>
            </w:pPr>
            <w:r>
              <w:rPr>
                <w:b/>
                <w:noProof/>
              </w:rPr>
              <w:t>CELKEM</w:t>
            </w:r>
            <w:r>
              <w:rPr>
                <w:b/>
                <w:noProof/>
              </w:rPr>
              <w:t xml:space="preserve"> prostředky</w:t>
            </w:r>
            <w:r>
              <w:rPr>
                <w:noProof/>
                <w:sz w:val="22"/>
              </w:rPr>
              <w:br/>
            </w:r>
            <w:r>
              <w:rPr>
                <w:b/>
                <w:noProof/>
                <w:sz w:val="22"/>
              </w:rPr>
              <w:t>na OKRUH 5</w:t>
            </w:r>
            <w:r>
              <w:rPr>
                <w:noProof/>
                <w:sz w:val="22"/>
              </w:rPr>
              <w:br/>
              <w:t>víceletého finančního rámce</w:t>
            </w:r>
            <w:r>
              <w:rPr>
                <w:b/>
                <w:noProof/>
                <w:sz w:val="22"/>
              </w:rPr>
              <w:t xml:space="preserve"> </w:t>
            </w:r>
          </w:p>
        </w:tc>
        <w:tc>
          <w:tcPr>
            <w:tcW w:w="2040" w:type="dxa"/>
            <w:vAlign w:val="center"/>
          </w:tcPr>
          <w:p w:rsidR="00FC6891" w:rsidRDefault="005F1CD3">
            <w:pPr>
              <w:spacing w:before="40" w:after="40"/>
              <w:rPr>
                <w:noProof/>
              </w:rPr>
            </w:pPr>
            <w:r>
              <w:rPr>
                <w:noProof/>
                <w:sz w:val="18"/>
              </w:rPr>
              <w:t>(Závazky celkem = platby celkem)</w:t>
            </w:r>
          </w:p>
        </w:tc>
        <w:tc>
          <w:tcPr>
            <w:tcW w:w="1560" w:type="dxa"/>
            <w:vAlign w:val="center"/>
          </w:tcPr>
          <w:p w:rsidR="00FC6891" w:rsidRDefault="005F1CD3">
            <w:pPr>
              <w:spacing w:before="20" w:after="20"/>
              <w:jc w:val="right"/>
              <w:rPr>
                <w:b/>
                <w:noProof/>
                <w:sz w:val="20"/>
              </w:rPr>
            </w:pPr>
            <w:r>
              <w:rPr>
                <w:b/>
                <w:noProof/>
                <w:sz w:val="20"/>
              </w:rPr>
              <w:t>0,224</w:t>
            </w:r>
          </w:p>
        </w:tc>
        <w:tc>
          <w:tcPr>
            <w:tcW w:w="1800" w:type="dxa"/>
            <w:vAlign w:val="center"/>
          </w:tcPr>
          <w:p w:rsidR="00FC6891" w:rsidRDefault="005F1CD3">
            <w:pPr>
              <w:spacing w:before="20" w:after="20"/>
              <w:jc w:val="right"/>
              <w:rPr>
                <w:b/>
                <w:noProof/>
                <w:sz w:val="20"/>
              </w:rPr>
            </w:pPr>
            <w:r>
              <w:rPr>
                <w:b/>
                <w:noProof/>
                <w:sz w:val="20"/>
              </w:rPr>
              <w:t>0,224</w:t>
            </w:r>
          </w:p>
        </w:tc>
        <w:tc>
          <w:tcPr>
            <w:tcW w:w="1680" w:type="dxa"/>
            <w:vAlign w:val="center"/>
          </w:tcPr>
          <w:p w:rsidR="00FC6891" w:rsidRDefault="005F1CD3">
            <w:pPr>
              <w:spacing w:before="20" w:after="20"/>
              <w:jc w:val="right"/>
              <w:rPr>
                <w:b/>
                <w:noProof/>
                <w:sz w:val="20"/>
              </w:rPr>
            </w:pPr>
            <w:r>
              <w:rPr>
                <w:b/>
                <w:noProof/>
                <w:sz w:val="20"/>
              </w:rPr>
              <w:t>0,214</w:t>
            </w:r>
          </w:p>
        </w:tc>
        <w:tc>
          <w:tcPr>
            <w:tcW w:w="1560" w:type="dxa"/>
            <w:vAlign w:val="center"/>
          </w:tcPr>
          <w:p w:rsidR="00FC6891" w:rsidRDefault="005F1CD3">
            <w:pPr>
              <w:spacing w:before="20" w:after="20"/>
              <w:jc w:val="right"/>
              <w:rPr>
                <w:b/>
                <w:noProof/>
                <w:sz w:val="20"/>
              </w:rPr>
            </w:pPr>
            <w:r>
              <w:rPr>
                <w:b/>
                <w:noProof/>
                <w:sz w:val="20"/>
              </w:rPr>
              <w:t>0,214</w:t>
            </w:r>
          </w:p>
        </w:tc>
        <w:tc>
          <w:tcPr>
            <w:tcW w:w="1560" w:type="dxa"/>
            <w:vAlign w:val="center"/>
          </w:tcPr>
          <w:p w:rsidR="00FC6891" w:rsidRDefault="005F1CD3">
            <w:pPr>
              <w:spacing w:before="20" w:after="20"/>
              <w:jc w:val="right"/>
              <w:rPr>
                <w:b/>
                <w:noProof/>
                <w:sz w:val="20"/>
              </w:rPr>
            </w:pPr>
            <w:r>
              <w:rPr>
                <w:b/>
                <w:noProof/>
                <w:sz w:val="20"/>
              </w:rPr>
              <w:t>0,876</w:t>
            </w:r>
          </w:p>
        </w:tc>
      </w:tr>
    </w:tbl>
    <w:p w:rsidR="00FC6891" w:rsidRDefault="005F1CD3">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480"/>
        <w:gridCol w:w="1560"/>
        <w:gridCol w:w="1800"/>
        <w:gridCol w:w="1680"/>
        <w:gridCol w:w="1560"/>
        <w:gridCol w:w="1560"/>
      </w:tblGrid>
      <w:tr w:rsidR="00FC6891">
        <w:tc>
          <w:tcPr>
            <w:tcW w:w="3960" w:type="dxa"/>
            <w:tcBorders>
              <w:top w:val="nil"/>
              <w:left w:val="nil"/>
              <w:right w:val="nil"/>
            </w:tcBorders>
            <w:vAlign w:val="center"/>
          </w:tcPr>
          <w:p w:rsidR="00FC6891" w:rsidRDefault="00FC6891">
            <w:pPr>
              <w:jc w:val="center"/>
              <w:rPr>
                <w:noProof/>
              </w:rPr>
            </w:pPr>
          </w:p>
        </w:tc>
        <w:tc>
          <w:tcPr>
            <w:tcW w:w="1560" w:type="dxa"/>
            <w:tcBorders>
              <w:top w:val="nil"/>
              <w:left w:val="nil"/>
              <w:right w:val="nil"/>
            </w:tcBorders>
          </w:tcPr>
          <w:p w:rsidR="00FC6891" w:rsidRDefault="00FC6891">
            <w:pPr>
              <w:rPr>
                <w:noProof/>
                <w:sz w:val="20"/>
              </w:rPr>
            </w:pPr>
          </w:p>
        </w:tc>
        <w:tc>
          <w:tcPr>
            <w:tcW w:w="480" w:type="dxa"/>
            <w:tcBorders>
              <w:top w:val="nil"/>
              <w:left w:val="nil"/>
            </w:tcBorders>
          </w:tcPr>
          <w:p w:rsidR="00FC6891" w:rsidRDefault="00FC6891">
            <w:pPr>
              <w:jc w:val="center"/>
              <w:rPr>
                <w:noProof/>
                <w:sz w:val="20"/>
              </w:rPr>
            </w:pPr>
          </w:p>
        </w:tc>
        <w:tc>
          <w:tcPr>
            <w:tcW w:w="1560" w:type="dxa"/>
            <w:vAlign w:val="center"/>
          </w:tcPr>
          <w:p w:rsidR="00FC6891" w:rsidRDefault="005F1CD3">
            <w:pPr>
              <w:jc w:val="center"/>
              <w:rPr>
                <w:noProof/>
                <w:sz w:val="20"/>
              </w:rPr>
            </w:pPr>
            <w:r>
              <w:rPr>
                <w:b/>
                <w:noProof/>
                <w:sz w:val="20"/>
              </w:rPr>
              <w:t>2017</w:t>
            </w:r>
          </w:p>
        </w:tc>
        <w:tc>
          <w:tcPr>
            <w:tcW w:w="1800" w:type="dxa"/>
            <w:vAlign w:val="center"/>
          </w:tcPr>
          <w:p w:rsidR="00FC6891" w:rsidRDefault="005F1CD3">
            <w:pPr>
              <w:jc w:val="center"/>
              <w:rPr>
                <w:noProof/>
                <w:sz w:val="20"/>
              </w:rPr>
            </w:pPr>
            <w:r>
              <w:rPr>
                <w:b/>
                <w:noProof/>
                <w:sz w:val="20"/>
              </w:rPr>
              <w:t>2018</w:t>
            </w:r>
          </w:p>
        </w:tc>
        <w:tc>
          <w:tcPr>
            <w:tcW w:w="1680" w:type="dxa"/>
            <w:vAlign w:val="center"/>
          </w:tcPr>
          <w:p w:rsidR="00FC6891" w:rsidRDefault="005F1CD3">
            <w:pPr>
              <w:jc w:val="center"/>
              <w:rPr>
                <w:noProof/>
                <w:sz w:val="20"/>
              </w:rPr>
            </w:pPr>
            <w:r>
              <w:rPr>
                <w:b/>
                <w:noProof/>
                <w:sz w:val="20"/>
              </w:rPr>
              <w:t>2019</w:t>
            </w:r>
          </w:p>
        </w:tc>
        <w:tc>
          <w:tcPr>
            <w:tcW w:w="1560" w:type="dxa"/>
            <w:vAlign w:val="center"/>
          </w:tcPr>
          <w:p w:rsidR="00FC6891" w:rsidRDefault="005F1CD3">
            <w:pPr>
              <w:jc w:val="center"/>
              <w:rPr>
                <w:noProof/>
                <w:sz w:val="20"/>
              </w:rPr>
            </w:pPr>
            <w:r>
              <w:rPr>
                <w:b/>
                <w:noProof/>
                <w:sz w:val="20"/>
              </w:rPr>
              <w:t>2020</w:t>
            </w:r>
          </w:p>
        </w:tc>
        <w:tc>
          <w:tcPr>
            <w:tcW w:w="1560" w:type="dxa"/>
            <w:vAlign w:val="center"/>
          </w:tcPr>
          <w:p w:rsidR="00FC6891" w:rsidRDefault="005F1CD3">
            <w:pPr>
              <w:jc w:val="center"/>
              <w:rPr>
                <w:b/>
                <w:noProof/>
                <w:sz w:val="20"/>
              </w:rPr>
            </w:pPr>
            <w:r>
              <w:rPr>
                <w:b/>
                <w:noProof/>
                <w:sz w:val="20"/>
              </w:rPr>
              <w:t>CELKEM</w:t>
            </w:r>
          </w:p>
        </w:tc>
      </w:tr>
      <w:tr w:rsidR="00FC6891">
        <w:tc>
          <w:tcPr>
            <w:tcW w:w="3960" w:type="dxa"/>
            <w:vMerge w:val="restart"/>
            <w:shd w:val="clear" w:color="auto" w:fill="C0C0C0"/>
            <w:vAlign w:val="center"/>
          </w:tcPr>
          <w:p w:rsidR="00FC6891" w:rsidRDefault="005F1CD3">
            <w:pPr>
              <w:jc w:val="center"/>
              <w:rPr>
                <w:b/>
                <w:noProof/>
              </w:rPr>
            </w:pPr>
            <w:r>
              <w:rPr>
                <w:b/>
                <w:noProof/>
              </w:rPr>
              <w:t>CELKEM prostředky</w:t>
            </w:r>
            <w:r>
              <w:rPr>
                <w:noProof/>
                <w:sz w:val="22"/>
              </w:rPr>
              <w:br/>
            </w:r>
            <w:r>
              <w:rPr>
                <w:b/>
                <w:noProof/>
                <w:sz w:val="22"/>
              </w:rPr>
              <w:t>z OKRUHU 1 až 5</w:t>
            </w:r>
            <w:r>
              <w:rPr>
                <w:noProof/>
                <w:sz w:val="22"/>
              </w:rPr>
              <w:br/>
              <w:t>víceletého finančního</w:t>
            </w:r>
            <w:r>
              <w:rPr>
                <w:noProof/>
                <w:sz w:val="22"/>
              </w:rPr>
              <w:t xml:space="preserve"> rámce</w:t>
            </w:r>
            <w:r>
              <w:rPr>
                <w:b/>
                <w:noProof/>
                <w:sz w:val="22"/>
              </w:rPr>
              <w:t xml:space="preserve"> </w:t>
            </w:r>
          </w:p>
        </w:tc>
        <w:tc>
          <w:tcPr>
            <w:tcW w:w="2040" w:type="dxa"/>
            <w:gridSpan w:val="2"/>
            <w:vAlign w:val="center"/>
          </w:tcPr>
          <w:p w:rsidR="00FC6891" w:rsidRDefault="005F1CD3">
            <w:pPr>
              <w:rPr>
                <w:noProof/>
                <w:sz w:val="14"/>
              </w:rPr>
            </w:pPr>
            <w:r>
              <w:rPr>
                <w:noProof/>
                <w:sz w:val="18"/>
              </w:rPr>
              <w:t>Závazky</w:t>
            </w:r>
          </w:p>
        </w:tc>
        <w:tc>
          <w:tcPr>
            <w:tcW w:w="1560" w:type="dxa"/>
            <w:vAlign w:val="bottom"/>
          </w:tcPr>
          <w:p w:rsidR="00FC6891" w:rsidRDefault="005F1CD3">
            <w:pPr>
              <w:spacing w:before="60" w:after="60"/>
              <w:jc w:val="right"/>
              <w:rPr>
                <w:b/>
                <w:noProof/>
                <w:sz w:val="20"/>
              </w:rPr>
            </w:pPr>
            <w:r>
              <w:rPr>
                <w:b/>
                <w:noProof/>
                <w:color w:val="000000"/>
                <w:sz w:val="20"/>
              </w:rPr>
              <w:t>20 224</w:t>
            </w:r>
          </w:p>
        </w:tc>
        <w:tc>
          <w:tcPr>
            <w:tcW w:w="1800" w:type="dxa"/>
            <w:vAlign w:val="bottom"/>
          </w:tcPr>
          <w:p w:rsidR="00FC6891" w:rsidRDefault="005F1CD3">
            <w:pPr>
              <w:spacing w:before="60" w:after="60"/>
              <w:jc w:val="right"/>
              <w:rPr>
                <w:b/>
                <w:noProof/>
                <w:sz w:val="20"/>
              </w:rPr>
            </w:pPr>
            <w:r>
              <w:rPr>
                <w:b/>
                <w:noProof/>
                <w:color w:val="000000"/>
                <w:sz w:val="20"/>
              </w:rPr>
              <w:t>50 224</w:t>
            </w:r>
          </w:p>
        </w:tc>
        <w:tc>
          <w:tcPr>
            <w:tcW w:w="1680" w:type="dxa"/>
            <w:vAlign w:val="bottom"/>
          </w:tcPr>
          <w:p w:rsidR="00FC6891" w:rsidRDefault="005F1CD3">
            <w:pPr>
              <w:spacing w:before="60" w:after="60"/>
              <w:jc w:val="right"/>
              <w:rPr>
                <w:b/>
                <w:noProof/>
                <w:sz w:val="20"/>
              </w:rPr>
            </w:pPr>
            <w:r>
              <w:rPr>
                <w:b/>
                <w:noProof/>
                <w:color w:val="000000"/>
                <w:sz w:val="20"/>
              </w:rPr>
              <w:t>49 864</w:t>
            </w:r>
          </w:p>
        </w:tc>
        <w:tc>
          <w:tcPr>
            <w:tcW w:w="1560" w:type="dxa"/>
            <w:vAlign w:val="bottom"/>
          </w:tcPr>
          <w:p w:rsidR="00FC6891" w:rsidRDefault="005F1CD3">
            <w:pPr>
              <w:spacing w:before="60" w:after="60"/>
              <w:jc w:val="right"/>
              <w:rPr>
                <w:b/>
                <w:noProof/>
                <w:sz w:val="20"/>
              </w:rPr>
            </w:pPr>
            <w:r>
              <w:rPr>
                <w:b/>
                <w:noProof/>
                <w:color w:val="000000"/>
                <w:sz w:val="20"/>
              </w:rPr>
              <w:t>0,564</w:t>
            </w:r>
          </w:p>
        </w:tc>
        <w:tc>
          <w:tcPr>
            <w:tcW w:w="1560" w:type="dxa"/>
            <w:vAlign w:val="bottom"/>
          </w:tcPr>
          <w:p w:rsidR="00FC6891" w:rsidRDefault="005F1CD3">
            <w:pPr>
              <w:spacing w:before="60" w:after="60"/>
              <w:jc w:val="right"/>
              <w:rPr>
                <w:b/>
                <w:noProof/>
                <w:sz w:val="20"/>
              </w:rPr>
            </w:pPr>
            <w:r>
              <w:rPr>
                <w:b/>
                <w:noProof/>
                <w:color w:val="000000"/>
                <w:sz w:val="20"/>
              </w:rPr>
              <w:t>120 876</w:t>
            </w:r>
          </w:p>
        </w:tc>
      </w:tr>
      <w:tr w:rsidR="00FC6891">
        <w:tc>
          <w:tcPr>
            <w:tcW w:w="3960" w:type="dxa"/>
            <w:vMerge/>
            <w:shd w:val="clear" w:color="auto" w:fill="C0C0C0"/>
          </w:tcPr>
          <w:p w:rsidR="00FC6891" w:rsidRDefault="00FC6891">
            <w:pPr>
              <w:rPr>
                <w:noProof/>
                <w:sz w:val="20"/>
              </w:rPr>
            </w:pPr>
          </w:p>
        </w:tc>
        <w:tc>
          <w:tcPr>
            <w:tcW w:w="2040" w:type="dxa"/>
            <w:gridSpan w:val="2"/>
            <w:vAlign w:val="center"/>
          </w:tcPr>
          <w:p w:rsidR="00FC6891" w:rsidRDefault="005F1CD3">
            <w:pPr>
              <w:rPr>
                <w:noProof/>
                <w:sz w:val="14"/>
              </w:rPr>
            </w:pPr>
            <w:r>
              <w:rPr>
                <w:noProof/>
                <w:sz w:val="18"/>
              </w:rPr>
              <w:t>Platby</w:t>
            </w:r>
          </w:p>
        </w:tc>
        <w:tc>
          <w:tcPr>
            <w:tcW w:w="1560" w:type="dxa"/>
            <w:vAlign w:val="bottom"/>
          </w:tcPr>
          <w:p w:rsidR="00FC6891" w:rsidRDefault="005F1CD3">
            <w:pPr>
              <w:spacing w:before="60" w:after="60"/>
              <w:jc w:val="right"/>
              <w:rPr>
                <w:b/>
                <w:noProof/>
                <w:sz w:val="20"/>
              </w:rPr>
            </w:pPr>
            <w:r>
              <w:rPr>
                <w:b/>
                <w:noProof/>
                <w:color w:val="000000"/>
                <w:sz w:val="20"/>
              </w:rPr>
              <w:t>0 894</w:t>
            </w:r>
          </w:p>
        </w:tc>
        <w:tc>
          <w:tcPr>
            <w:tcW w:w="1800" w:type="dxa"/>
            <w:vAlign w:val="bottom"/>
          </w:tcPr>
          <w:p w:rsidR="00FC6891" w:rsidRDefault="005F1CD3">
            <w:pPr>
              <w:spacing w:before="60" w:after="60"/>
              <w:jc w:val="right"/>
              <w:rPr>
                <w:b/>
                <w:noProof/>
                <w:sz w:val="20"/>
              </w:rPr>
            </w:pPr>
            <w:r>
              <w:rPr>
                <w:b/>
                <w:noProof/>
                <w:color w:val="000000"/>
                <w:sz w:val="20"/>
              </w:rPr>
              <w:t>44 749</w:t>
            </w:r>
          </w:p>
        </w:tc>
        <w:tc>
          <w:tcPr>
            <w:tcW w:w="1680" w:type="dxa"/>
            <w:vAlign w:val="bottom"/>
          </w:tcPr>
          <w:p w:rsidR="00FC6891" w:rsidRDefault="005F1CD3">
            <w:pPr>
              <w:spacing w:before="60" w:after="60"/>
              <w:jc w:val="right"/>
              <w:rPr>
                <w:b/>
                <w:noProof/>
                <w:sz w:val="20"/>
              </w:rPr>
            </w:pPr>
            <w:r>
              <w:rPr>
                <w:b/>
                <w:noProof/>
                <w:color w:val="000000"/>
                <w:sz w:val="20"/>
              </w:rPr>
              <w:t>50 039</w:t>
            </w:r>
          </w:p>
        </w:tc>
        <w:tc>
          <w:tcPr>
            <w:tcW w:w="1560" w:type="dxa"/>
            <w:vAlign w:val="bottom"/>
          </w:tcPr>
          <w:p w:rsidR="00FC6891" w:rsidRDefault="005F1CD3">
            <w:pPr>
              <w:spacing w:before="60" w:after="60"/>
              <w:jc w:val="right"/>
              <w:rPr>
                <w:b/>
                <w:noProof/>
                <w:sz w:val="20"/>
              </w:rPr>
            </w:pPr>
            <w:r>
              <w:rPr>
                <w:b/>
                <w:noProof/>
                <w:color w:val="000000"/>
                <w:sz w:val="20"/>
              </w:rPr>
              <w:t>25 194</w:t>
            </w:r>
          </w:p>
        </w:tc>
        <w:tc>
          <w:tcPr>
            <w:tcW w:w="1560" w:type="dxa"/>
            <w:vAlign w:val="bottom"/>
          </w:tcPr>
          <w:p w:rsidR="00FC6891" w:rsidRDefault="005F1CD3">
            <w:pPr>
              <w:spacing w:before="60" w:after="60"/>
              <w:jc w:val="right"/>
              <w:rPr>
                <w:b/>
                <w:noProof/>
                <w:sz w:val="20"/>
              </w:rPr>
            </w:pPr>
            <w:r>
              <w:rPr>
                <w:b/>
                <w:noProof/>
                <w:color w:val="000000"/>
                <w:sz w:val="20"/>
              </w:rPr>
              <w:t>120 876</w:t>
            </w:r>
          </w:p>
        </w:tc>
      </w:tr>
    </w:tbl>
    <w:p w:rsidR="00FC6891" w:rsidRDefault="00FC6891">
      <w:pPr>
        <w:rPr>
          <w:noProof/>
        </w:rPr>
        <w:sectPr w:rsidR="00FC6891" w:rsidSect="005F1CD3">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FC6891" w:rsidRDefault="005F1CD3">
      <w:pPr>
        <w:pStyle w:val="ManualHeading3"/>
        <w:rPr>
          <w:bCs/>
          <w:noProof/>
          <w:szCs w:val="24"/>
        </w:rPr>
      </w:pPr>
      <w:r>
        <w:t>3.2.2.</w:t>
      </w:r>
      <w:r>
        <w:tab/>
      </w:r>
      <w:r>
        <w:rPr>
          <w:noProof/>
        </w:rPr>
        <w:t xml:space="preserve">Odhadovaný dopad na operační prostředky </w:t>
      </w:r>
    </w:p>
    <w:p w:rsidR="00FC6891" w:rsidRDefault="005F1CD3">
      <w:pPr>
        <w:pStyle w:val="ListDash1"/>
        <w:rPr>
          <w:noProof/>
        </w:rPr>
      </w:pPr>
      <w:r>
        <w:rPr>
          <w:noProof/>
          <w:szCs w:val="24"/>
        </w:rPr>
        <w:sym w:font="Wingdings" w:char="F0A8"/>
      </w:r>
      <w:r>
        <w:rPr>
          <w:noProof/>
        </w:rPr>
        <w:tab/>
        <w:t xml:space="preserve">Návrh/podnět nevyžaduje využití operačních prostředků. </w:t>
      </w:r>
    </w:p>
    <w:p w:rsidR="00FC6891" w:rsidRDefault="005F1CD3">
      <w:pPr>
        <w:pStyle w:val="ListDash1"/>
        <w:rPr>
          <w:noProof/>
        </w:rPr>
      </w:pPr>
      <w:r>
        <w:rPr>
          <w:noProof/>
        </w:rPr>
        <w:t>x</w:t>
      </w:r>
      <w:r>
        <w:rPr>
          <w:noProof/>
        </w:rPr>
        <w:tab/>
        <w:t>Návrh/podnět vyžaduje využití operačních prostředků, jak je vysvětleno dále:</w:t>
      </w:r>
    </w:p>
    <w:p w:rsidR="00FC6891" w:rsidRDefault="005F1CD3">
      <w:pPr>
        <w:jc w:val="right"/>
        <w:rPr>
          <w:noProof/>
          <w:sz w:val="20"/>
        </w:rPr>
      </w:pPr>
      <w:r>
        <w:rPr>
          <w:noProof/>
          <w:sz w:val="20"/>
        </w:rPr>
        <w:t>Prostředky na závazky v milionech EUR (zaokrouhleno na tři desetinná místa)</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325"/>
        <w:gridCol w:w="960"/>
        <w:gridCol w:w="1080"/>
        <w:gridCol w:w="960"/>
        <w:gridCol w:w="1200"/>
        <w:gridCol w:w="1080"/>
        <w:gridCol w:w="1080"/>
        <w:gridCol w:w="840"/>
        <w:gridCol w:w="960"/>
        <w:gridCol w:w="1080"/>
        <w:gridCol w:w="1200"/>
      </w:tblGrid>
      <w:tr w:rsidR="00FC6891">
        <w:tc>
          <w:tcPr>
            <w:tcW w:w="1423" w:type="dxa"/>
            <w:vMerge w:val="restart"/>
            <w:vAlign w:val="center"/>
          </w:tcPr>
          <w:p w:rsidR="00FC6891" w:rsidRDefault="005F1CD3">
            <w:pPr>
              <w:ind w:right="-29"/>
              <w:jc w:val="center"/>
              <w:rPr>
                <w:b/>
                <w:noProof/>
                <w:sz w:val="18"/>
                <w:szCs w:val="18"/>
              </w:rPr>
            </w:pPr>
            <w:r>
              <w:rPr>
                <w:b/>
                <w:noProof/>
                <w:sz w:val="18"/>
              </w:rPr>
              <w:t xml:space="preserve">Uveďte cíle a výstupy </w:t>
            </w:r>
          </w:p>
          <w:p w:rsidR="00FC6891" w:rsidRDefault="00FC6891">
            <w:pPr>
              <w:ind w:right="-29"/>
              <w:jc w:val="center"/>
              <w:rPr>
                <w:b/>
                <w:noProof/>
                <w:sz w:val="18"/>
                <w:szCs w:val="18"/>
              </w:rPr>
            </w:pPr>
          </w:p>
          <w:p w:rsidR="00FC6891" w:rsidRDefault="005F1CD3">
            <w:pPr>
              <w:ind w:right="-29"/>
              <w:jc w:val="center"/>
              <w:rPr>
                <w:noProof/>
                <w:sz w:val="18"/>
                <w:szCs w:val="18"/>
              </w:rPr>
            </w:pPr>
            <w:r>
              <w:rPr>
                <w:noProof/>
                <w:sz w:val="18"/>
                <w:szCs w:val="18"/>
              </w:rPr>
              <w:sym w:font="Wingdings" w:char="F0F2"/>
            </w:r>
          </w:p>
        </w:tc>
        <w:tc>
          <w:tcPr>
            <w:tcW w:w="720" w:type="dxa"/>
            <w:vAlign w:val="center"/>
          </w:tcPr>
          <w:p w:rsidR="00FC6891" w:rsidRDefault="00FC6891">
            <w:pPr>
              <w:ind w:right="-29"/>
              <w:jc w:val="center"/>
              <w:rPr>
                <w:noProof/>
                <w:sz w:val="18"/>
                <w:szCs w:val="18"/>
              </w:rPr>
            </w:pPr>
          </w:p>
        </w:tc>
        <w:tc>
          <w:tcPr>
            <w:tcW w:w="1325" w:type="dxa"/>
            <w:vAlign w:val="center"/>
          </w:tcPr>
          <w:p w:rsidR="00FC6891" w:rsidRDefault="00FC6891">
            <w:pPr>
              <w:ind w:right="-29"/>
              <w:jc w:val="center"/>
              <w:rPr>
                <w:noProof/>
                <w:sz w:val="18"/>
                <w:szCs w:val="18"/>
              </w:rPr>
            </w:pPr>
          </w:p>
        </w:tc>
        <w:tc>
          <w:tcPr>
            <w:tcW w:w="2040" w:type="dxa"/>
            <w:gridSpan w:val="2"/>
            <w:vAlign w:val="center"/>
          </w:tcPr>
          <w:p w:rsidR="00FC6891" w:rsidRDefault="005F1CD3">
            <w:pPr>
              <w:ind w:right="-29"/>
              <w:jc w:val="center"/>
              <w:rPr>
                <w:noProof/>
                <w:sz w:val="18"/>
                <w:szCs w:val="18"/>
              </w:rPr>
            </w:pPr>
            <w:r>
              <w:rPr>
                <w:b/>
                <w:noProof/>
                <w:sz w:val="20"/>
              </w:rPr>
              <w:t>2017</w:t>
            </w:r>
          </w:p>
        </w:tc>
        <w:tc>
          <w:tcPr>
            <w:tcW w:w="2160" w:type="dxa"/>
            <w:gridSpan w:val="2"/>
            <w:vAlign w:val="center"/>
          </w:tcPr>
          <w:p w:rsidR="00FC6891" w:rsidRDefault="005F1CD3">
            <w:pPr>
              <w:ind w:right="-29"/>
              <w:jc w:val="center"/>
              <w:rPr>
                <w:noProof/>
                <w:sz w:val="18"/>
                <w:szCs w:val="18"/>
              </w:rPr>
            </w:pPr>
            <w:r>
              <w:rPr>
                <w:b/>
                <w:noProof/>
                <w:sz w:val="20"/>
              </w:rPr>
              <w:t>2018</w:t>
            </w:r>
          </w:p>
        </w:tc>
        <w:tc>
          <w:tcPr>
            <w:tcW w:w="2160" w:type="dxa"/>
            <w:gridSpan w:val="2"/>
            <w:vAlign w:val="center"/>
          </w:tcPr>
          <w:p w:rsidR="00FC6891" w:rsidRDefault="005F1CD3">
            <w:pPr>
              <w:ind w:right="-29"/>
              <w:jc w:val="center"/>
              <w:rPr>
                <w:noProof/>
                <w:sz w:val="18"/>
                <w:szCs w:val="18"/>
              </w:rPr>
            </w:pPr>
            <w:r>
              <w:rPr>
                <w:b/>
                <w:noProof/>
                <w:sz w:val="20"/>
              </w:rPr>
              <w:t>2019</w:t>
            </w:r>
          </w:p>
        </w:tc>
        <w:tc>
          <w:tcPr>
            <w:tcW w:w="1800" w:type="dxa"/>
            <w:gridSpan w:val="2"/>
            <w:vAlign w:val="center"/>
          </w:tcPr>
          <w:p w:rsidR="00FC6891" w:rsidRDefault="005F1CD3">
            <w:pPr>
              <w:ind w:right="-29"/>
              <w:jc w:val="center"/>
              <w:rPr>
                <w:noProof/>
                <w:sz w:val="18"/>
                <w:szCs w:val="18"/>
              </w:rPr>
            </w:pPr>
            <w:r>
              <w:rPr>
                <w:b/>
                <w:noProof/>
                <w:sz w:val="20"/>
              </w:rPr>
              <w:t>2020</w:t>
            </w:r>
          </w:p>
        </w:tc>
        <w:tc>
          <w:tcPr>
            <w:tcW w:w="2280" w:type="dxa"/>
            <w:gridSpan w:val="2"/>
            <w:vAlign w:val="center"/>
          </w:tcPr>
          <w:p w:rsidR="00FC6891" w:rsidRDefault="005F1CD3">
            <w:pPr>
              <w:ind w:right="-29"/>
              <w:jc w:val="center"/>
              <w:rPr>
                <w:noProof/>
                <w:sz w:val="18"/>
                <w:szCs w:val="18"/>
              </w:rPr>
            </w:pPr>
            <w:r>
              <w:rPr>
                <w:b/>
                <w:noProof/>
                <w:sz w:val="18"/>
              </w:rPr>
              <w:t>CELKEM</w:t>
            </w:r>
          </w:p>
        </w:tc>
      </w:tr>
      <w:tr w:rsidR="00FC6891">
        <w:tc>
          <w:tcPr>
            <w:tcW w:w="1423" w:type="dxa"/>
            <w:vMerge/>
            <w:vAlign w:val="center"/>
          </w:tcPr>
          <w:p w:rsidR="00FC6891" w:rsidRDefault="00FC6891">
            <w:pPr>
              <w:ind w:right="-29"/>
              <w:jc w:val="center"/>
              <w:rPr>
                <w:noProof/>
                <w:sz w:val="18"/>
                <w:szCs w:val="18"/>
              </w:rPr>
            </w:pPr>
          </w:p>
        </w:tc>
        <w:tc>
          <w:tcPr>
            <w:tcW w:w="12485" w:type="dxa"/>
            <w:gridSpan w:val="12"/>
            <w:vAlign w:val="center"/>
          </w:tcPr>
          <w:p w:rsidR="00FC6891" w:rsidRDefault="005F1CD3">
            <w:pPr>
              <w:spacing w:before="60" w:after="60"/>
              <w:ind w:right="-29"/>
              <w:jc w:val="center"/>
              <w:rPr>
                <w:noProof/>
                <w:sz w:val="18"/>
                <w:szCs w:val="18"/>
              </w:rPr>
            </w:pPr>
            <w:r>
              <w:rPr>
                <w:b/>
                <w:noProof/>
                <w:sz w:val="18"/>
              </w:rPr>
              <w:t>VÝSTUPY</w:t>
            </w:r>
          </w:p>
        </w:tc>
      </w:tr>
      <w:tr w:rsidR="00FC6891">
        <w:trPr>
          <w:trHeight w:val="1134"/>
        </w:trPr>
        <w:tc>
          <w:tcPr>
            <w:tcW w:w="1423" w:type="dxa"/>
            <w:vMerge/>
          </w:tcPr>
          <w:p w:rsidR="00FC6891" w:rsidRDefault="00FC6891">
            <w:pPr>
              <w:rPr>
                <w:noProof/>
                <w:sz w:val="18"/>
                <w:szCs w:val="18"/>
              </w:rPr>
            </w:pPr>
          </w:p>
        </w:tc>
        <w:tc>
          <w:tcPr>
            <w:tcW w:w="720" w:type="dxa"/>
          </w:tcPr>
          <w:p w:rsidR="00FC6891" w:rsidRDefault="005F1CD3">
            <w:pPr>
              <w:jc w:val="center"/>
              <w:rPr>
                <w:noProof/>
                <w:sz w:val="18"/>
                <w:szCs w:val="18"/>
              </w:rPr>
            </w:pPr>
            <w:r>
              <w:rPr>
                <w:noProof/>
                <w:sz w:val="18"/>
              </w:rPr>
              <w:t>Druh</w:t>
            </w:r>
            <w:r>
              <w:rPr>
                <w:rStyle w:val="FootnoteReference"/>
                <w:noProof/>
                <w:sz w:val="18"/>
              </w:rPr>
              <w:footnoteReference w:id="23"/>
            </w:r>
          </w:p>
          <w:p w:rsidR="00FC6891" w:rsidRDefault="00FC6891">
            <w:pPr>
              <w:spacing w:before="0" w:after="0"/>
              <w:jc w:val="center"/>
              <w:rPr>
                <w:noProof/>
                <w:sz w:val="18"/>
                <w:szCs w:val="18"/>
              </w:rPr>
            </w:pPr>
          </w:p>
        </w:tc>
        <w:tc>
          <w:tcPr>
            <w:tcW w:w="1325" w:type="dxa"/>
          </w:tcPr>
          <w:p w:rsidR="00FC6891" w:rsidRDefault="005F1CD3">
            <w:pPr>
              <w:jc w:val="center"/>
              <w:rPr>
                <w:noProof/>
                <w:sz w:val="18"/>
                <w:szCs w:val="18"/>
              </w:rPr>
            </w:pPr>
            <w:r>
              <w:rPr>
                <w:noProof/>
                <w:sz w:val="18"/>
              </w:rPr>
              <w:t>Průměrné náklady</w:t>
            </w:r>
          </w:p>
        </w:tc>
        <w:tc>
          <w:tcPr>
            <w:tcW w:w="960" w:type="dxa"/>
            <w:textDirection w:val="btLr"/>
          </w:tcPr>
          <w:p w:rsidR="00FC6891" w:rsidRDefault="005F1CD3">
            <w:pPr>
              <w:ind w:left="113" w:right="113"/>
              <w:jc w:val="center"/>
              <w:rPr>
                <w:noProof/>
                <w:sz w:val="18"/>
                <w:szCs w:val="18"/>
              </w:rPr>
            </w:pPr>
            <w:r>
              <w:rPr>
                <w:noProof/>
                <w:sz w:val="18"/>
              </w:rPr>
              <w:t>Počet</w:t>
            </w:r>
          </w:p>
        </w:tc>
        <w:tc>
          <w:tcPr>
            <w:tcW w:w="1080" w:type="dxa"/>
          </w:tcPr>
          <w:p w:rsidR="00FC6891" w:rsidRDefault="005F1CD3">
            <w:pPr>
              <w:jc w:val="center"/>
              <w:rPr>
                <w:noProof/>
                <w:sz w:val="18"/>
                <w:szCs w:val="18"/>
              </w:rPr>
            </w:pPr>
            <w:r>
              <w:rPr>
                <w:noProof/>
                <w:sz w:val="18"/>
              </w:rPr>
              <w:t>Náklady</w:t>
            </w:r>
          </w:p>
        </w:tc>
        <w:tc>
          <w:tcPr>
            <w:tcW w:w="960" w:type="dxa"/>
            <w:textDirection w:val="btLr"/>
          </w:tcPr>
          <w:p w:rsidR="00FC6891" w:rsidRDefault="005F1CD3">
            <w:pPr>
              <w:ind w:left="113" w:right="113"/>
              <w:jc w:val="center"/>
              <w:rPr>
                <w:noProof/>
                <w:sz w:val="18"/>
                <w:szCs w:val="18"/>
              </w:rPr>
            </w:pPr>
            <w:r>
              <w:rPr>
                <w:noProof/>
                <w:sz w:val="18"/>
              </w:rPr>
              <w:t>Počet</w:t>
            </w:r>
          </w:p>
        </w:tc>
        <w:tc>
          <w:tcPr>
            <w:tcW w:w="1200" w:type="dxa"/>
          </w:tcPr>
          <w:p w:rsidR="00FC6891" w:rsidRDefault="005F1CD3">
            <w:pPr>
              <w:jc w:val="center"/>
              <w:rPr>
                <w:noProof/>
                <w:sz w:val="18"/>
                <w:szCs w:val="18"/>
              </w:rPr>
            </w:pPr>
            <w:r>
              <w:rPr>
                <w:noProof/>
                <w:sz w:val="18"/>
              </w:rPr>
              <w:t>Náklady</w:t>
            </w:r>
          </w:p>
        </w:tc>
        <w:tc>
          <w:tcPr>
            <w:tcW w:w="1080" w:type="dxa"/>
            <w:textDirection w:val="btLr"/>
          </w:tcPr>
          <w:p w:rsidR="00FC6891" w:rsidRDefault="005F1CD3">
            <w:pPr>
              <w:ind w:left="113" w:right="113"/>
              <w:jc w:val="center"/>
              <w:rPr>
                <w:noProof/>
                <w:sz w:val="18"/>
                <w:szCs w:val="18"/>
              </w:rPr>
            </w:pPr>
            <w:r>
              <w:rPr>
                <w:noProof/>
                <w:sz w:val="18"/>
              </w:rPr>
              <w:t>Počet</w:t>
            </w:r>
          </w:p>
        </w:tc>
        <w:tc>
          <w:tcPr>
            <w:tcW w:w="1080" w:type="dxa"/>
          </w:tcPr>
          <w:p w:rsidR="00FC6891" w:rsidRDefault="005F1CD3">
            <w:pPr>
              <w:jc w:val="center"/>
              <w:rPr>
                <w:noProof/>
                <w:sz w:val="18"/>
                <w:szCs w:val="18"/>
              </w:rPr>
            </w:pPr>
            <w:r>
              <w:rPr>
                <w:noProof/>
                <w:sz w:val="18"/>
              </w:rPr>
              <w:t>Náklady</w:t>
            </w:r>
          </w:p>
        </w:tc>
        <w:tc>
          <w:tcPr>
            <w:tcW w:w="840" w:type="dxa"/>
            <w:textDirection w:val="btLr"/>
          </w:tcPr>
          <w:p w:rsidR="00FC6891" w:rsidRDefault="005F1CD3">
            <w:pPr>
              <w:ind w:left="113" w:right="113"/>
              <w:jc w:val="center"/>
              <w:rPr>
                <w:noProof/>
                <w:sz w:val="18"/>
                <w:szCs w:val="18"/>
              </w:rPr>
            </w:pPr>
            <w:r>
              <w:rPr>
                <w:noProof/>
                <w:sz w:val="18"/>
              </w:rPr>
              <w:t>Počet</w:t>
            </w:r>
          </w:p>
        </w:tc>
        <w:tc>
          <w:tcPr>
            <w:tcW w:w="960" w:type="dxa"/>
          </w:tcPr>
          <w:p w:rsidR="00FC6891" w:rsidRDefault="005F1CD3">
            <w:pPr>
              <w:jc w:val="center"/>
              <w:rPr>
                <w:noProof/>
                <w:sz w:val="18"/>
                <w:szCs w:val="18"/>
              </w:rPr>
            </w:pPr>
            <w:r>
              <w:rPr>
                <w:noProof/>
                <w:sz w:val="18"/>
              </w:rPr>
              <w:t>Náklady</w:t>
            </w:r>
          </w:p>
        </w:tc>
        <w:tc>
          <w:tcPr>
            <w:tcW w:w="1080" w:type="dxa"/>
          </w:tcPr>
          <w:p w:rsidR="00FC6891" w:rsidRDefault="005F1CD3">
            <w:pPr>
              <w:jc w:val="center"/>
              <w:rPr>
                <w:noProof/>
                <w:sz w:val="18"/>
                <w:szCs w:val="18"/>
              </w:rPr>
            </w:pPr>
            <w:r>
              <w:rPr>
                <w:noProof/>
                <w:sz w:val="18"/>
              </w:rPr>
              <w:t>Celkový počet</w:t>
            </w:r>
          </w:p>
        </w:tc>
        <w:tc>
          <w:tcPr>
            <w:tcW w:w="1200" w:type="dxa"/>
          </w:tcPr>
          <w:p w:rsidR="00FC6891" w:rsidRDefault="005F1CD3">
            <w:pPr>
              <w:jc w:val="center"/>
              <w:rPr>
                <w:noProof/>
                <w:sz w:val="18"/>
                <w:szCs w:val="18"/>
              </w:rPr>
            </w:pPr>
            <w:r>
              <w:rPr>
                <w:noProof/>
                <w:sz w:val="18"/>
              </w:rPr>
              <w:t>Náklady celkem</w:t>
            </w:r>
          </w:p>
        </w:tc>
      </w:tr>
      <w:tr w:rsidR="00FC6891">
        <w:tc>
          <w:tcPr>
            <w:tcW w:w="3468" w:type="dxa"/>
            <w:gridSpan w:val="3"/>
          </w:tcPr>
          <w:p w:rsidR="00FC6891" w:rsidRDefault="005F1CD3">
            <w:pPr>
              <w:spacing w:before="60" w:after="60"/>
              <w:ind w:right="-29"/>
              <w:jc w:val="center"/>
              <w:rPr>
                <w:noProof/>
                <w:sz w:val="18"/>
                <w:szCs w:val="18"/>
              </w:rPr>
            </w:pPr>
            <w:r>
              <w:rPr>
                <w:noProof/>
                <w:sz w:val="18"/>
              </w:rPr>
              <w:t xml:space="preserve">SPECIFICKÝ CÍL </w:t>
            </w:r>
          </w:p>
        </w:tc>
        <w:tc>
          <w:tcPr>
            <w:tcW w:w="960" w:type="dxa"/>
          </w:tcPr>
          <w:p w:rsidR="00FC6891" w:rsidRDefault="00FC6891">
            <w:pPr>
              <w:spacing w:before="60" w:after="60"/>
              <w:ind w:right="-29"/>
              <w:jc w:val="center"/>
              <w:rPr>
                <w:noProof/>
                <w:sz w:val="18"/>
                <w:szCs w:val="18"/>
              </w:rPr>
            </w:pPr>
          </w:p>
        </w:tc>
        <w:tc>
          <w:tcPr>
            <w:tcW w:w="1080" w:type="dxa"/>
          </w:tcPr>
          <w:p w:rsidR="00FC6891" w:rsidRDefault="00FC6891">
            <w:pPr>
              <w:spacing w:before="60" w:after="60"/>
              <w:ind w:right="-29"/>
              <w:jc w:val="center"/>
              <w:rPr>
                <w:noProof/>
                <w:sz w:val="18"/>
                <w:szCs w:val="18"/>
              </w:rPr>
            </w:pPr>
          </w:p>
        </w:tc>
        <w:tc>
          <w:tcPr>
            <w:tcW w:w="960" w:type="dxa"/>
          </w:tcPr>
          <w:p w:rsidR="00FC6891" w:rsidRDefault="00FC6891">
            <w:pPr>
              <w:spacing w:before="60" w:after="60"/>
              <w:ind w:right="-29"/>
              <w:jc w:val="center"/>
              <w:rPr>
                <w:noProof/>
                <w:sz w:val="18"/>
                <w:szCs w:val="18"/>
              </w:rPr>
            </w:pPr>
          </w:p>
        </w:tc>
        <w:tc>
          <w:tcPr>
            <w:tcW w:w="1200" w:type="dxa"/>
          </w:tcPr>
          <w:p w:rsidR="00FC6891" w:rsidRDefault="00FC6891">
            <w:pPr>
              <w:spacing w:before="60" w:after="60"/>
              <w:ind w:right="-29"/>
              <w:jc w:val="center"/>
              <w:rPr>
                <w:noProof/>
                <w:sz w:val="18"/>
                <w:szCs w:val="18"/>
              </w:rPr>
            </w:pPr>
          </w:p>
        </w:tc>
        <w:tc>
          <w:tcPr>
            <w:tcW w:w="1080" w:type="dxa"/>
          </w:tcPr>
          <w:p w:rsidR="00FC6891" w:rsidRDefault="00FC6891">
            <w:pPr>
              <w:spacing w:before="60" w:after="60"/>
              <w:ind w:right="-29"/>
              <w:jc w:val="center"/>
              <w:rPr>
                <w:noProof/>
                <w:sz w:val="18"/>
                <w:szCs w:val="18"/>
              </w:rPr>
            </w:pPr>
          </w:p>
        </w:tc>
        <w:tc>
          <w:tcPr>
            <w:tcW w:w="1080" w:type="dxa"/>
          </w:tcPr>
          <w:p w:rsidR="00FC6891" w:rsidRDefault="00FC6891">
            <w:pPr>
              <w:spacing w:before="60" w:after="60"/>
              <w:ind w:right="-29"/>
              <w:jc w:val="center"/>
              <w:rPr>
                <w:noProof/>
                <w:sz w:val="18"/>
                <w:szCs w:val="18"/>
              </w:rPr>
            </w:pPr>
          </w:p>
        </w:tc>
        <w:tc>
          <w:tcPr>
            <w:tcW w:w="840" w:type="dxa"/>
          </w:tcPr>
          <w:p w:rsidR="00FC6891" w:rsidRDefault="00FC6891">
            <w:pPr>
              <w:spacing w:before="60" w:after="60"/>
              <w:ind w:right="-29"/>
              <w:jc w:val="center"/>
              <w:rPr>
                <w:noProof/>
                <w:sz w:val="18"/>
                <w:szCs w:val="18"/>
              </w:rPr>
            </w:pPr>
          </w:p>
        </w:tc>
        <w:tc>
          <w:tcPr>
            <w:tcW w:w="960" w:type="dxa"/>
          </w:tcPr>
          <w:p w:rsidR="00FC6891" w:rsidRDefault="00FC6891">
            <w:pPr>
              <w:spacing w:before="60" w:after="60"/>
              <w:ind w:right="-29"/>
              <w:jc w:val="center"/>
              <w:rPr>
                <w:noProof/>
                <w:sz w:val="18"/>
                <w:szCs w:val="18"/>
              </w:rPr>
            </w:pPr>
          </w:p>
        </w:tc>
        <w:tc>
          <w:tcPr>
            <w:tcW w:w="1080" w:type="dxa"/>
          </w:tcPr>
          <w:p w:rsidR="00FC6891" w:rsidRDefault="00FC6891">
            <w:pPr>
              <w:spacing w:before="60" w:after="60"/>
              <w:ind w:right="-29"/>
              <w:jc w:val="center"/>
              <w:rPr>
                <w:noProof/>
                <w:sz w:val="18"/>
                <w:szCs w:val="18"/>
              </w:rPr>
            </w:pPr>
          </w:p>
        </w:tc>
        <w:tc>
          <w:tcPr>
            <w:tcW w:w="1200" w:type="dxa"/>
          </w:tcPr>
          <w:p w:rsidR="00FC6891" w:rsidRDefault="00FC6891">
            <w:pPr>
              <w:spacing w:before="60" w:after="60"/>
              <w:ind w:right="-29"/>
              <w:jc w:val="center"/>
              <w:rPr>
                <w:noProof/>
                <w:sz w:val="18"/>
                <w:szCs w:val="18"/>
              </w:rPr>
            </w:pPr>
          </w:p>
        </w:tc>
      </w:tr>
      <w:tr w:rsidR="00FC6891">
        <w:trPr>
          <w:trHeight w:hRule="exact" w:val="369"/>
        </w:trPr>
        <w:tc>
          <w:tcPr>
            <w:tcW w:w="3468" w:type="dxa"/>
            <w:gridSpan w:val="3"/>
          </w:tcPr>
          <w:p w:rsidR="00FC6891" w:rsidRDefault="005F1CD3">
            <w:pPr>
              <w:spacing w:before="0" w:after="0"/>
              <w:ind w:right="-29"/>
              <w:jc w:val="center"/>
              <w:rPr>
                <w:noProof/>
                <w:sz w:val="18"/>
                <w:szCs w:val="18"/>
              </w:rPr>
            </w:pPr>
            <w:r>
              <w:rPr>
                <w:noProof/>
                <w:sz w:val="18"/>
              </w:rPr>
              <w:t>Přístupy</w:t>
            </w:r>
          </w:p>
        </w:tc>
        <w:tc>
          <w:tcPr>
            <w:tcW w:w="960" w:type="dxa"/>
          </w:tcPr>
          <w:p w:rsidR="00FC6891" w:rsidRDefault="005F1CD3">
            <w:pPr>
              <w:spacing w:before="0" w:after="0"/>
              <w:ind w:right="-29"/>
              <w:jc w:val="center"/>
              <w:rPr>
                <w:noProof/>
                <w:sz w:val="18"/>
                <w:szCs w:val="18"/>
              </w:rPr>
            </w:pPr>
            <w:r>
              <w:rPr>
                <w:noProof/>
                <w:sz w:val="18"/>
              </w:rPr>
              <w:t>967</w:t>
            </w:r>
          </w:p>
        </w:tc>
        <w:tc>
          <w:tcPr>
            <w:tcW w:w="1080" w:type="dxa"/>
          </w:tcPr>
          <w:p w:rsidR="00FC6891" w:rsidRDefault="005F1CD3">
            <w:pPr>
              <w:spacing w:before="0" w:after="0"/>
              <w:ind w:right="-29"/>
              <w:jc w:val="center"/>
              <w:rPr>
                <w:noProof/>
                <w:sz w:val="18"/>
                <w:szCs w:val="18"/>
              </w:rPr>
            </w:pPr>
            <w:r>
              <w:rPr>
                <w:noProof/>
                <w:sz w:val="18"/>
              </w:rPr>
              <w:t>0,02</w:t>
            </w:r>
          </w:p>
        </w:tc>
        <w:tc>
          <w:tcPr>
            <w:tcW w:w="960" w:type="dxa"/>
          </w:tcPr>
          <w:p w:rsidR="00FC6891" w:rsidRDefault="005F1CD3">
            <w:pPr>
              <w:spacing w:before="0" w:after="0"/>
              <w:ind w:right="-29"/>
              <w:jc w:val="center"/>
              <w:rPr>
                <w:noProof/>
                <w:sz w:val="18"/>
                <w:szCs w:val="18"/>
              </w:rPr>
            </w:pPr>
            <w:r>
              <w:rPr>
                <w:noProof/>
                <w:sz w:val="18"/>
              </w:rPr>
              <w:t>2480</w:t>
            </w:r>
          </w:p>
        </w:tc>
        <w:tc>
          <w:tcPr>
            <w:tcW w:w="1200" w:type="dxa"/>
          </w:tcPr>
          <w:p w:rsidR="00FC6891" w:rsidRDefault="005F1CD3">
            <w:pPr>
              <w:spacing w:before="0" w:after="0"/>
              <w:ind w:right="-29"/>
              <w:jc w:val="center"/>
              <w:rPr>
                <w:noProof/>
                <w:sz w:val="18"/>
                <w:szCs w:val="18"/>
              </w:rPr>
            </w:pPr>
            <w:r>
              <w:rPr>
                <w:noProof/>
                <w:sz w:val="18"/>
              </w:rPr>
              <w:t>0,02</w:t>
            </w:r>
          </w:p>
        </w:tc>
        <w:tc>
          <w:tcPr>
            <w:tcW w:w="1080" w:type="dxa"/>
          </w:tcPr>
          <w:p w:rsidR="00FC6891" w:rsidRDefault="005F1CD3">
            <w:pPr>
              <w:spacing w:before="0" w:after="0"/>
              <w:ind w:right="-29"/>
              <w:jc w:val="center"/>
              <w:rPr>
                <w:noProof/>
                <w:sz w:val="18"/>
                <w:szCs w:val="18"/>
              </w:rPr>
            </w:pPr>
            <w:r>
              <w:rPr>
                <w:noProof/>
                <w:sz w:val="18"/>
              </w:rPr>
              <w:t>2463</w:t>
            </w:r>
          </w:p>
        </w:tc>
        <w:tc>
          <w:tcPr>
            <w:tcW w:w="1080" w:type="dxa"/>
          </w:tcPr>
          <w:p w:rsidR="00FC6891" w:rsidRDefault="005F1CD3">
            <w:pPr>
              <w:spacing w:before="0" w:after="0"/>
              <w:ind w:right="-29"/>
              <w:jc w:val="center"/>
              <w:rPr>
                <w:noProof/>
                <w:sz w:val="18"/>
                <w:szCs w:val="18"/>
              </w:rPr>
            </w:pPr>
            <w:r>
              <w:rPr>
                <w:noProof/>
                <w:sz w:val="18"/>
              </w:rPr>
              <w:t>0,02</w:t>
            </w:r>
          </w:p>
        </w:tc>
        <w:tc>
          <w:tcPr>
            <w:tcW w:w="840" w:type="dxa"/>
          </w:tcPr>
          <w:p w:rsidR="00FC6891" w:rsidRDefault="00FC6891">
            <w:pPr>
              <w:spacing w:before="0" w:after="0"/>
              <w:ind w:right="-29"/>
              <w:jc w:val="center"/>
              <w:rPr>
                <w:noProof/>
                <w:sz w:val="18"/>
                <w:szCs w:val="18"/>
              </w:rPr>
            </w:pPr>
          </w:p>
        </w:tc>
        <w:tc>
          <w:tcPr>
            <w:tcW w:w="960" w:type="dxa"/>
          </w:tcPr>
          <w:p w:rsidR="00FC6891" w:rsidRDefault="00FC6891">
            <w:pPr>
              <w:spacing w:before="0" w:after="0"/>
              <w:ind w:right="-29"/>
              <w:jc w:val="center"/>
              <w:rPr>
                <w:noProof/>
                <w:sz w:val="18"/>
                <w:szCs w:val="18"/>
              </w:rPr>
            </w:pPr>
          </w:p>
        </w:tc>
        <w:tc>
          <w:tcPr>
            <w:tcW w:w="1080" w:type="dxa"/>
          </w:tcPr>
          <w:p w:rsidR="00FC6891" w:rsidRDefault="005F1CD3">
            <w:pPr>
              <w:spacing w:before="0" w:after="0"/>
              <w:ind w:right="-29"/>
              <w:jc w:val="center"/>
              <w:rPr>
                <w:noProof/>
                <w:sz w:val="18"/>
                <w:szCs w:val="18"/>
              </w:rPr>
            </w:pPr>
            <w:r>
              <w:rPr>
                <w:noProof/>
                <w:sz w:val="18"/>
              </w:rPr>
              <w:t>5910</w:t>
            </w:r>
          </w:p>
        </w:tc>
        <w:tc>
          <w:tcPr>
            <w:tcW w:w="1200" w:type="dxa"/>
          </w:tcPr>
          <w:p w:rsidR="00FC6891" w:rsidRDefault="005F1CD3">
            <w:pPr>
              <w:spacing w:before="0" w:after="0"/>
              <w:ind w:right="-29"/>
              <w:jc w:val="center"/>
              <w:rPr>
                <w:noProof/>
                <w:sz w:val="18"/>
                <w:szCs w:val="18"/>
              </w:rPr>
            </w:pPr>
            <w:r>
              <w:rPr>
                <w:noProof/>
                <w:sz w:val="18"/>
              </w:rPr>
              <w:t>118 200</w:t>
            </w:r>
          </w:p>
        </w:tc>
      </w:tr>
      <w:tr w:rsidR="00FC6891">
        <w:tc>
          <w:tcPr>
            <w:tcW w:w="3468" w:type="dxa"/>
            <w:gridSpan w:val="3"/>
          </w:tcPr>
          <w:p w:rsidR="00FC6891" w:rsidRDefault="005F1CD3">
            <w:pPr>
              <w:spacing w:before="0" w:after="0"/>
              <w:ind w:right="-29"/>
              <w:jc w:val="center"/>
              <w:rPr>
                <w:noProof/>
                <w:sz w:val="18"/>
                <w:szCs w:val="18"/>
              </w:rPr>
            </w:pPr>
            <w:r>
              <w:rPr>
                <w:b/>
                <w:noProof/>
                <w:sz w:val="18"/>
              </w:rPr>
              <w:t>NÁKLADY CELKEM</w:t>
            </w:r>
          </w:p>
        </w:tc>
        <w:tc>
          <w:tcPr>
            <w:tcW w:w="960" w:type="dxa"/>
          </w:tcPr>
          <w:p w:rsidR="00FC6891" w:rsidRDefault="005F1CD3">
            <w:pPr>
              <w:spacing w:before="0" w:after="0"/>
              <w:ind w:right="-29"/>
              <w:jc w:val="center"/>
              <w:rPr>
                <w:noProof/>
                <w:sz w:val="18"/>
                <w:szCs w:val="18"/>
              </w:rPr>
            </w:pPr>
            <w:r>
              <w:rPr>
                <w:noProof/>
                <w:sz w:val="18"/>
              </w:rPr>
              <w:t>967</w:t>
            </w:r>
          </w:p>
        </w:tc>
        <w:tc>
          <w:tcPr>
            <w:tcW w:w="1080" w:type="dxa"/>
          </w:tcPr>
          <w:p w:rsidR="00FC6891" w:rsidRDefault="005F1CD3">
            <w:pPr>
              <w:spacing w:before="0" w:after="0"/>
              <w:ind w:right="-29"/>
              <w:jc w:val="center"/>
              <w:rPr>
                <w:noProof/>
                <w:sz w:val="18"/>
                <w:szCs w:val="18"/>
              </w:rPr>
            </w:pPr>
            <w:r>
              <w:rPr>
                <w:noProof/>
                <w:sz w:val="18"/>
              </w:rPr>
              <w:t>19 330</w:t>
            </w:r>
          </w:p>
        </w:tc>
        <w:tc>
          <w:tcPr>
            <w:tcW w:w="960" w:type="dxa"/>
          </w:tcPr>
          <w:p w:rsidR="00FC6891" w:rsidRDefault="005F1CD3">
            <w:pPr>
              <w:spacing w:before="0" w:after="0"/>
              <w:ind w:right="-29"/>
              <w:jc w:val="center"/>
              <w:rPr>
                <w:noProof/>
                <w:sz w:val="18"/>
                <w:szCs w:val="18"/>
              </w:rPr>
            </w:pPr>
            <w:r>
              <w:rPr>
                <w:noProof/>
                <w:sz w:val="18"/>
              </w:rPr>
              <w:t>2480</w:t>
            </w:r>
          </w:p>
        </w:tc>
        <w:tc>
          <w:tcPr>
            <w:tcW w:w="1200" w:type="dxa"/>
          </w:tcPr>
          <w:p w:rsidR="00FC6891" w:rsidRDefault="005F1CD3">
            <w:pPr>
              <w:spacing w:before="0" w:after="0"/>
              <w:ind w:right="-29"/>
              <w:jc w:val="center"/>
              <w:rPr>
                <w:noProof/>
                <w:sz w:val="18"/>
                <w:szCs w:val="18"/>
              </w:rPr>
            </w:pPr>
            <w:r>
              <w:rPr>
                <w:noProof/>
                <w:sz w:val="18"/>
              </w:rPr>
              <w:t>49 610</w:t>
            </w:r>
          </w:p>
        </w:tc>
        <w:tc>
          <w:tcPr>
            <w:tcW w:w="1080" w:type="dxa"/>
          </w:tcPr>
          <w:p w:rsidR="00FC6891" w:rsidRDefault="005F1CD3">
            <w:pPr>
              <w:spacing w:before="0" w:after="0"/>
              <w:ind w:right="-29"/>
              <w:jc w:val="center"/>
              <w:rPr>
                <w:noProof/>
                <w:sz w:val="18"/>
                <w:szCs w:val="18"/>
              </w:rPr>
            </w:pPr>
            <w:r>
              <w:rPr>
                <w:noProof/>
                <w:sz w:val="18"/>
              </w:rPr>
              <w:t>2463</w:t>
            </w:r>
          </w:p>
        </w:tc>
        <w:tc>
          <w:tcPr>
            <w:tcW w:w="1080" w:type="dxa"/>
          </w:tcPr>
          <w:p w:rsidR="00FC6891" w:rsidRDefault="005F1CD3">
            <w:pPr>
              <w:spacing w:before="0" w:after="0"/>
              <w:ind w:right="-29"/>
              <w:jc w:val="center"/>
              <w:rPr>
                <w:noProof/>
                <w:sz w:val="18"/>
                <w:szCs w:val="18"/>
              </w:rPr>
            </w:pPr>
            <w:r>
              <w:rPr>
                <w:noProof/>
                <w:sz w:val="18"/>
              </w:rPr>
              <w:t>49 260</w:t>
            </w:r>
          </w:p>
        </w:tc>
        <w:tc>
          <w:tcPr>
            <w:tcW w:w="840" w:type="dxa"/>
          </w:tcPr>
          <w:p w:rsidR="00FC6891" w:rsidRDefault="00FC6891">
            <w:pPr>
              <w:spacing w:before="0" w:after="0"/>
              <w:ind w:right="-29"/>
              <w:jc w:val="center"/>
              <w:rPr>
                <w:noProof/>
                <w:sz w:val="18"/>
                <w:szCs w:val="18"/>
              </w:rPr>
            </w:pPr>
          </w:p>
        </w:tc>
        <w:tc>
          <w:tcPr>
            <w:tcW w:w="960" w:type="dxa"/>
          </w:tcPr>
          <w:p w:rsidR="00FC6891" w:rsidRDefault="00FC6891">
            <w:pPr>
              <w:spacing w:before="0" w:after="0"/>
              <w:ind w:right="-29"/>
              <w:jc w:val="center"/>
              <w:rPr>
                <w:noProof/>
                <w:sz w:val="18"/>
                <w:szCs w:val="18"/>
              </w:rPr>
            </w:pPr>
          </w:p>
        </w:tc>
        <w:tc>
          <w:tcPr>
            <w:tcW w:w="1080" w:type="dxa"/>
          </w:tcPr>
          <w:p w:rsidR="00FC6891" w:rsidRDefault="005F1CD3">
            <w:pPr>
              <w:spacing w:before="0" w:after="0"/>
              <w:ind w:right="-29"/>
              <w:jc w:val="center"/>
              <w:rPr>
                <w:noProof/>
                <w:sz w:val="18"/>
                <w:szCs w:val="18"/>
              </w:rPr>
            </w:pPr>
            <w:r>
              <w:rPr>
                <w:noProof/>
                <w:sz w:val="18"/>
              </w:rPr>
              <w:t>5910</w:t>
            </w:r>
          </w:p>
        </w:tc>
        <w:tc>
          <w:tcPr>
            <w:tcW w:w="1200" w:type="dxa"/>
          </w:tcPr>
          <w:p w:rsidR="00FC6891" w:rsidRDefault="005F1CD3">
            <w:pPr>
              <w:spacing w:before="0" w:after="0"/>
              <w:ind w:right="-29"/>
              <w:jc w:val="center"/>
              <w:rPr>
                <w:noProof/>
                <w:sz w:val="18"/>
                <w:szCs w:val="18"/>
              </w:rPr>
            </w:pPr>
            <w:r>
              <w:rPr>
                <w:noProof/>
                <w:sz w:val="18"/>
              </w:rPr>
              <w:t>118 200</w:t>
            </w:r>
          </w:p>
        </w:tc>
      </w:tr>
    </w:tbl>
    <w:p w:rsidR="00FC6891" w:rsidRDefault="00FC6891">
      <w:pPr>
        <w:rPr>
          <w:noProof/>
        </w:rPr>
        <w:sectPr w:rsidR="00FC6891" w:rsidSect="005F1CD3">
          <w:pgSz w:w="16840" w:h="11907" w:orient="landscape" w:code="9"/>
          <w:pgMar w:top="1134" w:right="1418" w:bottom="567" w:left="1418" w:header="709" w:footer="709" w:gutter="0"/>
          <w:cols w:space="708"/>
          <w:docGrid w:linePitch="360"/>
        </w:sectPr>
      </w:pPr>
    </w:p>
    <w:p w:rsidR="00FC6891" w:rsidRDefault="005F1CD3">
      <w:pPr>
        <w:pStyle w:val="ManualHeading3"/>
        <w:rPr>
          <w:bCs/>
          <w:noProof/>
          <w:szCs w:val="24"/>
        </w:rPr>
      </w:pPr>
      <w:r>
        <w:t>3.2.3.</w:t>
      </w:r>
      <w:r>
        <w:tab/>
      </w:r>
      <w:r>
        <w:rPr>
          <w:noProof/>
        </w:rPr>
        <w:t>Odhadovaný dopad na prostředky správní povahy</w:t>
      </w:r>
    </w:p>
    <w:p w:rsidR="00FC6891" w:rsidRDefault="005F1CD3">
      <w:pPr>
        <w:pStyle w:val="ManualHeading4"/>
        <w:rPr>
          <w:noProof/>
        </w:rPr>
      </w:pPr>
      <w:r>
        <w:t>3.2.3.1.</w:t>
      </w:r>
      <w:r>
        <w:tab/>
      </w:r>
      <w:r>
        <w:rPr>
          <w:noProof/>
        </w:rPr>
        <w:t xml:space="preserve">Shrnutí </w:t>
      </w:r>
    </w:p>
    <w:p w:rsidR="00FC6891" w:rsidRDefault="005F1CD3">
      <w:pPr>
        <w:pStyle w:val="ListDash1"/>
        <w:rPr>
          <w:noProof/>
        </w:rPr>
      </w:pPr>
      <w:r>
        <w:rPr>
          <w:noProof/>
          <w:szCs w:val="24"/>
        </w:rPr>
        <w:sym w:font="Wingdings" w:char="F0A8"/>
      </w:r>
      <w:r>
        <w:rPr>
          <w:noProof/>
        </w:rPr>
        <w:tab/>
        <w:t xml:space="preserve">Návrh/podnět nevyžaduje využití prostředků správní povahy. </w:t>
      </w:r>
    </w:p>
    <w:p w:rsidR="00FC6891" w:rsidRDefault="005F1CD3">
      <w:pPr>
        <w:pStyle w:val="ListDash1"/>
        <w:rPr>
          <w:noProof/>
        </w:rPr>
      </w:pPr>
      <w:r>
        <w:rPr>
          <w:noProof/>
        </w:rPr>
        <w:t>x</w:t>
      </w:r>
      <w:r>
        <w:rPr>
          <w:noProof/>
        </w:rPr>
        <w:tab/>
        <w:t xml:space="preserve">Návrh/podnět vyžaduje použití prostředků správní povahy, jak je </w:t>
      </w:r>
      <w:r>
        <w:rPr>
          <w:noProof/>
        </w:rPr>
        <w:t>vysvětleno dále:</w:t>
      </w:r>
    </w:p>
    <w:p w:rsidR="00FC6891" w:rsidRDefault="005F1CD3">
      <w:pPr>
        <w:rPr>
          <w:noProof/>
          <w:sz w:val="20"/>
        </w:rPr>
      </w:pPr>
      <w:r>
        <w:rPr>
          <w:noProof/>
          <w:sz w:val="20"/>
        </w:rPr>
        <w:t>v milionech EUR (zaokrouhleno na tři desetinná místa)</w:t>
      </w: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FC6891">
        <w:trPr>
          <w:trHeight w:val="585"/>
        </w:trPr>
        <w:tc>
          <w:tcPr>
            <w:tcW w:w="2400" w:type="dxa"/>
          </w:tcPr>
          <w:p w:rsidR="00FC6891" w:rsidRDefault="00FC6891">
            <w:pPr>
              <w:spacing w:before="60" w:after="60" w:line="200" w:lineRule="exact"/>
              <w:rPr>
                <w:noProof/>
                <w:sz w:val="16"/>
                <w:szCs w:val="16"/>
              </w:rPr>
            </w:pPr>
          </w:p>
        </w:tc>
        <w:tc>
          <w:tcPr>
            <w:tcW w:w="1416" w:type="dxa"/>
            <w:vAlign w:val="center"/>
          </w:tcPr>
          <w:p w:rsidR="00FC6891" w:rsidRDefault="005F1CD3">
            <w:pPr>
              <w:spacing w:before="60" w:after="60" w:line="200" w:lineRule="exact"/>
              <w:jc w:val="center"/>
              <w:rPr>
                <w:noProof/>
                <w:sz w:val="16"/>
                <w:szCs w:val="16"/>
              </w:rPr>
            </w:pPr>
            <w:r>
              <w:rPr>
                <w:b/>
                <w:noProof/>
                <w:sz w:val="20"/>
              </w:rPr>
              <w:t>2017</w:t>
            </w:r>
          </w:p>
        </w:tc>
        <w:tc>
          <w:tcPr>
            <w:tcW w:w="1416" w:type="dxa"/>
            <w:vAlign w:val="center"/>
          </w:tcPr>
          <w:p w:rsidR="00FC6891" w:rsidRDefault="005F1CD3">
            <w:pPr>
              <w:spacing w:before="60" w:after="60" w:line="200" w:lineRule="exact"/>
              <w:jc w:val="center"/>
              <w:rPr>
                <w:noProof/>
                <w:sz w:val="16"/>
                <w:szCs w:val="16"/>
              </w:rPr>
            </w:pPr>
            <w:r>
              <w:rPr>
                <w:b/>
                <w:noProof/>
                <w:sz w:val="20"/>
              </w:rPr>
              <w:t>2018</w:t>
            </w:r>
          </w:p>
        </w:tc>
        <w:tc>
          <w:tcPr>
            <w:tcW w:w="1416" w:type="dxa"/>
            <w:vAlign w:val="center"/>
          </w:tcPr>
          <w:p w:rsidR="00FC6891" w:rsidRDefault="005F1CD3">
            <w:pPr>
              <w:spacing w:before="60" w:after="60" w:line="200" w:lineRule="exact"/>
              <w:jc w:val="center"/>
              <w:rPr>
                <w:noProof/>
                <w:sz w:val="16"/>
                <w:szCs w:val="16"/>
              </w:rPr>
            </w:pPr>
            <w:r>
              <w:rPr>
                <w:b/>
                <w:noProof/>
                <w:sz w:val="20"/>
              </w:rPr>
              <w:t>2019</w:t>
            </w:r>
          </w:p>
        </w:tc>
        <w:tc>
          <w:tcPr>
            <w:tcW w:w="1416" w:type="dxa"/>
            <w:vAlign w:val="center"/>
          </w:tcPr>
          <w:p w:rsidR="00FC6891" w:rsidRDefault="005F1CD3">
            <w:pPr>
              <w:spacing w:before="60" w:after="60" w:line="200" w:lineRule="exact"/>
              <w:jc w:val="center"/>
              <w:rPr>
                <w:noProof/>
                <w:sz w:val="16"/>
                <w:szCs w:val="16"/>
              </w:rPr>
            </w:pPr>
            <w:r>
              <w:rPr>
                <w:b/>
                <w:noProof/>
                <w:sz w:val="20"/>
              </w:rPr>
              <w:t>2020</w:t>
            </w:r>
          </w:p>
        </w:tc>
        <w:tc>
          <w:tcPr>
            <w:tcW w:w="1416" w:type="dxa"/>
            <w:vAlign w:val="center"/>
          </w:tcPr>
          <w:p w:rsidR="00FC6891" w:rsidRDefault="005F1CD3">
            <w:pPr>
              <w:spacing w:before="60" w:after="60" w:line="200" w:lineRule="exact"/>
              <w:jc w:val="center"/>
              <w:rPr>
                <w:b/>
                <w:noProof/>
                <w:sz w:val="16"/>
                <w:szCs w:val="16"/>
              </w:rPr>
            </w:pPr>
            <w:r>
              <w:rPr>
                <w:b/>
                <w:noProof/>
                <w:sz w:val="16"/>
              </w:rPr>
              <w:t>CELKEM</w:t>
            </w:r>
          </w:p>
        </w:tc>
      </w:tr>
    </w:tbl>
    <w:p w:rsidR="00FC6891" w:rsidRDefault="00FC6891">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FC6891">
        <w:trPr>
          <w:trHeight w:val="585"/>
        </w:trPr>
        <w:tc>
          <w:tcPr>
            <w:tcW w:w="2400" w:type="dxa"/>
            <w:shd w:val="clear" w:color="auto" w:fill="CCCCCC"/>
            <w:vAlign w:val="center"/>
          </w:tcPr>
          <w:p w:rsidR="00FC6891" w:rsidRDefault="005F1CD3">
            <w:pPr>
              <w:spacing w:before="60" w:after="60" w:line="200" w:lineRule="exact"/>
              <w:jc w:val="left"/>
              <w:rPr>
                <w:b/>
                <w:noProof/>
                <w:sz w:val="16"/>
                <w:szCs w:val="16"/>
              </w:rPr>
            </w:pPr>
            <w:r>
              <w:rPr>
                <w:b/>
                <w:noProof/>
                <w:sz w:val="16"/>
              </w:rPr>
              <w:t>OKRUH 5</w:t>
            </w:r>
            <w:r>
              <w:rPr>
                <w:noProof/>
                <w:sz w:val="22"/>
              </w:rPr>
              <w:br/>
            </w:r>
            <w:r>
              <w:rPr>
                <w:b/>
                <w:noProof/>
                <w:sz w:val="16"/>
              </w:rPr>
              <w:t>víceletého finančního rámce</w:t>
            </w:r>
          </w:p>
        </w:tc>
        <w:tc>
          <w:tcPr>
            <w:tcW w:w="1416" w:type="dxa"/>
            <w:vAlign w:val="center"/>
          </w:tcPr>
          <w:p w:rsidR="00FC6891" w:rsidRDefault="00FC6891">
            <w:pPr>
              <w:spacing w:before="60" w:after="60" w:line="200" w:lineRule="exact"/>
              <w:jc w:val="right"/>
              <w:rPr>
                <w:noProof/>
                <w:sz w:val="16"/>
                <w:szCs w:val="16"/>
              </w:rPr>
            </w:pPr>
          </w:p>
        </w:tc>
        <w:tc>
          <w:tcPr>
            <w:tcW w:w="1416" w:type="dxa"/>
            <w:vAlign w:val="center"/>
          </w:tcPr>
          <w:p w:rsidR="00FC6891" w:rsidRDefault="00FC6891">
            <w:pPr>
              <w:spacing w:before="60" w:after="60" w:line="200" w:lineRule="exact"/>
              <w:jc w:val="right"/>
              <w:rPr>
                <w:noProof/>
                <w:sz w:val="16"/>
                <w:szCs w:val="16"/>
              </w:rPr>
            </w:pPr>
          </w:p>
        </w:tc>
        <w:tc>
          <w:tcPr>
            <w:tcW w:w="1416" w:type="dxa"/>
            <w:vAlign w:val="center"/>
          </w:tcPr>
          <w:p w:rsidR="00FC6891" w:rsidRDefault="00FC6891">
            <w:pPr>
              <w:spacing w:before="60" w:after="60" w:line="200" w:lineRule="exact"/>
              <w:jc w:val="right"/>
              <w:rPr>
                <w:noProof/>
                <w:sz w:val="16"/>
                <w:szCs w:val="16"/>
              </w:rPr>
            </w:pPr>
          </w:p>
        </w:tc>
        <w:tc>
          <w:tcPr>
            <w:tcW w:w="1416" w:type="dxa"/>
            <w:vAlign w:val="center"/>
          </w:tcPr>
          <w:p w:rsidR="00FC6891" w:rsidRDefault="00FC6891">
            <w:pPr>
              <w:spacing w:before="60" w:after="60" w:line="200" w:lineRule="exact"/>
              <w:jc w:val="right"/>
              <w:rPr>
                <w:noProof/>
                <w:sz w:val="16"/>
                <w:szCs w:val="16"/>
              </w:rPr>
            </w:pPr>
          </w:p>
        </w:tc>
        <w:tc>
          <w:tcPr>
            <w:tcW w:w="1416" w:type="dxa"/>
            <w:vAlign w:val="center"/>
          </w:tcPr>
          <w:p w:rsidR="00FC6891" w:rsidRDefault="00FC6891">
            <w:pPr>
              <w:spacing w:before="60" w:after="60" w:line="200" w:lineRule="exact"/>
              <w:jc w:val="right"/>
              <w:rPr>
                <w:b/>
                <w:noProof/>
                <w:sz w:val="16"/>
                <w:szCs w:val="16"/>
              </w:rPr>
            </w:pPr>
          </w:p>
        </w:tc>
      </w:tr>
      <w:tr w:rsidR="00FC6891">
        <w:trPr>
          <w:trHeight w:val="585"/>
        </w:trPr>
        <w:tc>
          <w:tcPr>
            <w:tcW w:w="2400" w:type="dxa"/>
            <w:vAlign w:val="center"/>
          </w:tcPr>
          <w:p w:rsidR="00FC6891" w:rsidRDefault="005F1CD3">
            <w:pPr>
              <w:spacing w:before="60" w:after="60" w:line="200" w:lineRule="exact"/>
              <w:ind w:left="72"/>
              <w:jc w:val="left"/>
              <w:rPr>
                <w:noProof/>
                <w:sz w:val="16"/>
                <w:szCs w:val="16"/>
              </w:rPr>
            </w:pPr>
            <w:r>
              <w:rPr>
                <w:noProof/>
                <w:sz w:val="16"/>
              </w:rPr>
              <w:t xml:space="preserve">Lidské zdroje </w:t>
            </w:r>
          </w:p>
        </w:tc>
        <w:tc>
          <w:tcPr>
            <w:tcW w:w="1416" w:type="dxa"/>
            <w:vAlign w:val="center"/>
          </w:tcPr>
          <w:p w:rsidR="00FC6891" w:rsidRDefault="005F1CD3">
            <w:pPr>
              <w:spacing w:before="60" w:after="60" w:line="200" w:lineRule="exact"/>
              <w:jc w:val="right"/>
              <w:rPr>
                <w:noProof/>
                <w:sz w:val="16"/>
                <w:szCs w:val="16"/>
              </w:rPr>
            </w:pPr>
            <w:r>
              <w:rPr>
                <w:noProof/>
                <w:sz w:val="20"/>
              </w:rPr>
              <w:t>0,204</w:t>
            </w:r>
          </w:p>
        </w:tc>
        <w:tc>
          <w:tcPr>
            <w:tcW w:w="1416" w:type="dxa"/>
            <w:vAlign w:val="center"/>
          </w:tcPr>
          <w:p w:rsidR="00FC6891" w:rsidRDefault="005F1CD3">
            <w:pPr>
              <w:spacing w:before="60" w:after="60" w:line="200" w:lineRule="exact"/>
              <w:jc w:val="right"/>
              <w:rPr>
                <w:noProof/>
                <w:sz w:val="16"/>
                <w:szCs w:val="16"/>
              </w:rPr>
            </w:pPr>
            <w:r>
              <w:rPr>
                <w:noProof/>
                <w:sz w:val="20"/>
              </w:rPr>
              <w:t>0,204</w:t>
            </w:r>
          </w:p>
        </w:tc>
        <w:tc>
          <w:tcPr>
            <w:tcW w:w="1416" w:type="dxa"/>
            <w:vAlign w:val="center"/>
          </w:tcPr>
          <w:p w:rsidR="00FC6891" w:rsidRDefault="005F1CD3">
            <w:pPr>
              <w:spacing w:before="60" w:after="60" w:line="200" w:lineRule="exact"/>
              <w:jc w:val="right"/>
              <w:rPr>
                <w:noProof/>
                <w:sz w:val="16"/>
                <w:szCs w:val="16"/>
              </w:rPr>
            </w:pPr>
            <w:r>
              <w:rPr>
                <w:noProof/>
                <w:sz w:val="20"/>
              </w:rPr>
              <w:t>0 204</w:t>
            </w:r>
          </w:p>
        </w:tc>
        <w:tc>
          <w:tcPr>
            <w:tcW w:w="1416" w:type="dxa"/>
            <w:vAlign w:val="center"/>
          </w:tcPr>
          <w:p w:rsidR="00FC6891" w:rsidRDefault="005F1CD3">
            <w:pPr>
              <w:spacing w:before="60" w:after="60" w:line="200" w:lineRule="exact"/>
              <w:jc w:val="right"/>
              <w:rPr>
                <w:noProof/>
                <w:sz w:val="16"/>
                <w:szCs w:val="16"/>
              </w:rPr>
            </w:pPr>
            <w:r>
              <w:rPr>
                <w:noProof/>
                <w:sz w:val="20"/>
              </w:rPr>
              <w:t>0,204</w:t>
            </w:r>
          </w:p>
        </w:tc>
        <w:tc>
          <w:tcPr>
            <w:tcW w:w="1416" w:type="dxa"/>
            <w:vAlign w:val="center"/>
          </w:tcPr>
          <w:p w:rsidR="00FC6891" w:rsidRDefault="005F1CD3">
            <w:pPr>
              <w:spacing w:before="60" w:after="60" w:line="200" w:lineRule="exact"/>
              <w:jc w:val="right"/>
              <w:rPr>
                <w:b/>
                <w:noProof/>
                <w:sz w:val="20"/>
                <w:szCs w:val="20"/>
              </w:rPr>
            </w:pPr>
            <w:r>
              <w:rPr>
                <w:b/>
                <w:noProof/>
                <w:sz w:val="20"/>
              </w:rPr>
              <w:t>0,816</w:t>
            </w:r>
          </w:p>
        </w:tc>
      </w:tr>
      <w:tr w:rsidR="00FC6891">
        <w:trPr>
          <w:trHeight w:val="585"/>
        </w:trPr>
        <w:tc>
          <w:tcPr>
            <w:tcW w:w="2400" w:type="dxa"/>
            <w:vAlign w:val="center"/>
          </w:tcPr>
          <w:p w:rsidR="00FC6891" w:rsidRDefault="005F1CD3">
            <w:pPr>
              <w:spacing w:before="60" w:after="60" w:line="200" w:lineRule="exact"/>
              <w:ind w:left="72"/>
              <w:jc w:val="left"/>
              <w:rPr>
                <w:noProof/>
                <w:sz w:val="16"/>
                <w:szCs w:val="16"/>
              </w:rPr>
            </w:pPr>
            <w:r>
              <w:rPr>
                <w:noProof/>
                <w:sz w:val="16"/>
              </w:rPr>
              <w:t xml:space="preserve">Ostatní správní výdaje </w:t>
            </w:r>
          </w:p>
        </w:tc>
        <w:tc>
          <w:tcPr>
            <w:tcW w:w="1416" w:type="dxa"/>
            <w:vAlign w:val="center"/>
          </w:tcPr>
          <w:p w:rsidR="00FC6891" w:rsidRDefault="005F1CD3">
            <w:pPr>
              <w:spacing w:before="60" w:after="60" w:line="200" w:lineRule="exact"/>
              <w:jc w:val="right"/>
              <w:rPr>
                <w:noProof/>
                <w:sz w:val="16"/>
                <w:szCs w:val="16"/>
              </w:rPr>
            </w:pPr>
            <w:r>
              <w:rPr>
                <w:noProof/>
                <w:sz w:val="20"/>
              </w:rPr>
              <w:t>0,020</w:t>
            </w:r>
          </w:p>
        </w:tc>
        <w:tc>
          <w:tcPr>
            <w:tcW w:w="1416" w:type="dxa"/>
            <w:vAlign w:val="center"/>
          </w:tcPr>
          <w:p w:rsidR="00FC6891" w:rsidRDefault="005F1CD3">
            <w:pPr>
              <w:spacing w:before="60" w:after="60" w:line="200" w:lineRule="exact"/>
              <w:jc w:val="right"/>
              <w:rPr>
                <w:noProof/>
                <w:sz w:val="16"/>
                <w:szCs w:val="16"/>
              </w:rPr>
            </w:pPr>
            <w:r>
              <w:rPr>
                <w:noProof/>
                <w:sz w:val="20"/>
              </w:rPr>
              <w:t>0,020</w:t>
            </w:r>
          </w:p>
        </w:tc>
        <w:tc>
          <w:tcPr>
            <w:tcW w:w="1416" w:type="dxa"/>
            <w:vAlign w:val="center"/>
          </w:tcPr>
          <w:p w:rsidR="00FC6891" w:rsidRDefault="005F1CD3">
            <w:pPr>
              <w:spacing w:before="60" w:after="60" w:line="200" w:lineRule="exact"/>
              <w:jc w:val="right"/>
              <w:rPr>
                <w:noProof/>
                <w:sz w:val="16"/>
                <w:szCs w:val="16"/>
              </w:rPr>
            </w:pPr>
            <w:r>
              <w:rPr>
                <w:noProof/>
                <w:sz w:val="20"/>
              </w:rPr>
              <w:t>0 010</w:t>
            </w:r>
          </w:p>
        </w:tc>
        <w:tc>
          <w:tcPr>
            <w:tcW w:w="1416" w:type="dxa"/>
            <w:vAlign w:val="center"/>
          </w:tcPr>
          <w:p w:rsidR="00FC6891" w:rsidRDefault="005F1CD3">
            <w:pPr>
              <w:spacing w:before="60" w:after="60" w:line="200" w:lineRule="exact"/>
              <w:jc w:val="right"/>
              <w:rPr>
                <w:noProof/>
                <w:sz w:val="16"/>
                <w:szCs w:val="16"/>
              </w:rPr>
            </w:pPr>
            <w:r>
              <w:rPr>
                <w:noProof/>
                <w:sz w:val="20"/>
              </w:rPr>
              <w:t>0,010</w:t>
            </w:r>
          </w:p>
        </w:tc>
        <w:tc>
          <w:tcPr>
            <w:tcW w:w="1416" w:type="dxa"/>
            <w:vAlign w:val="center"/>
          </w:tcPr>
          <w:p w:rsidR="00FC6891" w:rsidRDefault="005F1CD3">
            <w:pPr>
              <w:spacing w:before="60" w:after="60" w:line="200" w:lineRule="exact"/>
              <w:jc w:val="right"/>
              <w:rPr>
                <w:b/>
                <w:noProof/>
                <w:sz w:val="20"/>
                <w:szCs w:val="20"/>
              </w:rPr>
            </w:pPr>
            <w:r>
              <w:rPr>
                <w:b/>
                <w:noProof/>
                <w:sz w:val="20"/>
              </w:rPr>
              <w:t>0,060</w:t>
            </w:r>
          </w:p>
        </w:tc>
      </w:tr>
      <w:tr w:rsidR="00FC6891">
        <w:trPr>
          <w:trHeight w:val="585"/>
        </w:trPr>
        <w:tc>
          <w:tcPr>
            <w:tcW w:w="2400" w:type="dxa"/>
            <w:shd w:val="clear" w:color="auto" w:fill="CCCCCC"/>
            <w:vAlign w:val="center"/>
          </w:tcPr>
          <w:p w:rsidR="00FC6891" w:rsidRDefault="005F1CD3">
            <w:pPr>
              <w:spacing w:before="60" w:after="60" w:line="200" w:lineRule="exact"/>
              <w:jc w:val="left"/>
              <w:rPr>
                <w:b/>
                <w:noProof/>
                <w:sz w:val="16"/>
                <w:szCs w:val="16"/>
              </w:rPr>
            </w:pPr>
            <w:r>
              <w:rPr>
                <w:b/>
                <w:noProof/>
                <w:sz w:val="16"/>
              </w:rPr>
              <w:t>Mezisoučet -</w:t>
            </w:r>
            <w:r>
              <w:rPr>
                <w:b/>
                <w:noProof/>
                <w:sz w:val="16"/>
              </w:rPr>
              <w:t xml:space="preserve"> OKRUH 5</w:t>
            </w:r>
            <w:r>
              <w:rPr>
                <w:noProof/>
                <w:sz w:val="22"/>
              </w:rPr>
              <w:br/>
            </w:r>
            <w:r>
              <w:rPr>
                <w:b/>
                <w:noProof/>
                <w:sz w:val="16"/>
              </w:rPr>
              <w:t xml:space="preserve">víceletého finančního rámce </w:t>
            </w:r>
          </w:p>
        </w:tc>
        <w:tc>
          <w:tcPr>
            <w:tcW w:w="1416" w:type="dxa"/>
            <w:vAlign w:val="bottom"/>
          </w:tcPr>
          <w:p w:rsidR="00FC6891" w:rsidRDefault="005F1CD3">
            <w:pPr>
              <w:spacing w:before="60" w:after="60" w:line="200" w:lineRule="exact"/>
              <w:jc w:val="right"/>
              <w:rPr>
                <w:b/>
                <w:noProof/>
                <w:sz w:val="16"/>
                <w:szCs w:val="16"/>
              </w:rPr>
            </w:pPr>
            <w:r>
              <w:rPr>
                <w:b/>
                <w:noProof/>
                <w:color w:val="000000"/>
                <w:sz w:val="20"/>
              </w:rPr>
              <w:t>0,224</w:t>
            </w:r>
          </w:p>
        </w:tc>
        <w:tc>
          <w:tcPr>
            <w:tcW w:w="1416" w:type="dxa"/>
            <w:vAlign w:val="bottom"/>
          </w:tcPr>
          <w:p w:rsidR="00FC6891" w:rsidRDefault="005F1CD3">
            <w:pPr>
              <w:spacing w:before="60" w:after="60" w:line="200" w:lineRule="exact"/>
              <w:jc w:val="right"/>
              <w:rPr>
                <w:b/>
                <w:noProof/>
                <w:sz w:val="16"/>
                <w:szCs w:val="16"/>
              </w:rPr>
            </w:pPr>
            <w:r>
              <w:rPr>
                <w:b/>
                <w:noProof/>
                <w:color w:val="000000"/>
                <w:sz w:val="20"/>
              </w:rPr>
              <w:t>0,224</w:t>
            </w:r>
          </w:p>
        </w:tc>
        <w:tc>
          <w:tcPr>
            <w:tcW w:w="1416" w:type="dxa"/>
            <w:vAlign w:val="bottom"/>
          </w:tcPr>
          <w:p w:rsidR="00FC6891" w:rsidRDefault="005F1CD3">
            <w:pPr>
              <w:spacing w:before="60" w:after="60" w:line="200" w:lineRule="exact"/>
              <w:jc w:val="right"/>
              <w:rPr>
                <w:b/>
                <w:noProof/>
                <w:sz w:val="16"/>
                <w:szCs w:val="16"/>
              </w:rPr>
            </w:pPr>
            <w:r>
              <w:rPr>
                <w:b/>
                <w:noProof/>
                <w:color w:val="000000"/>
                <w:sz w:val="20"/>
              </w:rPr>
              <w:t>0,214</w:t>
            </w:r>
          </w:p>
        </w:tc>
        <w:tc>
          <w:tcPr>
            <w:tcW w:w="1416" w:type="dxa"/>
            <w:vAlign w:val="bottom"/>
          </w:tcPr>
          <w:p w:rsidR="00FC6891" w:rsidRDefault="005F1CD3">
            <w:pPr>
              <w:spacing w:before="60" w:after="60" w:line="200" w:lineRule="exact"/>
              <w:jc w:val="right"/>
              <w:rPr>
                <w:b/>
                <w:noProof/>
                <w:sz w:val="16"/>
                <w:szCs w:val="16"/>
              </w:rPr>
            </w:pPr>
            <w:r>
              <w:rPr>
                <w:b/>
                <w:noProof/>
                <w:color w:val="000000"/>
                <w:sz w:val="20"/>
              </w:rPr>
              <w:t>0,214</w:t>
            </w:r>
          </w:p>
        </w:tc>
        <w:tc>
          <w:tcPr>
            <w:tcW w:w="1416" w:type="dxa"/>
            <w:vAlign w:val="bottom"/>
          </w:tcPr>
          <w:p w:rsidR="00FC6891" w:rsidRDefault="005F1CD3">
            <w:pPr>
              <w:spacing w:before="60" w:after="60" w:line="200" w:lineRule="exact"/>
              <w:jc w:val="right"/>
              <w:rPr>
                <w:b/>
                <w:noProof/>
                <w:sz w:val="20"/>
                <w:szCs w:val="20"/>
              </w:rPr>
            </w:pPr>
            <w:r>
              <w:rPr>
                <w:b/>
                <w:noProof/>
                <w:color w:val="000000"/>
                <w:sz w:val="20"/>
              </w:rPr>
              <w:t>0,876</w:t>
            </w:r>
          </w:p>
        </w:tc>
      </w:tr>
    </w:tbl>
    <w:p w:rsidR="00FC6891" w:rsidRDefault="00FC6891">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FC6891">
        <w:trPr>
          <w:trHeight w:val="585"/>
        </w:trPr>
        <w:tc>
          <w:tcPr>
            <w:tcW w:w="2400" w:type="dxa"/>
            <w:shd w:val="clear" w:color="auto" w:fill="CCCCCC"/>
            <w:vAlign w:val="center"/>
          </w:tcPr>
          <w:p w:rsidR="00FC6891" w:rsidRDefault="005F1CD3">
            <w:pPr>
              <w:spacing w:before="60" w:after="60" w:line="200" w:lineRule="exact"/>
              <w:jc w:val="left"/>
              <w:rPr>
                <w:b/>
                <w:noProof/>
                <w:sz w:val="16"/>
                <w:szCs w:val="16"/>
              </w:rPr>
            </w:pPr>
            <w:r>
              <w:rPr>
                <w:b/>
                <w:noProof/>
                <w:sz w:val="16"/>
              </w:rPr>
              <w:t>Mimo OKRUH 5</w:t>
            </w:r>
            <w:r>
              <w:rPr>
                <w:rStyle w:val="FootnoteReference"/>
                <w:b/>
                <w:noProof/>
                <w:sz w:val="16"/>
              </w:rPr>
              <w:footnoteReference w:id="24"/>
            </w:r>
            <w:r>
              <w:rPr>
                <w:noProof/>
                <w:sz w:val="22"/>
              </w:rPr>
              <w:br/>
            </w:r>
            <w:r>
              <w:rPr>
                <w:b/>
                <w:noProof/>
                <w:sz w:val="16"/>
              </w:rPr>
              <w:t xml:space="preserve">víceletého finančního rámce </w:t>
            </w:r>
          </w:p>
        </w:tc>
        <w:tc>
          <w:tcPr>
            <w:tcW w:w="1416" w:type="dxa"/>
            <w:vAlign w:val="center"/>
          </w:tcPr>
          <w:p w:rsidR="00FC6891" w:rsidRDefault="00FC6891">
            <w:pPr>
              <w:spacing w:before="60" w:after="60" w:line="200" w:lineRule="exact"/>
              <w:jc w:val="right"/>
              <w:rPr>
                <w:noProof/>
                <w:sz w:val="16"/>
                <w:szCs w:val="16"/>
              </w:rPr>
            </w:pPr>
          </w:p>
        </w:tc>
        <w:tc>
          <w:tcPr>
            <w:tcW w:w="1416" w:type="dxa"/>
            <w:vAlign w:val="center"/>
          </w:tcPr>
          <w:p w:rsidR="00FC6891" w:rsidRDefault="00FC6891">
            <w:pPr>
              <w:spacing w:before="60" w:after="60" w:line="200" w:lineRule="exact"/>
              <w:jc w:val="right"/>
              <w:rPr>
                <w:noProof/>
                <w:sz w:val="16"/>
                <w:szCs w:val="16"/>
              </w:rPr>
            </w:pPr>
          </w:p>
        </w:tc>
        <w:tc>
          <w:tcPr>
            <w:tcW w:w="1416" w:type="dxa"/>
            <w:vAlign w:val="center"/>
          </w:tcPr>
          <w:p w:rsidR="00FC6891" w:rsidRDefault="00FC6891">
            <w:pPr>
              <w:spacing w:before="60" w:after="60" w:line="200" w:lineRule="exact"/>
              <w:jc w:val="right"/>
              <w:rPr>
                <w:noProof/>
                <w:sz w:val="16"/>
                <w:szCs w:val="16"/>
              </w:rPr>
            </w:pPr>
          </w:p>
        </w:tc>
        <w:tc>
          <w:tcPr>
            <w:tcW w:w="1416" w:type="dxa"/>
            <w:vAlign w:val="center"/>
          </w:tcPr>
          <w:p w:rsidR="00FC6891" w:rsidRDefault="00FC6891">
            <w:pPr>
              <w:spacing w:before="60" w:after="60" w:line="200" w:lineRule="exact"/>
              <w:jc w:val="right"/>
              <w:rPr>
                <w:noProof/>
                <w:sz w:val="16"/>
                <w:szCs w:val="16"/>
              </w:rPr>
            </w:pPr>
          </w:p>
        </w:tc>
        <w:tc>
          <w:tcPr>
            <w:tcW w:w="1416" w:type="dxa"/>
            <w:vAlign w:val="center"/>
          </w:tcPr>
          <w:p w:rsidR="00FC6891" w:rsidRDefault="00FC6891">
            <w:pPr>
              <w:spacing w:before="60" w:after="60" w:line="200" w:lineRule="exact"/>
              <w:jc w:val="right"/>
              <w:rPr>
                <w:b/>
                <w:noProof/>
                <w:sz w:val="16"/>
                <w:szCs w:val="16"/>
              </w:rPr>
            </w:pPr>
          </w:p>
        </w:tc>
      </w:tr>
      <w:tr w:rsidR="00FC6891">
        <w:trPr>
          <w:trHeight w:val="585"/>
        </w:trPr>
        <w:tc>
          <w:tcPr>
            <w:tcW w:w="2400" w:type="dxa"/>
            <w:vAlign w:val="center"/>
          </w:tcPr>
          <w:p w:rsidR="00FC6891" w:rsidRDefault="005F1CD3">
            <w:pPr>
              <w:spacing w:before="60" w:after="60" w:line="200" w:lineRule="exact"/>
              <w:ind w:left="72"/>
              <w:jc w:val="left"/>
              <w:rPr>
                <w:noProof/>
                <w:sz w:val="16"/>
                <w:szCs w:val="16"/>
              </w:rPr>
            </w:pPr>
            <w:r>
              <w:rPr>
                <w:noProof/>
                <w:sz w:val="16"/>
              </w:rPr>
              <w:t xml:space="preserve">Lidské zdroje </w:t>
            </w:r>
          </w:p>
        </w:tc>
        <w:tc>
          <w:tcPr>
            <w:tcW w:w="1416" w:type="dxa"/>
            <w:vAlign w:val="center"/>
          </w:tcPr>
          <w:p w:rsidR="00FC6891" w:rsidRDefault="00FC6891">
            <w:pPr>
              <w:spacing w:before="60" w:after="60" w:line="200" w:lineRule="exact"/>
              <w:jc w:val="right"/>
              <w:rPr>
                <w:noProof/>
                <w:sz w:val="16"/>
                <w:szCs w:val="16"/>
              </w:rPr>
            </w:pPr>
          </w:p>
        </w:tc>
        <w:tc>
          <w:tcPr>
            <w:tcW w:w="1416" w:type="dxa"/>
            <w:vAlign w:val="center"/>
          </w:tcPr>
          <w:p w:rsidR="00FC6891" w:rsidRDefault="00FC6891">
            <w:pPr>
              <w:spacing w:before="60" w:after="60" w:line="200" w:lineRule="exact"/>
              <w:jc w:val="right"/>
              <w:rPr>
                <w:noProof/>
                <w:sz w:val="16"/>
                <w:szCs w:val="16"/>
              </w:rPr>
            </w:pPr>
          </w:p>
        </w:tc>
        <w:tc>
          <w:tcPr>
            <w:tcW w:w="1416" w:type="dxa"/>
            <w:vAlign w:val="center"/>
          </w:tcPr>
          <w:p w:rsidR="00FC6891" w:rsidRDefault="00FC6891">
            <w:pPr>
              <w:spacing w:before="60" w:after="60" w:line="200" w:lineRule="exact"/>
              <w:jc w:val="right"/>
              <w:rPr>
                <w:noProof/>
                <w:sz w:val="16"/>
                <w:szCs w:val="16"/>
              </w:rPr>
            </w:pPr>
          </w:p>
        </w:tc>
        <w:tc>
          <w:tcPr>
            <w:tcW w:w="1416" w:type="dxa"/>
            <w:vAlign w:val="center"/>
          </w:tcPr>
          <w:p w:rsidR="00FC6891" w:rsidRDefault="00FC6891">
            <w:pPr>
              <w:spacing w:before="60" w:after="60" w:line="200" w:lineRule="exact"/>
              <w:jc w:val="right"/>
              <w:rPr>
                <w:noProof/>
                <w:sz w:val="16"/>
                <w:szCs w:val="16"/>
              </w:rPr>
            </w:pPr>
          </w:p>
        </w:tc>
        <w:tc>
          <w:tcPr>
            <w:tcW w:w="1416" w:type="dxa"/>
            <w:vAlign w:val="center"/>
          </w:tcPr>
          <w:p w:rsidR="00FC6891" w:rsidRDefault="00FC6891">
            <w:pPr>
              <w:spacing w:before="60" w:after="60" w:line="200" w:lineRule="exact"/>
              <w:jc w:val="right"/>
              <w:rPr>
                <w:b/>
                <w:noProof/>
                <w:sz w:val="16"/>
                <w:szCs w:val="16"/>
              </w:rPr>
            </w:pPr>
          </w:p>
        </w:tc>
      </w:tr>
      <w:tr w:rsidR="00FC6891">
        <w:trPr>
          <w:trHeight w:val="585"/>
        </w:trPr>
        <w:tc>
          <w:tcPr>
            <w:tcW w:w="2400" w:type="dxa"/>
            <w:vAlign w:val="center"/>
          </w:tcPr>
          <w:p w:rsidR="00FC6891" w:rsidRDefault="005F1CD3">
            <w:pPr>
              <w:spacing w:before="60" w:after="60" w:line="200" w:lineRule="exact"/>
              <w:ind w:left="72"/>
              <w:jc w:val="left"/>
              <w:rPr>
                <w:noProof/>
                <w:sz w:val="16"/>
                <w:szCs w:val="16"/>
              </w:rPr>
            </w:pPr>
            <w:r>
              <w:rPr>
                <w:noProof/>
                <w:sz w:val="16"/>
              </w:rPr>
              <w:t>Ostatní výdajesprávní povahy</w:t>
            </w:r>
          </w:p>
        </w:tc>
        <w:tc>
          <w:tcPr>
            <w:tcW w:w="1416" w:type="dxa"/>
            <w:vAlign w:val="bottom"/>
          </w:tcPr>
          <w:p w:rsidR="00FC6891" w:rsidRDefault="005F1CD3">
            <w:pPr>
              <w:spacing w:before="60" w:after="60" w:line="200" w:lineRule="exact"/>
              <w:jc w:val="right"/>
              <w:rPr>
                <w:noProof/>
                <w:sz w:val="20"/>
                <w:szCs w:val="20"/>
              </w:rPr>
            </w:pPr>
            <w:r>
              <w:rPr>
                <w:noProof/>
                <w:color w:val="000000"/>
                <w:sz w:val="20"/>
              </w:rPr>
              <w:t>0,090</w:t>
            </w:r>
          </w:p>
        </w:tc>
        <w:tc>
          <w:tcPr>
            <w:tcW w:w="1416" w:type="dxa"/>
            <w:vAlign w:val="bottom"/>
          </w:tcPr>
          <w:p w:rsidR="00FC6891" w:rsidRDefault="005F1CD3">
            <w:pPr>
              <w:spacing w:before="60" w:after="60" w:line="200" w:lineRule="exact"/>
              <w:jc w:val="right"/>
              <w:rPr>
                <w:noProof/>
                <w:sz w:val="20"/>
                <w:szCs w:val="20"/>
              </w:rPr>
            </w:pPr>
            <w:r>
              <w:rPr>
                <w:noProof/>
                <w:color w:val="000000"/>
                <w:sz w:val="20"/>
              </w:rPr>
              <w:t>0,025</w:t>
            </w:r>
          </w:p>
        </w:tc>
        <w:tc>
          <w:tcPr>
            <w:tcW w:w="1416" w:type="dxa"/>
            <w:vAlign w:val="bottom"/>
          </w:tcPr>
          <w:p w:rsidR="00FC6891" w:rsidRDefault="005F1CD3">
            <w:pPr>
              <w:spacing w:before="60" w:after="60" w:line="200" w:lineRule="exact"/>
              <w:jc w:val="right"/>
              <w:rPr>
                <w:noProof/>
                <w:sz w:val="20"/>
                <w:szCs w:val="20"/>
              </w:rPr>
            </w:pPr>
            <w:r>
              <w:rPr>
                <w:noProof/>
                <w:color w:val="000000"/>
                <w:sz w:val="20"/>
              </w:rPr>
              <w:t>0,025</w:t>
            </w:r>
          </w:p>
        </w:tc>
        <w:tc>
          <w:tcPr>
            <w:tcW w:w="1416" w:type="dxa"/>
            <w:vAlign w:val="bottom"/>
          </w:tcPr>
          <w:p w:rsidR="00FC6891" w:rsidRDefault="005F1CD3">
            <w:pPr>
              <w:spacing w:before="60" w:after="60" w:line="200" w:lineRule="exact"/>
              <w:jc w:val="right"/>
              <w:rPr>
                <w:noProof/>
                <w:sz w:val="20"/>
                <w:szCs w:val="20"/>
              </w:rPr>
            </w:pPr>
            <w:r>
              <w:rPr>
                <w:noProof/>
                <w:color w:val="000000"/>
                <w:sz w:val="20"/>
              </w:rPr>
              <w:t>0,060</w:t>
            </w:r>
          </w:p>
        </w:tc>
        <w:tc>
          <w:tcPr>
            <w:tcW w:w="1416" w:type="dxa"/>
            <w:vAlign w:val="bottom"/>
          </w:tcPr>
          <w:p w:rsidR="00FC6891" w:rsidRDefault="005F1CD3">
            <w:pPr>
              <w:spacing w:before="60" w:after="60" w:line="200" w:lineRule="exact"/>
              <w:jc w:val="right"/>
              <w:rPr>
                <w:b/>
                <w:noProof/>
                <w:sz w:val="20"/>
                <w:szCs w:val="20"/>
              </w:rPr>
            </w:pPr>
            <w:r>
              <w:rPr>
                <w:noProof/>
                <w:color w:val="000000"/>
                <w:sz w:val="20"/>
              </w:rPr>
              <w:t>0,200</w:t>
            </w:r>
          </w:p>
        </w:tc>
      </w:tr>
      <w:tr w:rsidR="00FC6891">
        <w:trPr>
          <w:trHeight w:val="585"/>
        </w:trPr>
        <w:tc>
          <w:tcPr>
            <w:tcW w:w="2400" w:type="dxa"/>
            <w:shd w:val="clear" w:color="auto" w:fill="CCCCCC"/>
            <w:vAlign w:val="center"/>
          </w:tcPr>
          <w:p w:rsidR="00FC6891" w:rsidRDefault="005F1CD3">
            <w:pPr>
              <w:spacing w:before="60" w:after="60" w:line="200" w:lineRule="exact"/>
              <w:jc w:val="left"/>
              <w:rPr>
                <w:b/>
                <w:noProof/>
                <w:sz w:val="16"/>
                <w:szCs w:val="16"/>
              </w:rPr>
            </w:pPr>
            <w:r>
              <w:rPr>
                <w:b/>
                <w:noProof/>
                <w:sz w:val="16"/>
              </w:rPr>
              <w:t>Mezisoučetmimo OKRUH 5</w:t>
            </w:r>
            <w:r>
              <w:rPr>
                <w:noProof/>
                <w:sz w:val="22"/>
              </w:rPr>
              <w:br/>
            </w:r>
            <w:r>
              <w:rPr>
                <w:b/>
                <w:noProof/>
                <w:sz w:val="16"/>
              </w:rPr>
              <w:t xml:space="preserve">víceletého finančního rámce </w:t>
            </w:r>
          </w:p>
        </w:tc>
        <w:tc>
          <w:tcPr>
            <w:tcW w:w="1416" w:type="dxa"/>
            <w:vAlign w:val="bottom"/>
          </w:tcPr>
          <w:p w:rsidR="00FC6891" w:rsidRDefault="005F1CD3">
            <w:pPr>
              <w:spacing w:before="60" w:after="60" w:line="200" w:lineRule="exact"/>
              <w:jc w:val="right"/>
              <w:rPr>
                <w:b/>
                <w:noProof/>
                <w:sz w:val="20"/>
                <w:szCs w:val="20"/>
              </w:rPr>
            </w:pPr>
            <w:r>
              <w:rPr>
                <w:noProof/>
                <w:color w:val="000000"/>
                <w:sz w:val="20"/>
              </w:rPr>
              <w:t>0,090</w:t>
            </w:r>
          </w:p>
        </w:tc>
        <w:tc>
          <w:tcPr>
            <w:tcW w:w="1416" w:type="dxa"/>
            <w:vAlign w:val="bottom"/>
          </w:tcPr>
          <w:p w:rsidR="00FC6891" w:rsidRDefault="005F1CD3">
            <w:pPr>
              <w:spacing w:before="60" w:after="60" w:line="200" w:lineRule="exact"/>
              <w:jc w:val="right"/>
              <w:rPr>
                <w:b/>
                <w:noProof/>
                <w:sz w:val="20"/>
                <w:szCs w:val="20"/>
              </w:rPr>
            </w:pPr>
            <w:r>
              <w:rPr>
                <w:noProof/>
                <w:color w:val="000000"/>
                <w:sz w:val="20"/>
              </w:rPr>
              <w:t>0,025</w:t>
            </w:r>
          </w:p>
        </w:tc>
        <w:tc>
          <w:tcPr>
            <w:tcW w:w="1416" w:type="dxa"/>
            <w:vAlign w:val="bottom"/>
          </w:tcPr>
          <w:p w:rsidR="00FC6891" w:rsidRDefault="005F1CD3">
            <w:pPr>
              <w:spacing w:before="60" w:after="60" w:line="200" w:lineRule="exact"/>
              <w:jc w:val="right"/>
              <w:rPr>
                <w:b/>
                <w:noProof/>
                <w:sz w:val="20"/>
                <w:szCs w:val="20"/>
              </w:rPr>
            </w:pPr>
            <w:r>
              <w:rPr>
                <w:noProof/>
                <w:color w:val="000000"/>
                <w:sz w:val="20"/>
              </w:rPr>
              <w:t>0,025</w:t>
            </w:r>
          </w:p>
        </w:tc>
        <w:tc>
          <w:tcPr>
            <w:tcW w:w="1416" w:type="dxa"/>
            <w:vAlign w:val="bottom"/>
          </w:tcPr>
          <w:p w:rsidR="00FC6891" w:rsidRDefault="005F1CD3">
            <w:pPr>
              <w:spacing w:before="60" w:after="60" w:line="200" w:lineRule="exact"/>
              <w:jc w:val="right"/>
              <w:rPr>
                <w:b/>
                <w:noProof/>
                <w:sz w:val="20"/>
                <w:szCs w:val="20"/>
              </w:rPr>
            </w:pPr>
            <w:r>
              <w:rPr>
                <w:noProof/>
                <w:color w:val="000000"/>
                <w:sz w:val="20"/>
              </w:rPr>
              <w:t>0,060</w:t>
            </w:r>
          </w:p>
        </w:tc>
        <w:tc>
          <w:tcPr>
            <w:tcW w:w="1416" w:type="dxa"/>
            <w:vAlign w:val="bottom"/>
          </w:tcPr>
          <w:p w:rsidR="00FC6891" w:rsidRDefault="005F1CD3">
            <w:pPr>
              <w:spacing w:before="60" w:after="60" w:line="200" w:lineRule="exact"/>
              <w:jc w:val="right"/>
              <w:rPr>
                <w:b/>
                <w:noProof/>
                <w:sz w:val="20"/>
                <w:szCs w:val="20"/>
              </w:rPr>
            </w:pPr>
            <w:r>
              <w:rPr>
                <w:noProof/>
                <w:color w:val="000000"/>
                <w:sz w:val="20"/>
              </w:rPr>
              <w:t>0,200</w:t>
            </w:r>
          </w:p>
        </w:tc>
      </w:tr>
    </w:tbl>
    <w:p w:rsidR="00FC6891" w:rsidRDefault="00FC6891">
      <w:pPr>
        <w:spacing w:line="200" w:lineRule="exact"/>
        <w:rPr>
          <w:noProof/>
          <w:sz w:val="16"/>
          <w:szCs w:val="16"/>
        </w:rPr>
      </w:pPr>
    </w:p>
    <w:tbl>
      <w:tblPr>
        <w:tblW w:w="9480" w:type="dxa"/>
        <w:tblInd w:w="-252" w:type="dxa"/>
        <w:tblLayout w:type="fixed"/>
        <w:tblLook w:val="01E0" w:firstRow="1" w:lastRow="1" w:firstColumn="1" w:lastColumn="1" w:noHBand="0" w:noVBand="0"/>
      </w:tblPr>
      <w:tblGrid>
        <w:gridCol w:w="2400"/>
        <w:gridCol w:w="1416"/>
        <w:gridCol w:w="1416"/>
        <w:gridCol w:w="1416"/>
        <w:gridCol w:w="1416"/>
        <w:gridCol w:w="1416"/>
      </w:tblGrid>
      <w:tr w:rsidR="00FC6891">
        <w:trPr>
          <w:trHeight w:val="585"/>
        </w:trPr>
        <w:tc>
          <w:tcPr>
            <w:tcW w:w="2400" w:type="dxa"/>
            <w:tcBorders>
              <w:top w:val="single" w:sz="12" w:space="0" w:color="auto"/>
              <w:left w:val="single" w:sz="12" w:space="0" w:color="auto"/>
              <w:bottom w:val="single" w:sz="12" w:space="0" w:color="auto"/>
              <w:right w:val="single" w:sz="2" w:space="0" w:color="auto"/>
            </w:tcBorders>
            <w:vAlign w:val="center"/>
          </w:tcPr>
          <w:p w:rsidR="00FC6891" w:rsidRDefault="005F1CD3">
            <w:pPr>
              <w:spacing w:before="60" w:after="60" w:line="200" w:lineRule="exact"/>
              <w:jc w:val="center"/>
              <w:rPr>
                <w:noProof/>
                <w:sz w:val="16"/>
                <w:szCs w:val="16"/>
              </w:rPr>
            </w:pPr>
            <w:r>
              <w:rPr>
                <w:b/>
                <w:noProof/>
                <w:sz w:val="16"/>
              </w:rPr>
              <w:t>CELKEM</w:t>
            </w:r>
          </w:p>
        </w:tc>
        <w:tc>
          <w:tcPr>
            <w:tcW w:w="1416" w:type="dxa"/>
            <w:tcBorders>
              <w:top w:val="single" w:sz="12" w:space="0" w:color="auto"/>
              <w:left w:val="single" w:sz="2" w:space="0" w:color="auto"/>
              <w:bottom w:val="single" w:sz="12" w:space="0" w:color="auto"/>
              <w:right w:val="single" w:sz="2" w:space="0" w:color="auto"/>
            </w:tcBorders>
            <w:vAlign w:val="bottom"/>
          </w:tcPr>
          <w:p w:rsidR="00FC6891" w:rsidRDefault="005F1CD3">
            <w:pPr>
              <w:spacing w:before="60" w:after="60" w:line="200" w:lineRule="exact"/>
              <w:jc w:val="right"/>
              <w:rPr>
                <w:b/>
                <w:noProof/>
                <w:sz w:val="20"/>
                <w:szCs w:val="20"/>
              </w:rPr>
            </w:pPr>
            <w:r>
              <w:rPr>
                <w:b/>
                <w:noProof/>
                <w:color w:val="000000"/>
                <w:sz w:val="20"/>
              </w:rPr>
              <w:t>0,314</w:t>
            </w:r>
          </w:p>
        </w:tc>
        <w:tc>
          <w:tcPr>
            <w:tcW w:w="1416" w:type="dxa"/>
            <w:tcBorders>
              <w:top w:val="single" w:sz="12" w:space="0" w:color="auto"/>
              <w:left w:val="single" w:sz="2" w:space="0" w:color="auto"/>
              <w:bottom w:val="single" w:sz="12" w:space="0" w:color="auto"/>
              <w:right w:val="single" w:sz="2" w:space="0" w:color="auto"/>
            </w:tcBorders>
            <w:vAlign w:val="bottom"/>
          </w:tcPr>
          <w:p w:rsidR="00FC6891" w:rsidRDefault="005F1CD3">
            <w:pPr>
              <w:spacing w:before="60" w:after="60" w:line="200" w:lineRule="exact"/>
              <w:jc w:val="right"/>
              <w:rPr>
                <w:b/>
                <w:noProof/>
                <w:sz w:val="20"/>
                <w:szCs w:val="20"/>
              </w:rPr>
            </w:pPr>
            <w:r>
              <w:rPr>
                <w:b/>
                <w:noProof/>
                <w:color w:val="000000"/>
                <w:sz w:val="20"/>
              </w:rPr>
              <w:t>0,249</w:t>
            </w:r>
          </w:p>
        </w:tc>
        <w:tc>
          <w:tcPr>
            <w:tcW w:w="1416" w:type="dxa"/>
            <w:tcBorders>
              <w:top w:val="single" w:sz="12" w:space="0" w:color="auto"/>
              <w:left w:val="single" w:sz="2" w:space="0" w:color="auto"/>
              <w:bottom w:val="single" w:sz="12" w:space="0" w:color="auto"/>
              <w:right w:val="single" w:sz="2" w:space="0" w:color="auto"/>
            </w:tcBorders>
            <w:vAlign w:val="bottom"/>
          </w:tcPr>
          <w:p w:rsidR="00FC6891" w:rsidRDefault="005F1CD3">
            <w:pPr>
              <w:spacing w:before="60" w:after="60" w:line="200" w:lineRule="exact"/>
              <w:jc w:val="right"/>
              <w:rPr>
                <w:b/>
                <w:noProof/>
                <w:sz w:val="20"/>
                <w:szCs w:val="20"/>
              </w:rPr>
            </w:pPr>
            <w:r>
              <w:rPr>
                <w:b/>
                <w:noProof/>
                <w:color w:val="000000"/>
                <w:sz w:val="20"/>
              </w:rPr>
              <w:t>0,239</w:t>
            </w:r>
          </w:p>
        </w:tc>
        <w:tc>
          <w:tcPr>
            <w:tcW w:w="1416" w:type="dxa"/>
            <w:tcBorders>
              <w:top w:val="single" w:sz="12" w:space="0" w:color="auto"/>
              <w:left w:val="single" w:sz="2" w:space="0" w:color="auto"/>
              <w:bottom w:val="single" w:sz="12" w:space="0" w:color="auto"/>
              <w:right w:val="single" w:sz="2" w:space="0" w:color="auto"/>
            </w:tcBorders>
            <w:vAlign w:val="bottom"/>
          </w:tcPr>
          <w:p w:rsidR="00FC6891" w:rsidRDefault="005F1CD3">
            <w:pPr>
              <w:spacing w:before="60" w:after="60" w:line="200" w:lineRule="exact"/>
              <w:jc w:val="right"/>
              <w:rPr>
                <w:b/>
                <w:noProof/>
                <w:sz w:val="20"/>
                <w:szCs w:val="20"/>
              </w:rPr>
            </w:pPr>
            <w:r>
              <w:rPr>
                <w:b/>
                <w:noProof/>
                <w:color w:val="000000"/>
                <w:sz w:val="20"/>
              </w:rPr>
              <w:t>0,274</w:t>
            </w:r>
          </w:p>
        </w:tc>
        <w:tc>
          <w:tcPr>
            <w:tcW w:w="1416" w:type="dxa"/>
            <w:tcBorders>
              <w:top w:val="single" w:sz="12" w:space="0" w:color="auto"/>
              <w:left w:val="single" w:sz="2" w:space="0" w:color="auto"/>
              <w:bottom w:val="single" w:sz="12" w:space="0" w:color="auto"/>
              <w:right w:val="single" w:sz="12" w:space="0" w:color="auto"/>
            </w:tcBorders>
            <w:vAlign w:val="bottom"/>
          </w:tcPr>
          <w:p w:rsidR="00FC6891" w:rsidRDefault="005F1CD3">
            <w:pPr>
              <w:spacing w:before="60" w:after="60" w:line="200" w:lineRule="exact"/>
              <w:jc w:val="right"/>
              <w:rPr>
                <w:b/>
                <w:noProof/>
                <w:sz w:val="20"/>
                <w:szCs w:val="20"/>
              </w:rPr>
            </w:pPr>
            <w:r>
              <w:rPr>
                <w:b/>
                <w:noProof/>
                <w:color w:val="000000"/>
                <w:sz w:val="20"/>
              </w:rPr>
              <w:t>1,076</w:t>
            </w:r>
          </w:p>
        </w:tc>
      </w:tr>
    </w:tbl>
    <w:p w:rsidR="00FC6891" w:rsidRDefault="005F1CD3">
      <w:pPr>
        <w:jc w:val="left"/>
        <w:rPr>
          <w:noProof/>
          <w:sz w:val="18"/>
        </w:rPr>
        <w:sectPr w:rsidR="00FC6891" w:rsidSect="005F1CD3">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 xml:space="preserve">Potřebné prostředky na oblast lidských zdrojů a na ostatní výdaje správní </w:t>
      </w:r>
      <w:r>
        <w:rPr>
          <w:noProof/>
          <w:sz w:val="18"/>
        </w:rPr>
        <w:t>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w:t>
      </w:r>
      <w:r>
        <w:rPr>
          <w:noProof/>
          <w:sz w:val="18"/>
        </w:rPr>
        <w:t>zení.</w:t>
      </w:r>
    </w:p>
    <w:p w:rsidR="00FC6891" w:rsidRDefault="005F1CD3">
      <w:pPr>
        <w:pStyle w:val="ManualHeading4"/>
        <w:rPr>
          <w:bCs/>
          <w:noProof/>
          <w:szCs w:val="24"/>
        </w:rPr>
      </w:pPr>
      <w:r>
        <w:t>3.2.3.2.</w:t>
      </w:r>
      <w:r>
        <w:tab/>
      </w:r>
      <w:r>
        <w:rPr>
          <w:noProof/>
        </w:rPr>
        <w:t>Odhadované potřeby v oblasti lidských zdrojů</w:t>
      </w:r>
    </w:p>
    <w:p w:rsidR="00FC6891" w:rsidRDefault="005F1CD3">
      <w:pPr>
        <w:pStyle w:val="ListDash1"/>
        <w:rPr>
          <w:noProof/>
        </w:rPr>
      </w:pPr>
      <w:r>
        <w:rPr>
          <w:noProof/>
          <w:szCs w:val="24"/>
        </w:rPr>
        <w:sym w:font="Wingdings" w:char="F0A8"/>
      </w:r>
      <w:r>
        <w:rPr>
          <w:noProof/>
        </w:rPr>
        <w:tab/>
        <w:t xml:space="preserve">Návrh/podnět nevyžaduje využití lidských zdrojů. </w:t>
      </w:r>
    </w:p>
    <w:p w:rsidR="00FC6891" w:rsidRDefault="005F1CD3">
      <w:pPr>
        <w:pStyle w:val="ListDash1"/>
        <w:rPr>
          <w:noProof/>
        </w:rPr>
      </w:pPr>
      <w:r>
        <w:rPr>
          <w:noProof/>
        </w:rPr>
        <w:t>X Návrh/podnět vyžaduje využití lidských zdrojů, jak je vysvětleno dále:</w:t>
      </w:r>
    </w:p>
    <w:p w:rsidR="00FC6891" w:rsidRDefault="005F1CD3">
      <w:pPr>
        <w:spacing w:after="60"/>
        <w:jc w:val="right"/>
        <w:rPr>
          <w:i/>
          <w:noProof/>
          <w:sz w:val="20"/>
        </w:rPr>
      </w:pPr>
      <w:r>
        <w:rPr>
          <w:i/>
          <w:noProof/>
          <w:sz w:val="20"/>
        </w:rPr>
        <w:t>Odhad vyjádřete v přepočtu na plné pracovní úvazky</w:t>
      </w:r>
    </w:p>
    <w:tbl>
      <w:tblPr>
        <w:tblW w:w="5241"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4"/>
        <w:gridCol w:w="1957"/>
        <w:gridCol w:w="1464"/>
        <w:gridCol w:w="1320"/>
        <w:gridCol w:w="1320"/>
        <w:gridCol w:w="1722"/>
      </w:tblGrid>
      <w:tr w:rsidR="00FC6891">
        <w:trPr>
          <w:trHeight w:val="289"/>
          <w:jc w:val="center"/>
        </w:trPr>
        <w:tc>
          <w:tcPr>
            <w:tcW w:w="2008" w:type="pct"/>
            <w:gridSpan w:val="2"/>
          </w:tcPr>
          <w:p w:rsidR="00FC6891" w:rsidRDefault="00FC6891">
            <w:pPr>
              <w:pStyle w:val="Text1"/>
              <w:spacing w:before="40" w:after="40"/>
              <w:ind w:left="0"/>
              <w:jc w:val="center"/>
              <w:rPr>
                <w:i/>
                <w:noProof/>
                <w:sz w:val="16"/>
                <w:szCs w:val="16"/>
              </w:rPr>
            </w:pPr>
          </w:p>
        </w:tc>
        <w:tc>
          <w:tcPr>
            <w:tcW w:w="752" w:type="pct"/>
            <w:vAlign w:val="center"/>
          </w:tcPr>
          <w:p w:rsidR="00FC6891" w:rsidRDefault="005F1CD3">
            <w:pPr>
              <w:spacing w:before="20" w:after="20"/>
              <w:jc w:val="center"/>
              <w:rPr>
                <w:noProof/>
                <w:sz w:val="16"/>
                <w:szCs w:val="16"/>
              </w:rPr>
            </w:pPr>
            <w:r>
              <w:rPr>
                <w:b/>
                <w:noProof/>
                <w:sz w:val="20"/>
              </w:rPr>
              <w:t>2017</w:t>
            </w:r>
          </w:p>
        </w:tc>
        <w:tc>
          <w:tcPr>
            <w:tcW w:w="678" w:type="pct"/>
            <w:vAlign w:val="center"/>
          </w:tcPr>
          <w:p w:rsidR="00FC6891" w:rsidRDefault="005F1CD3">
            <w:pPr>
              <w:spacing w:before="20" w:after="20"/>
              <w:jc w:val="center"/>
              <w:rPr>
                <w:noProof/>
                <w:sz w:val="16"/>
                <w:szCs w:val="16"/>
              </w:rPr>
            </w:pPr>
            <w:r>
              <w:rPr>
                <w:b/>
                <w:noProof/>
                <w:sz w:val="20"/>
              </w:rPr>
              <w:t>2018</w:t>
            </w:r>
          </w:p>
        </w:tc>
        <w:tc>
          <w:tcPr>
            <w:tcW w:w="678" w:type="pct"/>
            <w:vAlign w:val="center"/>
          </w:tcPr>
          <w:p w:rsidR="00FC6891" w:rsidRDefault="005F1CD3">
            <w:pPr>
              <w:spacing w:before="20" w:after="20"/>
              <w:jc w:val="center"/>
              <w:rPr>
                <w:noProof/>
                <w:sz w:val="16"/>
                <w:szCs w:val="16"/>
              </w:rPr>
            </w:pPr>
            <w:r>
              <w:rPr>
                <w:b/>
                <w:noProof/>
                <w:sz w:val="20"/>
              </w:rPr>
              <w:t>2019</w:t>
            </w:r>
          </w:p>
        </w:tc>
        <w:tc>
          <w:tcPr>
            <w:tcW w:w="884" w:type="pct"/>
            <w:vAlign w:val="center"/>
          </w:tcPr>
          <w:p w:rsidR="00FC6891" w:rsidRDefault="005F1CD3">
            <w:pPr>
              <w:spacing w:before="20" w:after="20"/>
              <w:jc w:val="center"/>
              <w:rPr>
                <w:noProof/>
                <w:sz w:val="16"/>
                <w:szCs w:val="16"/>
              </w:rPr>
            </w:pPr>
            <w:r>
              <w:rPr>
                <w:b/>
                <w:noProof/>
                <w:sz w:val="20"/>
              </w:rPr>
              <w:t>2020</w:t>
            </w:r>
          </w:p>
        </w:tc>
      </w:tr>
      <w:tr w:rsidR="00FC6891">
        <w:trPr>
          <w:trHeight w:val="289"/>
          <w:jc w:val="center"/>
        </w:trPr>
        <w:tc>
          <w:tcPr>
            <w:tcW w:w="5000" w:type="pct"/>
            <w:gridSpan w:val="6"/>
          </w:tcPr>
          <w:p w:rsidR="00FC6891" w:rsidRDefault="005F1CD3">
            <w:pPr>
              <w:spacing w:before="20" w:after="20"/>
              <w:jc w:val="left"/>
              <w:rPr>
                <w:noProof/>
                <w:sz w:val="16"/>
                <w:szCs w:val="16"/>
              </w:rPr>
            </w:pPr>
            <w:r>
              <w:rPr>
                <w:b/>
                <w:noProof/>
                <w:sz w:val="16"/>
                <w:szCs w:val="16"/>
              </w:rPr>
              <w:sym w:font="Wingdings" w:char="F09F"/>
            </w:r>
            <w:r>
              <w:rPr>
                <w:b/>
                <w:noProof/>
                <w:sz w:val="16"/>
              </w:rPr>
              <w:t xml:space="preserve"> Pracovní místa podle plánu pracovních míst (místa úředníků a dočasných zaměstnanců)</w:t>
            </w:r>
          </w:p>
        </w:tc>
      </w:tr>
      <w:tr w:rsidR="00FC6891">
        <w:trPr>
          <w:trHeight w:val="289"/>
          <w:jc w:val="center"/>
        </w:trPr>
        <w:tc>
          <w:tcPr>
            <w:tcW w:w="2008" w:type="pct"/>
            <w:gridSpan w:val="2"/>
            <w:vAlign w:val="center"/>
          </w:tcPr>
          <w:p w:rsidR="00FC6891" w:rsidRDefault="005F1CD3">
            <w:pPr>
              <w:pStyle w:val="Text1"/>
              <w:spacing w:beforeLines="20" w:before="48" w:afterLines="20" w:after="48"/>
              <w:ind w:left="134"/>
              <w:jc w:val="left"/>
              <w:rPr>
                <w:b/>
                <w:noProof/>
                <w:sz w:val="16"/>
                <w:szCs w:val="16"/>
              </w:rPr>
            </w:pPr>
            <w:r>
              <w:rPr>
                <w:noProof/>
                <w:sz w:val="16"/>
              </w:rPr>
              <w:t>09 01 01 01 (v ústředí a v zastoupeních Komise)</w:t>
            </w:r>
          </w:p>
        </w:tc>
        <w:tc>
          <w:tcPr>
            <w:tcW w:w="752" w:type="pct"/>
            <w:vAlign w:val="center"/>
          </w:tcPr>
          <w:p w:rsidR="00FC6891" w:rsidRDefault="005F1CD3">
            <w:pPr>
              <w:spacing w:beforeLines="20" w:before="48" w:afterLines="20" w:after="48"/>
              <w:jc w:val="center"/>
              <w:rPr>
                <w:noProof/>
                <w:sz w:val="16"/>
                <w:szCs w:val="16"/>
              </w:rPr>
            </w:pPr>
            <w:r>
              <w:rPr>
                <w:noProof/>
                <w:sz w:val="16"/>
              </w:rPr>
              <w:t xml:space="preserve">1,0 </w:t>
            </w:r>
          </w:p>
        </w:tc>
        <w:tc>
          <w:tcPr>
            <w:tcW w:w="678" w:type="pct"/>
            <w:vAlign w:val="center"/>
          </w:tcPr>
          <w:p w:rsidR="00FC6891" w:rsidRDefault="005F1CD3">
            <w:pPr>
              <w:spacing w:beforeLines="20" w:before="48" w:afterLines="20" w:after="48"/>
              <w:jc w:val="center"/>
              <w:rPr>
                <w:noProof/>
                <w:sz w:val="16"/>
                <w:szCs w:val="16"/>
              </w:rPr>
            </w:pPr>
            <w:r>
              <w:rPr>
                <w:noProof/>
                <w:sz w:val="16"/>
              </w:rPr>
              <w:t xml:space="preserve">1,0 </w:t>
            </w:r>
          </w:p>
        </w:tc>
        <w:tc>
          <w:tcPr>
            <w:tcW w:w="678" w:type="pct"/>
            <w:vAlign w:val="center"/>
          </w:tcPr>
          <w:p w:rsidR="00FC6891" w:rsidRDefault="005F1CD3">
            <w:pPr>
              <w:spacing w:beforeLines="20" w:before="48" w:afterLines="20" w:after="48"/>
              <w:jc w:val="center"/>
              <w:rPr>
                <w:noProof/>
                <w:sz w:val="16"/>
                <w:szCs w:val="16"/>
              </w:rPr>
            </w:pPr>
            <w:r>
              <w:rPr>
                <w:noProof/>
                <w:sz w:val="16"/>
              </w:rPr>
              <w:t xml:space="preserve">1,0 </w:t>
            </w:r>
          </w:p>
        </w:tc>
        <w:tc>
          <w:tcPr>
            <w:tcW w:w="884" w:type="pct"/>
            <w:vAlign w:val="center"/>
          </w:tcPr>
          <w:p w:rsidR="00FC6891" w:rsidRDefault="005F1CD3">
            <w:pPr>
              <w:spacing w:beforeLines="20" w:before="48" w:afterLines="20" w:after="48"/>
              <w:jc w:val="center"/>
              <w:rPr>
                <w:noProof/>
                <w:sz w:val="16"/>
                <w:szCs w:val="16"/>
              </w:rPr>
            </w:pPr>
            <w:r>
              <w:rPr>
                <w:noProof/>
                <w:sz w:val="16"/>
              </w:rPr>
              <w:t xml:space="preserve">1,0 </w:t>
            </w:r>
          </w:p>
        </w:tc>
      </w:tr>
      <w:tr w:rsidR="00FC6891">
        <w:trPr>
          <w:trHeight w:val="289"/>
          <w:jc w:val="center"/>
        </w:trPr>
        <w:tc>
          <w:tcPr>
            <w:tcW w:w="2008" w:type="pct"/>
            <w:gridSpan w:val="2"/>
            <w:vAlign w:val="center"/>
          </w:tcPr>
          <w:p w:rsidR="00FC6891" w:rsidRDefault="005F1CD3">
            <w:pPr>
              <w:pStyle w:val="Text1"/>
              <w:spacing w:beforeLines="20" w:before="48" w:afterLines="20" w:after="48"/>
              <w:ind w:left="134"/>
              <w:jc w:val="left"/>
              <w:rPr>
                <w:noProof/>
                <w:sz w:val="16"/>
                <w:szCs w:val="16"/>
              </w:rPr>
            </w:pPr>
            <w:r>
              <w:rPr>
                <w:noProof/>
                <w:sz w:val="16"/>
              </w:rPr>
              <w:t>XX 01 01 02 (při delegacích)</w:t>
            </w:r>
          </w:p>
        </w:tc>
        <w:tc>
          <w:tcPr>
            <w:tcW w:w="752"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884" w:type="pct"/>
            <w:vAlign w:val="center"/>
          </w:tcPr>
          <w:p w:rsidR="00FC6891" w:rsidRDefault="00FC6891">
            <w:pPr>
              <w:spacing w:beforeLines="20" w:before="48" w:afterLines="20" w:after="48"/>
              <w:jc w:val="center"/>
              <w:rPr>
                <w:noProof/>
                <w:sz w:val="16"/>
                <w:szCs w:val="16"/>
              </w:rPr>
            </w:pPr>
          </w:p>
        </w:tc>
      </w:tr>
      <w:tr w:rsidR="00FC6891">
        <w:trPr>
          <w:trHeight w:val="289"/>
          <w:jc w:val="center"/>
        </w:trPr>
        <w:tc>
          <w:tcPr>
            <w:tcW w:w="2008" w:type="pct"/>
            <w:gridSpan w:val="2"/>
            <w:vAlign w:val="center"/>
          </w:tcPr>
          <w:p w:rsidR="00FC6891" w:rsidRDefault="005F1CD3">
            <w:pPr>
              <w:pStyle w:val="Text1"/>
              <w:spacing w:beforeLines="20" w:before="48" w:afterLines="20" w:after="48"/>
              <w:ind w:left="134"/>
              <w:jc w:val="left"/>
              <w:rPr>
                <w:noProof/>
                <w:sz w:val="16"/>
                <w:szCs w:val="16"/>
              </w:rPr>
            </w:pPr>
            <w:r>
              <w:rPr>
                <w:noProof/>
                <w:sz w:val="16"/>
              </w:rPr>
              <w:t>XX 01 05 01 (v nepřímém výzkumu)</w:t>
            </w:r>
          </w:p>
        </w:tc>
        <w:tc>
          <w:tcPr>
            <w:tcW w:w="752"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884" w:type="pct"/>
            <w:vAlign w:val="center"/>
          </w:tcPr>
          <w:p w:rsidR="00FC6891" w:rsidRDefault="00FC6891">
            <w:pPr>
              <w:spacing w:beforeLines="20" w:before="48" w:afterLines="20" w:after="48"/>
              <w:jc w:val="center"/>
              <w:rPr>
                <w:noProof/>
                <w:sz w:val="16"/>
                <w:szCs w:val="16"/>
              </w:rPr>
            </w:pPr>
          </w:p>
        </w:tc>
      </w:tr>
      <w:tr w:rsidR="00FC6891">
        <w:trPr>
          <w:trHeight w:val="289"/>
          <w:jc w:val="center"/>
        </w:trPr>
        <w:tc>
          <w:tcPr>
            <w:tcW w:w="2008" w:type="pct"/>
            <w:gridSpan w:val="2"/>
            <w:vAlign w:val="center"/>
          </w:tcPr>
          <w:p w:rsidR="00FC6891" w:rsidRDefault="005F1CD3">
            <w:pPr>
              <w:pStyle w:val="Text1"/>
              <w:spacing w:beforeLines="20" w:before="48" w:afterLines="20" w:after="48"/>
              <w:ind w:left="134"/>
              <w:jc w:val="left"/>
              <w:rPr>
                <w:noProof/>
                <w:sz w:val="16"/>
                <w:szCs w:val="16"/>
              </w:rPr>
            </w:pPr>
            <w:r>
              <w:rPr>
                <w:noProof/>
                <w:sz w:val="16"/>
              </w:rPr>
              <w:t xml:space="preserve">10 01 05 01 (v přímém </w:t>
            </w:r>
            <w:r>
              <w:rPr>
                <w:noProof/>
                <w:sz w:val="16"/>
              </w:rPr>
              <w:t>výzkumu)</w:t>
            </w:r>
          </w:p>
        </w:tc>
        <w:tc>
          <w:tcPr>
            <w:tcW w:w="752"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884" w:type="pct"/>
            <w:vAlign w:val="center"/>
          </w:tcPr>
          <w:p w:rsidR="00FC6891" w:rsidRDefault="00FC6891">
            <w:pPr>
              <w:spacing w:beforeLines="20" w:before="48" w:afterLines="20" w:after="48"/>
              <w:jc w:val="center"/>
              <w:rPr>
                <w:noProof/>
                <w:sz w:val="16"/>
                <w:szCs w:val="16"/>
              </w:rPr>
            </w:pPr>
          </w:p>
        </w:tc>
      </w:tr>
      <w:tr w:rsidR="00FC6891">
        <w:trPr>
          <w:trHeight w:val="248"/>
          <w:jc w:val="center"/>
        </w:trPr>
        <w:tc>
          <w:tcPr>
            <w:tcW w:w="5000" w:type="pct"/>
            <w:gridSpan w:val="6"/>
            <w:vAlign w:val="center"/>
          </w:tcPr>
          <w:p w:rsidR="00FC6891" w:rsidRDefault="005F1CD3">
            <w:pPr>
              <w:pStyle w:val="Text1"/>
              <w:spacing w:before="60" w:after="60"/>
              <w:ind w:left="0"/>
              <w:jc w:val="left"/>
              <w:rPr>
                <w:noProof/>
                <w:sz w:val="16"/>
                <w:szCs w:val="16"/>
              </w:rPr>
            </w:pPr>
            <w:r>
              <w:rPr>
                <w:b/>
                <w:noProof/>
                <w:sz w:val="16"/>
                <w:szCs w:val="16"/>
              </w:rPr>
              <w:sym w:font="Wingdings" w:char="F09F"/>
            </w:r>
            <w:r>
              <w:rPr>
                <w:b/>
                <w:noProof/>
                <w:sz w:val="16"/>
              </w:rPr>
              <w:t xml:space="preserve"> Externí zaměstnanci (v přepočtu na plné pracovní úvazky: FTE)</w:t>
            </w:r>
            <w:r>
              <w:rPr>
                <w:rStyle w:val="FootnoteReference"/>
                <w:b/>
                <w:noProof/>
                <w:sz w:val="16"/>
              </w:rPr>
              <w:footnoteReference w:id="25"/>
            </w:r>
          </w:p>
        </w:tc>
      </w:tr>
      <w:tr w:rsidR="00FC6891">
        <w:trPr>
          <w:trHeight w:val="289"/>
          <w:jc w:val="center"/>
        </w:trPr>
        <w:tc>
          <w:tcPr>
            <w:tcW w:w="2008" w:type="pct"/>
            <w:gridSpan w:val="2"/>
            <w:vAlign w:val="center"/>
          </w:tcPr>
          <w:p w:rsidR="00FC6891" w:rsidRDefault="005F1CD3">
            <w:pPr>
              <w:pStyle w:val="Text1"/>
              <w:spacing w:beforeLines="20" w:before="48" w:afterLines="20" w:after="48"/>
              <w:ind w:left="136"/>
              <w:jc w:val="left"/>
              <w:rPr>
                <w:b/>
                <w:noProof/>
                <w:sz w:val="16"/>
                <w:szCs w:val="16"/>
              </w:rPr>
            </w:pPr>
            <w:r>
              <w:rPr>
                <w:noProof/>
                <w:sz w:val="16"/>
              </w:rPr>
              <w:t>09 01 02 01 (SZ, VNO, ZAP z celkového rámce)</w:t>
            </w:r>
          </w:p>
        </w:tc>
        <w:tc>
          <w:tcPr>
            <w:tcW w:w="752" w:type="pct"/>
            <w:vAlign w:val="center"/>
          </w:tcPr>
          <w:p w:rsidR="00FC6891" w:rsidRDefault="005F1CD3">
            <w:pPr>
              <w:spacing w:beforeLines="20" w:before="48" w:afterLines="20" w:after="48"/>
              <w:jc w:val="center"/>
              <w:rPr>
                <w:noProof/>
                <w:sz w:val="16"/>
                <w:szCs w:val="16"/>
              </w:rPr>
            </w:pPr>
            <w:r>
              <w:rPr>
                <w:noProof/>
                <w:sz w:val="16"/>
              </w:rPr>
              <w:t>1,0</w:t>
            </w:r>
          </w:p>
        </w:tc>
        <w:tc>
          <w:tcPr>
            <w:tcW w:w="678" w:type="pct"/>
            <w:vAlign w:val="center"/>
          </w:tcPr>
          <w:p w:rsidR="00FC6891" w:rsidRDefault="005F1CD3">
            <w:pPr>
              <w:spacing w:beforeLines="20" w:before="48" w:afterLines="20" w:after="48"/>
              <w:jc w:val="center"/>
              <w:rPr>
                <w:noProof/>
                <w:sz w:val="16"/>
                <w:szCs w:val="16"/>
              </w:rPr>
            </w:pPr>
            <w:r>
              <w:rPr>
                <w:noProof/>
                <w:sz w:val="16"/>
              </w:rPr>
              <w:t>1,0</w:t>
            </w:r>
          </w:p>
        </w:tc>
        <w:tc>
          <w:tcPr>
            <w:tcW w:w="678" w:type="pct"/>
            <w:vAlign w:val="center"/>
          </w:tcPr>
          <w:p w:rsidR="00FC6891" w:rsidRDefault="005F1CD3">
            <w:pPr>
              <w:spacing w:beforeLines="20" w:before="48" w:afterLines="20" w:after="48"/>
              <w:jc w:val="center"/>
              <w:rPr>
                <w:noProof/>
                <w:sz w:val="16"/>
                <w:szCs w:val="16"/>
              </w:rPr>
            </w:pPr>
            <w:r>
              <w:rPr>
                <w:noProof/>
                <w:sz w:val="16"/>
              </w:rPr>
              <w:t>1,0</w:t>
            </w:r>
          </w:p>
        </w:tc>
        <w:tc>
          <w:tcPr>
            <w:tcW w:w="884" w:type="pct"/>
            <w:vAlign w:val="center"/>
          </w:tcPr>
          <w:p w:rsidR="00FC6891" w:rsidRDefault="005F1CD3">
            <w:pPr>
              <w:spacing w:beforeLines="20" w:before="48" w:afterLines="20" w:after="48"/>
              <w:jc w:val="center"/>
              <w:rPr>
                <w:noProof/>
                <w:sz w:val="16"/>
                <w:szCs w:val="16"/>
              </w:rPr>
            </w:pPr>
            <w:r>
              <w:rPr>
                <w:noProof/>
                <w:sz w:val="16"/>
              </w:rPr>
              <w:t>1,0</w:t>
            </w:r>
          </w:p>
        </w:tc>
      </w:tr>
      <w:tr w:rsidR="00FC6891">
        <w:trPr>
          <w:trHeight w:val="289"/>
          <w:jc w:val="center"/>
        </w:trPr>
        <w:tc>
          <w:tcPr>
            <w:tcW w:w="2008" w:type="pct"/>
            <w:gridSpan w:val="2"/>
            <w:vAlign w:val="center"/>
          </w:tcPr>
          <w:p w:rsidR="00FC6891" w:rsidRDefault="005F1CD3">
            <w:pPr>
              <w:pStyle w:val="Text1"/>
              <w:spacing w:beforeLines="20" w:before="48" w:afterLines="20" w:after="48"/>
              <w:ind w:left="136"/>
              <w:jc w:val="left"/>
              <w:rPr>
                <w:noProof/>
                <w:sz w:val="16"/>
                <w:szCs w:val="16"/>
              </w:rPr>
            </w:pPr>
            <w:r>
              <w:rPr>
                <w:noProof/>
                <w:sz w:val="16"/>
              </w:rPr>
              <w:t>XX 01 02 02 (SZ, MZ, VNO, ZAP a MOD při delegacích)</w:t>
            </w:r>
          </w:p>
        </w:tc>
        <w:tc>
          <w:tcPr>
            <w:tcW w:w="752"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884" w:type="pct"/>
            <w:vAlign w:val="center"/>
          </w:tcPr>
          <w:p w:rsidR="00FC6891" w:rsidRDefault="00FC6891">
            <w:pPr>
              <w:spacing w:beforeLines="20" w:before="48" w:afterLines="20" w:after="48"/>
              <w:jc w:val="center"/>
              <w:rPr>
                <w:noProof/>
                <w:sz w:val="16"/>
                <w:szCs w:val="16"/>
              </w:rPr>
            </w:pPr>
          </w:p>
        </w:tc>
      </w:tr>
      <w:tr w:rsidR="00FC6891">
        <w:trPr>
          <w:trHeight w:val="289"/>
          <w:jc w:val="center"/>
        </w:trPr>
        <w:tc>
          <w:tcPr>
            <w:tcW w:w="1003" w:type="pct"/>
            <w:vMerge w:val="restart"/>
            <w:vAlign w:val="center"/>
          </w:tcPr>
          <w:p w:rsidR="00FC6891" w:rsidRDefault="005F1CD3">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6"/>
            </w:r>
          </w:p>
          <w:p w:rsidR="00FC6891" w:rsidRDefault="00FC6891">
            <w:pPr>
              <w:pStyle w:val="Text1"/>
              <w:spacing w:beforeLines="20" w:before="48" w:afterLines="20" w:after="48"/>
              <w:ind w:left="136"/>
              <w:jc w:val="left"/>
              <w:rPr>
                <w:b/>
                <w:noProof/>
                <w:sz w:val="16"/>
                <w:szCs w:val="16"/>
              </w:rPr>
            </w:pPr>
          </w:p>
        </w:tc>
        <w:tc>
          <w:tcPr>
            <w:tcW w:w="1005" w:type="pct"/>
            <w:vAlign w:val="center"/>
          </w:tcPr>
          <w:p w:rsidR="00FC6891" w:rsidRDefault="005F1CD3">
            <w:pPr>
              <w:pStyle w:val="Text1"/>
              <w:spacing w:beforeLines="20" w:before="48" w:afterLines="20" w:after="48"/>
              <w:ind w:left="136"/>
              <w:jc w:val="left"/>
              <w:rPr>
                <w:b/>
                <w:noProof/>
                <w:sz w:val="16"/>
                <w:szCs w:val="16"/>
              </w:rPr>
            </w:pPr>
            <w:r>
              <w:rPr>
                <w:noProof/>
                <w:sz w:val="16"/>
              </w:rPr>
              <w:t>- v ústředí:</w:t>
            </w:r>
          </w:p>
          <w:p w:rsidR="00FC6891" w:rsidRDefault="00FC6891">
            <w:pPr>
              <w:pStyle w:val="Text1"/>
              <w:spacing w:beforeLines="20" w:before="48" w:afterLines="20" w:after="48"/>
              <w:ind w:left="136"/>
              <w:jc w:val="left"/>
              <w:rPr>
                <w:b/>
                <w:noProof/>
                <w:sz w:val="16"/>
                <w:szCs w:val="16"/>
              </w:rPr>
            </w:pPr>
          </w:p>
        </w:tc>
        <w:tc>
          <w:tcPr>
            <w:tcW w:w="752" w:type="pct"/>
            <w:vAlign w:val="center"/>
          </w:tcPr>
          <w:p w:rsidR="00FC6891" w:rsidRDefault="00FC6891">
            <w:pPr>
              <w:pStyle w:val="Text1"/>
              <w:spacing w:beforeLines="20" w:before="48" w:afterLines="20" w:after="48"/>
              <w:ind w:left="0"/>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884" w:type="pct"/>
            <w:vAlign w:val="center"/>
          </w:tcPr>
          <w:p w:rsidR="00FC6891" w:rsidRDefault="00FC6891">
            <w:pPr>
              <w:spacing w:beforeLines="20" w:before="48" w:afterLines="20" w:after="48"/>
              <w:jc w:val="center"/>
              <w:rPr>
                <w:noProof/>
                <w:sz w:val="16"/>
                <w:szCs w:val="16"/>
              </w:rPr>
            </w:pPr>
          </w:p>
        </w:tc>
      </w:tr>
      <w:tr w:rsidR="00FC6891">
        <w:trPr>
          <w:trHeight w:val="289"/>
          <w:jc w:val="center"/>
        </w:trPr>
        <w:tc>
          <w:tcPr>
            <w:tcW w:w="1003" w:type="pct"/>
            <w:vMerge/>
            <w:vAlign w:val="center"/>
          </w:tcPr>
          <w:p w:rsidR="00FC6891" w:rsidRDefault="00FC6891">
            <w:pPr>
              <w:pStyle w:val="Text1"/>
              <w:spacing w:beforeLines="20" w:before="48" w:afterLines="20" w:after="48"/>
              <w:ind w:left="136"/>
              <w:jc w:val="left"/>
              <w:rPr>
                <w:b/>
                <w:noProof/>
                <w:sz w:val="16"/>
                <w:szCs w:val="16"/>
              </w:rPr>
            </w:pPr>
          </w:p>
        </w:tc>
        <w:tc>
          <w:tcPr>
            <w:tcW w:w="1005" w:type="pct"/>
            <w:vAlign w:val="center"/>
          </w:tcPr>
          <w:p w:rsidR="00FC6891" w:rsidRDefault="005F1CD3">
            <w:pPr>
              <w:pStyle w:val="Text1"/>
              <w:spacing w:beforeLines="20" w:before="48" w:afterLines="20" w:after="48"/>
              <w:ind w:left="136"/>
              <w:jc w:val="left"/>
              <w:rPr>
                <w:b/>
                <w:noProof/>
                <w:sz w:val="16"/>
                <w:szCs w:val="16"/>
              </w:rPr>
            </w:pPr>
            <w:r>
              <w:rPr>
                <w:noProof/>
                <w:sz w:val="16"/>
              </w:rPr>
              <w:t xml:space="preserve">- při delegacích </w:t>
            </w:r>
          </w:p>
        </w:tc>
        <w:tc>
          <w:tcPr>
            <w:tcW w:w="752" w:type="pct"/>
            <w:vAlign w:val="center"/>
          </w:tcPr>
          <w:p w:rsidR="00FC6891" w:rsidRDefault="00FC6891">
            <w:pPr>
              <w:pStyle w:val="Text1"/>
              <w:spacing w:beforeLines="20" w:before="48" w:afterLines="20" w:after="48"/>
              <w:ind w:left="0"/>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884" w:type="pct"/>
            <w:vAlign w:val="center"/>
          </w:tcPr>
          <w:p w:rsidR="00FC6891" w:rsidRDefault="00FC6891">
            <w:pPr>
              <w:spacing w:beforeLines="20" w:before="48" w:afterLines="20" w:after="48"/>
              <w:jc w:val="center"/>
              <w:rPr>
                <w:noProof/>
                <w:sz w:val="16"/>
                <w:szCs w:val="16"/>
              </w:rPr>
            </w:pPr>
          </w:p>
        </w:tc>
      </w:tr>
      <w:tr w:rsidR="00FC6891">
        <w:trPr>
          <w:trHeight w:val="289"/>
          <w:jc w:val="center"/>
        </w:trPr>
        <w:tc>
          <w:tcPr>
            <w:tcW w:w="2008" w:type="pct"/>
            <w:gridSpan w:val="2"/>
            <w:vAlign w:val="center"/>
          </w:tcPr>
          <w:p w:rsidR="00FC6891" w:rsidRDefault="005F1CD3">
            <w:pPr>
              <w:pStyle w:val="Text1"/>
              <w:spacing w:beforeLines="20" w:before="48" w:afterLines="20" w:after="48"/>
              <w:ind w:left="136"/>
              <w:jc w:val="left"/>
              <w:rPr>
                <w:noProof/>
                <w:sz w:val="16"/>
                <w:szCs w:val="16"/>
              </w:rPr>
            </w:pPr>
            <w:r>
              <w:rPr>
                <w:b/>
                <w:noProof/>
                <w:sz w:val="16"/>
              </w:rPr>
              <w:t>XX</w:t>
            </w:r>
            <w:r>
              <w:rPr>
                <w:noProof/>
                <w:sz w:val="16"/>
              </w:rPr>
              <w:t xml:space="preserve"> 01 05 02 (SZ, VNO, ZAP v nepřímém výzkumu)</w:t>
            </w:r>
          </w:p>
        </w:tc>
        <w:tc>
          <w:tcPr>
            <w:tcW w:w="752"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884" w:type="pct"/>
            <w:vAlign w:val="center"/>
          </w:tcPr>
          <w:p w:rsidR="00FC6891" w:rsidRDefault="00FC6891">
            <w:pPr>
              <w:spacing w:beforeLines="20" w:before="48" w:afterLines="20" w:after="48"/>
              <w:jc w:val="center"/>
              <w:rPr>
                <w:noProof/>
                <w:sz w:val="16"/>
                <w:szCs w:val="16"/>
              </w:rPr>
            </w:pPr>
          </w:p>
        </w:tc>
      </w:tr>
      <w:tr w:rsidR="00FC6891">
        <w:trPr>
          <w:trHeight w:val="289"/>
          <w:jc w:val="center"/>
        </w:trPr>
        <w:tc>
          <w:tcPr>
            <w:tcW w:w="2008" w:type="pct"/>
            <w:gridSpan w:val="2"/>
            <w:vAlign w:val="center"/>
          </w:tcPr>
          <w:p w:rsidR="00FC6891" w:rsidRDefault="005F1CD3">
            <w:pPr>
              <w:pStyle w:val="Text1"/>
              <w:spacing w:beforeLines="20" w:before="48" w:afterLines="20" w:after="48"/>
              <w:ind w:left="136"/>
              <w:jc w:val="left"/>
              <w:rPr>
                <w:noProof/>
                <w:sz w:val="16"/>
                <w:szCs w:val="16"/>
              </w:rPr>
            </w:pPr>
            <w:r>
              <w:rPr>
                <w:noProof/>
                <w:sz w:val="16"/>
              </w:rPr>
              <w:t>10 01 05 02 (SZ, VNO, ZAP v přímém výzkumu)</w:t>
            </w:r>
          </w:p>
        </w:tc>
        <w:tc>
          <w:tcPr>
            <w:tcW w:w="752"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678" w:type="pct"/>
            <w:vAlign w:val="center"/>
          </w:tcPr>
          <w:p w:rsidR="00FC6891" w:rsidRDefault="00FC6891">
            <w:pPr>
              <w:spacing w:beforeLines="20" w:before="48" w:afterLines="20" w:after="48"/>
              <w:jc w:val="center"/>
              <w:rPr>
                <w:noProof/>
                <w:sz w:val="16"/>
                <w:szCs w:val="16"/>
              </w:rPr>
            </w:pPr>
          </w:p>
        </w:tc>
        <w:tc>
          <w:tcPr>
            <w:tcW w:w="884" w:type="pct"/>
            <w:vAlign w:val="center"/>
          </w:tcPr>
          <w:p w:rsidR="00FC6891" w:rsidRDefault="00FC6891">
            <w:pPr>
              <w:spacing w:beforeLines="20" w:before="48" w:afterLines="20" w:after="48"/>
              <w:jc w:val="center"/>
              <w:rPr>
                <w:noProof/>
                <w:sz w:val="16"/>
                <w:szCs w:val="16"/>
              </w:rPr>
            </w:pPr>
          </w:p>
        </w:tc>
      </w:tr>
      <w:tr w:rsidR="00FC6891">
        <w:trPr>
          <w:trHeight w:val="289"/>
          <w:jc w:val="center"/>
        </w:trPr>
        <w:tc>
          <w:tcPr>
            <w:tcW w:w="2008" w:type="pct"/>
            <w:gridSpan w:val="2"/>
            <w:tcBorders>
              <w:bottom w:val="double" w:sz="4" w:space="0" w:color="auto"/>
            </w:tcBorders>
            <w:vAlign w:val="center"/>
          </w:tcPr>
          <w:p w:rsidR="00FC6891" w:rsidRDefault="005F1CD3">
            <w:pPr>
              <w:pStyle w:val="Text1"/>
              <w:spacing w:beforeLines="20" w:before="48" w:afterLines="20" w:after="48"/>
              <w:ind w:left="134"/>
              <w:jc w:val="left"/>
              <w:rPr>
                <w:noProof/>
                <w:sz w:val="16"/>
                <w:szCs w:val="16"/>
              </w:rPr>
            </w:pPr>
            <w:r>
              <w:rPr>
                <w:noProof/>
                <w:sz w:val="16"/>
              </w:rPr>
              <w:t>Jiné rozpočtové položky (upřesněte)</w:t>
            </w:r>
          </w:p>
        </w:tc>
        <w:tc>
          <w:tcPr>
            <w:tcW w:w="752" w:type="pct"/>
            <w:tcBorders>
              <w:bottom w:val="double" w:sz="4" w:space="0" w:color="auto"/>
            </w:tcBorders>
            <w:vAlign w:val="center"/>
          </w:tcPr>
          <w:p w:rsidR="00FC6891" w:rsidRDefault="00FC6891">
            <w:pPr>
              <w:spacing w:beforeLines="20" w:before="48" w:afterLines="20" w:after="48"/>
              <w:jc w:val="center"/>
              <w:rPr>
                <w:noProof/>
                <w:sz w:val="16"/>
                <w:szCs w:val="16"/>
              </w:rPr>
            </w:pPr>
          </w:p>
        </w:tc>
        <w:tc>
          <w:tcPr>
            <w:tcW w:w="678" w:type="pct"/>
            <w:tcBorders>
              <w:bottom w:val="double" w:sz="4" w:space="0" w:color="auto"/>
            </w:tcBorders>
            <w:vAlign w:val="center"/>
          </w:tcPr>
          <w:p w:rsidR="00FC6891" w:rsidRDefault="00FC6891">
            <w:pPr>
              <w:spacing w:beforeLines="20" w:before="48" w:afterLines="20" w:after="48"/>
              <w:jc w:val="center"/>
              <w:rPr>
                <w:noProof/>
                <w:sz w:val="16"/>
                <w:szCs w:val="16"/>
              </w:rPr>
            </w:pPr>
          </w:p>
        </w:tc>
        <w:tc>
          <w:tcPr>
            <w:tcW w:w="678" w:type="pct"/>
            <w:tcBorders>
              <w:bottom w:val="double" w:sz="4" w:space="0" w:color="auto"/>
            </w:tcBorders>
            <w:vAlign w:val="center"/>
          </w:tcPr>
          <w:p w:rsidR="00FC6891" w:rsidRDefault="00FC6891">
            <w:pPr>
              <w:spacing w:beforeLines="20" w:before="48" w:afterLines="20" w:after="48"/>
              <w:jc w:val="center"/>
              <w:rPr>
                <w:noProof/>
                <w:sz w:val="16"/>
                <w:szCs w:val="16"/>
              </w:rPr>
            </w:pPr>
          </w:p>
        </w:tc>
        <w:tc>
          <w:tcPr>
            <w:tcW w:w="884" w:type="pct"/>
            <w:tcBorders>
              <w:bottom w:val="double" w:sz="4" w:space="0" w:color="auto"/>
            </w:tcBorders>
            <w:vAlign w:val="center"/>
          </w:tcPr>
          <w:p w:rsidR="00FC6891" w:rsidRDefault="00FC6891">
            <w:pPr>
              <w:spacing w:beforeLines="20" w:before="48" w:afterLines="20" w:after="48"/>
              <w:jc w:val="center"/>
              <w:rPr>
                <w:noProof/>
                <w:sz w:val="16"/>
                <w:szCs w:val="16"/>
              </w:rPr>
            </w:pPr>
          </w:p>
        </w:tc>
      </w:tr>
      <w:tr w:rsidR="00FC6891">
        <w:trPr>
          <w:trHeight w:val="289"/>
          <w:jc w:val="center"/>
        </w:trPr>
        <w:tc>
          <w:tcPr>
            <w:tcW w:w="2008" w:type="pct"/>
            <w:gridSpan w:val="2"/>
            <w:tcBorders>
              <w:top w:val="double" w:sz="4" w:space="0" w:color="auto"/>
            </w:tcBorders>
            <w:vAlign w:val="center"/>
          </w:tcPr>
          <w:p w:rsidR="00FC6891" w:rsidRDefault="005F1CD3">
            <w:pPr>
              <w:pStyle w:val="Text1"/>
              <w:spacing w:beforeLines="20" w:before="48" w:afterLines="20" w:after="48"/>
              <w:ind w:left="136"/>
              <w:jc w:val="left"/>
              <w:rPr>
                <w:noProof/>
                <w:sz w:val="16"/>
                <w:szCs w:val="16"/>
              </w:rPr>
            </w:pPr>
            <w:r>
              <w:rPr>
                <w:b/>
                <w:noProof/>
                <w:sz w:val="16"/>
              </w:rPr>
              <w:t>CELKEM</w:t>
            </w:r>
          </w:p>
        </w:tc>
        <w:tc>
          <w:tcPr>
            <w:tcW w:w="752" w:type="pct"/>
            <w:tcBorders>
              <w:top w:val="double" w:sz="4" w:space="0" w:color="auto"/>
            </w:tcBorders>
            <w:vAlign w:val="center"/>
          </w:tcPr>
          <w:p w:rsidR="00FC6891" w:rsidRDefault="005F1CD3">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FC6891" w:rsidRDefault="005F1CD3">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FC6891" w:rsidRDefault="005F1CD3">
            <w:pPr>
              <w:spacing w:beforeLines="20" w:before="48" w:afterLines="20" w:after="48"/>
              <w:jc w:val="center"/>
              <w:rPr>
                <w:b/>
                <w:noProof/>
                <w:sz w:val="16"/>
                <w:szCs w:val="16"/>
              </w:rPr>
            </w:pPr>
            <w:r>
              <w:rPr>
                <w:b/>
                <w:noProof/>
                <w:sz w:val="16"/>
              </w:rPr>
              <w:t>2,0</w:t>
            </w:r>
          </w:p>
        </w:tc>
        <w:tc>
          <w:tcPr>
            <w:tcW w:w="884" w:type="pct"/>
            <w:tcBorders>
              <w:top w:val="double" w:sz="4" w:space="0" w:color="auto"/>
            </w:tcBorders>
            <w:vAlign w:val="center"/>
          </w:tcPr>
          <w:p w:rsidR="00FC6891" w:rsidRDefault="005F1CD3">
            <w:pPr>
              <w:spacing w:beforeLines="20" w:before="48" w:afterLines="20" w:after="48"/>
              <w:jc w:val="center"/>
              <w:rPr>
                <w:b/>
                <w:noProof/>
                <w:sz w:val="16"/>
                <w:szCs w:val="16"/>
              </w:rPr>
            </w:pPr>
            <w:r>
              <w:rPr>
                <w:b/>
                <w:noProof/>
                <w:sz w:val="16"/>
              </w:rPr>
              <w:t>2,0</w:t>
            </w:r>
          </w:p>
        </w:tc>
      </w:tr>
    </w:tbl>
    <w:p w:rsidR="00FC6891" w:rsidRDefault="005F1CD3">
      <w:pPr>
        <w:pStyle w:val="Text1"/>
        <w:spacing w:before="60" w:after="60"/>
        <w:ind w:left="851"/>
        <w:rPr>
          <w:noProof/>
          <w:sz w:val="18"/>
          <w:szCs w:val="18"/>
        </w:rPr>
      </w:pPr>
      <w:r>
        <w:rPr>
          <w:b/>
          <w:noProof/>
          <w:sz w:val="18"/>
        </w:rPr>
        <w:t>09</w:t>
      </w:r>
      <w:r>
        <w:rPr>
          <w:noProof/>
          <w:sz w:val="18"/>
        </w:rPr>
        <w:t xml:space="preserve"> je oblast politiky nebo dotčená hlava rozpočtu.</w:t>
      </w:r>
    </w:p>
    <w:p w:rsidR="00FC6891" w:rsidRDefault="005F1CD3">
      <w:pPr>
        <w:pStyle w:val="Text1"/>
        <w:rPr>
          <w:noProof/>
          <w:sz w:val="18"/>
          <w:szCs w:val="18"/>
        </w:rPr>
      </w:pPr>
      <w:r>
        <w:rPr>
          <w:noProof/>
          <w:sz w:val="18"/>
        </w:rPr>
        <w:t>Potřeby v oblasti lidských zdrojů budou</w:t>
      </w:r>
      <w:r>
        <w:rPr>
          <w:noProof/>
          <w:sz w:val="18"/>
        </w:rPr>
        <w:t xml:space="preserve">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rsidR="00FC6891" w:rsidRDefault="005F1CD3">
      <w:pPr>
        <w:rPr>
          <w:noProof/>
          <w:sz w:val="20"/>
        </w:rPr>
      </w:pPr>
      <w:r>
        <w:rPr>
          <w:noProof/>
          <w:sz w:val="20"/>
        </w:rPr>
        <w:t>Popis úkol</w:t>
      </w:r>
      <w:r>
        <w:rPr>
          <w:noProof/>
          <w:sz w:val="20"/>
        </w:rPr>
        <w:t>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FC6891">
        <w:tc>
          <w:tcPr>
            <w:tcW w:w="3240" w:type="dxa"/>
          </w:tcPr>
          <w:p w:rsidR="00FC6891" w:rsidRDefault="005F1CD3">
            <w:pPr>
              <w:rPr>
                <w:noProof/>
                <w:sz w:val="20"/>
              </w:rPr>
            </w:pPr>
            <w:r>
              <w:rPr>
                <w:noProof/>
                <w:sz w:val="20"/>
              </w:rPr>
              <w:t>Úředníci a dočasní zaměstnanci</w:t>
            </w:r>
          </w:p>
        </w:tc>
        <w:tc>
          <w:tcPr>
            <w:tcW w:w="7200" w:type="dxa"/>
          </w:tcPr>
          <w:p w:rsidR="00FC6891" w:rsidRDefault="005F1CD3">
            <w:pPr>
              <w:rPr>
                <w:noProof/>
                <w:sz w:val="20"/>
                <w:highlight w:val="yellow"/>
              </w:rPr>
            </w:pPr>
            <w:r>
              <w:rPr>
                <w:noProof/>
                <w:sz w:val="20"/>
                <w:highlight w:val="yellow"/>
              </w:rPr>
              <w:t xml:space="preserve"> </w:t>
            </w:r>
          </w:p>
        </w:tc>
      </w:tr>
      <w:tr w:rsidR="00FC6891">
        <w:tc>
          <w:tcPr>
            <w:tcW w:w="3240" w:type="dxa"/>
          </w:tcPr>
          <w:p w:rsidR="00FC6891" w:rsidRDefault="005F1CD3">
            <w:pPr>
              <w:spacing w:before="60" w:after="60"/>
              <w:rPr>
                <w:noProof/>
                <w:sz w:val="20"/>
              </w:rPr>
            </w:pPr>
            <w:r>
              <w:rPr>
                <w:noProof/>
                <w:sz w:val="20"/>
              </w:rPr>
              <w:t>Externí zaměstnanci</w:t>
            </w:r>
          </w:p>
        </w:tc>
        <w:tc>
          <w:tcPr>
            <w:tcW w:w="7200" w:type="dxa"/>
          </w:tcPr>
          <w:p w:rsidR="00FC6891" w:rsidRDefault="00FC6891">
            <w:pPr>
              <w:rPr>
                <w:noProof/>
                <w:sz w:val="20"/>
                <w:highlight w:val="yellow"/>
              </w:rPr>
            </w:pPr>
          </w:p>
        </w:tc>
      </w:tr>
    </w:tbl>
    <w:p w:rsidR="00FC6891" w:rsidRDefault="005F1CD3">
      <w:pPr>
        <w:pStyle w:val="ManualHeading3"/>
        <w:rPr>
          <w:bCs/>
          <w:noProof/>
          <w:szCs w:val="24"/>
        </w:rPr>
      </w:pPr>
      <w:r>
        <w:t>3.2.4.</w:t>
      </w:r>
      <w:r>
        <w:tab/>
      </w:r>
      <w:r>
        <w:rPr>
          <w:noProof/>
        </w:rPr>
        <w:t xml:space="preserve">Soulad se stávajícím víceletým finančním rámcem </w:t>
      </w:r>
    </w:p>
    <w:p w:rsidR="00FC6891" w:rsidRDefault="005F1CD3">
      <w:pPr>
        <w:pStyle w:val="ListDash1"/>
        <w:rPr>
          <w:noProof/>
        </w:rPr>
      </w:pPr>
      <w:r>
        <w:rPr>
          <w:noProof/>
        </w:rPr>
        <w:t>X</w:t>
      </w:r>
      <w:r>
        <w:rPr>
          <w:noProof/>
        </w:rPr>
        <w:tab/>
        <w:t>Návrh/podnět je v souladu se stávajícím víceletým finančním rámcem.</w:t>
      </w:r>
    </w:p>
    <w:p w:rsidR="00FC6891" w:rsidRDefault="005F1CD3">
      <w:pPr>
        <w:pStyle w:val="ListDash1"/>
        <w:rPr>
          <w:noProof/>
        </w:rPr>
      </w:pPr>
      <w:r>
        <w:rPr>
          <w:noProof/>
          <w:szCs w:val="24"/>
        </w:rPr>
        <w:sym w:font="Wingdings" w:char="F0A8"/>
      </w:r>
      <w:r>
        <w:rPr>
          <w:noProof/>
        </w:rPr>
        <w:tab/>
        <w:t xml:space="preserve">Návrh/podnět si vyžádá úpravu příslušného okruhu víceletého </w:t>
      </w:r>
      <w:r>
        <w:rPr>
          <w:noProof/>
        </w:rPr>
        <w:t>finančního rámce.</w:t>
      </w:r>
    </w:p>
    <w:p w:rsidR="00FC6891" w:rsidRDefault="005F1CD3">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požadovanou úpravu, příslušné rozpočtové položky a odpovídající částky.</w:t>
      </w:r>
    </w:p>
    <w:p w:rsidR="00FC6891" w:rsidRDefault="005F1CD3">
      <w:pPr>
        <w:pStyle w:val="ListDash1"/>
        <w:rPr>
          <w:noProof/>
        </w:rPr>
      </w:pPr>
      <w:r>
        <w:rPr>
          <w:noProof/>
          <w:szCs w:val="24"/>
        </w:rPr>
        <w:sym w:font="Wingdings" w:char="F0A8"/>
      </w:r>
      <w:r>
        <w:rPr>
          <w:noProof/>
        </w:rPr>
        <w:tab/>
        <w:t>Návrh/podnět vyžaduje použití nástroje pružnosti nebo změnu víceletého finančního rámce.</w:t>
      </w:r>
    </w:p>
    <w:p w:rsidR="00FC6891" w:rsidRDefault="005F1CD3">
      <w:pPr>
        <w:pStyle w:val="Text1"/>
        <w:pBdr>
          <w:top w:val="single" w:sz="4" w:space="1" w:color="auto"/>
          <w:left w:val="single" w:sz="4" w:space="4" w:color="auto"/>
          <w:bottom w:val="single" w:sz="4" w:space="1" w:color="auto"/>
          <w:right w:val="single" w:sz="4" w:space="4" w:color="auto"/>
        </w:pBdr>
        <w:rPr>
          <w:noProof/>
        </w:rPr>
      </w:pPr>
      <w:r>
        <w:rPr>
          <w:noProof/>
          <w:sz w:val="20"/>
        </w:rPr>
        <w:t>Upřesněte potřebu, příslušné okruhy a rozpočtové položky a odpoví</w:t>
      </w:r>
      <w:r>
        <w:rPr>
          <w:noProof/>
          <w:sz w:val="20"/>
        </w:rPr>
        <w:t>dající částky.</w:t>
      </w:r>
    </w:p>
    <w:p w:rsidR="00FC6891" w:rsidRDefault="005F1CD3">
      <w:pPr>
        <w:pStyle w:val="ManualHeading3"/>
        <w:rPr>
          <w:bCs/>
          <w:noProof/>
          <w:szCs w:val="24"/>
        </w:rPr>
      </w:pPr>
      <w:r>
        <w:t>3.2.5.</w:t>
      </w:r>
      <w:r>
        <w:tab/>
      </w:r>
      <w:r>
        <w:rPr>
          <w:noProof/>
        </w:rPr>
        <w:t xml:space="preserve">Příspěvky třetích stran </w:t>
      </w:r>
    </w:p>
    <w:p w:rsidR="00FC6891" w:rsidRDefault="005F1CD3">
      <w:pPr>
        <w:pStyle w:val="ListDash1"/>
        <w:rPr>
          <w:noProof/>
        </w:rPr>
      </w:pPr>
      <w:r>
        <w:rPr>
          <w:noProof/>
        </w:rPr>
        <w:t xml:space="preserve">Návrh/podnět nepočítá se spolufinancováním od třetích stran. </w:t>
      </w:r>
    </w:p>
    <w:p w:rsidR="00FC6891" w:rsidRDefault="005F1CD3">
      <w:pPr>
        <w:pStyle w:val="ManualHeading2"/>
        <w:rPr>
          <w:noProof/>
        </w:rPr>
      </w:pPr>
      <w:r>
        <w:t>3.3.</w:t>
      </w:r>
      <w:r>
        <w:tab/>
      </w:r>
      <w:r>
        <w:rPr>
          <w:noProof/>
        </w:rPr>
        <w:t xml:space="preserve">Odhadovaný dopad na příjmy </w:t>
      </w:r>
    </w:p>
    <w:p w:rsidR="00FC6891" w:rsidRDefault="005F1CD3">
      <w:pPr>
        <w:pStyle w:val="ListDash1"/>
        <w:rPr>
          <w:strike/>
          <w:noProof/>
        </w:rPr>
      </w:pPr>
      <w:r>
        <w:rPr>
          <w:noProof/>
        </w:rPr>
        <w:t>X</w:t>
      </w:r>
      <w:r>
        <w:rPr>
          <w:noProof/>
        </w:rPr>
        <w:tab/>
        <w:t>Návrh/podnět nemá žádný finanční dopad na příjmy.</w:t>
      </w:r>
    </w:p>
    <w:p w:rsidR="00FC6891" w:rsidRDefault="00FC6891">
      <w:pPr>
        <w:spacing w:before="0" w:after="200" w:line="276" w:lineRule="auto"/>
        <w:jc w:val="left"/>
        <w:rPr>
          <w:i/>
          <w:noProof/>
        </w:rPr>
        <w:sectPr w:rsidR="00FC6891" w:rsidSect="005F1CD3">
          <w:pgSz w:w="11907" w:h="16839"/>
          <w:pgMar w:top="1134" w:right="1417" w:bottom="1134" w:left="1417" w:header="709" w:footer="709" w:gutter="0"/>
          <w:cols w:space="708"/>
          <w:docGrid w:linePitch="360"/>
        </w:sectPr>
      </w:pPr>
    </w:p>
    <w:p w:rsidR="00FC6891" w:rsidRDefault="00FC6891">
      <w:pPr>
        <w:jc w:val="center"/>
        <w:rPr>
          <w:b/>
          <w:bCs/>
          <w:noProof/>
          <w:sz w:val="28"/>
          <w:szCs w:val="28"/>
          <w:u w:val="single"/>
        </w:rPr>
      </w:pPr>
    </w:p>
    <w:p w:rsidR="00FC6891" w:rsidRDefault="00FC6891">
      <w:pPr>
        <w:jc w:val="center"/>
        <w:rPr>
          <w:b/>
          <w:bCs/>
          <w:noProof/>
          <w:sz w:val="28"/>
          <w:szCs w:val="28"/>
          <w:u w:val="single"/>
        </w:rPr>
      </w:pPr>
    </w:p>
    <w:p w:rsidR="00FC6891" w:rsidRDefault="005F1CD3">
      <w:pPr>
        <w:jc w:val="center"/>
        <w:rPr>
          <w:b/>
          <w:bCs/>
          <w:noProof/>
          <w:sz w:val="36"/>
          <w:szCs w:val="36"/>
          <w:u w:val="single"/>
        </w:rPr>
      </w:pPr>
      <w:r>
        <w:rPr>
          <w:b/>
          <w:noProof/>
          <w:sz w:val="36"/>
          <w:u w:val="single"/>
        </w:rPr>
        <w:t>PŘÍLOHA</w:t>
      </w:r>
      <w:r>
        <w:rPr>
          <w:noProof/>
        </w:rPr>
        <w:br/>
      </w:r>
      <w:r>
        <w:rPr>
          <w:b/>
          <w:noProof/>
          <w:sz w:val="36"/>
          <w:u w:val="single"/>
        </w:rPr>
        <w:t>LEGISLATIVNÍHO FINANČNÍHO VÝKAZU</w:t>
      </w:r>
    </w:p>
    <w:p w:rsidR="00FC6891" w:rsidRDefault="00FC6891">
      <w:pPr>
        <w:jc w:val="center"/>
        <w:rPr>
          <w:noProof/>
        </w:rPr>
      </w:pPr>
    </w:p>
    <w:p w:rsidR="00FC6891" w:rsidRDefault="00FC6891">
      <w:pPr>
        <w:outlineLvl w:val="0"/>
        <w:rPr>
          <w:b/>
          <w:bCs/>
          <w:noProof/>
        </w:rPr>
      </w:pPr>
    </w:p>
    <w:p w:rsidR="00FC6891" w:rsidRDefault="00FC6891">
      <w:pPr>
        <w:outlineLvl w:val="0"/>
        <w:rPr>
          <w:b/>
          <w:bCs/>
          <w:noProof/>
        </w:rPr>
      </w:pPr>
    </w:p>
    <w:p w:rsidR="00FC6891" w:rsidRDefault="00FC6891">
      <w:pPr>
        <w:outlineLvl w:val="0"/>
        <w:rPr>
          <w:b/>
          <w:bCs/>
          <w:noProof/>
        </w:rPr>
      </w:pPr>
    </w:p>
    <w:p w:rsidR="00FC6891" w:rsidRDefault="005F1CD3">
      <w:pPr>
        <w:spacing w:before="240"/>
        <w:ind w:left="360"/>
        <w:jc w:val="center"/>
        <w:rPr>
          <w:noProof/>
        </w:rPr>
      </w:pPr>
      <w:r>
        <w:rPr>
          <w:noProof/>
        </w:rPr>
        <w:t>Název návrhu/podnětu:</w:t>
      </w:r>
    </w:p>
    <w:p w:rsidR="00FC6891" w:rsidRDefault="005F1CD3">
      <w:pPr>
        <w:pBdr>
          <w:top w:val="dotted" w:sz="4" w:space="1" w:color="auto"/>
          <w:left w:val="dotted" w:sz="4" w:space="4" w:color="auto"/>
          <w:bottom w:val="dotted" w:sz="4" w:space="1" w:color="auto"/>
          <w:right w:val="dotted" w:sz="4" w:space="4" w:color="auto"/>
        </w:pBdr>
        <w:shd w:val="clear" w:color="auto" w:fill="FFFF99"/>
        <w:spacing w:after="60"/>
        <w:rPr>
          <w:noProof/>
          <w:color w:val="808080"/>
        </w:rPr>
      </w:pPr>
      <w:r>
        <w:rPr>
          <w:noProof/>
          <w:color w:val="808080"/>
        </w:rPr>
        <w:t>Návrh nařízení, kterým se mění (EU) č. 1316/2013 a (EU) č. 283/2014, pokud jde o podporu připojení k internetu v místních komunitách</w:t>
      </w:r>
    </w:p>
    <w:p w:rsidR="00FC6891" w:rsidRDefault="00FC6891">
      <w:pPr>
        <w:outlineLvl w:val="0"/>
        <w:rPr>
          <w:b/>
          <w:bCs/>
          <w:noProof/>
        </w:rPr>
      </w:pPr>
    </w:p>
    <w:p w:rsidR="00FC6891" w:rsidRDefault="005F1CD3">
      <w:pPr>
        <w:pStyle w:val="ManualHeading1"/>
        <w:rPr>
          <w:noProof/>
          <w:szCs w:val="32"/>
        </w:rPr>
      </w:pPr>
      <w:r>
        <w:t>1.</w:t>
      </w:r>
      <w:r>
        <w:tab/>
      </w:r>
      <w:r>
        <w:rPr>
          <w:noProof/>
        </w:rPr>
        <w:t>POTŘEBNÉ LIDSKÉ ZDROJE A NÁKLADY NA TYTO ZDROJE</w:t>
      </w:r>
    </w:p>
    <w:p w:rsidR="00FC6891" w:rsidRDefault="005F1CD3">
      <w:pPr>
        <w:pStyle w:val="ManualHeading1"/>
        <w:rPr>
          <w:noProof/>
          <w:szCs w:val="32"/>
        </w:rPr>
      </w:pPr>
      <w:r>
        <w:t>2.</w:t>
      </w:r>
      <w:r>
        <w:tab/>
      </w:r>
      <w:r>
        <w:rPr>
          <w:noProof/>
        </w:rPr>
        <w:t>VÝŠE JINÝCH VÝDAJŮ SPRÁVNÍ POVAHY</w:t>
      </w:r>
    </w:p>
    <w:p w:rsidR="00FC6891" w:rsidRDefault="005F1CD3">
      <w:pPr>
        <w:pStyle w:val="ManualHeading1"/>
        <w:rPr>
          <w:noProof/>
          <w:szCs w:val="32"/>
        </w:rPr>
      </w:pPr>
      <w:r>
        <w:t>3.</w:t>
      </w:r>
      <w:r>
        <w:tab/>
      </w:r>
      <w:r>
        <w:rPr>
          <w:noProof/>
        </w:rPr>
        <w:t>METODY</w:t>
      </w:r>
      <w:r>
        <w:rPr>
          <w:noProof/>
        </w:rPr>
        <w:t xml:space="preserve"> VÝPOČTU POUŽITÉ K ODHADU NÁKLADŮ</w:t>
      </w:r>
    </w:p>
    <w:p w:rsidR="00FC6891" w:rsidRDefault="005F1CD3">
      <w:pPr>
        <w:pStyle w:val="ManualHeading2"/>
        <w:rPr>
          <w:noProof/>
          <w:szCs w:val="32"/>
        </w:rPr>
      </w:pPr>
      <w:r>
        <w:t>3.1.</w:t>
      </w:r>
      <w:r>
        <w:tab/>
      </w:r>
      <w:r>
        <w:rPr>
          <w:noProof/>
        </w:rPr>
        <w:t>Lidské zdroje</w:t>
      </w:r>
    </w:p>
    <w:p w:rsidR="00FC6891" w:rsidRDefault="005F1CD3">
      <w:pPr>
        <w:pStyle w:val="ManualHeading2"/>
        <w:rPr>
          <w:noProof/>
          <w:szCs w:val="32"/>
        </w:rPr>
      </w:pPr>
      <w:r>
        <w:t>3.2.</w:t>
      </w:r>
      <w:r>
        <w:tab/>
      </w:r>
      <w:r>
        <w:rPr>
          <w:noProof/>
        </w:rPr>
        <w:t>Ostatní správní výdaje</w:t>
      </w:r>
    </w:p>
    <w:p w:rsidR="00FC6891" w:rsidRDefault="00FC6891">
      <w:pPr>
        <w:spacing w:before="240" w:after="240"/>
        <w:rPr>
          <w:rFonts w:ascii="Times New Roman Bold" w:hAnsi="Times New Roman Bold"/>
          <w:bCs/>
          <w:noProof/>
          <w:sz w:val="32"/>
          <w:szCs w:val="32"/>
        </w:rPr>
      </w:pPr>
    </w:p>
    <w:p w:rsidR="00FC6891" w:rsidRDefault="00FC6891">
      <w:pPr>
        <w:spacing w:before="240" w:after="240"/>
        <w:rPr>
          <w:rFonts w:ascii="Times New Roman Bold" w:hAnsi="Times New Roman Bold"/>
          <w:bCs/>
          <w:noProof/>
          <w:sz w:val="32"/>
          <w:szCs w:val="32"/>
        </w:rPr>
      </w:pPr>
    </w:p>
    <w:p w:rsidR="00FC6891" w:rsidRDefault="00FC6891">
      <w:pPr>
        <w:pBdr>
          <w:top w:val="single" w:sz="4" w:space="0" w:color="auto"/>
          <w:left w:val="single" w:sz="4" w:space="4" w:color="auto"/>
          <w:bottom w:val="single" w:sz="4" w:space="1" w:color="auto"/>
          <w:right w:val="single" w:sz="4" w:space="4" w:color="auto"/>
        </w:pBdr>
        <w:shd w:val="pct30" w:color="CCFFFF" w:fill="auto"/>
        <w:rPr>
          <w:noProof/>
          <w:sz w:val="16"/>
          <w:szCs w:val="16"/>
        </w:rPr>
      </w:pPr>
    </w:p>
    <w:p w:rsidR="00FC6891" w:rsidRDefault="005F1CD3">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Tato příloha musí být připojena k legislativnímu finančnímu výkazu v průběhu konzultací mezi jednotlivými útvary.</w:t>
      </w:r>
    </w:p>
    <w:p w:rsidR="00FC6891" w:rsidRDefault="005F1CD3">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 xml:space="preserve">Tabulky s údaji slouží jako zdroj pro tabulky obsažené v </w:t>
      </w:r>
      <w:r>
        <w:rPr>
          <w:i/>
          <w:noProof/>
          <w:sz w:val="22"/>
        </w:rPr>
        <w:t>legislativním finančním výkazu. Tyto tabulky jsou určeny pouze pro interní použití v Komisi.</w:t>
      </w:r>
    </w:p>
    <w:p w:rsidR="00FC6891" w:rsidRDefault="00FC6891">
      <w:pPr>
        <w:pBdr>
          <w:top w:val="single" w:sz="4" w:space="0" w:color="auto"/>
          <w:left w:val="single" w:sz="4" w:space="4" w:color="auto"/>
          <w:bottom w:val="single" w:sz="4" w:space="1" w:color="auto"/>
          <w:right w:val="single" w:sz="4" w:space="4" w:color="auto"/>
        </w:pBdr>
        <w:shd w:val="pct30" w:color="CCFFFF" w:fill="auto"/>
        <w:rPr>
          <w:bCs/>
          <w:noProof/>
          <w:sz w:val="16"/>
          <w:szCs w:val="16"/>
        </w:rPr>
      </w:pPr>
    </w:p>
    <w:p w:rsidR="00FC6891" w:rsidRDefault="00FC6891">
      <w:pPr>
        <w:spacing w:after="80"/>
        <w:rPr>
          <w:b/>
          <w:bCs/>
          <w:noProof/>
        </w:rPr>
      </w:pPr>
    </w:p>
    <w:p w:rsidR="00FC6891" w:rsidRDefault="00FC6891">
      <w:pPr>
        <w:rPr>
          <w:noProof/>
        </w:rPr>
        <w:sectPr w:rsidR="00FC6891" w:rsidSect="005F1CD3">
          <w:pgSz w:w="12240" w:h="15840" w:code="1"/>
          <w:pgMar w:top="902" w:right="1134" w:bottom="1247" w:left="902" w:header="709" w:footer="709" w:gutter="0"/>
          <w:cols w:space="708"/>
          <w:docGrid w:linePitch="360"/>
        </w:sectPr>
      </w:pPr>
    </w:p>
    <w:p w:rsidR="00FC6891" w:rsidRDefault="005F1CD3">
      <w:pPr>
        <w:pStyle w:val="ManualHeading1"/>
        <w:rPr>
          <w:noProof/>
        </w:rPr>
      </w:pPr>
      <w:r>
        <w:t>1.</w:t>
      </w:r>
      <w:r>
        <w:tab/>
      </w:r>
      <w:r>
        <w:rPr>
          <w:noProof/>
        </w:rPr>
        <w:t>Náklady na potřebné lidské zdroje</w:t>
      </w:r>
      <w:r>
        <w:rPr>
          <w:noProof/>
        </w:rPr>
        <w:tab/>
      </w:r>
    </w:p>
    <w:p w:rsidR="00FC6891" w:rsidRDefault="005F1CD3">
      <w:pPr>
        <w:pStyle w:val="Point1"/>
        <w:spacing w:after="0"/>
        <w:ind w:left="2263" w:hanging="284"/>
        <w:rPr>
          <w:noProof/>
        </w:rPr>
      </w:pPr>
      <w:r>
        <w:rPr>
          <w:noProof/>
        </w:rPr>
        <w:sym w:font="Wingdings" w:char="F0A8"/>
      </w:r>
      <w:r>
        <w:rPr>
          <w:noProof/>
        </w:rPr>
        <w:tab/>
        <w:t>Návrh/podnět nevyžaduje využití lidských zdrojů.</w:t>
      </w:r>
    </w:p>
    <w:p w:rsidR="00FC6891" w:rsidRDefault="005F1CD3">
      <w:pPr>
        <w:pStyle w:val="Text1"/>
        <w:spacing w:before="60" w:after="0"/>
        <w:ind w:left="2263" w:hanging="284"/>
        <w:rPr>
          <w:noProof/>
        </w:rPr>
      </w:pPr>
      <w:r>
        <w:rPr>
          <w:noProof/>
        </w:rPr>
        <w:t>X Návrh/podnět vyžaduje využití lidských zdrojů, jak</w:t>
      </w:r>
      <w:r>
        <w:rPr>
          <w:noProof/>
        </w:rPr>
        <w:t xml:space="preserve"> je vysvětleno dále:</w:t>
      </w:r>
    </w:p>
    <w:p w:rsidR="00FC6891" w:rsidRDefault="00FC6891">
      <w:pPr>
        <w:jc w:val="right"/>
        <w:rPr>
          <w:rFonts w:ascii="Arial Narrow" w:hAnsi="Arial Narrow"/>
          <w:iCs/>
          <w:noProof/>
          <w:sz w:val="20"/>
          <w:szCs w:val="20"/>
        </w:rPr>
      </w:pPr>
    </w:p>
    <w:p w:rsidR="00FC6891" w:rsidRDefault="005F1CD3">
      <w:pPr>
        <w:jc w:val="right"/>
        <w:rPr>
          <w:iCs/>
          <w:noProof/>
          <w:sz w:val="20"/>
          <w:szCs w:val="20"/>
        </w:rPr>
      </w:pPr>
      <w:r>
        <w:rPr>
          <w:noProof/>
          <w:sz w:val="20"/>
        </w:rPr>
        <w:t>v milionech EUR (zaokrouhleno na tři desetinná místa)</w:t>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42"/>
        <w:gridCol w:w="618"/>
        <w:gridCol w:w="666"/>
        <w:gridCol w:w="1077"/>
        <w:gridCol w:w="667"/>
        <w:gridCol w:w="1077"/>
        <w:gridCol w:w="667"/>
        <w:gridCol w:w="1077"/>
        <w:gridCol w:w="667"/>
        <w:gridCol w:w="1077"/>
        <w:gridCol w:w="667"/>
        <w:gridCol w:w="1077"/>
        <w:gridCol w:w="667"/>
        <w:gridCol w:w="1077"/>
      </w:tblGrid>
      <w:tr w:rsidR="00FC6891">
        <w:trPr>
          <w:trHeight w:val="289"/>
        </w:trPr>
        <w:tc>
          <w:tcPr>
            <w:tcW w:w="3960" w:type="dxa"/>
            <w:gridSpan w:val="2"/>
            <w:vMerge w:val="restart"/>
            <w:shd w:val="pct50" w:color="C0C0C0" w:fill="auto"/>
            <w:vAlign w:val="center"/>
          </w:tcPr>
          <w:p w:rsidR="00FC6891" w:rsidRDefault="005F1CD3">
            <w:pPr>
              <w:jc w:val="center"/>
              <w:rPr>
                <w:rFonts w:ascii="Arial Narrow" w:hAnsi="Arial Narrow"/>
                <w:noProof/>
                <w:sz w:val="16"/>
                <w:szCs w:val="16"/>
              </w:rPr>
            </w:pPr>
            <w:r>
              <w:rPr>
                <w:rFonts w:ascii="Arial Narrow" w:hAnsi="Arial Narrow"/>
                <w:b/>
                <w:noProof/>
                <w:sz w:val="22"/>
              </w:rPr>
              <w:t>OKRUH 5</w:t>
            </w:r>
            <w:r>
              <w:rPr>
                <w:noProof/>
              </w:rPr>
              <w:br/>
            </w:r>
            <w:r>
              <w:rPr>
                <w:rFonts w:ascii="Arial Narrow" w:hAnsi="Arial Narrow"/>
                <w:noProof/>
                <w:sz w:val="22"/>
              </w:rPr>
              <w:t>víceletého finančního rámce</w:t>
            </w:r>
          </w:p>
        </w:tc>
        <w:tc>
          <w:tcPr>
            <w:tcW w:w="1743" w:type="dxa"/>
            <w:gridSpan w:val="2"/>
            <w:shd w:val="pct10" w:color="CCFFFF" w:fill="auto"/>
            <w:vAlign w:val="center"/>
          </w:tcPr>
          <w:p w:rsidR="00FC6891" w:rsidRDefault="005F1CD3">
            <w:pPr>
              <w:jc w:val="center"/>
              <w:rPr>
                <w:noProof/>
                <w:sz w:val="20"/>
                <w:szCs w:val="20"/>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FC6891" w:rsidRDefault="005F1CD3">
            <w:pPr>
              <w:jc w:val="center"/>
              <w:rPr>
                <w:noProof/>
                <w:sz w:val="20"/>
                <w:szCs w:val="20"/>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FC6891" w:rsidRDefault="005F1CD3">
            <w:pPr>
              <w:jc w:val="center"/>
              <w:rPr>
                <w:noProof/>
                <w:sz w:val="20"/>
                <w:szCs w:val="20"/>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FC6891" w:rsidRDefault="005F1CD3">
            <w:pPr>
              <w:jc w:val="center"/>
              <w:rPr>
                <w:noProof/>
                <w:sz w:val="20"/>
                <w:szCs w:val="20"/>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color w:val="0000FF"/>
                <w:sz w:val="16"/>
              </w:rPr>
              <w:t>Vložit počet let podle trvání finančního dopadu (viz bod 1.6)</w:t>
            </w:r>
          </w:p>
        </w:tc>
        <w:tc>
          <w:tcPr>
            <w:tcW w:w="1744" w:type="dxa"/>
            <w:gridSpan w:val="2"/>
            <w:tcBorders>
              <w:right w:val="single" w:sz="6" w:space="0" w:color="auto"/>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20"/>
              </w:rPr>
              <w:t>CELKEM</w:t>
            </w:r>
          </w:p>
        </w:tc>
      </w:tr>
      <w:tr w:rsidR="00FC6891">
        <w:trPr>
          <w:trHeight w:val="289"/>
        </w:trPr>
        <w:tc>
          <w:tcPr>
            <w:tcW w:w="3960" w:type="dxa"/>
            <w:gridSpan w:val="2"/>
            <w:vMerge/>
            <w:shd w:val="pct50" w:color="C0C0C0" w:fill="auto"/>
            <w:vAlign w:val="center"/>
          </w:tcPr>
          <w:p w:rsidR="00FC6891" w:rsidRDefault="00FC6891">
            <w:pPr>
              <w:jc w:val="center"/>
              <w:rPr>
                <w:rFonts w:ascii="Arial Narrow" w:hAnsi="Arial Narrow"/>
                <w:noProof/>
                <w:sz w:val="16"/>
                <w:szCs w:val="16"/>
              </w:rPr>
            </w:pPr>
          </w:p>
        </w:tc>
        <w:tc>
          <w:tcPr>
            <w:tcW w:w="666" w:type="dxa"/>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Prostředky</w:t>
            </w:r>
          </w:p>
        </w:tc>
        <w:tc>
          <w:tcPr>
            <w:tcW w:w="66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Prostředky</w:t>
            </w:r>
          </w:p>
        </w:tc>
        <w:tc>
          <w:tcPr>
            <w:tcW w:w="66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Prostředky</w:t>
            </w:r>
          </w:p>
        </w:tc>
        <w:tc>
          <w:tcPr>
            <w:tcW w:w="66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Prostředky</w:t>
            </w:r>
          </w:p>
        </w:tc>
        <w:tc>
          <w:tcPr>
            <w:tcW w:w="66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Prostředky</w:t>
            </w:r>
          </w:p>
        </w:tc>
        <w:tc>
          <w:tcPr>
            <w:tcW w:w="66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FTE</w:t>
            </w:r>
          </w:p>
        </w:tc>
        <w:tc>
          <w:tcPr>
            <w:tcW w:w="1077" w:type="dxa"/>
            <w:tcBorders>
              <w:right w:val="single" w:sz="6" w:space="0" w:color="auto"/>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Prostředky</w:t>
            </w:r>
          </w:p>
        </w:tc>
      </w:tr>
      <w:tr w:rsidR="00FC6891">
        <w:trPr>
          <w:trHeight w:val="289"/>
        </w:trPr>
        <w:tc>
          <w:tcPr>
            <w:tcW w:w="14423" w:type="dxa"/>
            <w:gridSpan w:val="14"/>
            <w:shd w:val="pct10" w:color="CCFFFF" w:fill="CCFFCC"/>
            <w:vAlign w:val="center"/>
          </w:tcPr>
          <w:p w:rsidR="00FC6891" w:rsidRDefault="005F1CD3">
            <w:pPr>
              <w:spacing w:before="60" w:after="6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2"/>
              </w:rPr>
              <w:t xml:space="preserve"> Pracovní místa podle plánu pracovních míst (místa úředníků a dočasných zaměstnanců)</w:t>
            </w:r>
          </w:p>
        </w:tc>
      </w:tr>
      <w:tr w:rsidR="00FC6891">
        <w:trPr>
          <w:trHeight w:val="289"/>
        </w:trPr>
        <w:tc>
          <w:tcPr>
            <w:tcW w:w="3342" w:type="dxa"/>
            <w:vMerge w:val="restart"/>
            <w:shd w:val="pct10" w:color="CCFFFF" w:fill="auto"/>
            <w:vAlign w:val="center"/>
          </w:tcPr>
          <w:p w:rsidR="00FC6891" w:rsidRDefault="005F1CD3">
            <w:pPr>
              <w:pStyle w:val="Text1"/>
              <w:spacing w:before="40" w:after="40"/>
              <w:ind w:left="0"/>
              <w:rPr>
                <w:rFonts w:ascii="Arial Narrow" w:hAnsi="Arial Narrow"/>
                <w:i/>
                <w:noProof/>
                <w:sz w:val="20"/>
                <w:szCs w:val="20"/>
              </w:rPr>
            </w:pPr>
            <w:r>
              <w:rPr>
                <w:rFonts w:ascii="Arial Narrow" w:hAnsi="Arial Narrow"/>
                <w:noProof/>
                <w:sz w:val="20"/>
              </w:rPr>
              <w:t>09 01 01 01 (v ústředí a v zastoupeních Komise)</w:t>
            </w: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FC6891" w:rsidRDefault="005F1CD3">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FC6891" w:rsidRDefault="005F1CD3">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FC6891" w:rsidRDefault="005F1CD3">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FC6891" w:rsidRDefault="005F1CD3">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5F1CD3">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0,536</w:t>
            </w:r>
          </w:p>
        </w:tc>
      </w:tr>
      <w:tr w:rsidR="00FC6891">
        <w:trPr>
          <w:trHeight w:val="289"/>
        </w:trPr>
        <w:tc>
          <w:tcPr>
            <w:tcW w:w="3342" w:type="dxa"/>
            <w:vMerge/>
            <w:tcBorders>
              <w:bottom w:val="single" w:sz="6" w:space="0" w:color="auto"/>
            </w:tcBorders>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vMerge w:val="restart"/>
            <w:shd w:val="pct10" w:color="CCFFFF" w:fill="auto"/>
            <w:vAlign w:val="center"/>
          </w:tcPr>
          <w:p w:rsidR="00FC6891" w:rsidRDefault="005F1CD3">
            <w:pPr>
              <w:pStyle w:val="Text1"/>
              <w:spacing w:before="40" w:after="40"/>
              <w:ind w:left="0"/>
              <w:rPr>
                <w:rFonts w:ascii="Arial Narrow" w:hAnsi="Arial Narrow"/>
                <w:i/>
                <w:noProof/>
                <w:sz w:val="20"/>
                <w:szCs w:val="20"/>
              </w:rPr>
            </w:pPr>
            <w:r>
              <w:rPr>
                <w:rFonts w:ascii="Arial Narrow" w:hAnsi="Arial Narrow"/>
                <w:noProof/>
                <w:sz w:val="20"/>
              </w:rPr>
              <w:t>XX 01 01 02 (při delegacích Unie)</w:t>
            </w: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vMerge/>
            <w:tcBorders>
              <w:bottom w:val="single" w:sz="6" w:space="0" w:color="auto"/>
            </w:tcBorders>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14423" w:type="dxa"/>
            <w:gridSpan w:val="14"/>
            <w:shd w:val="pct10" w:color="CCFFFF" w:fill="FFFF99"/>
            <w:vAlign w:val="center"/>
          </w:tcPr>
          <w:p w:rsidR="00FC6891" w:rsidRDefault="005F1CD3">
            <w:pPr>
              <w:spacing w:before="60" w:after="6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Externí zaměstnanci</w:t>
            </w:r>
            <w:r>
              <w:rPr>
                <w:rStyle w:val="FootnoteReference"/>
              </w:rPr>
              <w:footnoteReference w:id="27"/>
            </w:r>
          </w:p>
        </w:tc>
      </w:tr>
      <w:tr w:rsidR="00FC6891">
        <w:trPr>
          <w:trHeight w:val="289"/>
        </w:trPr>
        <w:tc>
          <w:tcPr>
            <w:tcW w:w="3342" w:type="dxa"/>
            <w:vMerge w:val="restart"/>
            <w:shd w:val="pct10" w:color="CCFFFF" w:fill="auto"/>
            <w:vAlign w:val="center"/>
          </w:tcPr>
          <w:p w:rsidR="00FC6891" w:rsidRDefault="005F1CD3">
            <w:pPr>
              <w:pStyle w:val="Text1"/>
              <w:spacing w:before="60" w:after="6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01 (celkový rámec)</w:t>
            </w: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FC6891" w:rsidRDefault="005F1CD3">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FC6891" w:rsidRDefault="005F1CD3">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FC6891" w:rsidRDefault="005F1CD3">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FC6891" w:rsidRDefault="005F1CD3">
            <w:pP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5F1CD3">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0,280</w:t>
            </w:r>
          </w:p>
        </w:tc>
      </w:tr>
      <w:tr w:rsidR="00FC6891">
        <w:trPr>
          <w:trHeight w:val="289"/>
        </w:trPr>
        <w:tc>
          <w:tcPr>
            <w:tcW w:w="3342"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VNO</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ZAP</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vMerge w:val="restart"/>
            <w:shd w:val="pct10" w:color="CCFFFF" w:fill="auto"/>
            <w:vAlign w:val="center"/>
          </w:tcPr>
          <w:p w:rsidR="00FC6891" w:rsidRDefault="005F1CD3">
            <w:pPr>
              <w:pStyle w:val="Text1"/>
              <w:spacing w:before="60" w:after="60"/>
              <w:ind w:left="0"/>
              <w:jc w:val="left"/>
              <w:rPr>
                <w:rFonts w:ascii="Arial Narrow" w:hAnsi="Arial Narrow"/>
                <w:noProof/>
                <w:sz w:val="20"/>
                <w:szCs w:val="20"/>
              </w:rPr>
            </w:pPr>
            <w:r>
              <w:rPr>
                <w:rFonts w:ascii="Arial Narrow" w:hAnsi="Arial Narrow"/>
                <w:noProof/>
                <w:sz w:val="20"/>
              </w:rPr>
              <w:t xml:space="preserve">XX 01 02 </w:t>
            </w:r>
            <w:r>
              <w:rPr>
                <w:rFonts w:ascii="Arial Narrow" w:hAnsi="Arial Narrow"/>
                <w:noProof/>
                <w:sz w:val="20"/>
              </w:rPr>
              <w:t>02 (při delegacích Unie)</w:t>
            </w: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AL</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VNO</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ZAP</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MOD</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21"/>
        </w:trPr>
        <w:tc>
          <w:tcPr>
            <w:tcW w:w="3342" w:type="dxa"/>
            <w:tcBorders>
              <w:bottom w:val="single" w:sz="12" w:space="0" w:color="auto"/>
            </w:tcBorders>
            <w:shd w:val="pct10" w:color="CCFFFF" w:fill="auto"/>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noProof/>
                <w:sz w:val="20"/>
              </w:rPr>
              <w:t>Jiné rozp</w:t>
            </w:r>
            <w:r>
              <w:rPr>
                <w:rFonts w:ascii="Arial Narrow" w:hAnsi="Arial Narrow"/>
                <w:noProof/>
                <w:sz w:val="20"/>
              </w:rPr>
              <w:t>očtové položky (upřesněte)</w:t>
            </w:r>
          </w:p>
        </w:tc>
        <w:tc>
          <w:tcPr>
            <w:tcW w:w="618" w:type="dxa"/>
            <w:tcBorders>
              <w:bottom w:val="single" w:sz="12" w:space="0" w:color="auto"/>
            </w:tcBorders>
            <w:shd w:val="pct10" w:color="CCFFFF" w:fill="auto"/>
            <w:vAlign w:val="center"/>
          </w:tcPr>
          <w:p w:rsidR="00FC6891" w:rsidRDefault="00FC6891">
            <w:pPr>
              <w:jc w:val="center"/>
              <w:rPr>
                <w:rFonts w:ascii="Arial Narrow" w:hAnsi="Arial Narrow"/>
                <w:noProof/>
                <w:sz w:val="18"/>
                <w:szCs w:val="18"/>
              </w:rPr>
            </w:pPr>
          </w:p>
        </w:tc>
        <w:tc>
          <w:tcPr>
            <w:tcW w:w="666" w:type="dxa"/>
            <w:tcBorders>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tcBorders>
              <w:top w:val="single" w:sz="12" w:space="0" w:color="auto"/>
              <w:left w:val="single" w:sz="12" w:space="0" w:color="auto"/>
              <w:bottom w:val="single" w:sz="12" w:space="0" w:color="auto"/>
            </w:tcBorders>
            <w:shd w:val="pct10" w:color="CCFFFF" w:fill="auto"/>
            <w:vAlign w:val="center"/>
          </w:tcPr>
          <w:p w:rsidR="00FC6891" w:rsidRDefault="005F1CD3">
            <w:pPr>
              <w:pStyle w:val="Text1"/>
              <w:spacing w:before="60" w:after="60"/>
              <w:ind w:left="0"/>
              <w:jc w:val="center"/>
              <w:rPr>
                <w:rFonts w:ascii="Arial Narrow" w:hAnsi="Arial Narrow"/>
                <w:b/>
                <w:noProof/>
              </w:rPr>
            </w:pPr>
            <w:r>
              <w:rPr>
                <w:rFonts w:ascii="Arial Narrow" w:hAnsi="Arial Narrow"/>
                <w:b/>
                <w:noProof/>
                <w:sz w:val="22"/>
              </w:rPr>
              <w:t>Mezisoučet – OKRUH 5</w:t>
            </w:r>
            <w:r>
              <w:rPr>
                <w:noProof/>
              </w:rPr>
              <w:br/>
            </w:r>
            <w:r>
              <w:rPr>
                <w:rFonts w:ascii="Arial Narrow" w:hAnsi="Arial Narrow"/>
                <w:noProof/>
                <w:sz w:val="22"/>
              </w:rPr>
              <w:t>víceletého finančního rámce</w:t>
            </w:r>
          </w:p>
        </w:tc>
        <w:tc>
          <w:tcPr>
            <w:tcW w:w="618"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FC6891" w:rsidRDefault="00FC6891">
            <w:pPr>
              <w:jc w:val="center"/>
              <w:rPr>
                <w:rFonts w:ascii="Arial Narrow" w:hAnsi="Arial Narrow"/>
                <w:noProof/>
                <w:sz w:val="20"/>
                <w:szCs w:val="20"/>
              </w:rPr>
            </w:pPr>
          </w:p>
          <w:p w:rsidR="00FC6891" w:rsidRDefault="005F1CD3">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FC6891" w:rsidRDefault="00FC6891">
            <w:pPr>
              <w:jc w:val="center"/>
              <w:rPr>
                <w:rFonts w:ascii="Arial Narrow" w:hAnsi="Arial Narrow"/>
                <w:noProof/>
                <w:sz w:val="20"/>
                <w:szCs w:val="20"/>
              </w:rPr>
            </w:pPr>
          </w:p>
          <w:p w:rsidR="00FC6891" w:rsidRDefault="005F1CD3">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FC6891" w:rsidRDefault="00FC6891">
            <w:pPr>
              <w:jc w:val="center"/>
              <w:rPr>
                <w:rFonts w:ascii="Arial Narrow" w:hAnsi="Arial Narrow"/>
                <w:noProof/>
                <w:sz w:val="20"/>
                <w:szCs w:val="20"/>
              </w:rPr>
            </w:pPr>
          </w:p>
          <w:p w:rsidR="00FC6891" w:rsidRDefault="005F1CD3">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FC6891" w:rsidRDefault="00FC6891">
            <w:pPr>
              <w:jc w:val="center"/>
              <w:rPr>
                <w:rFonts w:ascii="Arial Narrow" w:hAnsi="Arial Narrow"/>
                <w:noProof/>
                <w:sz w:val="20"/>
                <w:szCs w:val="20"/>
              </w:rPr>
            </w:pPr>
          </w:p>
          <w:p w:rsidR="00FC6891" w:rsidRDefault="005F1CD3">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FC6891" w:rsidRDefault="00FC6891">
            <w:pPr>
              <w:jc w:val="center"/>
              <w:rPr>
                <w:rFonts w:ascii="Arial Narrow" w:hAnsi="Arial Narrow"/>
                <w:noProof/>
                <w:sz w:val="20"/>
                <w:szCs w:val="20"/>
              </w:rPr>
            </w:pPr>
          </w:p>
          <w:p w:rsidR="00FC6891" w:rsidRDefault="005F1CD3">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FC6891" w:rsidRDefault="005F1CD3">
            <w:pPr>
              <w:jc w:val="center"/>
              <w:rPr>
                <w:rFonts w:ascii="Arial Narrow" w:hAnsi="Arial Narrow"/>
                <w:noProof/>
                <w:sz w:val="20"/>
                <w:szCs w:val="20"/>
              </w:rPr>
            </w:pPr>
            <w:r>
              <w:rPr>
                <w:rFonts w:ascii="Arial Narrow" w:hAnsi="Arial Narrow"/>
                <w:noProof/>
                <w:sz w:val="20"/>
              </w:rPr>
              <w:t>0,816</w:t>
            </w:r>
          </w:p>
        </w:tc>
      </w:tr>
    </w:tbl>
    <w:p w:rsidR="00FC6891" w:rsidRDefault="005F1CD3">
      <w:pPr>
        <w:rPr>
          <w:noProof/>
          <w:sz w:val="20"/>
          <w:szCs w:val="20"/>
        </w:rPr>
      </w:pPr>
      <w:r>
        <w:rPr>
          <w:b/>
          <w:noProof/>
          <w:color w:val="0000FF"/>
          <w:sz w:val="20"/>
        </w:rPr>
        <w:t>XX</w:t>
      </w:r>
      <w:r>
        <w:rPr>
          <w:noProof/>
          <w:sz w:val="20"/>
        </w:rPr>
        <w:t xml:space="preserve">  je oblast politiky nebo dotčená hlava rozpočtu.</w:t>
      </w:r>
    </w:p>
    <w:p w:rsidR="00FC6891" w:rsidRDefault="00FC6891">
      <w:pPr>
        <w:rPr>
          <w:iCs/>
          <w:noProof/>
          <w:sz w:val="20"/>
          <w:szCs w:val="20"/>
        </w:rPr>
      </w:pPr>
    </w:p>
    <w:p w:rsidR="00FC6891" w:rsidRDefault="005F1CD3">
      <w:pPr>
        <w:pStyle w:val="Text1"/>
        <w:spacing w:before="0" w:after="0"/>
        <w:ind w:left="-540" w:right="-694"/>
        <w:rPr>
          <w:rFonts w:ascii="Arial Narrow" w:hAnsi="Arial Narrow"/>
          <w:iCs/>
          <w:noProof/>
          <w:sz w:val="6"/>
          <w:szCs w:val="6"/>
        </w:rPr>
      </w:pPr>
      <w:r>
        <w:rPr>
          <w:noProof/>
          <w:sz w:val="18"/>
        </w:rPr>
        <w:t xml:space="preserve">Potřeby v oblasti lidských zdrojů budou pokryty ze zdrojů GŘ, které jsou již vyčleněny na řízení akce </w:t>
      </w:r>
      <w:r>
        <w:rPr>
          <w:noProof/>
          <w:sz w:val="18"/>
        </w:rPr>
        <w:t>a/nebo byly vnitřně přeobsazeny v rámci GŘ, a případně doplněny z dodatečného přídělu, který lze řídícímu GŘ poskytnout v rámci ročního přidělování a s ohledem na rozpočtová omezení.</w:t>
      </w:r>
      <w:r>
        <w:rPr>
          <w:noProof/>
        </w:rPr>
        <w:tab/>
      </w:r>
      <w:r>
        <w:rPr>
          <w:noProof/>
        </w:rPr>
        <w:br w:type="page"/>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0"/>
        <w:gridCol w:w="1362"/>
        <w:gridCol w:w="618"/>
        <w:gridCol w:w="666"/>
        <w:gridCol w:w="1077"/>
        <w:gridCol w:w="667"/>
        <w:gridCol w:w="1077"/>
        <w:gridCol w:w="667"/>
        <w:gridCol w:w="1077"/>
        <w:gridCol w:w="667"/>
        <w:gridCol w:w="1077"/>
        <w:gridCol w:w="667"/>
        <w:gridCol w:w="1077"/>
        <w:gridCol w:w="667"/>
        <w:gridCol w:w="1077"/>
      </w:tblGrid>
      <w:tr w:rsidR="00FC6891">
        <w:trPr>
          <w:trHeight w:val="289"/>
        </w:trPr>
        <w:tc>
          <w:tcPr>
            <w:tcW w:w="3960" w:type="dxa"/>
            <w:gridSpan w:val="3"/>
            <w:vMerge w:val="restart"/>
            <w:shd w:val="pct50" w:color="C0C0C0" w:fill="auto"/>
            <w:vAlign w:val="center"/>
          </w:tcPr>
          <w:p w:rsidR="00FC6891" w:rsidRDefault="005F1CD3">
            <w:pPr>
              <w:jc w:val="center"/>
              <w:rPr>
                <w:rFonts w:ascii="Arial Narrow" w:hAnsi="Arial Narrow"/>
                <w:noProof/>
                <w:sz w:val="16"/>
                <w:szCs w:val="16"/>
              </w:rPr>
            </w:pPr>
            <w:r>
              <w:rPr>
                <w:rFonts w:ascii="Arial Narrow" w:hAnsi="Arial Narrow"/>
                <w:b/>
                <w:noProof/>
                <w:sz w:val="22"/>
              </w:rPr>
              <w:t>Mimo OKRUH 5</w:t>
            </w:r>
            <w:r>
              <w:rPr>
                <w:noProof/>
              </w:rPr>
              <w:br/>
            </w:r>
            <w:r>
              <w:rPr>
                <w:rFonts w:ascii="Arial Narrow" w:hAnsi="Arial Narrow"/>
                <w:noProof/>
                <w:sz w:val="22"/>
              </w:rPr>
              <w:t>víceletého finančního rámce</w:t>
            </w:r>
          </w:p>
        </w:tc>
        <w:tc>
          <w:tcPr>
            <w:tcW w:w="1743" w:type="dxa"/>
            <w:gridSpan w:val="2"/>
            <w:shd w:val="pct10" w:color="CCFFFF" w:fill="auto"/>
            <w:vAlign w:val="center"/>
          </w:tcPr>
          <w:p w:rsidR="00FC6891" w:rsidRDefault="005F1CD3">
            <w:pPr>
              <w:jc w:val="center"/>
              <w:rPr>
                <w:rFonts w:ascii="Arial Narrow" w:hAnsi="Arial Narrow"/>
                <w:noProof/>
                <w:sz w:val="16"/>
                <w:szCs w:val="16"/>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color w:val="0000FF"/>
                <w:sz w:val="16"/>
              </w:rPr>
              <w:t>... vložit</w:t>
            </w:r>
            <w:r>
              <w:rPr>
                <w:rFonts w:ascii="Arial Narrow" w:hAnsi="Arial Narrow"/>
                <w:noProof/>
                <w:color w:val="0000FF"/>
                <w:sz w:val="16"/>
              </w:rPr>
              <w:t xml:space="preserve"> počet let podle trvání finančního dopadu (viz bod 1.6)</w:t>
            </w:r>
          </w:p>
        </w:tc>
        <w:tc>
          <w:tcPr>
            <w:tcW w:w="1744" w:type="dxa"/>
            <w:gridSpan w:val="2"/>
            <w:tcBorders>
              <w:right w:val="single" w:sz="6" w:space="0" w:color="auto"/>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20"/>
              </w:rPr>
              <w:t>CELKEM</w:t>
            </w:r>
          </w:p>
        </w:tc>
      </w:tr>
      <w:tr w:rsidR="00FC6891">
        <w:trPr>
          <w:trHeight w:val="289"/>
        </w:trPr>
        <w:tc>
          <w:tcPr>
            <w:tcW w:w="3960" w:type="dxa"/>
            <w:gridSpan w:val="3"/>
            <w:vMerge/>
            <w:shd w:val="pct50" w:color="C0C0C0" w:fill="auto"/>
            <w:vAlign w:val="center"/>
          </w:tcPr>
          <w:p w:rsidR="00FC6891" w:rsidRDefault="00FC6891">
            <w:pPr>
              <w:jc w:val="center"/>
              <w:rPr>
                <w:rFonts w:ascii="Arial Narrow" w:hAnsi="Arial Narrow"/>
                <w:noProof/>
                <w:sz w:val="16"/>
                <w:szCs w:val="16"/>
              </w:rPr>
            </w:pPr>
          </w:p>
        </w:tc>
        <w:tc>
          <w:tcPr>
            <w:tcW w:w="666" w:type="dxa"/>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Prostředky</w:t>
            </w:r>
          </w:p>
        </w:tc>
        <w:tc>
          <w:tcPr>
            <w:tcW w:w="66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Prostředky</w:t>
            </w:r>
          </w:p>
        </w:tc>
        <w:tc>
          <w:tcPr>
            <w:tcW w:w="66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Prostředky</w:t>
            </w:r>
          </w:p>
        </w:tc>
        <w:tc>
          <w:tcPr>
            <w:tcW w:w="66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Prostředky</w:t>
            </w:r>
          </w:p>
        </w:tc>
        <w:tc>
          <w:tcPr>
            <w:tcW w:w="66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Prostředky</w:t>
            </w:r>
          </w:p>
        </w:tc>
        <w:tc>
          <w:tcPr>
            <w:tcW w:w="667" w:type="dxa"/>
            <w:tcBorders>
              <w:right w:val="nil"/>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FTE</w:t>
            </w:r>
          </w:p>
        </w:tc>
        <w:tc>
          <w:tcPr>
            <w:tcW w:w="1077" w:type="dxa"/>
            <w:tcBorders>
              <w:right w:val="single" w:sz="6" w:space="0" w:color="auto"/>
            </w:tcBorders>
            <w:shd w:val="pct10" w:color="CCFFFF" w:fill="auto"/>
            <w:vAlign w:val="center"/>
          </w:tcPr>
          <w:p w:rsidR="00FC6891" w:rsidRDefault="005F1CD3">
            <w:pPr>
              <w:jc w:val="center"/>
              <w:rPr>
                <w:rFonts w:ascii="Arial Narrow" w:hAnsi="Arial Narrow"/>
                <w:noProof/>
                <w:sz w:val="16"/>
                <w:szCs w:val="16"/>
              </w:rPr>
            </w:pPr>
            <w:r>
              <w:rPr>
                <w:rFonts w:ascii="Arial Narrow" w:hAnsi="Arial Narrow"/>
                <w:noProof/>
                <w:sz w:val="16"/>
              </w:rPr>
              <w:t>Prostředky</w:t>
            </w:r>
          </w:p>
        </w:tc>
      </w:tr>
      <w:tr w:rsidR="00FC6891">
        <w:trPr>
          <w:trHeight w:val="289"/>
        </w:trPr>
        <w:tc>
          <w:tcPr>
            <w:tcW w:w="14423" w:type="dxa"/>
            <w:gridSpan w:val="15"/>
            <w:shd w:val="pct10" w:color="CCFFFF" w:fill="CCFFCC"/>
            <w:vAlign w:val="center"/>
          </w:tcPr>
          <w:p w:rsidR="00FC6891" w:rsidRDefault="005F1CD3">
            <w:pPr>
              <w:spacing w:before="20" w:after="2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2"/>
              </w:rPr>
              <w:t xml:space="preserve"> Pracovní místa podle plánu pracovních míst (místa úředníků a dočasných zaměstnanců)</w:t>
            </w:r>
          </w:p>
        </w:tc>
      </w:tr>
      <w:tr w:rsidR="00FC6891">
        <w:trPr>
          <w:trHeight w:val="289"/>
        </w:trPr>
        <w:tc>
          <w:tcPr>
            <w:tcW w:w="3342" w:type="dxa"/>
            <w:gridSpan w:val="2"/>
            <w:vMerge w:val="restart"/>
            <w:shd w:val="pct10" w:color="CCFFFF" w:fill="auto"/>
            <w:vAlign w:val="center"/>
          </w:tcPr>
          <w:p w:rsidR="00FC6891" w:rsidRDefault="005F1CD3">
            <w:pPr>
              <w:pStyle w:val="Text1"/>
              <w:spacing w:before="60" w:after="60"/>
              <w:ind w:left="252"/>
              <w:jc w:val="left"/>
              <w:rPr>
                <w:rFonts w:ascii="Arial Narrow" w:hAnsi="Arial Narrow"/>
                <w:noProof/>
                <w:sz w:val="20"/>
                <w:szCs w:val="20"/>
              </w:rPr>
            </w:pPr>
            <w:r>
              <w:rPr>
                <w:rFonts w:ascii="Arial Narrow" w:hAnsi="Arial Narrow"/>
                <w:noProof/>
                <w:sz w:val="20"/>
              </w:rPr>
              <w:t xml:space="preserve">10 01 05 02 </w:t>
            </w:r>
            <w:r>
              <w:rPr>
                <w:rFonts w:ascii="Arial Narrow" w:hAnsi="Arial Narrow"/>
                <w:noProof/>
                <w:sz w:val="20"/>
              </w:rPr>
              <w:t>(v přímém výzkumu)</w:t>
            </w: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gridSpan w:val="2"/>
            <w:vMerge/>
            <w:tcBorders>
              <w:bottom w:val="single" w:sz="6" w:space="0" w:color="auto"/>
            </w:tcBorders>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gridSpan w:val="2"/>
            <w:vMerge w:val="restart"/>
            <w:shd w:val="pct10" w:color="CCFFFF" w:fill="auto"/>
            <w:vAlign w:val="center"/>
          </w:tcPr>
          <w:p w:rsidR="00FC6891" w:rsidRDefault="005F1CD3">
            <w:pPr>
              <w:pStyle w:val="Text1"/>
              <w:spacing w:before="60" w:after="60"/>
              <w:ind w:left="252"/>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01 (v nepřímém výzkumu)</w:t>
            </w: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gridSpan w:val="2"/>
            <w:vMerge/>
            <w:tcBorders>
              <w:bottom w:val="single" w:sz="6" w:space="0" w:color="auto"/>
            </w:tcBorders>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6"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14423" w:type="dxa"/>
            <w:gridSpan w:val="15"/>
            <w:shd w:val="pct10" w:color="CCFFFF" w:fill="FFFF99"/>
            <w:vAlign w:val="center"/>
          </w:tcPr>
          <w:p w:rsidR="00FC6891" w:rsidRDefault="005F1CD3">
            <w:pPr>
              <w:spacing w:before="20" w:after="2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Externí zaměstnanci</w:t>
            </w:r>
            <w:r>
              <w:rPr>
                <w:rStyle w:val="FootnoteReference"/>
              </w:rPr>
              <w:footnoteReference w:id="28"/>
            </w:r>
          </w:p>
        </w:tc>
      </w:tr>
      <w:tr w:rsidR="00FC6891">
        <w:trPr>
          <w:trHeight w:val="289"/>
        </w:trPr>
        <w:tc>
          <w:tcPr>
            <w:tcW w:w="1980" w:type="dxa"/>
            <w:vMerge w:val="restart"/>
            <w:shd w:val="pct10" w:color="CCFFFF" w:fill="auto"/>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01 04 </w:t>
            </w:r>
            <w:r>
              <w:rPr>
                <w:rFonts w:ascii="Arial Narrow" w:hAnsi="Arial Narrow"/>
                <w:b/>
                <w:i/>
                <w:noProof/>
                <w:color w:val="0000FF"/>
                <w:sz w:val="20"/>
              </w:rPr>
              <w:t>01</w:t>
            </w:r>
            <w:r>
              <w:rPr>
                <w:rFonts w:ascii="Arial Narrow" w:hAnsi="Arial Narrow"/>
                <w:noProof/>
                <w:sz w:val="20"/>
              </w:rPr>
              <w:t xml:space="preserve"> </w:t>
            </w:r>
            <w:r>
              <w:rPr>
                <w:noProof/>
              </w:rPr>
              <w:br/>
            </w:r>
            <w:r>
              <w:rPr>
                <w:rFonts w:ascii="Arial Narrow" w:hAnsi="Arial Narrow"/>
                <w:noProof/>
                <w:sz w:val="20"/>
              </w:rPr>
              <w:t>Dílčí strop na externí zaměstnance financované z operačních prostředků (bývalé položky „BA“).</w:t>
            </w:r>
          </w:p>
        </w:tc>
        <w:tc>
          <w:tcPr>
            <w:tcW w:w="1362" w:type="dxa"/>
            <w:vMerge w:val="restart"/>
            <w:shd w:val="pct10" w:color="CCFFFF" w:fill="auto"/>
            <w:vAlign w:val="center"/>
          </w:tcPr>
          <w:p w:rsidR="00FC6891" w:rsidRDefault="005F1CD3">
            <w:pPr>
              <w:pStyle w:val="Text1"/>
              <w:spacing w:before="60" w:after="60"/>
              <w:ind w:left="72"/>
              <w:jc w:val="left"/>
              <w:rPr>
                <w:rFonts w:ascii="Arial Narrow" w:hAnsi="Arial Narrow"/>
                <w:noProof/>
                <w:sz w:val="20"/>
                <w:szCs w:val="20"/>
              </w:rPr>
            </w:pPr>
            <w:r>
              <w:rPr>
                <w:rFonts w:ascii="Arial Narrow" w:hAnsi="Arial Narrow"/>
                <w:noProof/>
                <w:sz w:val="20"/>
              </w:rPr>
              <w:t>- v ústředí:</w:t>
            </w: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SZ</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1980"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VNO</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1980"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ZAP</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1980"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1362" w:type="dxa"/>
            <w:vMerge w:val="restart"/>
            <w:shd w:val="pct10" w:color="CCFFFF" w:fill="auto"/>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noProof/>
                <w:sz w:val="20"/>
              </w:rPr>
              <w:t>- při delegacích Unie</w:t>
            </w: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SZ</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1980"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MZ</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1980"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VNO</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1980"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ZAP</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1980"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MOD</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gridSpan w:val="2"/>
            <w:vMerge w:val="restart"/>
            <w:shd w:val="pct10" w:color="CCFFFF" w:fill="auto"/>
            <w:vAlign w:val="center"/>
          </w:tcPr>
          <w:p w:rsidR="00FC6891" w:rsidRDefault="005F1CD3">
            <w:pPr>
              <w:pStyle w:val="Text1"/>
              <w:spacing w:before="60" w:after="6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i/>
                <w:noProof/>
                <w:sz w:val="20"/>
              </w:rPr>
              <w:t xml:space="preserve"> </w:t>
            </w:r>
            <w:r>
              <w:rPr>
                <w:rFonts w:ascii="Arial Narrow" w:hAnsi="Arial Narrow"/>
                <w:noProof/>
                <w:sz w:val="20"/>
              </w:rPr>
              <w:t>01 05 02 (v nepřímém výzkumu)</w:t>
            </w: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SZ</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gridSpan w:val="2"/>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VNO</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gridSpan w:val="2"/>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ZAP</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gridSpan w:val="2"/>
            <w:vMerge w:val="restart"/>
            <w:shd w:val="pct10" w:color="CCFFFF" w:fill="auto"/>
            <w:vAlign w:val="center"/>
          </w:tcPr>
          <w:p w:rsidR="00FC6891" w:rsidRDefault="005F1CD3">
            <w:pPr>
              <w:pStyle w:val="Text1"/>
              <w:spacing w:before="60" w:after="60"/>
              <w:ind w:left="0"/>
              <w:jc w:val="left"/>
              <w:rPr>
                <w:rFonts w:ascii="Arial Narrow" w:hAnsi="Arial Narrow"/>
                <w:noProof/>
                <w:sz w:val="20"/>
                <w:szCs w:val="20"/>
              </w:rPr>
            </w:pPr>
            <w:r>
              <w:rPr>
                <w:rFonts w:ascii="Arial Narrow" w:hAnsi="Arial Narrow"/>
                <w:noProof/>
                <w:sz w:val="20"/>
              </w:rPr>
              <w:t>10 01 05 02 (v přímém výzkumu)</w:t>
            </w: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SZ</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gridSpan w:val="2"/>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VNO</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gridSpan w:val="2"/>
            <w:vMerge/>
            <w:shd w:val="pct10" w:color="CCFFFF" w:fill="auto"/>
            <w:vAlign w:val="center"/>
          </w:tcPr>
          <w:p w:rsidR="00FC6891" w:rsidRDefault="00FC6891">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FC6891" w:rsidRDefault="005F1CD3">
            <w:pPr>
              <w:jc w:val="center"/>
              <w:rPr>
                <w:rFonts w:ascii="Arial Narrow" w:hAnsi="Arial Narrow"/>
                <w:noProof/>
                <w:sz w:val="18"/>
                <w:szCs w:val="18"/>
              </w:rPr>
            </w:pPr>
            <w:r>
              <w:rPr>
                <w:rFonts w:ascii="Arial Narrow" w:hAnsi="Arial Narrow"/>
                <w:noProof/>
                <w:sz w:val="18"/>
              </w:rPr>
              <w:t>ZAP</w:t>
            </w:r>
          </w:p>
        </w:tc>
        <w:tc>
          <w:tcPr>
            <w:tcW w:w="666"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c>
          <w:tcPr>
            <w:tcW w:w="667" w:type="dxa"/>
            <w:shd w:val="pct10" w:color="CCFFFF" w:fill="auto"/>
          </w:tcPr>
          <w:p w:rsidR="00FC6891" w:rsidRDefault="00FC6891">
            <w:pPr>
              <w:jc w:val="center"/>
              <w:rPr>
                <w:rFonts w:ascii="Arial Narrow" w:hAnsi="Arial Narrow"/>
                <w:noProof/>
                <w:sz w:val="20"/>
                <w:szCs w:val="20"/>
              </w:rPr>
            </w:pPr>
          </w:p>
        </w:tc>
        <w:tc>
          <w:tcPr>
            <w:tcW w:w="1077" w:type="dxa"/>
            <w:shd w:val="pct10" w:color="CCFFFF" w:fill="auto"/>
            <w:vAlign w:val="center"/>
          </w:tcPr>
          <w:p w:rsidR="00FC6891" w:rsidRDefault="00FC6891">
            <w:pPr>
              <w:jc w:val="center"/>
              <w:rPr>
                <w:rFonts w:ascii="Arial Narrow" w:hAnsi="Arial Narrow"/>
                <w:noProof/>
                <w:sz w:val="20"/>
                <w:szCs w:val="20"/>
              </w:rPr>
            </w:pPr>
          </w:p>
        </w:tc>
      </w:tr>
      <w:tr w:rsidR="00FC6891">
        <w:trPr>
          <w:trHeight w:val="221"/>
        </w:trPr>
        <w:tc>
          <w:tcPr>
            <w:tcW w:w="3342" w:type="dxa"/>
            <w:gridSpan w:val="2"/>
            <w:tcBorders>
              <w:bottom w:val="single" w:sz="12" w:space="0" w:color="auto"/>
            </w:tcBorders>
            <w:shd w:val="pct10" w:color="CCFFFF" w:fill="auto"/>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noProof/>
                <w:sz w:val="20"/>
              </w:rPr>
              <w:t>Jiné rozpočtové položky (upřesněte)</w:t>
            </w:r>
          </w:p>
        </w:tc>
        <w:tc>
          <w:tcPr>
            <w:tcW w:w="618" w:type="dxa"/>
            <w:tcBorders>
              <w:bottom w:val="single" w:sz="12" w:space="0" w:color="auto"/>
            </w:tcBorders>
            <w:shd w:val="pct10" w:color="CCFFFF" w:fill="auto"/>
            <w:vAlign w:val="center"/>
          </w:tcPr>
          <w:p w:rsidR="00FC6891" w:rsidRDefault="00FC6891">
            <w:pPr>
              <w:jc w:val="center"/>
              <w:rPr>
                <w:rFonts w:ascii="Arial Narrow" w:hAnsi="Arial Narrow"/>
                <w:noProof/>
                <w:sz w:val="18"/>
                <w:szCs w:val="18"/>
              </w:rPr>
            </w:pPr>
          </w:p>
        </w:tc>
        <w:tc>
          <w:tcPr>
            <w:tcW w:w="666" w:type="dxa"/>
            <w:tcBorders>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FC6891" w:rsidRDefault="005F1CD3">
            <w:pPr>
              <w:pStyle w:val="Text1"/>
              <w:spacing w:before="0" w:after="0"/>
              <w:ind w:left="0"/>
              <w:jc w:val="center"/>
              <w:rPr>
                <w:rFonts w:ascii="Arial Narrow" w:hAnsi="Arial Narrow"/>
                <w:b/>
                <w:noProof/>
              </w:rPr>
            </w:pPr>
            <w:r>
              <w:rPr>
                <w:b/>
                <w:noProof/>
              </w:rPr>
              <w:t>Mezisoučet – mimo OKRUH 5</w:t>
            </w:r>
            <w:r>
              <w:rPr>
                <w:noProof/>
              </w:rPr>
              <w:br/>
            </w:r>
            <w:r>
              <w:rPr>
                <w:rFonts w:ascii="Arial Narrow" w:hAnsi="Arial Narrow"/>
                <w:noProof/>
                <w:sz w:val="22"/>
              </w:rPr>
              <w:t>víceletého finančního rámce</w:t>
            </w:r>
          </w:p>
        </w:tc>
        <w:tc>
          <w:tcPr>
            <w:tcW w:w="618"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FC6891" w:rsidRDefault="00FC6891">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r>
      <w:tr w:rsidR="00FC6891">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FC6891" w:rsidRDefault="005F1CD3">
            <w:pPr>
              <w:pStyle w:val="Text1"/>
              <w:ind w:left="0"/>
              <w:jc w:val="center"/>
              <w:rPr>
                <w:rFonts w:ascii="Arial Narrow" w:hAnsi="Arial Narrow"/>
                <w:b/>
                <w:noProof/>
                <w:sz w:val="22"/>
              </w:rPr>
            </w:pPr>
            <w:r>
              <w:rPr>
                <w:rFonts w:ascii="Arial Narrow" w:hAnsi="Arial Narrow"/>
                <w:b/>
                <w:noProof/>
                <w:color w:val="0000FF"/>
                <w:sz w:val="20"/>
              </w:rPr>
              <w:t>09</w:t>
            </w:r>
            <w:r>
              <w:rPr>
                <w:noProof/>
              </w:rPr>
              <w:t xml:space="preserve"> </w:t>
            </w:r>
            <w:r>
              <w:rPr>
                <w:rFonts w:ascii="Arial Narrow" w:hAnsi="Arial Narrow"/>
                <w:noProof/>
                <w:sz w:val="20"/>
              </w:rPr>
              <w:t>je oblast politiky nebo dottčená hlava rozpočtu.</w:t>
            </w:r>
            <w:r>
              <w:rPr>
                <w:rFonts w:ascii="Arial Narrow" w:hAnsi="Arial Narrow"/>
                <w:b/>
                <w:noProof/>
                <w:sz w:val="22"/>
              </w:rPr>
              <w:t>CELKEM</w:t>
            </w:r>
          </w:p>
        </w:tc>
        <w:tc>
          <w:tcPr>
            <w:tcW w:w="618"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FC6891" w:rsidRDefault="00FC6891">
            <w:pPr>
              <w:jc w:val="center"/>
              <w:rPr>
                <w:rFonts w:ascii="Arial Narrow" w:hAnsi="Arial Narrow"/>
                <w:noProof/>
                <w:sz w:val="20"/>
                <w:szCs w:val="20"/>
              </w:rPr>
            </w:pPr>
          </w:p>
        </w:tc>
      </w:tr>
    </w:tbl>
    <w:p w:rsidR="00FC6891" w:rsidRDefault="005F1CD3">
      <w:pPr>
        <w:keepNext/>
        <w:rPr>
          <w:noProof/>
          <w:sz w:val="28"/>
          <w:szCs w:val="28"/>
          <w:u w:val="single"/>
        </w:rPr>
      </w:pPr>
      <w:r>
        <w:rPr>
          <w:noProof/>
          <w:sz w:val="18"/>
        </w:rPr>
        <w:t xml:space="preserve">Potřeby v oblasti lidských zdrojů budou pokryty ze zdrojů GŘ, které jsou již vyčleněny na řízení akce a/nebo byly vnitřně přeobsazeny v rámci GŘ, a případně doplněny z dodatečného </w:t>
      </w:r>
      <w:r>
        <w:rPr>
          <w:noProof/>
          <w:sz w:val="18"/>
        </w:rPr>
        <w:t>přídělu, který lze řídícímu GŘ poskytnout v rámci ročního přidělování a s ohledem na rozpočtová omezení.</w:t>
      </w:r>
    </w:p>
    <w:p w:rsidR="00FC6891" w:rsidRDefault="00FC6891">
      <w:pPr>
        <w:keepNext/>
        <w:spacing w:after="60"/>
        <w:ind w:left="540"/>
        <w:rPr>
          <w:noProof/>
        </w:rPr>
        <w:sectPr w:rsidR="00FC6891" w:rsidSect="005F1CD3">
          <w:headerReference w:type="default" r:id="rId22"/>
          <w:footerReference w:type="default" r:id="rId23"/>
          <w:headerReference w:type="first" r:id="rId24"/>
          <w:footerReference w:type="first" r:id="rId25"/>
          <w:pgSz w:w="15840" w:h="12240" w:orient="landscape" w:code="1"/>
          <w:pgMar w:top="624" w:right="902" w:bottom="624" w:left="1191" w:header="709" w:footer="567" w:gutter="0"/>
          <w:cols w:space="708"/>
          <w:docGrid w:linePitch="360"/>
        </w:sectPr>
      </w:pPr>
    </w:p>
    <w:p w:rsidR="00FC6891" w:rsidRDefault="005F1CD3">
      <w:pPr>
        <w:pStyle w:val="ManualHeading1"/>
        <w:rPr>
          <w:noProof/>
        </w:rPr>
      </w:pPr>
      <w:r>
        <w:t>2.</w:t>
      </w:r>
      <w:r>
        <w:tab/>
      </w:r>
      <w:r>
        <w:rPr>
          <w:noProof/>
        </w:rPr>
        <w:t>Výše jiných výdajů správní povahy</w:t>
      </w:r>
    </w:p>
    <w:p w:rsidR="00FC6891" w:rsidRDefault="005F1CD3">
      <w:pPr>
        <w:pStyle w:val="Point1"/>
        <w:spacing w:after="0"/>
        <w:ind w:left="2263" w:hanging="284"/>
        <w:rPr>
          <w:noProof/>
        </w:rPr>
      </w:pPr>
      <w:r>
        <w:rPr>
          <w:noProof/>
        </w:rPr>
        <w:sym w:font="Wingdings" w:char="F0A8"/>
      </w:r>
      <w:r>
        <w:rPr>
          <w:noProof/>
        </w:rPr>
        <w:t>Návrh/podnět nevyžaduje využití prostředků správní povahy.</w:t>
      </w:r>
    </w:p>
    <w:p w:rsidR="00FC6891" w:rsidRDefault="005F1CD3">
      <w:pPr>
        <w:pStyle w:val="Text1"/>
        <w:spacing w:before="0" w:after="0"/>
        <w:ind w:left="2263" w:hanging="284"/>
        <w:rPr>
          <w:noProof/>
        </w:rPr>
      </w:pPr>
      <w:r>
        <w:rPr>
          <w:noProof/>
        </w:rPr>
        <w:t>x</w:t>
      </w:r>
      <w:r>
        <w:rPr>
          <w:noProof/>
        </w:rPr>
        <w:tab/>
        <w:t>Návrh/podnět vyžaduje využití prostředků správní povahy, jak je vysvětleno dále:</w:t>
      </w:r>
    </w:p>
    <w:p w:rsidR="00FC6891" w:rsidRDefault="00FC6891">
      <w:pPr>
        <w:tabs>
          <w:tab w:val="left" w:pos="870"/>
        </w:tabs>
        <w:rPr>
          <w:noProof/>
          <w:sz w:val="16"/>
          <w:szCs w:val="16"/>
        </w:rPr>
      </w:pPr>
    </w:p>
    <w:p w:rsidR="00FC6891" w:rsidRDefault="005F1CD3">
      <w:pPr>
        <w:jc w:val="right"/>
        <w:rPr>
          <w:noProof/>
          <w:sz w:val="20"/>
          <w:szCs w:val="20"/>
        </w:rPr>
      </w:pPr>
      <w:r>
        <w:rPr>
          <w:i/>
          <w:noProof/>
          <w:sz w:val="20"/>
        </w:rPr>
        <w:t>v milionech EUR (zaokrouhleno na tři desetinná místa)</w:t>
      </w:r>
    </w:p>
    <w:tbl>
      <w:tblPr>
        <w:tblW w:w="14973"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06"/>
        <w:gridCol w:w="1186"/>
        <w:gridCol w:w="1185"/>
        <w:gridCol w:w="1185"/>
        <w:gridCol w:w="1185"/>
        <w:gridCol w:w="1185"/>
        <w:gridCol w:w="1185"/>
        <w:gridCol w:w="1185"/>
        <w:gridCol w:w="1371"/>
      </w:tblGrid>
      <w:tr w:rsidR="00FC6891">
        <w:trPr>
          <w:trHeight w:val="289"/>
          <w:jc w:val="center"/>
        </w:trPr>
        <w:tc>
          <w:tcPr>
            <w:tcW w:w="5306" w:type="dxa"/>
          </w:tcPr>
          <w:p w:rsidR="00FC6891" w:rsidRDefault="00FC6891">
            <w:pPr>
              <w:pStyle w:val="Text1"/>
              <w:spacing w:before="40" w:after="40"/>
              <w:ind w:left="0"/>
              <w:jc w:val="center"/>
              <w:rPr>
                <w:i/>
                <w:noProof/>
                <w:sz w:val="20"/>
                <w:szCs w:val="20"/>
              </w:rPr>
            </w:pPr>
          </w:p>
        </w:tc>
        <w:tc>
          <w:tcPr>
            <w:tcW w:w="1186" w:type="dxa"/>
            <w:vAlign w:val="center"/>
          </w:tcPr>
          <w:p w:rsidR="00FC6891" w:rsidRDefault="005F1CD3">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FC6891" w:rsidRDefault="005F1CD3">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FC6891" w:rsidRDefault="005F1CD3">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FC6891" w:rsidRDefault="005F1CD3">
            <w:pPr>
              <w:jc w:val="center"/>
              <w:rPr>
                <w:rFonts w:ascii="Arial Narrow" w:hAnsi="Arial Narrow"/>
                <w:noProof/>
                <w:sz w:val="20"/>
                <w:szCs w:val="20"/>
              </w:rPr>
            </w:pPr>
            <w:r>
              <w:rPr>
                <w:rFonts w:ascii="Arial Narrow" w:hAnsi="Arial Narrow"/>
                <w:b/>
                <w:noProof/>
                <w:color w:val="0000FF"/>
                <w:sz w:val="20"/>
              </w:rPr>
              <w:t>2020</w:t>
            </w:r>
          </w:p>
        </w:tc>
        <w:tc>
          <w:tcPr>
            <w:tcW w:w="3555" w:type="dxa"/>
            <w:gridSpan w:val="3"/>
            <w:vAlign w:val="center"/>
          </w:tcPr>
          <w:p w:rsidR="00FC6891" w:rsidRDefault="005F1CD3">
            <w:pPr>
              <w:jc w:val="center"/>
              <w:rPr>
                <w:rFonts w:ascii="Arial Narrow" w:hAnsi="Arial Narrow"/>
                <w:noProof/>
                <w:sz w:val="20"/>
                <w:szCs w:val="20"/>
              </w:rPr>
            </w:pPr>
            <w:r>
              <w:rPr>
                <w:rFonts w:ascii="Arial Narrow" w:hAnsi="Arial Narrow"/>
                <w:noProof/>
                <w:color w:val="0000FF"/>
                <w:sz w:val="20"/>
              </w:rPr>
              <w:t>Vložit počet let podle trvání finanční</w:t>
            </w:r>
            <w:r>
              <w:rPr>
                <w:rFonts w:ascii="Arial Narrow" w:hAnsi="Arial Narrow"/>
                <w:noProof/>
                <w:color w:val="0000FF"/>
                <w:sz w:val="20"/>
              </w:rPr>
              <w:t xml:space="preserve">ho dopadu </w:t>
            </w:r>
            <w:r>
              <w:rPr>
                <w:noProof/>
              </w:rPr>
              <w:br/>
            </w:r>
            <w:r>
              <w:rPr>
                <w:rFonts w:ascii="Arial Narrow" w:hAnsi="Arial Narrow"/>
                <w:noProof/>
                <w:color w:val="0000FF"/>
                <w:sz w:val="18"/>
              </w:rPr>
              <w:t xml:space="preserve"> (viz bod 1.6)</w:t>
            </w:r>
          </w:p>
        </w:tc>
        <w:tc>
          <w:tcPr>
            <w:tcW w:w="1371" w:type="dxa"/>
            <w:vAlign w:val="center"/>
          </w:tcPr>
          <w:p w:rsidR="00FC6891" w:rsidRDefault="005F1CD3">
            <w:pPr>
              <w:jc w:val="center"/>
              <w:rPr>
                <w:rFonts w:ascii="Arial Narrow" w:hAnsi="Arial Narrow"/>
                <w:b/>
                <w:noProof/>
                <w:sz w:val="20"/>
                <w:szCs w:val="20"/>
              </w:rPr>
            </w:pPr>
            <w:r>
              <w:rPr>
                <w:rFonts w:ascii="Arial Narrow" w:hAnsi="Arial Narrow"/>
                <w:b/>
                <w:noProof/>
                <w:sz w:val="20"/>
              </w:rPr>
              <w:t>CELKEM</w:t>
            </w:r>
          </w:p>
        </w:tc>
      </w:tr>
      <w:tr w:rsidR="00FC6891">
        <w:trPr>
          <w:trHeight w:val="289"/>
          <w:jc w:val="center"/>
        </w:trPr>
        <w:tc>
          <w:tcPr>
            <w:tcW w:w="5306" w:type="dxa"/>
            <w:shd w:val="clear" w:color="auto" w:fill="D9D9D9"/>
          </w:tcPr>
          <w:p w:rsidR="00FC6891" w:rsidRDefault="005F1CD3">
            <w:pPr>
              <w:pStyle w:val="Text1"/>
              <w:spacing w:before="0" w:after="0"/>
              <w:ind w:left="0"/>
              <w:jc w:val="center"/>
              <w:rPr>
                <w:rFonts w:ascii="Arial Narrow" w:hAnsi="Arial Narrow"/>
                <w:i/>
                <w:noProof/>
                <w:sz w:val="20"/>
                <w:szCs w:val="20"/>
              </w:rPr>
            </w:pPr>
            <w:r>
              <w:rPr>
                <w:rFonts w:ascii="Arial Narrow" w:hAnsi="Arial Narrow"/>
                <w:b/>
                <w:noProof/>
                <w:sz w:val="22"/>
              </w:rPr>
              <w:t>OKRUH 5</w:t>
            </w:r>
            <w:r>
              <w:rPr>
                <w:noProof/>
              </w:rPr>
              <w:br/>
            </w:r>
            <w:r>
              <w:rPr>
                <w:rFonts w:ascii="Arial Narrow" w:hAnsi="Arial Narrow"/>
                <w:noProof/>
                <w:sz w:val="22"/>
              </w:rPr>
              <w:t>víceletého finančního rámce</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5306" w:type="dxa"/>
            <w:shd w:val="pct30" w:color="CCFFCC" w:fill="auto"/>
          </w:tcPr>
          <w:p w:rsidR="00FC6891" w:rsidRDefault="005F1CD3">
            <w:pPr>
              <w:pStyle w:val="Text1"/>
              <w:spacing w:before="40" w:after="40"/>
              <w:ind w:left="0"/>
              <w:jc w:val="left"/>
              <w:rPr>
                <w:rFonts w:ascii="Arial Narrow" w:hAnsi="Arial Narrow"/>
                <w:b/>
                <w:i/>
                <w:noProof/>
                <w:color w:val="008000"/>
                <w:sz w:val="20"/>
                <w:szCs w:val="20"/>
              </w:rPr>
            </w:pPr>
            <w:r>
              <w:rPr>
                <w:noProof/>
              </w:rPr>
              <w:tab/>
            </w:r>
            <w:r>
              <w:rPr>
                <w:rFonts w:ascii="Arial Narrow" w:hAnsi="Arial Narrow"/>
                <w:b/>
                <w:noProof/>
                <w:color w:val="008000"/>
                <w:sz w:val="20"/>
                <w:u w:val="single"/>
              </w:rPr>
              <w:t>V ústředí:</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5306" w:type="dxa"/>
            <w:vAlign w:val="center"/>
          </w:tcPr>
          <w:p w:rsidR="00FC6891" w:rsidRDefault="005F1CD3">
            <w:pPr>
              <w:pStyle w:val="Text1"/>
              <w:spacing w:before="40" w:after="40"/>
              <w:ind w:left="0"/>
              <w:jc w:val="left"/>
              <w:rPr>
                <w:rFonts w:ascii="Arial Narrow" w:hAnsi="Arial Narrow"/>
                <w:b/>
                <w:noProof/>
                <w:sz w:val="20"/>
                <w:szCs w:val="20"/>
              </w:rPr>
            </w:pPr>
            <w:r>
              <w:rPr>
                <w:rFonts w:ascii="Arial Narrow" w:hAnsi="Arial Narrow"/>
                <w:b/>
                <w:noProof/>
                <w:color w:val="0000FF"/>
                <w:sz w:val="20"/>
              </w:rPr>
              <w:t>09</w:t>
            </w:r>
            <w:r>
              <w:rPr>
                <w:rFonts w:ascii="Arial Narrow" w:hAnsi="Arial Narrow"/>
                <w:noProof/>
                <w:sz w:val="20"/>
              </w:rPr>
              <w:t xml:space="preserve"> 01 02 11 01 - Náklady na služební cesty a reprezentaci</w:t>
            </w:r>
          </w:p>
        </w:tc>
        <w:tc>
          <w:tcPr>
            <w:tcW w:w="1186" w:type="dxa"/>
            <w:vAlign w:val="center"/>
          </w:tcPr>
          <w:p w:rsidR="00FC6891" w:rsidRDefault="005F1CD3">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FC6891" w:rsidRDefault="005F1CD3">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FC6891" w:rsidRDefault="005F1CD3">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FC6891" w:rsidRDefault="005F1CD3">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5F1CD3">
            <w:pPr>
              <w:jc w:val="center"/>
              <w:rPr>
                <w:rFonts w:ascii="Arial Narrow" w:hAnsi="Arial Narrow"/>
                <w:b/>
                <w:noProof/>
                <w:sz w:val="20"/>
                <w:szCs w:val="20"/>
              </w:rPr>
            </w:pPr>
            <w:r>
              <w:rPr>
                <w:rFonts w:ascii="Arial Narrow" w:hAnsi="Arial Narrow"/>
                <w:b/>
                <w:noProof/>
                <w:sz w:val="20"/>
              </w:rPr>
              <w:t>0,060</w:t>
            </w:r>
          </w:p>
        </w:tc>
      </w:tr>
      <w:tr w:rsidR="00FC6891">
        <w:trPr>
          <w:trHeight w:val="289"/>
          <w:jc w:val="center"/>
        </w:trPr>
        <w:tc>
          <w:tcPr>
            <w:tcW w:w="5306" w:type="dxa"/>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02 - Náklady na konference a zasedání</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5306" w:type="dxa"/>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03 - Výbory</w:t>
            </w:r>
            <w:r>
              <w:rPr>
                <w:rStyle w:val="FootnoteReference"/>
                <w:rFonts w:ascii="Arial Narrow" w:hAnsi="Arial Narrow"/>
                <w:noProof/>
                <w:sz w:val="20"/>
              </w:rPr>
              <w:footnoteReference w:id="29"/>
            </w:r>
            <w:r>
              <w:rPr>
                <w:rFonts w:ascii="Arial Narrow" w:hAnsi="Arial Narrow"/>
                <w:noProof/>
                <w:sz w:val="20"/>
              </w:rPr>
              <w:t xml:space="preserve"> </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5306" w:type="dxa"/>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04 - Studie a konzultace</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5306" w:type="dxa"/>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b/>
                <w:noProof/>
                <w:color w:val="1F497D"/>
                <w:sz w:val="20"/>
              </w:rPr>
              <w:t>09</w:t>
            </w:r>
            <w:r>
              <w:rPr>
                <w:rFonts w:ascii="Arial Narrow" w:hAnsi="Arial Narrow"/>
                <w:noProof/>
                <w:sz w:val="20"/>
              </w:rPr>
              <w:t xml:space="preserve"> 01 02 11 05 – Informační a řídící systémy</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5306" w:type="dxa"/>
            <w:vAlign w:val="center"/>
          </w:tcPr>
          <w:p w:rsidR="00FC6891" w:rsidRDefault="005F1CD3">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01 – Zařízení a služby IKT</w:t>
            </w:r>
            <w:r>
              <w:rPr>
                <w:rStyle w:val="FootnoteReference"/>
                <w:rFonts w:ascii="Arial Narrow" w:hAnsi="Arial Narrow"/>
                <w:noProof/>
                <w:sz w:val="20"/>
              </w:rPr>
              <w:footnoteReference w:id="30"/>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5306" w:type="dxa"/>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noProof/>
                <w:sz w:val="20"/>
              </w:rPr>
              <w:t>Jiné rozpočtové položky (podle potřeby upřesněte)</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5306" w:type="dxa"/>
            <w:shd w:val="pct30" w:color="CCFFCC" w:fill="auto"/>
            <w:vAlign w:val="center"/>
          </w:tcPr>
          <w:p w:rsidR="00FC6891" w:rsidRDefault="005F1CD3">
            <w:pPr>
              <w:pStyle w:val="Text1"/>
              <w:spacing w:before="20" w:after="20"/>
              <w:ind w:left="0"/>
              <w:jc w:val="left"/>
              <w:rPr>
                <w:rFonts w:ascii="Arial Narrow" w:hAnsi="Arial Narrow"/>
                <w:b/>
                <w:noProof/>
                <w:color w:val="008000"/>
                <w:sz w:val="20"/>
                <w:szCs w:val="20"/>
                <w:u w:val="single"/>
              </w:rPr>
            </w:pPr>
            <w:r>
              <w:rPr>
                <w:noProof/>
              </w:rPr>
              <w:tab/>
            </w:r>
            <w:r>
              <w:rPr>
                <w:rFonts w:ascii="Arial Narrow" w:hAnsi="Arial Narrow"/>
                <w:b/>
                <w:noProof/>
                <w:color w:val="008000"/>
                <w:sz w:val="20"/>
                <w:u w:val="single"/>
              </w:rPr>
              <w:t xml:space="preserve">Při delegacích </w:t>
            </w:r>
            <w:r>
              <w:rPr>
                <w:rFonts w:ascii="Arial Narrow" w:hAnsi="Arial Narrow"/>
                <w:b/>
                <w:noProof/>
                <w:color w:val="008000"/>
                <w:sz w:val="20"/>
                <w:u w:val="single"/>
              </w:rPr>
              <w:t>Unie</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5306" w:type="dxa"/>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noProof/>
                <w:sz w:val="20"/>
              </w:rPr>
              <w:t>XX 01 02 12 01 – Náklady na služební cesty, konference a reprezentaci</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5306" w:type="dxa"/>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noProof/>
                <w:sz w:val="20"/>
              </w:rPr>
              <w:t>XX 01 02 12 02 – Další vzdělávání zaměstnanců</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5306" w:type="dxa"/>
            <w:vAlign w:val="center"/>
          </w:tcPr>
          <w:p w:rsidR="00FC6891" w:rsidRDefault="005F1CD3">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02 01 – Akvizice, pronájem a související výdaje</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5306" w:type="dxa"/>
            <w:tcBorders>
              <w:bottom w:val="single" w:sz="12" w:space="0" w:color="auto"/>
            </w:tcBorders>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noProof/>
                <w:sz w:val="20"/>
              </w:rPr>
              <w:t xml:space="preserve">XX 01 03 02 02 – Zařízení, nábytek, </w:t>
            </w:r>
            <w:r>
              <w:rPr>
                <w:rFonts w:ascii="Arial Narrow" w:hAnsi="Arial Narrow"/>
                <w:noProof/>
                <w:sz w:val="20"/>
              </w:rPr>
              <w:t>dodávky a služby</w:t>
            </w:r>
          </w:p>
        </w:tc>
        <w:tc>
          <w:tcPr>
            <w:tcW w:w="1186"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371" w:type="dxa"/>
            <w:tcBorders>
              <w:bottom w:val="single" w:sz="12" w:space="0" w:color="auto"/>
            </w:tcBorders>
            <w:vAlign w:val="center"/>
          </w:tcPr>
          <w:p w:rsidR="00FC6891" w:rsidRDefault="00FC6891">
            <w:pPr>
              <w:jc w:val="center"/>
              <w:rPr>
                <w:rFonts w:ascii="Arial Narrow" w:hAnsi="Arial Narrow"/>
                <w:b/>
                <w:noProof/>
                <w:sz w:val="20"/>
                <w:szCs w:val="20"/>
              </w:rPr>
            </w:pPr>
          </w:p>
        </w:tc>
      </w:tr>
      <w:tr w:rsidR="00FC6891">
        <w:trPr>
          <w:trHeight w:val="289"/>
          <w:jc w:val="center"/>
        </w:trPr>
        <w:tc>
          <w:tcPr>
            <w:tcW w:w="5306" w:type="dxa"/>
            <w:tcBorders>
              <w:top w:val="single" w:sz="12" w:space="0" w:color="auto"/>
              <w:left w:val="single" w:sz="12" w:space="0" w:color="auto"/>
              <w:bottom w:val="single" w:sz="12" w:space="0" w:color="auto"/>
            </w:tcBorders>
            <w:vAlign w:val="center"/>
          </w:tcPr>
          <w:p w:rsidR="00FC6891" w:rsidRDefault="005F1CD3">
            <w:pPr>
              <w:pStyle w:val="Text1"/>
              <w:spacing w:before="20" w:after="20"/>
              <w:ind w:left="0"/>
              <w:jc w:val="center"/>
              <w:rPr>
                <w:rFonts w:ascii="Arial Narrow" w:hAnsi="Arial Narrow"/>
                <w:b/>
                <w:noProof/>
                <w:color w:val="0000FF"/>
                <w:sz w:val="20"/>
                <w:szCs w:val="20"/>
              </w:rPr>
            </w:pPr>
            <w:r>
              <w:rPr>
                <w:rFonts w:ascii="Arial Narrow" w:hAnsi="Arial Narrow"/>
                <w:b/>
                <w:noProof/>
                <w:sz w:val="22"/>
              </w:rPr>
              <w:t>Mezisoučet OKRUH 5</w:t>
            </w:r>
            <w:r>
              <w:rPr>
                <w:noProof/>
              </w:rPr>
              <w:br/>
            </w:r>
            <w:r>
              <w:rPr>
                <w:rFonts w:ascii="Arial Narrow" w:hAnsi="Arial Narrow"/>
                <w:noProof/>
                <w:sz w:val="22"/>
              </w:rPr>
              <w:t>víceletého finančního rámce</w:t>
            </w:r>
          </w:p>
        </w:tc>
        <w:tc>
          <w:tcPr>
            <w:tcW w:w="1186" w:type="dxa"/>
            <w:tcBorders>
              <w:top w:val="single" w:sz="12" w:space="0" w:color="auto"/>
              <w:bottom w:val="single" w:sz="12" w:space="0" w:color="auto"/>
            </w:tcBorders>
            <w:vAlign w:val="center"/>
          </w:tcPr>
          <w:p w:rsidR="00FC6891" w:rsidRDefault="005F1CD3">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FC6891" w:rsidRDefault="005F1CD3">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FC6891" w:rsidRDefault="005F1CD3">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FC6891" w:rsidRDefault="005F1CD3">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FC6891" w:rsidRDefault="00FC6891">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FC6891" w:rsidRDefault="005F1CD3">
            <w:pPr>
              <w:jc w:val="center"/>
              <w:rPr>
                <w:rFonts w:ascii="Arial Narrow" w:hAnsi="Arial Narrow"/>
                <w:b/>
                <w:noProof/>
                <w:sz w:val="20"/>
                <w:szCs w:val="20"/>
              </w:rPr>
            </w:pPr>
            <w:r>
              <w:rPr>
                <w:rFonts w:ascii="Arial Narrow" w:hAnsi="Arial Narrow"/>
                <w:b/>
                <w:noProof/>
                <w:sz w:val="20"/>
              </w:rPr>
              <w:t>0,060</w:t>
            </w:r>
          </w:p>
        </w:tc>
      </w:tr>
    </w:tbl>
    <w:p w:rsidR="00FC6891" w:rsidRDefault="005F1CD3">
      <w:pPr>
        <w:rPr>
          <w:noProof/>
          <w:sz w:val="20"/>
          <w:szCs w:val="20"/>
        </w:rPr>
      </w:pPr>
      <w:r>
        <w:rPr>
          <w:b/>
          <w:noProof/>
          <w:color w:val="0000FF"/>
          <w:sz w:val="20"/>
        </w:rPr>
        <w:t>09</w:t>
      </w:r>
      <w:r>
        <w:rPr>
          <w:noProof/>
          <w:sz w:val="20"/>
        </w:rPr>
        <w:t xml:space="preserve"> je oblast politiky nebo dotčená hlava rozpočtu.</w:t>
      </w:r>
    </w:p>
    <w:p w:rsidR="00FC6891" w:rsidRDefault="005F1CD3">
      <w:pPr>
        <w:ind w:right="-496"/>
        <w:jc w:val="right"/>
        <w:rPr>
          <w:noProof/>
        </w:rPr>
      </w:pPr>
      <w:r>
        <w:rPr>
          <w:noProof/>
        </w:rPr>
        <w:br w:type="page"/>
      </w:r>
    </w:p>
    <w:p w:rsidR="00FC6891" w:rsidRDefault="00FC6891">
      <w:pPr>
        <w:ind w:right="-496"/>
        <w:jc w:val="right"/>
        <w:rPr>
          <w:noProof/>
        </w:rPr>
      </w:pPr>
    </w:p>
    <w:p w:rsidR="00FC6891" w:rsidRDefault="005F1CD3">
      <w:pPr>
        <w:ind w:right="-496"/>
        <w:jc w:val="right"/>
        <w:rPr>
          <w:i/>
          <w:iCs/>
          <w:noProof/>
          <w:sz w:val="20"/>
          <w:szCs w:val="20"/>
        </w:rPr>
      </w:pPr>
      <w:r>
        <w:rPr>
          <w:i/>
          <w:noProof/>
          <w:sz w:val="20"/>
        </w:rPr>
        <w:t>v milionech EUR (zaokrouhleno na tři desetinná místa)</w:t>
      </w: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3555"/>
        <w:gridCol w:w="1371"/>
      </w:tblGrid>
      <w:tr w:rsidR="00FC6891">
        <w:trPr>
          <w:trHeight w:val="289"/>
          <w:jc w:val="center"/>
        </w:trPr>
        <w:tc>
          <w:tcPr>
            <w:tcW w:w="4789" w:type="dxa"/>
          </w:tcPr>
          <w:p w:rsidR="00FC6891" w:rsidRDefault="00FC6891">
            <w:pPr>
              <w:pStyle w:val="Text1"/>
              <w:spacing w:before="40" w:after="40"/>
              <w:ind w:left="0"/>
              <w:jc w:val="center"/>
              <w:rPr>
                <w:i/>
                <w:noProof/>
                <w:sz w:val="20"/>
                <w:szCs w:val="20"/>
              </w:rPr>
            </w:pPr>
          </w:p>
        </w:tc>
        <w:tc>
          <w:tcPr>
            <w:tcW w:w="1186" w:type="dxa"/>
            <w:vAlign w:val="center"/>
          </w:tcPr>
          <w:p w:rsidR="00FC6891" w:rsidRDefault="005F1CD3">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FC6891" w:rsidRDefault="005F1CD3">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FC6891" w:rsidRDefault="005F1CD3">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FC6891" w:rsidRDefault="005F1CD3">
            <w:pPr>
              <w:jc w:val="center"/>
              <w:rPr>
                <w:rFonts w:ascii="Arial Narrow" w:hAnsi="Arial Narrow"/>
                <w:noProof/>
                <w:sz w:val="20"/>
                <w:szCs w:val="20"/>
              </w:rPr>
            </w:pPr>
            <w:r>
              <w:rPr>
                <w:rFonts w:ascii="Arial Narrow" w:hAnsi="Arial Narrow"/>
                <w:b/>
                <w:noProof/>
                <w:color w:val="0000FF"/>
                <w:sz w:val="20"/>
              </w:rPr>
              <w:t>2020</w:t>
            </w:r>
          </w:p>
        </w:tc>
        <w:tc>
          <w:tcPr>
            <w:tcW w:w="3555" w:type="dxa"/>
            <w:vAlign w:val="center"/>
          </w:tcPr>
          <w:p w:rsidR="00FC6891" w:rsidRDefault="005F1CD3">
            <w:pPr>
              <w:jc w:val="center"/>
              <w:rPr>
                <w:rFonts w:ascii="Arial Narrow" w:hAnsi="Arial Narrow"/>
                <w:noProof/>
                <w:sz w:val="20"/>
                <w:szCs w:val="20"/>
              </w:rPr>
            </w:pPr>
            <w:r>
              <w:rPr>
                <w:rFonts w:ascii="Arial Narrow" w:hAnsi="Arial Narrow"/>
                <w:noProof/>
                <w:color w:val="0000FF"/>
                <w:sz w:val="20"/>
              </w:rPr>
              <w:t xml:space="preserve">... ... vložit počet let podle trvání finančního dopadu </w:t>
            </w:r>
            <w:r>
              <w:rPr>
                <w:noProof/>
              </w:rPr>
              <w:br/>
            </w:r>
            <w:r>
              <w:rPr>
                <w:rFonts w:ascii="Arial Narrow" w:hAnsi="Arial Narrow"/>
                <w:noProof/>
                <w:color w:val="0000FF"/>
                <w:sz w:val="18"/>
              </w:rPr>
              <w:t>(viz bod 1.6)</w:t>
            </w:r>
          </w:p>
        </w:tc>
        <w:tc>
          <w:tcPr>
            <w:tcW w:w="1371" w:type="dxa"/>
            <w:vAlign w:val="center"/>
          </w:tcPr>
          <w:p w:rsidR="00FC6891" w:rsidRDefault="005F1CD3">
            <w:pPr>
              <w:jc w:val="center"/>
              <w:rPr>
                <w:rFonts w:ascii="Arial Narrow" w:hAnsi="Arial Narrow"/>
                <w:b/>
                <w:noProof/>
                <w:sz w:val="20"/>
                <w:szCs w:val="20"/>
              </w:rPr>
            </w:pPr>
            <w:r>
              <w:rPr>
                <w:rFonts w:ascii="Arial Narrow" w:hAnsi="Arial Narrow"/>
                <w:b/>
                <w:noProof/>
                <w:sz w:val="20"/>
              </w:rPr>
              <w:t>CELKEM</w:t>
            </w:r>
          </w:p>
        </w:tc>
      </w:tr>
    </w:tbl>
    <w:p w:rsidR="00FC6891" w:rsidRDefault="00FC6891">
      <w:pPr>
        <w:rPr>
          <w:rFonts w:ascii="Arial Narrow" w:hAnsi="Arial Narrow"/>
          <w:noProof/>
          <w:sz w:val="18"/>
          <w:szCs w:val="18"/>
        </w:rPr>
      </w:pP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1185"/>
        <w:gridCol w:w="1185"/>
        <w:gridCol w:w="1185"/>
        <w:gridCol w:w="1371"/>
      </w:tblGrid>
      <w:tr w:rsidR="00FC6891">
        <w:trPr>
          <w:trHeight w:val="289"/>
          <w:jc w:val="center"/>
        </w:trPr>
        <w:tc>
          <w:tcPr>
            <w:tcW w:w="4789" w:type="dxa"/>
            <w:tcBorders>
              <w:top w:val="single" w:sz="12" w:space="0" w:color="auto"/>
            </w:tcBorders>
            <w:shd w:val="clear" w:color="auto" w:fill="D9D9D9"/>
            <w:vAlign w:val="center"/>
          </w:tcPr>
          <w:p w:rsidR="00FC6891" w:rsidRDefault="005F1CD3">
            <w:pPr>
              <w:pStyle w:val="Text1"/>
              <w:spacing w:before="40" w:after="40"/>
              <w:ind w:left="0"/>
              <w:jc w:val="center"/>
              <w:rPr>
                <w:rFonts w:ascii="Arial Narrow" w:hAnsi="Arial Narrow"/>
                <w:b/>
                <w:noProof/>
                <w:color w:val="0000FF"/>
                <w:sz w:val="20"/>
                <w:szCs w:val="20"/>
              </w:rPr>
            </w:pPr>
            <w:r>
              <w:rPr>
                <w:rFonts w:ascii="Arial Narrow" w:hAnsi="Arial Narrow"/>
                <w:b/>
                <w:noProof/>
                <w:sz w:val="22"/>
              </w:rPr>
              <w:t>Mimo OKRUH 5</w:t>
            </w:r>
            <w:r>
              <w:rPr>
                <w:noProof/>
              </w:rPr>
              <w:br/>
            </w:r>
            <w:r>
              <w:rPr>
                <w:rFonts w:ascii="Arial Narrow" w:hAnsi="Arial Narrow"/>
                <w:noProof/>
                <w:sz w:val="22"/>
              </w:rPr>
              <w:t>víceletého finančního rámce</w:t>
            </w:r>
          </w:p>
        </w:tc>
        <w:tc>
          <w:tcPr>
            <w:tcW w:w="1186" w:type="dxa"/>
            <w:tcBorders>
              <w:top w:val="single" w:sz="12" w:space="0" w:color="auto"/>
            </w:tcBorders>
            <w:vAlign w:val="center"/>
          </w:tcPr>
          <w:p w:rsidR="00FC6891" w:rsidRDefault="00FC6891">
            <w:pPr>
              <w:jc w:val="center"/>
              <w:rPr>
                <w:rFonts w:ascii="Arial Narrow" w:hAnsi="Arial Narrow"/>
                <w:noProof/>
                <w:sz w:val="20"/>
                <w:szCs w:val="20"/>
              </w:rPr>
            </w:pPr>
          </w:p>
        </w:tc>
        <w:tc>
          <w:tcPr>
            <w:tcW w:w="1185" w:type="dxa"/>
            <w:tcBorders>
              <w:top w:val="single" w:sz="12" w:space="0" w:color="auto"/>
            </w:tcBorders>
            <w:vAlign w:val="center"/>
          </w:tcPr>
          <w:p w:rsidR="00FC6891" w:rsidRDefault="00FC6891">
            <w:pPr>
              <w:jc w:val="center"/>
              <w:rPr>
                <w:rFonts w:ascii="Arial Narrow" w:hAnsi="Arial Narrow"/>
                <w:noProof/>
                <w:sz w:val="20"/>
                <w:szCs w:val="20"/>
              </w:rPr>
            </w:pPr>
          </w:p>
        </w:tc>
        <w:tc>
          <w:tcPr>
            <w:tcW w:w="1185" w:type="dxa"/>
            <w:tcBorders>
              <w:top w:val="single" w:sz="12" w:space="0" w:color="auto"/>
            </w:tcBorders>
            <w:vAlign w:val="center"/>
          </w:tcPr>
          <w:p w:rsidR="00FC6891" w:rsidRDefault="00FC6891">
            <w:pPr>
              <w:jc w:val="center"/>
              <w:rPr>
                <w:rFonts w:ascii="Arial Narrow" w:hAnsi="Arial Narrow"/>
                <w:noProof/>
                <w:sz w:val="20"/>
                <w:szCs w:val="20"/>
              </w:rPr>
            </w:pPr>
          </w:p>
        </w:tc>
        <w:tc>
          <w:tcPr>
            <w:tcW w:w="1185" w:type="dxa"/>
            <w:tcBorders>
              <w:top w:val="single" w:sz="12" w:space="0" w:color="auto"/>
            </w:tcBorders>
            <w:vAlign w:val="center"/>
          </w:tcPr>
          <w:p w:rsidR="00FC6891" w:rsidRDefault="00FC6891">
            <w:pPr>
              <w:jc w:val="center"/>
              <w:rPr>
                <w:rFonts w:ascii="Arial Narrow" w:hAnsi="Arial Narrow"/>
                <w:noProof/>
                <w:sz w:val="20"/>
                <w:szCs w:val="20"/>
              </w:rPr>
            </w:pPr>
          </w:p>
        </w:tc>
        <w:tc>
          <w:tcPr>
            <w:tcW w:w="1185" w:type="dxa"/>
            <w:tcBorders>
              <w:top w:val="single" w:sz="12" w:space="0" w:color="auto"/>
            </w:tcBorders>
            <w:vAlign w:val="center"/>
          </w:tcPr>
          <w:p w:rsidR="00FC6891" w:rsidRDefault="00FC6891">
            <w:pPr>
              <w:jc w:val="center"/>
              <w:rPr>
                <w:rFonts w:ascii="Arial Narrow" w:hAnsi="Arial Narrow"/>
                <w:noProof/>
                <w:sz w:val="20"/>
                <w:szCs w:val="20"/>
              </w:rPr>
            </w:pPr>
          </w:p>
        </w:tc>
        <w:tc>
          <w:tcPr>
            <w:tcW w:w="1185" w:type="dxa"/>
            <w:tcBorders>
              <w:top w:val="single" w:sz="12" w:space="0" w:color="auto"/>
            </w:tcBorders>
            <w:vAlign w:val="center"/>
          </w:tcPr>
          <w:p w:rsidR="00FC6891" w:rsidRDefault="00FC6891">
            <w:pPr>
              <w:jc w:val="center"/>
              <w:rPr>
                <w:rFonts w:ascii="Arial Narrow" w:hAnsi="Arial Narrow"/>
                <w:noProof/>
                <w:sz w:val="20"/>
                <w:szCs w:val="20"/>
              </w:rPr>
            </w:pPr>
          </w:p>
        </w:tc>
        <w:tc>
          <w:tcPr>
            <w:tcW w:w="1185" w:type="dxa"/>
            <w:tcBorders>
              <w:top w:val="single" w:sz="12" w:space="0" w:color="auto"/>
            </w:tcBorders>
            <w:vAlign w:val="center"/>
          </w:tcPr>
          <w:p w:rsidR="00FC6891" w:rsidRDefault="00FC6891">
            <w:pPr>
              <w:jc w:val="center"/>
              <w:rPr>
                <w:rFonts w:ascii="Arial Narrow" w:hAnsi="Arial Narrow"/>
                <w:noProof/>
                <w:sz w:val="20"/>
                <w:szCs w:val="20"/>
              </w:rPr>
            </w:pPr>
          </w:p>
        </w:tc>
        <w:tc>
          <w:tcPr>
            <w:tcW w:w="1371" w:type="dxa"/>
            <w:tcBorders>
              <w:top w:val="single" w:sz="12" w:space="0" w:color="auto"/>
            </w:tcBorders>
            <w:vAlign w:val="center"/>
          </w:tcPr>
          <w:p w:rsidR="00FC6891" w:rsidRDefault="00FC6891">
            <w:pPr>
              <w:jc w:val="center"/>
              <w:rPr>
                <w:rFonts w:ascii="Arial Narrow" w:hAnsi="Arial Narrow"/>
                <w:b/>
                <w:noProof/>
                <w:sz w:val="20"/>
                <w:szCs w:val="20"/>
              </w:rPr>
            </w:pPr>
          </w:p>
        </w:tc>
      </w:tr>
      <w:tr w:rsidR="00FC6891">
        <w:trPr>
          <w:trHeight w:val="289"/>
          <w:jc w:val="center"/>
        </w:trPr>
        <w:tc>
          <w:tcPr>
            <w:tcW w:w="4789" w:type="dxa"/>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01 04 01 </w:t>
            </w:r>
            <w:r>
              <w:rPr>
                <w:rFonts w:ascii="Arial Narrow" w:hAnsi="Arial Narrow"/>
                <w:noProof/>
                <w:sz w:val="20"/>
              </w:rPr>
              <w:t xml:space="preserve">- Výdaje na technickou a administrativní pomoc (mimo externí zaměstnance) z operačních prostředků (bývalá položka </w:t>
            </w:r>
            <w:r>
              <w:rPr>
                <w:rFonts w:ascii="Arial Narrow" w:hAnsi="Arial Narrow"/>
                <w:noProof/>
                <w:sz w:val="20"/>
              </w:rPr>
              <w:t>„BA“)</w:t>
            </w:r>
          </w:p>
        </w:tc>
        <w:tc>
          <w:tcPr>
            <w:tcW w:w="1186" w:type="dxa"/>
            <w:vAlign w:val="center"/>
          </w:tcPr>
          <w:p w:rsidR="00FC6891" w:rsidRDefault="005F1CD3">
            <w:pPr>
              <w:jc w:val="center"/>
              <w:rPr>
                <w:rFonts w:ascii="Arial Narrow" w:hAnsi="Arial Narrow"/>
                <w:noProof/>
                <w:sz w:val="20"/>
                <w:szCs w:val="20"/>
              </w:rPr>
            </w:pPr>
            <w:r>
              <w:rPr>
                <w:rFonts w:ascii="Arial Narrow" w:hAnsi="Arial Narrow"/>
                <w:noProof/>
                <w:sz w:val="20"/>
              </w:rPr>
              <w:t>0,090</w:t>
            </w:r>
          </w:p>
        </w:tc>
        <w:tc>
          <w:tcPr>
            <w:tcW w:w="1185" w:type="dxa"/>
            <w:vAlign w:val="center"/>
          </w:tcPr>
          <w:p w:rsidR="00FC6891" w:rsidRDefault="005F1CD3">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FC6891" w:rsidRDefault="005F1CD3">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FC6891" w:rsidRDefault="005F1CD3">
            <w:pPr>
              <w:jc w:val="center"/>
              <w:rPr>
                <w:rFonts w:ascii="Arial Narrow" w:hAnsi="Arial Narrow"/>
                <w:noProof/>
                <w:sz w:val="20"/>
                <w:szCs w:val="20"/>
              </w:rPr>
            </w:pPr>
            <w:r>
              <w:rPr>
                <w:rFonts w:ascii="Arial Narrow" w:hAnsi="Arial Narrow"/>
                <w:noProof/>
                <w:sz w:val="20"/>
              </w:rPr>
              <w:t>0,060</w:t>
            </w: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5F1CD3">
            <w:pPr>
              <w:jc w:val="center"/>
              <w:rPr>
                <w:rFonts w:ascii="Arial Narrow" w:hAnsi="Arial Narrow"/>
                <w:b/>
                <w:noProof/>
                <w:sz w:val="20"/>
                <w:szCs w:val="20"/>
              </w:rPr>
            </w:pPr>
            <w:r>
              <w:rPr>
                <w:rFonts w:ascii="Arial Narrow" w:hAnsi="Arial Narrow"/>
                <w:b/>
                <w:noProof/>
                <w:sz w:val="20"/>
              </w:rPr>
              <w:t>0,200</w:t>
            </w:r>
          </w:p>
        </w:tc>
      </w:tr>
      <w:tr w:rsidR="00FC6891">
        <w:trPr>
          <w:trHeight w:val="289"/>
          <w:jc w:val="center"/>
        </w:trPr>
        <w:tc>
          <w:tcPr>
            <w:tcW w:w="4789" w:type="dxa"/>
            <w:vAlign w:val="center"/>
          </w:tcPr>
          <w:p w:rsidR="00FC6891" w:rsidRDefault="005F1CD3">
            <w:pPr>
              <w:pStyle w:val="Text1"/>
              <w:spacing w:before="40" w:after="40"/>
              <w:ind w:left="136"/>
              <w:jc w:val="left"/>
              <w:rPr>
                <w:rFonts w:ascii="Arial Narrow" w:hAnsi="Arial Narrow"/>
                <w:noProof/>
                <w:sz w:val="20"/>
                <w:szCs w:val="20"/>
              </w:rPr>
            </w:pPr>
            <w:r>
              <w:rPr>
                <w:rFonts w:ascii="Arial Narrow" w:hAnsi="Arial Narrow"/>
                <w:noProof/>
                <w:sz w:val="20"/>
              </w:rPr>
              <w:t>- v ústředí:</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4789" w:type="dxa"/>
            <w:vAlign w:val="center"/>
          </w:tcPr>
          <w:p w:rsidR="00FC6891" w:rsidRDefault="005F1CD3">
            <w:pPr>
              <w:pStyle w:val="Text1"/>
              <w:spacing w:before="40" w:after="40"/>
              <w:ind w:left="136"/>
              <w:jc w:val="left"/>
              <w:rPr>
                <w:rFonts w:ascii="Arial Narrow" w:hAnsi="Arial Narrow"/>
                <w:noProof/>
                <w:sz w:val="20"/>
                <w:szCs w:val="20"/>
              </w:rPr>
            </w:pPr>
            <w:r>
              <w:rPr>
                <w:rFonts w:ascii="Arial Narrow" w:hAnsi="Arial Narrow"/>
                <w:noProof/>
                <w:sz w:val="20"/>
              </w:rPr>
              <w:t>- při delegacích Unie</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4789" w:type="dxa"/>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03 - Ostatní výdaje na řízení v nepřímém výzkumu</w:t>
            </w:r>
          </w:p>
        </w:tc>
        <w:tc>
          <w:tcPr>
            <w:tcW w:w="1186"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185" w:type="dxa"/>
            <w:vAlign w:val="center"/>
          </w:tcPr>
          <w:p w:rsidR="00FC6891" w:rsidRDefault="00FC6891">
            <w:pPr>
              <w:jc w:val="center"/>
              <w:rPr>
                <w:rFonts w:ascii="Arial Narrow" w:hAnsi="Arial Narrow"/>
                <w:noProof/>
                <w:sz w:val="20"/>
                <w:szCs w:val="20"/>
              </w:rPr>
            </w:pPr>
          </w:p>
        </w:tc>
        <w:tc>
          <w:tcPr>
            <w:tcW w:w="1371" w:type="dxa"/>
            <w:vAlign w:val="center"/>
          </w:tcPr>
          <w:p w:rsidR="00FC6891" w:rsidRDefault="00FC6891">
            <w:pPr>
              <w:jc w:val="center"/>
              <w:rPr>
                <w:rFonts w:ascii="Arial Narrow" w:hAnsi="Arial Narrow"/>
                <w:b/>
                <w:noProof/>
                <w:sz w:val="20"/>
                <w:szCs w:val="20"/>
              </w:rPr>
            </w:pPr>
          </w:p>
        </w:tc>
      </w:tr>
      <w:tr w:rsidR="00FC6891">
        <w:trPr>
          <w:trHeight w:val="289"/>
          <w:jc w:val="center"/>
        </w:trPr>
        <w:tc>
          <w:tcPr>
            <w:tcW w:w="4789" w:type="dxa"/>
            <w:tcBorders>
              <w:bottom w:val="single" w:sz="12" w:space="0" w:color="auto"/>
            </w:tcBorders>
            <w:vAlign w:val="center"/>
          </w:tcPr>
          <w:p w:rsidR="00FC6891" w:rsidRDefault="005F1CD3">
            <w:pPr>
              <w:pStyle w:val="Text1"/>
              <w:spacing w:before="40" w:after="40"/>
              <w:ind w:left="0"/>
              <w:jc w:val="left"/>
              <w:rPr>
                <w:rFonts w:ascii="Arial Narrow" w:hAnsi="Arial Narrow"/>
                <w:noProof/>
                <w:sz w:val="20"/>
                <w:szCs w:val="20"/>
              </w:rPr>
            </w:pPr>
            <w:r>
              <w:rPr>
                <w:rFonts w:ascii="Arial Narrow" w:hAnsi="Arial Narrow"/>
                <w:noProof/>
                <w:sz w:val="20"/>
              </w:rPr>
              <w:t>10 01 05 03 – Ostatní výdaje na řízení v přímém výzkumu</w:t>
            </w:r>
          </w:p>
        </w:tc>
        <w:tc>
          <w:tcPr>
            <w:tcW w:w="1186"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371" w:type="dxa"/>
            <w:tcBorders>
              <w:bottom w:val="single" w:sz="12" w:space="0" w:color="auto"/>
            </w:tcBorders>
            <w:vAlign w:val="center"/>
          </w:tcPr>
          <w:p w:rsidR="00FC6891" w:rsidRDefault="00FC6891">
            <w:pPr>
              <w:jc w:val="center"/>
              <w:rPr>
                <w:rFonts w:ascii="Arial Narrow" w:hAnsi="Arial Narrow"/>
                <w:b/>
                <w:noProof/>
                <w:sz w:val="20"/>
                <w:szCs w:val="20"/>
              </w:rPr>
            </w:pPr>
          </w:p>
        </w:tc>
      </w:tr>
      <w:tr w:rsidR="00FC6891">
        <w:trPr>
          <w:trHeight w:val="289"/>
          <w:jc w:val="center"/>
        </w:trPr>
        <w:tc>
          <w:tcPr>
            <w:tcW w:w="4789" w:type="dxa"/>
            <w:tcBorders>
              <w:bottom w:val="single" w:sz="12" w:space="0" w:color="auto"/>
            </w:tcBorders>
            <w:vAlign w:val="center"/>
          </w:tcPr>
          <w:p w:rsidR="00FC6891" w:rsidRDefault="005F1CD3">
            <w:pPr>
              <w:pStyle w:val="Text1"/>
              <w:spacing w:before="40" w:after="40"/>
              <w:ind w:left="0"/>
              <w:jc w:val="left"/>
              <w:rPr>
                <w:rFonts w:ascii="Arial Narrow" w:hAnsi="Arial Narrow"/>
                <w:b/>
                <w:noProof/>
                <w:sz w:val="20"/>
                <w:szCs w:val="20"/>
              </w:rPr>
            </w:pPr>
            <w:r>
              <w:rPr>
                <w:rFonts w:ascii="Arial Narrow" w:hAnsi="Arial Narrow"/>
                <w:noProof/>
                <w:sz w:val="20"/>
              </w:rPr>
              <w:t xml:space="preserve">Jiné rozpočtové položky (podle </w:t>
            </w:r>
            <w:r>
              <w:rPr>
                <w:rFonts w:ascii="Arial Narrow" w:hAnsi="Arial Narrow"/>
                <w:noProof/>
                <w:sz w:val="20"/>
              </w:rPr>
              <w:t>potřeby upřesněte)</w:t>
            </w:r>
          </w:p>
        </w:tc>
        <w:tc>
          <w:tcPr>
            <w:tcW w:w="1186"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bottom w:val="single" w:sz="12" w:space="0" w:color="auto"/>
            </w:tcBorders>
            <w:vAlign w:val="center"/>
          </w:tcPr>
          <w:p w:rsidR="00FC6891" w:rsidRDefault="00FC6891">
            <w:pPr>
              <w:jc w:val="center"/>
              <w:rPr>
                <w:rFonts w:ascii="Arial Narrow" w:hAnsi="Arial Narrow"/>
                <w:noProof/>
                <w:sz w:val="20"/>
                <w:szCs w:val="20"/>
              </w:rPr>
            </w:pPr>
          </w:p>
        </w:tc>
        <w:tc>
          <w:tcPr>
            <w:tcW w:w="1371" w:type="dxa"/>
            <w:tcBorders>
              <w:bottom w:val="single" w:sz="12" w:space="0" w:color="auto"/>
            </w:tcBorders>
            <w:vAlign w:val="center"/>
          </w:tcPr>
          <w:p w:rsidR="00FC6891" w:rsidRDefault="00FC6891">
            <w:pPr>
              <w:jc w:val="center"/>
              <w:rPr>
                <w:rFonts w:ascii="Arial Narrow" w:hAnsi="Arial Narrow"/>
                <w:b/>
                <w:noProof/>
                <w:sz w:val="20"/>
                <w:szCs w:val="20"/>
              </w:rPr>
            </w:pPr>
          </w:p>
        </w:tc>
      </w:tr>
      <w:tr w:rsidR="00FC6891">
        <w:trPr>
          <w:trHeight w:val="289"/>
          <w:jc w:val="center"/>
        </w:trPr>
        <w:tc>
          <w:tcPr>
            <w:tcW w:w="4789" w:type="dxa"/>
            <w:tcBorders>
              <w:top w:val="single" w:sz="12" w:space="0" w:color="auto"/>
              <w:left w:val="single" w:sz="12" w:space="0" w:color="auto"/>
              <w:bottom w:val="single" w:sz="12" w:space="0" w:color="auto"/>
            </w:tcBorders>
            <w:vAlign w:val="center"/>
          </w:tcPr>
          <w:p w:rsidR="00FC6891" w:rsidRDefault="005F1CD3">
            <w:pPr>
              <w:pStyle w:val="Text1"/>
              <w:spacing w:before="20" w:after="20"/>
              <w:ind w:left="0"/>
              <w:jc w:val="center"/>
              <w:rPr>
                <w:rFonts w:ascii="Arial Narrow" w:hAnsi="Arial Narrow"/>
                <w:b/>
                <w:noProof/>
                <w:color w:val="0000FF"/>
                <w:sz w:val="20"/>
                <w:szCs w:val="20"/>
              </w:rPr>
            </w:pPr>
            <w:r>
              <w:rPr>
                <w:rFonts w:ascii="Arial Narrow" w:hAnsi="Arial Narrow"/>
                <w:b/>
                <w:noProof/>
                <w:sz w:val="22"/>
              </w:rPr>
              <w:t>Mezisoučet – mimo OKRUH 5</w:t>
            </w:r>
            <w:r>
              <w:rPr>
                <w:noProof/>
              </w:rPr>
              <w:br/>
            </w:r>
            <w:r>
              <w:rPr>
                <w:rFonts w:ascii="Arial Narrow" w:hAnsi="Arial Narrow"/>
                <w:noProof/>
                <w:sz w:val="22"/>
              </w:rPr>
              <w:t>víceletého finančního rámce</w:t>
            </w:r>
          </w:p>
        </w:tc>
        <w:tc>
          <w:tcPr>
            <w:tcW w:w="1186" w:type="dxa"/>
            <w:tcBorders>
              <w:top w:val="single" w:sz="12" w:space="0" w:color="auto"/>
              <w:bottom w:val="single" w:sz="12" w:space="0" w:color="auto"/>
            </w:tcBorders>
            <w:vAlign w:val="center"/>
          </w:tcPr>
          <w:p w:rsidR="00FC6891" w:rsidRDefault="005F1CD3">
            <w:pPr>
              <w:jc w:val="center"/>
              <w:rPr>
                <w:rFonts w:ascii="Arial Narrow" w:hAnsi="Arial Narrow"/>
                <w:noProof/>
                <w:sz w:val="20"/>
                <w:szCs w:val="20"/>
              </w:rPr>
            </w:pPr>
            <w:r>
              <w:rPr>
                <w:rFonts w:ascii="Arial Narrow" w:hAnsi="Arial Narrow"/>
                <w:noProof/>
                <w:sz w:val="20"/>
              </w:rPr>
              <w:t>0,090</w:t>
            </w:r>
          </w:p>
        </w:tc>
        <w:tc>
          <w:tcPr>
            <w:tcW w:w="1185" w:type="dxa"/>
            <w:tcBorders>
              <w:top w:val="single" w:sz="12" w:space="0" w:color="auto"/>
              <w:bottom w:val="single" w:sz="12" w:space="0" w:color="auto"/>
            </w:tcBorders>
            <w:vAlign w:val="center"/>
          </w:tcPr>
          <w:p w:rsidR="00FC6891" w:rsidRDefault="005F1CD3">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FC6891" w:rsidRDefault="005F1CD3">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FC6891" w:rsidRDefault="005F1CD3">
            <w:pPr>
              <w:jc w:val="center"/>
              <w:rPr>
                <w:rFonts w:ascii="Arial Narrow" w:hAnsi="Arial Narrow"/>
                <w:noProof/>
                <w:sz w:val="20"/>
                <w:szCs w:val="20"/>
              </w:rPr>
            </w:pPr>
            <w:r>
              <w:rPr>
                <w:rFonts w:ascii="Arial Narrow" w:hAnsi="Arial Narrow"/>
                <w:noProof/>
                <w:sz w:val="20"/>
              </w:rPr>
              <w:t>0,060</w:t>
            </w:r>
          </w:p>
        </w:tc>
        <w:tc>
          <w:tcPr>
            <w:tcW w:w="1185" w:type="dxa"/>
            <w:tcBorders>
              <w:top w:val="single" w:sz="12" w:space="0" w:color="auto"/>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FC6891" w:rsidRDefault="00FC6891">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FC6891" w:rsidRDefault="00FC6891">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FC6891" w:rsidRDefault="005F1CD3">
            <w:pPr>
              <w:jc w:val="center"/>
              <w:rPr>
                <w:rFonts w:ascii="Arial Narrow" w:hAnsi="Arial Narrow"/>
                <w:b/>
                <w:noProof/>
                <w:sz w:val="20"/>
                <w:szCs w:val="20"/>
              </w:rPr>
            </w:pPr>
            <w:r>
              <w:rPr>
                <w:rFonts w:ascii="Arial Narrow" w:hAnsi="Arial Narrow"/>
                <w:b/>
                <w:noProof/>
                <w:sz w:val="20"/>
              </w:rPr>
              <w:t>0,200</w:t>
            </w:r>
          </w:p>
        </w:tc>
      </w:tr>
    </w:tbl>
    <w:p w:rsidR="00FC6891" w:rsidRDefault="005F1CD3">
      <w:pPr>
        <w:spacing w:before="60"/>
        <w:rPr>
          <w:noProof/>
          <w:sz w:val="20"/>
          <w:szCs w:val="20"/>
        </w:rPr>
      </w:pPr>
      <w:r>
        <w:rPr>
          <w:b/>
          <w:noProof/>
          <w:color w:val="0000FF"/>
          <w:sz w:val="20"/>
        </w:rPr>
        <w:t>XX</w:t>
      </w:r>
      <w:r>
        <w:rPr>
          <w:noProof/>
          <w:sz w:val="20"/>
        </w:rPr>
        <w:t xml:space="preserve">  je oblast politiky nebo dotčená hlava rozpočtu.</w:t>
      </w:r>
    </w:p>
    <w:p w:rsidR="00FC6891" w:rsidRDefault="00FC6891">
      <w:pPr>
        <w:rPr>
          <w:noProof/>
          <w:sz w:val="18"/>
          <w:szCs w:val="18"/>
        </w:rPr>
      </w:pPr>
    </w:p>
    <w:p w:rsidR="00FC6891" w:rsidRDefault="00FC6891">
      <w:pPr>
        <w:rPr>
          <w:rFonts w:ascii="Arial Narrow" w:hAnsi="Arial Narrow"/>
          <w:noProof/>
          <w:sz w:val="18"/>
          <w:szCs w:val="18"/>
        </w:rPr>
      </w:pPr>
    </w:p>
    <w:p w:rsidR="00FC6891" w:rsidRDefault="00FC6891">
      <w:pPr>
        <w:rPr>
          <w:rFonts w:ascii="Arial Narrow" w:hAnsi="Arial Narrow"/>
          <w:noProof/>
          <w:sz w:val="18"/>
          <w:szCs w:val="18"/>
        </w:rPr>
      </w:pPr>
    </w:p>
    <w:tbl>
      <w:tblPr>
        <w:tblW w:w="14568"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01"/>
        <w:gridCol w:w="1186"/>
        <w:gridCol w:w="1185"/>
        <w:gridCol w:w="1185"/>
        <w:gridCol w:w="1185"/>
        <w:gridCol w:w="1185"/>
        <w:gridCol w:w="1185"/>
        <w:gridCol w:w="1185"/>
        <w:gridCol w:w="1371"/>
      </w:tblGrid>
      <w:tr w:rsidR="00FC6891">
        <w:trPr>
          <w:trHeight w:val="289"/>
          <w:jc w:val="center"/>
        </w:trPr>
        <w:tc>
          <w:tcPr>
            <w:tcW w:w="4901" w:type="dxa"/>
            <w:tcBorders>
              <w:top w:val="single" w:sz="12" w:space="0" w:color="auto"/>
            </w:tcBorders>
            <w:vAlign w:val="center"/>
          </w:tcPr>
          <w:p w:rsidR="00FC6891" w:rsidRDefault="005F1CD3">
            <w:pPr>
              <w:pStyle w:val="Text1"/>
              <w:spacing w:after="0"/>
              <w:ind w:left="0"/>
              <w:jc w:val="center"/>
              <w:rPr>
                <w:rFonts w:ascii="Arial Narrow" w:hAnsi="Arial Narrow"/>
                <w:b/>
                <w:noProof/>
                <w:sz w:val="22"/>
              </w:rPr>
            </w:pPr>
            <w:r>
              <w:rPr>
                <w:rFonts w:ascii="Arial Narrow" w:hAnsi="Arial Narrow"/>
                <w:b/>
                <w:noProof/>
                <w:sz w:val="22"/>
              </w:rPr>
              <w:t>CELKEM</w:t>
            </w:r>
          </w:p>
          <w:p w:rsidR="00FC6891" w:rsidRDefault="005F1CD3">
            <w:pPr>
              <w:pStyle w:val="Text1"/>
              <w:spacing w:before="0"/>
              <w:ind w:left="0"/>
              <w:jc w:val="center"/>
              <w:rPr>
                <w:rFonts w:ascii="Arial Narrow" w:hAnsi="Arial Narrow"/>
                <w:b/>
                <w:noProof/>
                <w:sz w:val="22"/>
              </w:rPr>
            </w:pPr>
            <w:r>
              <w:rPr>
                <w:noProof/>
              </w:rPr>
              <w:t>OKRUH 5 a mimo OKRUH 5</w:t>
            </w:r>
            <w:r>
              <w:rPr>
                <w:noProof/>
              </w:rPr>
              <w:br/>
            </w:r>
            <w:r>
              <w:rPr>
                <w:rFonts w:ascii="Arial Narrow" w:hAnsi="Arial Narrow"/>
                <w:noProof/>
                <w:sz w:val="22"/>
              </w:rPr>
              <w:t>víceletého finančního rámce</w:t>
            </w:r>
          </w:p>
        </w:tc>
        <w:tc>
          <w:tcPr>
            <w:tcW w:w="1186" w:type="dxa"/>
            <w:tcBorders>
              <w:top w:val="single" w:sz="12" w:space="0" w:color="auto"/>
            </w:tcBorders>
            <w:vAlign w:val="bottom"/>
          </w:tcPr>
          <w:p w:rsidR="00FC6891" w:rsidRDefault="005F1CD3">
            <w:pPr>
              <w:jc w:val="center"/>
              <w:rPr>
                <w:rFonts w:ascii="Arial Narrow" w:hAnsi="Arial Narrow"/>
                <w:noProof/>
                <w:sz w:val="20"/>
                <w:szCs w:val="20"/>
              </w:rPr>
            </w:pPr>
            <w:r>
              <w:rPr>
                <w:rFonts w:ascii="Arial" w:hAnsi="Arial"/>
                <w:noProof/>
                <w:color w:val="000000"/>
                <w:sz w:val="20"/>
              </w:rPr>
              <w:t>0,314</w:t>
            </w:r>
          </w:p>
        </w:tc>
        <w:tc>
          <w:tcPr>
            <w:tcW w:w="1185" w:type="dxa"/>
            <w:tcBorders>
              <w:top w:val="single" w:sz="12" w:space="0" w:color="auto"/>
            </w:tcBorders>
            <w:vAlign w:val="bottom"/>
          </w:tcPr>
          <w:p w:rsidR="00FC6891" w:rsidRDefault="005F1CD3">
            <w:pPr>
              <w:jc w:val="center"/>
              <w:rPr>
                <w:rFonts w:ascii="Arial Narrow" w:hAnsi="Arial Narrow"/>
                <w:noProof/>
                <w:sz w:val="20"/>
                <w:szCs w:val="20"/>
              </w:rPr>
            </w:pPr>
            <w:r>
              <w:rPr>
                <w:rFonts w:ascii="Arial" w:hAnsi="Arial"/>
                <w:noProof/>
                <w:color w:val="000000"/>
                <w:sz w:val="20"/>
              </w:rPr>
              <w:t>0,249</w:t>
            </w:r>
          </w:p>
        </w:tc>
        <w:tc>
          <w:tcPr>
            <w:tcW w:w="1185" w:type="dxa"/>
            <w:tcBorders>
              <w:top w:val="single" w:sz="12" w:space="0" w:color="auto"/>
            </w:tcBorders>
            <w:vAlign w:val="bottom"/>
          </w:tcPr>
          <w:p w:rsidR="00FC6891" w:rsidRDefault="005F1CD3">
            <w:pPr>
              <w:jc w:val="center"/>
              <w:rPr>
                <w:rFonts w:ascii="Arial Narrow" w:hAnsi="Arial Narrow"/>
                <w:noProof/>
                <w:sz w:val="20"/>
                <w:szCs w:val="20"/>
              </w:rPr>
            </w:pPr>
            <w:r>
              <w:rPr>
                <w:rFonts w:ascii="Arial" w:hAnsi="Arial"/>
                <w:noProof/>
                <w:color w:val="000000"/>
                <w:sz w:val="20"/>
              </w:rPr>
              <w:t>0,239</w:t>
            </w:r>
          </w:p>
        </w:tc>
        <w:tc>
          <w:tcPr>
            <w:tcW w:w="1185" w:type="dxa"/>
            <w:tcBorders>
              <w:top w:val="single" w:sz="12" w:space="0" w:color="auto"/>
            </w:tcBorders>
            <w:vAlign w:val="bottom"/>
          </w:tcPr>
          <w:p w:rsidR="00FC6891" w:rsidRDefault="005F1CD3">
            <w:pPr>
              <w:jc w:val="center"/>
              <w:rPr>
                <w:rFonts w:ascii="Arial Narrow" w:hAnsi="Arial Narrow"/>
                <w:noProof/>
                <w:sz w:val="20"/>
                <w:szCs w:val="20"/>
              </w:rPr>
            </w:pPr>
            <w:r>
              <w:rPr>
                <w:rFonts w:ascii="Arial" w:hAnsi="Arial"/>
                <w:noProof/>
                <w:color w:val="000000"/>
                <w:sz w:val="20"/>
              </w:rPr>
              <w:t>0,274</w:t>
            </w:r>
          </w:p>
        </w:tc>
        <w:tc>
          <w:tcPr>
            <w:tcW w:w="1185" w:type="dxa"/>
            <w:tcBorders>
              <w:top w:val="single" w:sz="12" w:space="0" w:color="auto"/>
            </w:tcBorders>
            <w:vAlign w:val="center"/>
          </w:tcPr>
          <w:p w:rsidR="00FC6891" w:rsidRDefault="00FC6891">
            <w:pPr>
              <w:jc w:val="center"/>
              <w:rPr>
                <w:rFonts w:ascii="Arial Narrow" w:hAnsi="Arial Narrow"/>
                <w:noProof/>
                <w:sz w:val="20"/>
                <w:szCs w:val="20"/>
              </w:rPr>
            </w:pPr>
          </w:p>
        </w:tc>
        <w:tc>
          <w:tcPr>
            <w:tcW w:w="1185" w:type="dxa"/>
            <w:tcBorders>
              <w:top w:val="single" w:sz="12" w:space="0" w:color="auto"/>
            </w:tcBorders>
            <w:vAlign w:val="center"/>
          </w:tcPr>
          <w:p w:rsidR="00FC6891" w:rsidRDefault="00FC6891">
            <w:pPr>
              <w:jc w:val="center"/>
              <w:rPr>
                <w:rFonts w:ascii="Arial Narrow" w:hAnsi="Arial Narrow"/>
                <w:noProof/>
                <w:sz w:val="20"/>
                <w:szCs w:val="20"/>
              </w:rPr>
            </w:pPr>
          </w:p>
        </w:tc>
        <w:tc>
          <w:tcPr>
            <w:tcW w:w="1185" w:type="dxa"/>
            <w:tcBorders>
              <w:top w:val="single" w:sz="12" w:space="0" w:color="auto"/>
            </w:tcBorders>
            <w:vAlign w:val="center"/>
          </w:tcPr>
          <w:p w:rsidR="00FC6891" w:rsidRDefault="00FC6891">
            <w:pPr>
              <w:jc w:val="center"/>
              <w:rPr>
                <w:rFonts w:ascii="Arial Narrow" w:hAnsi="Arial Narrow"/>
                <w:noProof/>
                <w:sz w:val="20"/>
                <w:szCs w:val="20"/>
              </w:rPr>
            </w:pPr>
          </w:p>
        </w:tc>
        <w:tc>
          <w:tcPr>
            <w:tcW w:w="1371" w:type="dxa"/>
            <w:tcBorders>
              <w:top w:val="single" w:sz="12" w:space="0" w:color="auto"/>
            </w:tcBorders>
            <w:vAlign w:val="center"/>
          </w:tcPr>
          <w:p w:rsidR="00FC6891" w:rsidRDefault="005F1CD3">
            <w:pPr>
              <w:jc w:val="center"/>
              <w:rPr>
                <w:rFonts w:ascii="Arial Narrow" w:hAnsi="Arial Narrow"/>
                <w:b/>
                <w:noProof/>
                <w:sz w:val="20"/>
                <w:szCs w:val="20"/>
              </w:rPr>
            </w:pPr>
            <w:r>
              <w:rPr>
                <w:rFonts w:ascii="Arial Narrow" w:hAnsi="Arial Narrow"/>
                <w:b/>
                <w:noProof/>
                <w:sz w:val="20"/>
              </w:rPr>
              <w:t>1,076</w:t>
            </w:r>
          </w:p>
        </w:tc>
      </w:tr>
    </w:tbl>
    <w:p w:rsidR="00FC6891" w:rsidRDefault="00FC6891">
      <w:pPr>
        <w:spacing w:before="60"/>
        <w:ind w:left="-360" w:firstLine="900"/>
        <w:jc w:val="center"/>
        <w:rPr>
          <w:noProof/>
          <w:sz w:val="20"/>
          <w:szCs w:val="20"/>
        </w:rPr>
      </w:pPr>
    </w:p>
    <w:p w:rsidR="00FC6891" w:rsidRDefault="00FC6891">
      <w:pPr>
        <w:spacing w:before="60"/>
        <w:ind w:left="-360" w:firstLine="900"/>
        <w:jc w:val="center"/>
        <w:rPr>
          <w:noProof/>
          <w:sz w:val="20"/>
          <w:szCs w:val="20"/>
        </w:rPr>
      </w:pPr>
    </w:p>
    <w:p w:rsidR="00FC6891" w:rsidRDefault="005F1CD3">
      <w:pPr>
        <w:pStyle w:val="Text2"/>
        <w:spacing w:before="0" w:after="0"/>
        <w:ind w:left="0"/>
        <w:jc w:val="center"/>
        <w:rPr>
          <w:iCs/>
          <w:noProof/>
          <w:sz w:val="18"/>
          <w:szCs w:val="18"/>
        </w:rPr>
      </w:pPr>
      <w:r>
        <w:rPr>
          <w:noProof/>
          <w:sz w:val="18"/>
        </w:rPr>
        <w:t>Potřebné správní prostředky budou pokryty z finančních zdrojů, které již jsou vyčleněny na řízení akce a/nebo které byly přesunuty, a případně doplněny z dodatečného přídělu, který lze řídícímu GŘ poskytnout v rámci ročního přidělování a s ohledem</w:t>
      </w:r>
      <w:r>
        <w:rPr>
          <w:noProof/>
          <w:sz w:val="18"/>
        </w:rPr>
        <w:t xml:space="preserve"> na stávající rozpočtová omezení.</w:t>
      </w:r>
    </w:p>
    <w:p w:rsidR="00FC6891" w:rsidRDefault="00FC6891">
      <w:pPr>
        <w:spacing w:before="60"/>
        <w:ind w:left="-360" w:firstLine="900"/>
        <w:rPr>
          <w:noProof/>
          <w:sz w:val="20"/>
          <w:szCs w:val="20"/>
        </w:rPr>
      </w:pPr>
    </w:p>
    <w:p w:rsidR="00FC6891" w:rsidRDefault="00FC6891">
      <w:pPr>
        <w:keepNext/>
        <w:spacing w:before="240" w:after="0"/>
        <w:rPr>
          <w:noProof/>
        </w:rPr>
        <w:sectPr w:rsidR="00FC6891" w:rsidSect="005F1CD3">
          <w:pgSz w:w="15840" w:h="12240" w:orient="landscape" w:code="1"/>
          <w:pgMar w:top="1418" w:right="1247" w:bottom="1418" w:left="1247" w:header="709" w:footer="709" w:gutter="0"/>
          <w:cols w:space="708"/>
          <w:docGrid w:linePitch="360"/>
        </w:sectPr>
      </w:pPr>
    </w:p>
    <w:p w:rsidR="00FC6891" w:rsidRDefault="005F1CD3">
      <w:pPr>
        <w:pStyle w:val="ManualHeading1"/>
        <w:rPr>
          <w:noProof/>
        </w:rPr>
      </w:pPr>
      <w:r>
        <w:t>3.</w:t>
      </w:r>
      <w:r>
        <w:tab/>
      </w:r>
      <w:r>
        <w:rPr>
          <w:noProof/>
        </w:rPr>
        <w:t>Metody výpočtu použité k odhadu nákladů</w:t>
      </w:r>
    </w:p>
    <w:p w:rsidR="00FC6891" w:rsidRDefault="005F1CD3">
      <w:pPr>
        <w:pStyle w:val="ManualHeading2"/>
        <w:rPr>
          <w:noProof/>
          <w:szCs w:val="28"/>
        </w:rPr>
      </w:pPr>
      <w:r>
        <w:t>3.1.</w:t>
      </w:r>
      <w:r>
        <w:tab/>
      </w:r>
      <w:r>
        <w:rPr>
          <w:noProof/>
        </w:rPr>
        <w:t xml:space="preserve"> Lidské zdroje</w:t>
      </w:r>
    </w:p>
    <w:p w:rsidR="00FC6891" w:rsidRDefault="00FC6891">
      <w:pPr>
        <w:ind w:left="-357" w:firstLine="902"/>
        <w:rPr>
          <w:noProof/>
          <w:sz w:val="20"/>
          <w:szCs w:val="20"/>
        </w:rPr>
      </w:pPr>
    </w:p>
    <w:p w:rsidR="00FC6891" w:rsidRDefault="00FC6891">
      <w:pPr>
        <w:spacing w:after="60"/>
        <w:jc w:val="center"/>
        <w:rPr>
          <w:i/>
          <w:noProof/>
          <w:sz w:val="20"/>
          <w:szCs w:val="20"/>
        </w:rPr>
      </w:pPr>
    </w:p>
    <w:p w:rsidR="00FC6891" w:rsidRDefault="005F1CD3">
      <w:pPr>
        <w:spacing w:after="60"/>
        <w:jc w:val="center"/>
        <w:rPr>
          <w:i/>
          <w:noProof/>
          <w:sz w:val="20"/>
          <w:szCs w:val="20"/>
        </w:rPr>
      </w:pPr>
      <w:r>
        <w:rPr>
          <w:i/>
          <w:noProof/>
          <w:sz w:val="20"/>
        </w:rPr>
        <w:t xml:space="preserve">Tato část objasňuje metodu výpočtu použitou k odhadu potřebných lidských zdrojů (předpokládané pracovní vytížení, včetně </w:t>
      </w:r>
      <w:r>
        <w:rPr>
          <w:i/>
          <w:noProof/>
          <w:sz w:val="20"/>
        </w:rPr>
        <w:t>konkrétních pracovních míst (pracovní profily Sysper 2), kategorie zaměstnanců a příslušné průměrné náklady)</w:t>
      </w:r>
    </w:p>
    <w:p w:rsidR="00FC6891" w:rsidRDefault="00FC6891">
      <w:pPr>
        <w:spacing w:after="60"/>
        <w:ind w:left="540"/>
        <w:jc w:val="center"/>
        <w:rPr>
          <w:i/>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FC6891">
        <w:trPr>
          <w:jc w:val="center"/>
        </w:trPr>
        <w:tc>
          <w:tcPr>
            <w:tcW w:w="12474" w:type="dxa"/>
            <w:tcBorders>
              <w:top w:val="single" w:sz="4" w:space="0" w:color="auto"/>
            </w:tcBorders>
          </w:tcPr>
          <w:p w:rsidR="00FC6891" w:rsidRDefault="005F1CD3">
            <w:pPr>
              <w:pStyle w:val="Text2"/>
              <w:spacing w:before="60" w:after="60"/>
              <w:ind w:left="0"/>
              <w:jc w:val="left"/>
              <w:rPr>
                <w:rFonts w:ascii="Arial Narrow" w:hAnsi="Arial Narrow"/>
                <w:b/>
                <w:noProof/>
                <w:sz w:val="22"/>
              </w:rPr>
            </w:pPr>
            <w:r>
              <w:rPr>
                <w:rFonts w:ascii="Arial Narrow" w:hAnsi="Arial Narrow"/>
                <w:b/>
                <w:noProof/>
                <w:sz w:val="22"/>
              </w:rPr>
              <w:t>OKRUH 5</w:t>
            </w:r>
            <w:r>
              <w:rPr>
                <w:rFonts w:ascii="Arial Narrow" w:hAnsi="Arial Narrow"/>
                <w:noProof/>
                <w:sz w:val="22"/>
              </w:rPr>
              <w:t xml:space="preserve"> víceletého finančního rámce</w:t>
            </w:r>
          </w:p>
        </w:tc>
      </w:tr>
      <w:tr w:rsidR="00FC6891">
        <w:trPr>
          <w:jc w:val="center"/>
        </w:trPr>
        <w:tc>
          <w:tcPr>
            <w:tcW w:w="12474" w:type="dxa"/>
          </w:tcPr>
          <w:p w:rsidR="00FC6891" w:rsidRDefault="005F1CD3">
            <w:pPr>
              <w:pStyle w:val="Text2"/>
              <w:spacing w:before="20" w:after="20"/>
              <w:ind w:left="0"/>
              <w:jc w:val="center"/>
              <w:rPr>
                <w:rFonts w:ascii="Arial Narrow" w:hAnsi="Arial Narrow"/>
                <w:noProof/>
                <w:sz w:val="18"/>
                <w:szCs w:val="18"/>
              </w:rPr>
            </w:pPr>
            <w:r>
              <w:rPr>
                <w:rFonts w:ascii="Arial Narrow" w:hAnsi="Arial Narrow"/>
                <w:noProof/>
                <w:sz w:val="18"/>
                <w:u w:val="single"/>
              </w:rPr>
              <w:t xml:space="preserve">POZN.: </w:t>
            </w:r>
            <w:r>
              <w:rPr>
                <w:rFonts w:ascii="Arial Narrow" w:hAnsi="Arial Narrow"/>
                <w:noProof/>
                <w:sz w:val="18"/>
              </w:rPr>
              <w:t xml:space="preserve"> Průměrné náklady pro každou kategorii zaměstnanců v ústředí jsou k dispozici na stránkách BudgWeb:</w:t>
            </w:r>
          </w:p>
          <w:p w:rsidR="00FC6891" w:rsidRDefault="005F1CD3">
            <w:pPr>
              <w:pStyle w:val="Text2"/>
              <w:spacing w:before="0" w:after="20"/>
              <w:ind w:left="0"/>
              <w:jc w:val="center"/>
              <w:rPr>
                <w:rFonts w:ascii="Arial Narrow" w:hAnsi="Arial Narrow"/>
                <w:noProof/>
                <w:sz w:val="18"/>
                <w:szCs w:val="18"/>
              </w:rPr>
            </w:pPr>
            <w:hyperlink r:id="rId26">
              <w:r>
                <w:rPr>
                  <w:rStyle w:val="Hyperlink"/>
                  <w:rFonts w:ascii="Arial Narrow" w:hAnsi="Arial Narrow"/>
                  <w:noProof/>
                  <w:sz w:val="18"/>
                </w:rPr>
                <w:t>https://myintracomm.ec.europa.eu/budgweb/EN/pre/legalbasis/Pages/pre-040-020_preparation.aspx</w:t>
              </w:r>
            </w:hyperlink>
          </w:p>
        </w:tc>
      </w:tr>
      <w:tr w:rsidR="00FC6891">
        <w:trPr>
          <w:jc w:val="center"/>
        </w:trPr>
        <w:tc>
          <w:tcPr>
            <w:tcW w:w="12474" w:type="dxa"/>
          </w:tcPr>
          <w:p w:rsidR="00FC6891" w:rsidRDefault="005F1CD3">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Úředníci a dočasní zaměstnanci</w:t>
            </w:r>
          </w:p>
          <w:p w:rsidR="00FC6891" w:rsidRDefault="00FC6891">
            <w:pPr>
              <w:pStyle w:val="Text2"/>
              <w:spacing w:before="0" w:after="0"/>
              <w:ind w:left="0"/>
              <w:rPr>
                <w:rFonts w:ascii="Arial Narrow" w:hAnsi="Arial Narrow"/>
                <w:noProof/>
                <w:sz w:val="20"/>
                <w:szCs w:val="20"/>
                <w:u w:val="single"/>
              </w:rPr>
            </w:pPr>
          </w:p>
          <w:p w:rsidR="00FC6891" w:rsidRDefault="005F1CD3">
            <w:pPr>
              <w:pStyle w:val="Text2"/>
              <w:spacing w:before="0" w:after="0"/>
              <w:ind w:left="0"/>
              <w:rPr>
                <w:rFonts w:ascii="Arial Narrow" w:hAnsi="Arial Narrow"/>
                <w:noProof/>
                <w:sz w:val="20"/>
                <w:szCs w:val="20"/>
              </w:rPr>
            </w:pPr>
            <w:r>
              <w:rPr>
                <w:rFonts w:ascii="Arial Narrow" w:hAnsi="Arial Narrow"/>
                <w:noProof/>
                <w:sz w:val="20"/>
              </w:rPr>
              <w:t xml:space="preserve">Průměrné náklady GŘ BUDG </w:t>
            </w:r>
          </w:p>
          <w:p w:rsidR="00FC6891" w:rsidRDefault="00FC6891">
            <w:pPr>
              <w:pStyle w:val="Text2"/>
              <w:spacing w:before="60" w:after="0"/>
              <w:ind w:left="0"/>
              <w:rPr>
                <w:rFonts w:ascii="Arial Narrow" w:hAnsi="Arial Narrow"/>
                <w:noProof/>
                <w:sz w:val="18"/>
                <w:szCs w:val="18"/>
                <w:u w:val="single"/>
              </w:rPr>
            </w:pPr>
          </w:p>
        </w:tc>
      </w:tr>
      <w:tr w:rsidR="00FC6891">
        <w:trPr>
          <w:jc w:val="center"/>
        </w:trPr>
        <w:tc>
          <w:tcPr>
            <w:tcW w:w="12474" w:type="dxa"/>
            <w:tcBorders>
              <w:bottom w:val="single" w:sz="4" w:space="0" w:color="auto"/>
            </w:tcBorders>
          </w:tcPr>
          <w:p w:rsidR="00FC6891" w:rsidRDefault="005F1CD3">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Externí zaměstnanci</w:t>
            </w:r>
          </w:p>
          <w:p w:rsidR="00FC6891" w:rsidRDefault="00FC6891">
            <w:pPr>
              <w:pStyle w:val="Text2"/>
              <w:spacing w:before="0" w:after="0"/>
              <w:ind w:left="0"/>
              <w:rPr>
                <w:rFonts w:ascii="Arial Narrow" w:hAnsi="Arial Narrow"/>
                <w:noProof/>
                <w:sz w:val="20"/>
                <w:szCs w:val="20"/>
                <w:u w:val="single"/>
              </w:rPr>
            </w:pPr>
          </w:p>
          <w:p w:rsidR="00FC6891" w:rsidRDefault="005F1CD3">
            <w:pPr>
              <w:pStyle w:val="Text2"/>
              <w:spacing w:before="0" w:after="0"/>
              <w:ind w:left="0"/>
              <w:rPr>
                <w:rFonts w:ascii="Arial Narrow" w:hAnsi="Arial Narrow"/>
                <w:noProof/>
                <w:sz w:val="20"/>
                <w:szCs w:val="20"/>
              </w:rPr>
            </w:pPr>
            <w:r>
              <w:rPr>
                <w:rFonts w:ascii="Arial Narrow" w:hAnsi="Arial Narrow"/>
                <w:noProof/>
                <w:sz w:val="20"/>
              </w:rPr>
              <w:t xml:space="preserve">Průměrné náklady GŘ BUDG </w:t>
            </w:r>
          </w:p>
          <w:p w:rsidR="00FC6891" w:rsidRDefault="00FC6891">
            <w:pPr>
              <w:pStyle w:val="Text2"/>
              <w:spacing w:before="0" w:after="0"/>
              <w:ind w:left="0"/>
              <w:rPr>
                <w:rFonts w:ascii="Arial Narrow" w:hAnsi="Arial Narrow"/>
                <w:noProof/>
                <w:sz w:val="20"/>
                <w:szCs w:val="20"/>
                <w:u w:val="single"/>
              </w:rPr>
            </w:pPr>
          </w:p>
          <w:p w:rsidR="00FC6891" w:rsidRDefault="00FC6891">
            <w:pPr>
              <w:pStyle w:val="Text2"/>
              <w:spacing w:before="60" w:after="0"/>
              <w:ind w:left="0"/>
              <w:rPr>
                <w:rFonts w:ascii="Arial Narrow" w:hAnsi="Arial Narrow"/>
                <w:noProof/>
                <w:sz w:val="18"/>
                <w:szCs w:val="18"/>
                <w:u w:val="single"/>
              </w:rPr>
            </w:pPr>
          </w:p>
        </w:tc>
      </w:tr>
    </w:tbl>
    <w:p w:rsidR="00FC6891" w:rsidRDefault="00FC6891">
      <w:pPr>
        <w:rPr>
          <w:rFonts w:ascii="Arial Narrow" w:hAnsi="Arial Narrow"/>
          <w:noProof/>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FC6891">
        <w:trPr>
          <w:jc w:val="center"/>
        </w:trPr>
        <w:tc>
          <w:tcPr>
            <w:tcW w:w="12474" w:type="dxa"/>
            <w:tcBorders>
              <w:top w:val="single" w:sz="4" w:space="0" w:color="auto"/>
            </w:tcBorders>
          </w:tcPr>
          <w:p w:rsidR="00FC6891" w:rsidRDefault="005F1CD3">
            <w:pPr>
              <w:pStyle w:val="Text2"/>
              <w:spacing w:before="60" w:after="60"/>
              <w:ind w:left="0"/>
              <w:jc w:val="left"/>
              <w:rPr>
                <w:rFonts w:ascii="Arial Narrow" w:hAnsi="Arial Narrow"/>
                <w:b/>
                <w:noProof/>
                <w:sz w:val="22"/>
              </w:rPr>
            </w:pPr>
            <w:r>
              <w:rPr>
                <w:rFonts w:ascii="Arial Narrow" w:hAnsi="Arial Narrow"/>
                <w:b/>
                <w:noProof/>
                <w:sz w:val="22"/>
              </w:rPr>
              <w:t>Mimo OKRUH 5</w:t>
            </w:r>
            <w:r>
              <w:rPr>
                <w:rFonts w:ascii="Arial Narrow" w:hAnsi="Arial Narrow"/>
                <w:noProof/>
                <w:sz w:val="22"/>
              </w:rPr>
              <w:t xml:space="preserve"> víceletého finančního rámce</w:t>
            </w:r>
          </w:p>
        </w:tc>
      </w:tr>
      <w:tr w:rsidR="00FC6891">
        <w:trPr>
          <w:jc w:val="center"/>
        </w:trPr>
        <w:tc>
          <w:tcPr>
            <w:tcW w:w="12474" w:type="dxa"/>
          </w:tcPr>
          <w:p w:rsidR="00FC6891" w:rsidRDefault="005F1CD3">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rPr>
              <w:t>Pouze pracovní místa financovaná z rozpočtu na výzkum</w:t>
            </w:r>
            <w:r>
              <w:rPr>
                <w:rFonts w:ascii="Arial Narrow" w:hAnsi="Arial Narrow"/>
                <w:noProof/>
                <w:sz w:val="22"/>
              </w:rPr>
              <w:t xml:space="preserve"> </w:t>
            </w:r>
          </w:p>
          <w:p w:rsidR="00FC6891" w:rsidRDefault="00FC6891">
            <w:pPr>
              <w:pStyle w:val="Text2"/>
              <w:spacing w:before="0" w:after="0"/>
              <w:ind w:left="0"/>
              <w:rPr>
                <w:rFonts w:ascii="Arial Narrow" w:hAnsi="Arial Narrow"/>
                <w:noProof/>
                <w:sz w:val="20"/>
                <w:szCs w:val="20"/>
                <w:u w:val="single"/>
              </w:rPr>
            </w:pPr>
          </w:p>
          <w:p w:rsidR="00FC6891" w:rsidRDefault="00FC6891">
            <w:pPr>
              <w:pStyle w:val="Text2"/>
              <w:spacing w:before="0" w:after="0"/>
              <w:ind w:left="0"/>
              <w:rPr>
                <w:rFonts w:ascii="Arial Narrow" w:hAnsi="Arial Narrow"/>
                <w:noProof/>
                <w:sz w:val="20"/>
                <w:szCs w:val="20"/>
                <w:u w:val="single"/>
              </w:rPr>
            </w:pPr>
          </w:p>
          <w:p w:rsidR="00FC6891" w:rsidRDefault="00FC6891">
            <w:pPr>
              <w:pStyle w:val="Text2"/>
              <w:spacing w:before="60" w:after="0"/>
              <w:ind w:left="0"/>
              <w:rPr>
                <w:rFonts w:ascii="Arial Narrow" w:hAnsi="Arial Narrow"/>
                <w:noProof/>
                <w:sz w:val="18"/>
                <w:szCs w:val="18"/>
                <w:u w:val="single"/>
              </w:rPr>
            </w:pPr>
          </w:p>
        </w:tc>
      </w:tr>
      <w:tr w:rsidR="00FC6891">
        <w:trPr>
          <w:jc w:val="center"/>
        </w:trPr>
        <w:tc>
          <w:tcPr>
            <w:tcW w:w="12474" w:type="dxa"/>
            <w:tcBorders>
              <w:bottom w:val="single" w:sz="4" w:space="0" w:color="auto"/>
            </w:tcBorders>
          </w:tcPr>
          <w:p w:rsidR="00FC6891" w:rsidRDefault="005F1CD3">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Externí zaměstnanci</w:t>
            </w:r>
          </w:p>
          <w:p w:rsidR="00FC6891" w:rsidRDefault="00FC6891">
            <w:pPr>
              <w:pStyle w:val="Text2"/>
              <w:spacing w:before="0" w:after="0"/>
              <w:ind w:left="0"/>
              <w:rPr>
                <w:rFonts w:ascii="Arial Narrow" w:hAnsi="Arial Narrow"/>
                <w:noProof/>
                <w:sz w:val="20"/>
                <w:szCs w:val="20"/>
                <w:u w:val="single"/>
              </w:rPr>
            </w:pPr>
          </w:p>
          <w:p w:rsidR="00FC6891" w:rsidRDefault="00FC6891">
            <w:pPr>
              <w:pStyle w:val="Text2"/>
              <w:spacing w:before="0" w:after="0"/>
              <w:ind w:left="0"/>
              <w:rPr>
                <w:rFonts w:ascii="Arial Narrow" w:hAnsi="Arial Narrow"/>
                <w:noProof/>
                <w:sz w:val="20"/>
                <w:szCs w:val="20"/>
                <w:u w:val="single"/>
              </w:rPr>
            </w:pPr>
          </w:p>
          <w:p w:rsidR="00FC6891" w:rsidRDefault="00FC6891">
            <w:pPr>
              <w:pStyle w:val="Text2"/>
              <w:spacing w:before="60" w:after="0"/>
              <w:ind w:left="0"/>
              <w:rPr>
                <w:rFonts w:ascii="Arial Narrow" w:hAnsi="Arial Narrow"/>
                <w:noProof/>
                <w:sz w:val="18"/>
                <w:szCs w:val="18"/>
                <w:u w:val="single"/>
              </w:rPr>
            </w:pPr>
          </w:p>
        </w:tc>
      </w:tr>
    </w:tbl>
    <w:p w:rsidR="00FC6891" w:rsidRDefault="00FC6891">
      <w:pPr>
        <w:spacing w:before="60"/>
        <w:ind w:left="-360" w:firstLine="900"/>
        <w:rPr>
          <w:noProof/>
          <w:sz w:val="20"/>
          <w:szCs w:val="20"/>
        </w:rPr>
      </w:pPr>
    </w:p>
    <w:p w:rsidR="00FC6891" w:rsidRDefault="005F1CD3">
      <w:pPr>
        <w:pStyle w:val="ManualHeading2"/>
        <w:rPr>
          <w:noProof/>
          <w:szCs w:val="28"/>
        </w:rPr>
      </w:pPr>
      <w:r>
        <w:t>3.2.</w:t>
      </w:r>
      <w:r>
        <w:tab/>
      </w:r>
      <w:r>
        <w:rPr>
          <w:noProof/>
        </w:rPr>
        <w:t>Ostatní správní výdaje</w:t>
      </w:r>
    </w:p>
    <w:p w:rsidR="00FC6891" w:rsidRDefault="00FC6891">
      <w:pPr>
        <w:ind w:left="-357" w:firstLine="902"/>
        <w:rPr>
          <w:noProof/>
          <w:sz w:val="20"/>
          <w:szCs w:val="20"/>
        </w:rPr>
      </w:pPr>
    </w:p>
    <w:p w:rsidR="00FC6891" w:rsidRDefault="005F1CD3">
      <w:pPr>
        <w:spacing w:before="60"/>
        <w:ind w:left="539"/>
        <w:jc w:val="center"/>
        <w:rPr>
          <w:i/>
          <w:noProof/>
          <w:sz w:val="20"/>
          <w:szCs w:val="20"/>
        </w:rPr>
      </w:pPr>
      <w:r>
        <w:rPr>
          <w:i/>
          <w:noProof/>
          <w:sz w:val="20"/>
        </w:rPr>
        <w:t xml:space="preserve">Uveďte podrobnosti o metodě výpočtu použité pro jednotlivé rozpočtové položky, </w:t>
      </w:r>
    </w:p>
    <w:p w:rsidR="00FC6891" w:rsidRDefault="005F1CD3">
      <w:pPr>
        <w:spacing w:after="60"/>
        <w:ind w:left="539"/>
        <w:jc w:val="center"/>
        <w:rPr>
          <w:i/>
          <w:noProof/>
          <w:sz w:val="20"/>
          <w:szCs w:val="20"/>
        </w:rPr>
      </w:pPr>
      <w:r>
        <w:rPr>
          <w:i/>
          <w:noProof/>
          <w:sz w:val="20"/>
        </w:rPr>
        <w:t>a zejména příslušné předpoklady (např. počet schůzí za rok, průměrné náklady atd.).</w:t>
      </w:r>
    </w:p>
    <w:tbl>
      <w:tblPr>
        <w:tblW w:w="0" w:type="auto"/>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37"/>
      </w:tblGrid>
      <w:tr w:rsidR="00FC6891">
        <w:trPr>
          <w:jc w:val="center"/>
        </w:trPr>
        <w:tc>
          <w:tcPr>
            <w:tcW w:w="9537" w:type="dxa"/>
            <w:tcBorders>
              <w:top w:val="single" w:sz="4" w:space="0" w:color="auto"/>
            </w:tcBorders>
          </w:tcPr>
          <w:p w:rsidR="00FC6891" w:rsidRDefault="005F1CD3">
            <w:pPr>
              <w:pStyle w:val="Text2"/>
              <w:spacing w:before="60" w:after="60"/>
              <w:ind w:left="0"/>
              <w:jc w:val="left"/>
              <w:rPr>
                <w:rFonts w:ascii="Arial Narrow" w:hAnsi="Arial Narrow"/>
                <w:b/>
                <w:noProof/>
                <w:sz w:val="22"/>
              </w:rPr>
            </w:pPr>
            <w:r>
              <w:rPr>
                <w:rFonts w:ascii="Arial Narrow" w:hAnsi="Arial Narrow"/>
                <w:b/>
                <w:noProof/>
                <w:sz w:val="22"/>
              </w:rPr>
              <w:t>OKRUH 5</w:t>
            </w:r>
            <w:r>
              <w:rPr>
                <w:rFonts w:ascii="Arial Narrow" w:hAnsi="Arial Narrow"/>
                <w:noProof/>
                <w:sz w:val="22"/>
              </w:rPr>
              <w:t xml:space="preserve"> víceletého finančního rámce</w:t>
            </w:r>
          </w:p>
        </w:tc>
      </w:tr>
      <w:tr w:rsidR="00FC6891">
        <w:trPr>
          <w:jc w:val="center"/>
        </w:trPr>
        <w:tc>
          <w:tcPr>
            <w:tcW w:w="9537" w:type="dxa"/>
            <w:tcBorders>
              <w:bottom w:val="single" w:sz="4" w:space="0" w:color="auto"/>
            </w:tcBorders>
          </w:tcPr>
          <w:p w:rsidR="00FC6891" w:rsidRDefault="00FC6891">
            <w:pPr>
              <w:pStyle w:val="Text2"/>
              <w:spacing w:before="0" w:after="0"/>
              <w:ind w:left="0"/>
              <w:rPr>
                <w:rFonts w:ascii="Arial Narrow" w:hAnsi="Arial Narrow"/>
                <w:noProof/>
                <w:sz w:val="22"/>
                <w:u w:val="single"/>
              </w:rPr>
            </w:pPr>
          </w:p>
          <w:p w:rsidR="00FC6891" w:rsidRDefault="005F1CD3">
            <w:pPr>
              <w:pStyle w:val="Text2"/>
              <w:spacing w:before="0" w:after="0"/>
              <w:ind w:left="0"/>
              <w:rPr>
                <w:rFonts w:ascii="Arial Narrow" w:hAnsi="Arial Narrow"/>
                <w:noProof/>
                <w:sz w:val="22"/>
              </w:rPr>
            </w:pPr>
            <w:r>
              <w:rPr>
                <w:rFonts w:ascii="Arial Narrow" w:hAnsi="Arial Narrow"/>
                <w:noProof/>
                <w:sz w:val="22"/>
              </w:rPr>
              <w:t>1 návštěva každého členského státu během prvních 2 let</w:t>
            </w:r>
            <w:r>
              <w:rPr>
                <w:rFonts w:ascii="Arial Narrow" w:hAnsi="Arial Narrow"/>
                <w:noProof/>
                <w:sz w:val="22"/>
              </w:rPr>
              <w:t xml:space="preserve"> (průměrné náklady +/-715 EUR)</w:t>
            </w:r>
          </w:p>
          <w:p w:rsidR="00FC6891" w:rsidRDefault="005F1CD3">
            <w:pPr>
              <w:pStyle w:val="Text2"/>
              <w:spacing w:before="0" w:after="0"/>
              <w:ind w:left="0"/>
              <w:rPr>
                <w:rFonts w:ascii="Arial Narrow" w:hAnsi="Arial Narrow"/>
                <w:noProof/>
                <w:sz w:val="22"/>
              </w:rPr>
            </w:pPr>
            <w:r>
              <w:rPr>
                <w:rFonts w:ascii="Arial Narrow" w:hAnsi="Arial Narrow"/>
                <w:noProof/>
                <w:sz w:val="22"/>
              </w:rPr>
              <w:t xml:space="preserve">V posledních 2 letech je následná kontrola méně intenzivní. </w:t>
            </w:r>
          </w:p>
          <w:p w:rsidR="00FC6891" w:rsidRDefault="00FC6891">
            <w:pPr>
              <w:pStyle w:val="Text2"/>
              <w:spacing w:before="0" w:after="0"/>
              <w:ind w:left="0"/>
              <w:rPr>
                <w:rFonts w:ascii="Arial Narrow" w:hAnsi="Arial Narrow"/>
                <w:noProof/>
                <w:sz w:val="22"/>
                <w:u w:val="single"/>
              </w:rPr>
            </w:pPr>
          </w:p>
          <w:p w:rsidR="00FC6891" w:rsidRDefault="00FC6891">
            <w:pPr>
              <w:pStyle w:val="Text2"/>
              <w:spacing w:before="0" w:after="0"/>
              <w:ind w:left="0"/>
              <w:rPr>
                <w:rFonts w:ascii="Arial Narrow" w:hAnsi="Arial Narrow"/>
                <w:noProof/>
                <w:sz w:val="22"/>
                <w:u w:val="single"/>
              </w:rPr>
            </w:pPr>
          </w:p>
          <w:p w:rsidR="00FC6891" w:rsidRDefault="00FC6891">
            <w:pPr>
              <w:pStyle w:val="Text2"/>
              <w:spacing w:before="60" w:after="0"/>
              <w:ind w:left="0"/>
              <w:rPr>
                <w:rFonts w:ascii="Arial Narrow" w:hAnsi="Arial Narrow"/>
                <w:noProof/>
                <w:sz w:val="22"/>
                <w:u w:val="single"/>
              </w:rPr>
            </w:pPr>
          </w:p>
        </w:tc>
      </w:tr>
    </w:tbl>
    <w:p w:rsidR="00FC6891" w:rsidRDefault="00FC6891">
      <w:pPr>
        <w:rPr>
          <w:rFonts w:ascii="Arial Narrow"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84"/>
      </w:tblGrid>
      <w:tr w:rsidR="00FC6891">
        <w:trPr>
          <w:jc w:val="center"/>
        </w:trPr>
        <w:tc>
          <w:tcPr>
            <w:tcW w:w="9584" w:type="dxa"/>
            <w:tcBorders>
              <w:top w:val="single" w:sz="4" w:space="0" w:color="auto"/>
            </w:tcBorders>
          </w:tcPr>
          <w:p w:rsidR="00FC6891" w:rsidRDefault="005F1CD3">
            <w:pPr>
              <w:pStyle w:val="Text2"/>
              <w:spacing w:before="60" w:after="60"/>
              <w:ind w:left="0"/>
              <w:jc w:val="left"/>
              <w:rPr>
                <w:rFonts w:ascii="Arial Narrow" w:hAnsi="Arial Narrow"/>
                <w:b/>
                <w:noProof/>
                <w:sz w:val="22"/>
              </w:rPr>
            </w:pPr>
            <w:r>
              <w:rPr>
                <w:rFonts w:ascii="Arial Narrow" w:hAnsi="Arial Narrow"/>
                <w:b/>
                <w:noProof/>
                <w:sz w:val="22"/>
              </w:rPr>
              <w:t>Mimo OKRUH 5</w:t>
            </w:r>
            <w:r>
              <w:rPr>
                <w:rFonts w:ascii="Arial Narrow" w:hAnsi="Arial Narrow"/>
                <w:noProof/>
                <w:sz w:val="22"/>
              </w:rPr>
              <w:t xml:space="preserve"> víceletého finančního rámce</w:t>
            </w:r>
          </w:p>
        </w:tc>
      </w:tr>
      <w:tr w:rsidR="00FC6891">
        <w:trPr>
          <w:jc w:val="center"/>
        </w:trPr>
        <w:tc>
          <w:tcPr>
            <w:tcW w:w="9584" w:type="dxa"/>
            <w:tcBorders>
              <w:bottom w:val="single" w:sz="4" w:space="0" w:color="auto"/>
            </w:tcBorders>
          </w:tcPr>
          <w:p w:rsidR="00FC6891" w:rsidRDefault="005F1CD3">
            <w:pPr>
              <w:pStyle w:val="Text2"/>
              <w:spacing w:before="0" w:after="0"/>
              <w:ind w:left="0"/>
              <w:jc w:val="left"/>
              <w:rPr>
                <w:rFonts w:ascii="Arial Narrow" w:hAnsi="Arial Narrow"/>
                <w:noProof/>
                <w:sz w:val="20"/>
                <w:szCs w:val="20"/>
              </w:rPr>
            </w:pPr>
            <w:r>
              <w:rPr>
                <w:rFonts w:ascii="Arial Narrow" w:hAnsi="Arial Narrow"/>
                <w:noProof/>
                <w:sz w:val="20"/>
              </w:rPr>
              <w:t>V roce 2017 vývoj IT a následná údržba</w:t>
            </w:r>
            <w:r>
              <w:rPr>
                <w:rFonts w:ascii="Arial Narrow" w:hAnsi="Arial Narrow"/>
                <w:noProof/>
                <w:sz w:val="20"/>
                <w:szCs w:val="20"/>
              </w:rPr>
              <w:br/>
            </w:r>
            <w:r>
              <w:rPr>
                <w:rFonts w:ascii="Arial Narrow" w:hAnsi="Arial Narrow"/>
                <w:noProof/>
                <w:sz w:val="20"/>
              </w:rPr>
              <w:t>Náklady na hodnocení na konci provádění</w:t>
            </w:r>
          </w:p>
          <w:p w:rsidR="00FC6891" w:rsidRDefault="00FC6891">
            <w:pPr>
              <w:pStyle w:val="Text2"/>
              <w:spacing w:before="0" w:after="0"/>
              <w:ind w:left="0"/>
              <w:rPr>
                <w:rFonts w:ascii="Arial Narrow" w:hAnsi="Arial Narrow"/>
                <w:noProof/>
                <w:sz w:val="20"/>
                <w:szCs w:val="20"/>
                <w:u w:val="single"/>
              </w:rPr>
            </w:pPr>
          </w:p>
          <w:p w:rsidR="00FC6891" w:rsidRDefault="00FC6891">
            <w:pPr>
              <w:pStyle w:val="Text2"/>
              <w:spacing w:before="0" w:after="0"/>
              <w:ind w:left="0"/>
              <w:rPr>
                <w:rFonts w:ascii="Arial Narrow" w:hAnsi="Arial Narrow"/>
                <w:noProof/>
                <w:sz w:val="20"/>
                <w:szCs w:val="20"/>
                <w:u w:val="single"/>
              </w:rPr>
            </w:pPr>
          </w:p>
          <w:p w:rsidR="00FC6891" w:rsidRDefault="00FC6891">
            <w:pPr>
              <w:pStyle w:val="Text2"/>
              <w:spacing w:before="0" w:after="0"/>
              <w:ind w:left="0"/>
              <w:rPr>
                <w:rFonts w:ascii="Arial Narrow" w:hAnsi="Arial Narrow"/>
                <w:noProof/>
                <w:sz w:val="20"/>
                <w:szCs w:val="20"/>
                <w:u w:val="single"/>
              </w:rPr>
            </w:pPr>
          </w:p>
          <w:p w:rsidR="00FC6891" w:rsidRDefault="00FC6891">
            <w:pPr>
              <w:pStyle w:val="Text2"/>
              <w:spacing w:before="0" w:after="0"/>
              <w:ind w:left="0"/>
              <w:rPr>
                <w:rFonts w:ascii="Arial Narrow" w:hAnsi="Arial Narrow"/>
                <w:noProof/>
                <w:sz w:val="20"/>
                <w:szCs w:val="20"/>
                <w:u w:val="single"/>
              </w:rPr>
            </w:pPr>
          </w:p>
          <w:p w:rsidR="00FC6891" w:rsidRDefault="00FC6891">
            <w:pPr>
              <w:pStyle w:val="Text2"/>
              <w:spacing w:before="60" w:after="0"/>
              <w:ind w:left="0"/>
              <w:rPr>
                <w:rFonts w:ascii="Arial Narrow" w:hAnsi="Arial Narrow"/>
                <w:noProof/>
                <w:sz w:val="18"/>
                <w:szCs w:val="18"/>
                <w:u w:val="single"/>
              </w:rPr>
            </w:pPr>
          </w:p>
        </w:tc>
      </w:tr>
    </w:tbl>
    <w:p w:rsidR="00FC6891" w:rsidRDefault="00FC6891">
      <w:pPr>
        <w:rPr>
          <w:noProof/>
        </w:rPr>
      </w:pPr>
    </w:p>
    <w:sectPr w:rsidR="00FC6891" w:rsidSect="005F1CD3">
      <w:headerReference w:type="default" r:id="rId27"/>
      <w:footerReference w:type="default" r:id="rId28"/>
      <w:headerReference w:type="first" r:id="rId29"/>
      <w:footerReference w:type="first" r:id="rId30"/>
      <w:pgSz w:w="12240" w:h="15840" w:code="1"/>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91" w:rsidRDefault="005F1CD3">
      <w:pPr>
        <w:spacing w:before="0" w:after="0"/>
      </w:pPr>
      <w:r>
        <w:separator/>
      </w:r>
    </w:p>
  </w:endnote>
  <w:endnote w:type="continuationSeparator" w:id="0">
    <w:p w:rsidR="00FC6891" w:rsidRDefault="005F1C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1" w:rsidRPr="005F1CD3" w:rsidRDefault="005F1CD3" w:rsidP="005F1CD3">
    <w:pPr>
      <w:pStyle w:val="Footer"/>
      <w:rPr>
        <w:rFonts w:ascii="Arial" w:hAnsi="Arial" w:cs="Arial"/>
        <w:b/>
        <w:sz w:val="48"/>
      </w:rPr>
    </w:pPr>
    <w:r w:rsidRPr="005F1CD3">
      <w:rPr>
        <w:rFonts w:ascii="Arial" w:hAnsi="Arial" w:cs="Arial"/>
        <w:b/>
        <w:sz w:val="48"/>
      </w:rPr>
      <w:t>CS</w:t>
    </w:r>
    <w:r w:rsidRPr="005F1CD3">
      <w:rPr>
        <w:rFonts w:ascii="Arial" w:hAnsi="Arial" w:cs="Arial"/>
        <w:b/>
        <w:sz w:val="48"/>
      </w:rPr>
      <w:tab/>
    </w:r>
    <w:r w:rsidRPr="005F1CD3">
      <w:rPr>
        <w:rFonts w:ascii="Arial" w:hAnsi="Arial" w:cs="Arial"/>
        <w:b/>
        <w:sz w:val="48"/>
      </w:rPr>
      <w:tab/>
    </w:r>
    <w:fldSimple w:instr=" DOCVARIABLE &quot;LW_Confidence&quot; \* MERGEFORMAT ">
      <w:r>
        <w:t xml:space="preserve"> </w:t>
      </w:r>
    </w:fldSimple>
    <w:r w:rsidRPr="005F1CD3">
      <w:tab/>
    </w:r>
    <w:r w:rsidRPr="005F1CD3">
      <w:rPr>
        <w:rFonts w:ascii="Arial" w:hAnsi="Arial" w:cs="Arial"/>
        <w:b/>
        <w:sz w:val="48"/>
      </w:rPr>
      <w:t>CS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Footer"/>
      <w:rPr>
        <w:rFonts w:ascii="Arial" w:hAnsi="Arial" w:cs="Arial"/>
        <w:b/>
        <w:sz w:val="48"/>
      </w:rPr>
    </w:pPr>
    <w:r w:rsidRPr="005F1CD3">
      <w:rPr>
        <w:rFonts w:ascii="Arial" w:hAnsi="Arial" w:cs="Arial"/>
        <w:b/>
        <w:sz w:val="48"/>
      </w:rPr>
      <w:t>CS</w:t>
    </w:r>
    <w:r w:rsidRPr="005F1CD3">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fldSimple w:instr=" DOCVARIABLE &quot;LW_Confidence&quot; \* MERGEFORMAT ">
      <w:r>
        <w:t xml:space="preserve"> </w:t>
      </w:r>
    </w:fldSimple>
    <w:r w:rsidRPr="005F1CD3">
      <w:tab/>
    </w:r>
    <w:r w:rsidRPr="005F1CD3">
      <w:rPr>
        <w:rFonts w:ascii="Arial" w:hAnsi="Arial" w:cs="Arial"/>
        <w:b/>
        <w:sz w:val="48"/>
      </w:rPr>
      <w:t>CS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Footer"/>
      <w:rPr>
        <w:rFonts w:ascii="Arial" w:hAnsi="Arial" w:cs="Arial"/>
        <w:b/>
        <w:sz w:val="48"/>
      </w:rPr>
    </w:pPr>
    <w:r w:rsidRPr="005F1CD3">
      <w:rPr>
        <w:rFonts w:ascii="Arial" w:hAnsi="Arial" w:cs="Arial"/>
        <w:b/>
        <w:sz w:val="48"/>
      </w:rPr>
      <w:t>CS</w:t>
    </w:r>
    <w:r w:rsidRPr="005F1CD3">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5F1CD3">
      <w:tab/>
    </w:r>
    <w:r w:rsidRPr="005F1CD3">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FooterLandscape"/>
      <w:rPr>
        <w:rFonts w:ascii="Arial" w:hAnsi="Arial" w:cs="Arial"/>
        <w:b/>
        <w:sz w:val="48"/>
      </w:rPr>
    </w:pPr>
    <w:r w:rsidRPr="005F1CD3">
      <w:rPr>
        <w:rFonts w:ascii="Arial" w:hAnsi="Arial" w:cs="Arial"/>
        <w:b/>
        <w:sz w:val="48"/>
      </w:rPr>
      <w:t>CS</w:t>
    </w:r>
    <w:r w:rsidRPr="005F1CD3">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fldSimple w:instr=" DOCVARIABLE &quot;LW_Confidence&quot; \* MERGEFORMAT ">
      <w:r>
        <w:t xml:space="preserve"> </w:t>
      </w:r>
    </w:fldSimple>
    <w:r w:rsidRPr="005F1CD3">
      <w:tab/>
    </w:r>
    <w:r w:rsidRPr="005F1CD3">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Footer"/>
      <w:rPr>
        <w:rFonts w:ascii="Arial" w:hAnsi="Arial" w:cs="Arial"/>
        <w:b/>
        <w:sz w:val="48"/>
      </w:rPr>
    </w:pPr>
    <w:r w:rsidRPr="005F1CD3">
      <w:rPr>
        <w:rFonts w:ascii="Arial" w:hAnsi="Arial" w:cs="Arial"/>
        <w:b/>
        <w:sz w:val="48"/>
      </w:rPr>
      <w:t>CS</w:t>
    </w:r>
    <w:r w:rsidRPr="005F1CD3">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fldSimple w:instr=" DOCVARIABLE &quot;LW_Confidence&quot; \* MERGEFORMAT ">
      <w:r>
        <w:t xml:space="preserve"> </w:t>
      </w:r>
    </w:fldSimple>
    <w:r w:rsidRPr="005F1CD3">
      <w:tab/>
    </w:r>
    <w:r w:rsidRPr="005F1CD3">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FooterLandscape"/>
      <w:rPr>
        <w:rFonts w:ascii="Arial" w:hAnsi="Arial" w:cs="Arial"/>
        <w:b/>
        <w:sz w:val="48"/>
      </w:rPr>
    </w:pPr>
    <w:r w:rsidRPr="005F1CD3">
      <w:rPr>
        <w:rFonts w:ascii="Arial" w:hAnsi="Arial" w:cs="Arial"/>
        <w:b/>
        <w:sz w:val="48"/>
      </w:rPr>
      <w:t>CS</w:t>
    </w:r>
    <w:r w:rsidRPr="005F1CD3">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fldSimple w:instr=" DOCVARIABLE &quot;LW_Confidence&quot; \* MERGEFORMAT ">
      <w:r>
        <w:t xml:space="preserve"> </w:t>
      </w:r>
    </w:fldSimple>
    <w:r w:rsidRPr="005F1CD3">
      <w:tab/>
    </w:r>
    <w:r w:rsidRPr="005F1CD3">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91" w:rsidRDefault="005F1CD3">
      <w:pPr>
        <w:spacing w:before="0" w:after="0"/>
      </w:pPr>
      <w:r>
        <w:separator/>
      </w:r>
    </w:p>
  </w:footnote>
  <w:footnote w:type="continuationSeparator" w:id="0">
    <w:p w:rsidR="00FC6891" w:rsidRDefault="005F1CD3">
      <w:pPr>
        <w:spacing w:before="0" w:after="0"/>
      </w:pPr>
      <w:r>
        <w:continuationSeparator/>
      </w:r>
    </w:p>
  </w:footnote>
  <w:footnote w:id="1">
    <w:p w:rsidR="00FC6891" w:rsidRDefault="005F1CD3">
      <w:pPr>
        <w:pStyle w:val="FootnoteText"/>
      </w:pPr>
      <w:r>
        <w:rPr>
          <w:rStyle w:val="FootnoteReference"/>
        </w:rPr>
        <w:footnoteRef/>
      </w:r>
      <w:r>
        <w:tab/>
        <w:t>Sdělení Komise Evropskému parlamentu, Radě, Evropskému hospodářskému a sociálnímu výboru a Výboru regionů – Připojení pro konkurenceschopný jednotný digitální trh – na cestě k evropské gigabitové</w:t>
      </w:r>
      <w:r>
        <w:t xml:space="preserve"> společnosti (COM(2016)587).</w:t>
      </w:r>
    </w:p>
  </w:footnote>
  <w:footnote w:id="2">
    <w:p w:rsidR="00FC6891" w:rsidRDefault="005F1CD3">
      <w:pPr>
        <w:pStyle w:val="FootnoteText"/>
      </w:pPr>
      <w:r>
        <w:rPr>
          <w:rStyle w:val="FootnoteReference"/>
        </w:rPr>
        <w:footnoteRef/>
      </w:r>
      <w:r>
        <w:tab/>
        <w:t>Návrh směrnice Evropského parlamentu a Rady, kterou se stanoví evropský kodex pro elektronické komunikace (přepracované znění), (COM(2016)590).</w:t>
      </w:r>
    </w:p>
  </w:footnote>
  <w:footnote w:id="3">
    <w:p w:rsidR="00FC6891" w:rsidRDefault="005F1CD3">
      <w:pPr>
        <w:pStyle w:val="FootnoteText"/>
      </w:pPr>
      <w:r>
        <w:rPr>
          <w:rStyle w:val="FootnoteReference"/>
        </w:rPr>
        <w:footnoteRef/>
      </w:r>
      <w:r>
        <w:tab/>
        <w:t>Nařízení Evropského parlamentu a Rady (EU) č. 1316/2013 ze dne 11. prosince 201</w:t>
      </w:r>
      <w:r>
        <w:t>3, kterým se vytváří Nástroj pro propojení Evropy, mění zařízení (EU) č. 913/2010 a zrušují nařízení (ES) č. 680/2007 a (ES) č. 67/2010, Úř. věst. L 348, 20.12.2013, s. 129, naposledy pozměněné nařízením Evropského parlamentu a Rady (EU) č. 2015/1017 ze dn</w:t>
      </w:r>
      <w:r>
        <w:t>e 25. června 2015, Úř. věst. L 169, 1.7.2015, s. 1.</w:t>
      </w:r>
    </w:p>
  </w:footnote>
  <w:footnote w:id="4">
    <w:p w:rsidR="00FC6891" w:rsidRDefault="005F1CD3">
      <w:pPr>
        <w:pStyle w:val="FootnoteText"/>
      </w:pPr>
      <w:r>
        <w:rPr>
          <w:rStyle w:val="FootnoteReference"/>
        </w:rPr>
        <w:footnoteRef/>
      </w:r>
      <w:r>
        <w:tab/>
        <w:t>Nařízení Evropského parlamentu a Rady (EU) č. 283/2014 ze dne 11. března 2014 o hlavních směrech transevropských sítí v oblasti telekomunikační infrastruktury a o zrušení rozhodnutí č. 1336/97/ES, Úř. v</w:t>
      </w:r>
      <w:r>
        <w:t>ěst. L 86, 21.3.2014, s. 14.</w:t>
      </w:r>
    </w:p>
  </w:footnote>
  <w:footnote w:id="5">
    <w:p w:rsidR="00FC6891" w:rsidRDefault="005F1CD3">
      <w:pPr>
        <w:pStyle w:val="FootnoteText"/>
      </w:pPr>
      <w:r>
        <w:rPr>
          <w:rStyle w:val="FootnoteReference"/>
        </w:rPr>
        <w:footnoteRef/>
      </w:r>
      <w:r>
        <w:tab/>
        <w:t xml:space="preserve">Podle článku 185 nařízení (EU) č. 1268/2012 ze dne 29. října 2012 o prováděcích pravidlech k nařízení Evropského parlamentu a Rady (EU, Euratom) č. 966/2012, kterým se stanoví finanční pravidla o souhrnném rozpočtu Unie, Úř. </w:t>
      </w:r>
      <w:r>
        <w:t>věst. L 362, 31.12.2012, s.1, ve znění nařízení Komise v přenesené pravomoci (EU) 2015/2462 ze dne 30. října 2015, Úř. věst. L 342, 29.12.2015, s.7.</w:t>
      </w:r>
    </w:p>
  </w:footnote>
  <w:footnote w:id="6">
    <w:p w:rsidR="00FC6891" w:rsidRDefault="005F1CD3">
      <w:pPr>
        <w:pStyle w:val="FootnoteText"/>
      </w:pPr>
      <w:r>
        <w:rPr>
          <w:rStyle w:val="FootnoteReference"/>
        </w:rPr>
        <w:footnoteRef/>
      </w:r>
      <w:r>
        <w:tab/>
        <w:t>Jakákoli dodatečná finanční pomoc členských států by se měla považovat běžně za podporu de minimis, jak j</w:t>
      </w:r>
      <w:r>
        <w:t>e uvedeno v článku 3 nařízení Komise (EU) č. 1407/2013 ze dne 18. prosince 2013 o použití článků 107 a 108 Smlouvy o fungování Evropské unie na podporu de minimis, Úř. věst. L 352, 24.12.2013, s. 1. V případě, že by takové dodatečné financování ze strany č</w:t>
      </w:r>
      <w:r>
        <w:t>lenských států nesplňovalo požadavky, aby byly považovány za podporu de minimis, použijí se na dodatečné financování články 107 a 108 SFEU.</w:t>
      </w:r>
    </w:p>
  </w:footnote>
  <w:footnote w:id="7">
    <w:p w:rsidR="00FC6891" w:rsidRDefault="005F1CD3">
      <w:pPr>
        <w:pStyle w:val="FootnoteText"/>
      </w:pPr>
      <w:r>
        <w:rPr>
          <w:rStyle w:val="FootnoteReference"/>
        </w:rPr>
        <w:footnoteRef/>
      </w:r>
      <w:r>
        <w:tab/>
        <w:t>Cíle zeměpisně vyváženého rozdělování finanční pomoci Unie musí být splněny v mezích předložených návrhů a v plném</w:t>
      </w:r>
      <w:r>
        <w:t xml:space="preserve"> souladu se zásadami pro zvláštní formy finanční pomoci, jak je stanoveno ve finančním nařízení.</w:t>
      </w:r>
    </w:p>
  </w:footnote>
  <w:footnote w:id="8">
    <w:p w:rsidR="00FC6891" w:rsidRDefault="005F1CD3">
      <w:pPr>
        <w:pStyle w:val="FootnoteText"/>
      </w:pPr>
      <w:r>
        <w:rPr>
          <w:rStyle w:val="FootnoteReference"/>
        </w:rPr>
        <w:footnoteRef/>
      </w:r>
      <w:r>
        <w:tab/>
      </w:r>
      <w:hyperlink r:id="rId1">
        <w:r>
          <w:rPr>
            <w:rStyle w:val="Hyperlink"/>
            <w:rFonts w:ascii="Times New Roman" w:hAnsi="Times New Roman"/>
          </w:rPr>
          <w:t>https://ec.europa.eu/digital-single-market/en/broadband-compete</w:t>
        </w:r>
        <w:r>
          <w:rPr>
            <w:rStyle w:val="Hyperlink"/>
            <w:rFonts w:ascii="Times New Roman" w:hAnsi="Times New Roman"/>
          </w:rPr>
          <w:t>nce-offices</w:t>
        </w:r>
      </w:hyperlink>
      <w:r>
        <w:t xml:space="preserve">. </w:t>
      </w:r>
    </w:p>
  </w:footnote>
  <w:footnote w:id="9">
    <w:p w:rsidR="00FC6891" w:rsidRDefault="005F1CD3">
      <w:pPr>
        <w:pStyle w:val="FootnoteText"/>
        <w:jc w:val="left"/>
      </w:pPr>
      <w:r>
        <w:rPr>
          <w:rStyle w:val="FootnoteReference"/>
        </w:rPr>
        <w:footnoteRef/>
      </w:r>
      <w:r>
        <w:tab/>
      </w:r>
      <w:hyperlink r:id="rId2">
        <w:r>
          <w:rPr>
            <w:rStyle w:val="Hyperlink"/>
            <w:rFonts w:ascii="Times New Roman" w:hAnsi="Times New Roman"/>
          </w:rPr>
          <w:t>h</w:t>
        </w:r>
        <w:r>
          <w:rPr>
            <w:rStyle w:val="Hyperlink"/>
            <w:rFonts w:ascii="Times New Roman" w:hAnsi="Times New Roman"/>
            <w:sz w:val="18"/>
          </w:rPr>
          <w:t>ttps://ec.europa.eu/digital-single-market/en/news/full-synopsis-report-pub</w:t>
        </w:r>
        <w:r>
          <w:rPr>
            <w:rStyle w:val="Hyperlink"/>
            <w:rFonts w:ascii="Times New Roman" w:hAnsi="Times New Roman"/>
            <w:sz w:val="18"/>
          </w:rPr>
          <w:t>lic-consultation-evaluation-and-review-regulatory-framework-electronic</w:t>
        </w:r>
      </w:hyperlink>
    </w:p>
  </w:footnote>
  <w:footnote w:id="10">
    <w:p w:rsidR="00FC6891" w:rsidRDefault="005F1CD3">
      <w:pPr>
        <w:pStyle w:val="FootnoteText"/>
      </w:pPr>
      <w:r>
        <w:rPr>
          <w:rStyle w:val="FootnoteReference"/>
        </w:rPr>
        <w:footnoteRef/>
      </w:r>
      <w:r>
        <w:tab/>
        <w:t>Návrh nařízení Evropského parlamentu a Rady, kterým se mění nařízení Evropského parlamentu a Rady (EU) č. 1316/2013 a (EU) 2015/1017, pokud jde o prodloužení doby trvání Evropského fo</w:t>
      </w:r>
      <w:r>
        <w:t xml:space="preserve">ndu pro strategické investice, jakož i zavedení technických zlepšení daného fondu a Evropského centra pro investiční poradenství (COM(2016)597). </w:t>
      </w:r>
    </w:p>
  </w:footnote>
  <w:footnote w:id="11">
    <w:p w:rsidR="00FC6891" w:rsidRDefault="005F1CD3">
      <w:pPr>
        <w:pStyle w:val="FootnoteText"/>
      </w:pPr>
      <w:r>
        <w:rPr>
          <w:rStyle w:val="FootnoteReference"/>
        </w:rPr>
        <w:footnoteRef/>
      </w:r>
      <w:r>
        <w:tab/>
        <w:t>Nařízení Evropského parlamentu a Rady (EU) 2015/1017 ze dne 25. června 2015 o Evropském fondu pro strategick</w:t>
      </w:r>
      <w:r>
        <w:t>é investice, Evropském centru pro investiční poradenství a Evropském portálu investičních projektů a o změně nařízení (EU) č. 1291/2013 a (EU) č. 1316/2013 – Evropský fond pro strategické investice, Úř. věst. L 169, 1.7.2015, s. 1.</w:t>
      </w:r>
    </w:p>
  </w:footnote>
  <w:footnote w:id="12">
    <w:p w:rsidR="00FC6891" w:rsidRDefault="005F1CD3">
      <w:pPr>
        <w:pStyle w:val="FootnoteText"/>
      </w:pPr>
      <w:r>
        <w:rPr>
          <w:rStyle w:val="FootnoteReference"/>
        </w:rPr>
        <w:footnoteRef/>
      </w:r>
      <w:r>
        <w:tab/>
        <w:t>Úř. věst. C,, s...</w:t>
      </w:r>
    </w:p>
  </w:footnote>
  <w:footnote w:id="13">
    <w:p w:rsidR="00FC6891" w:rsidRDefault="005F1CD3">
      <w:pPr>
        <w:pStyle w:val="FootnoteText"/>
      </w:pPr>
      <w:r>
        <w:rPr>
          <w:rStyle w:val="FootnoteReference"/>
        </w:rPr>
        <w:footnoteRef/>
      </w:r>
      <w:r>
        <w:tab/>
        <w:t>Ú</w:t>
      </w:r>
      <w:r>
        <w:t>ř. věst. C,, s...</w:t>
      </w:r>
    </w:p>
  </w:footnote>
  <w:footnote w:id="14">
    <w:p w:rsidR="00FC6891" w:rsidRDefault="005F1CD3">
      <w:pPr>
        <w:pStyle w:val="FootnoteText"/>
      </w:pPr>
      <w:r>
        <w:rPr>
          <w:rStyle w:val="FootnoteReference"/>
        </w:rPr>
        <w:footnoteRef/>
      </w:r>
      <w:r>
        <w:tab/>
        <w:t>Sdělení Komise Evropskému parlamentu, Radě, Evropskému hospodářskému a sociálnímu výboru a Výboru regionů – Připojení pro konkurenceschopný jednotný digitální trh – na cestě k evropské gigabitové společnosti (COM(2016)587).</w:t>
      </w:r>
    </w:p>
  </w:footnote>
  <w:footnote w:id="15">
    <w:p w:rsidR="00FC6891" w:rsidRDefault="005F1CD3">
      <w:pPr>
        <w:pStyle w:val="FootnoteText"/>
      </w:pPr>
      <w:r>
        <w:rPr>
          <w:rStyle w:val="FootnoteReference"/>
        </w:rPr>
        <w:footnoteRef/>
      </w:r>
      <w:r>
        <w:tab/>
        <w:t xml:space="preserve">Nařízení </w:t>
      </w:r>
      <w:r>
        <w:t xml:space="preserve">Evropského parlamentu a Rady (EU) č. 1316/20136 ze dne 11. prosince 2013, kterým se vytváří Nástroj pro propojení Evropy, mění zařízení (EU) č. 913/2010 a zrušují nařízení (ES) č. 680/2007 a (ES) č. 67/2010 (Úř. věst. L 348, 20.12.2013, s. 129), naposledy </w:t>
      </w:r>
      <w:r>
        <w:t>pozměněné nařízením Evropského parlamentu a Rady (EU) č. 2015/1017 ze dne 25. června 2015, Úř. věst. L 169, 1.7.2015, s. 1.</w:t>
      </w:r>
    </w:p>
  </w:footnote>
  <w:footnote w:id="16">
    <w:p w:rsidR="00FC6891" w:rsidRDefault="005F1CD3">
      <w:pPr>
        <w:pStyle w:val="FootnoteText"/>
      </w:pPr>
      <w:r>
        <w:rPr>
          <w:rStyle w:val="FootnoteReference"/>
        </w:rPr>
        <w:footnoteRef/>
      </w:r>
      <w:r>
        <w:tab/>
        <w:t>Nařízení Evropského parlamentu a Rady (EU) č. 283/2014 ze dne 11. března 2014 o hlavních směrech transevropských sítí v oblasti te</w:t>
      </w:r>
      <w:r>
        <w:t>lekomunikační infrastruktury a o zrušení rozhodnutí č. 1336/97/ES, Úř. věst. L 86, 21.3.2014, s. 14.</w:t>
      </w:r>
    </w:p>
  </w:footnote>
  <w:footnote w:id="17">
    <w:p w:rsidR="00FC6891" w:rsidRDefault="005F1CD3">
      <w:pPr>
        <w:pStyle w:val="FootnoteText"/>
      </w:pPr>
      <w:r>
        <w:rPr>
          <w:rStyle w:val="FootnoteReference"/>
        </w:rPr>
        <w:footnoteRef/>
      </w:r>
      <w:r>
        <w:tab/>
        <w:t>ABM: ABM: řízení podle činností (activity-based management) –  ABB: sestavování rozpočtu podle činností (activity-based budgeting).</w:t>
      </w:r>
    </w:p>
  </w:footnote>
  <w:footnote w:id="18">
    <w:p w:rsidR="00FC6891" w:rsidRDefault="005F1CD3">
      <w:pPr>
        <w:pStyle w:val="FootnoteText"/>
      </w:pPr>
      <w:r>
        <w:rPr>
          <w:rStyle w:val="FootnoteReference"/>
        </w:rPr>
        <w:footnoteRef/>
      </w:r>
      <w:r>
        <w:tab/>
        <w:t>Uvedené v čl. 54 od</w:t>
      </w:r>
      <w:r>
        <w:t>st. 2 písm. a) nebo b) finančního nařízení.</w:t>
      </w:r>
    </w:p>
  </w:footnote>
  <w:footnote w:id="19">
    <w:p w:rsidR="00FC6891" w:rsidRDefault="005F1CD3">
      <w:pPr>
        <w:pStyle w:val="FootnoteText"/>
      </w:pPr>
      <w:r>
        <w:rPr>
          <w:rStyle w:val="FootnoteReference"/>
        </w:rPr>
        <w:footnoteRef/>
      </w:r>
      <w:r>
        <w:tab/>
        <w:t>Patří sem například základní a střední školy, vlaková nádraží, přístavy a letiště, budovy místní správy, univerzity, výzkumná centra, lékařské ordinace, nemocnice a sportovní zařízení.</w:t>
      </w:r>
    </w:p>
  </w:footnote>
  <w:footnote w:id="20">
    <w:p w:rsidR="00FC6891" w:rsidRDefault="005F1CD3">
      <w:pPr>
        <w:pStyle w:val="FootnoteText"/>
        <w:jc w:val="left"/>
      </w:pPr>
      <w:r>
        <w:rPr>
          <w:rStyle w:val="FootnoteReference"/>
        </w:rPr>
        <w:footnoteRef/>
      </w:r>
      <w:r>
        <w:tab/>
        <w:t>Vysvětlení způsobů říze</w:t>
      </w:r>
      <w:r>
        <w:t xml:space="preserve">ní spolu s odkazem na finanční nařízení jsou k dispozici na stránkách BudgWeb: </w:t>
      </w:r>
      <w:hyperlink r:id="rId3">
        <w:r>
          <w:rPr>
            <w:rStyle w:val="Hyperlink"/>
            <w:rFonts w:ascii="Times New Roman" w:hAnsi="Times New Roman"/>
          </w:rPr>
          <w:t>https://myintracomm.ec.europa.eu/budgweb/EN/man/budgmanag/Pages/budgmanag.aspx</w:t>
        </w:r>
      </w:hyperlink>
      <w:r>
        <w:t xml:space="preserve"> </w:t>
      </w:r>
    </w:p>
  </w:footnote>
  <w:footnote w:id="21">
    <w:p w:rsidR="00FC6891" w:rsidRDefault="005F1CD3">
      <w:pPr>
        <w:pStyle w:val="FootnoteText"/>
      </w:pPr>
      <w:r>
        <w:rPr>
          <w:rStyle w:val="FootnoteReference"/>
        </w:rPr>
        <w:footnoteRef/>
      </w:r>
      <w:r>
        <w:tab/>
        <w:t>Tato částka bude vrácena z nástroje CEF DSI (09.0303) do programu Horizont 2020 v období 2019–2020.</w:t>
      </w:r>
    </w:p>
  </w:footnote>
  <w:footnote w:id="22">
    <w:p w:rsidR="00FC6891" w:rsidRDefault="005F1CD3">
      <w:pPr>
        <w:pStyle w:val="FootnoteText"/>
      </w:pPr>
      <w:r>
        <w:rPr>
          <w:rStyle w:val="FootnoteReference"/>
        </w:rPr>
        <w:footnoteRef/>
      </w:r>
      <w:r>
        <w:tab/>
        <w:t>Technická a/nebo administrativní pomoc a výdaje na podporu provádění programů a/nebo akcí EU (bývalé položky „BA“), nepřímý výzkum, přímý výzkum.</w:t>
      </w:r>
    </w:p>
  </w:footnote>
  <w:footnote w:id="23">
    <w:p w:rsidR="00FC6891" w:rsidRDefault="005F1CD3">
      <w:pPr>
        <w:pStyle w:val="FootnoteText"/>
      </w:pPr>
      <w:r>
        <w:rPr>
          <w:rStyle w:val="FootnoteReference"/>
        </w:rPr>
        <w:footnoteRef/>
      </w:r>
      <w:r>
        <w:tab/>
        <w:t>Výs</w:t>
      </w:r>
      <w:r>
        <w:t>tupy se rozumí produkty a služby, které mají být dodány (např. počet financovaných studentských výměn, počet vybudovaných kilometrů silnic atd.).</w:t>
      </w:r>
    </w:p>
  </w:footnote>
  <w:footnote w:id="24">
    <w:p w:rsidR="00FC6891" w:rsidRDefault="005F1CD3">
      <w:pPr>
        <w:pStyle w:val="FootnoteText"/>
      </w:pPr>
      <w:r>
        <w:rPr>
          <w:rStyle w:val="FootnoteReference"/>
        </w:rPr>
        <w:footnoteRef/>
      </w:r>
      <w:r>
        <w:tab/>
        <w:t>Technická a/nebo administrativní pomoc a výdaje na podporu provádění programů a/nebo akcí EU (bývalé položky</w:t>
      </w:r>
      <w:r>
        <w:t xml:space="preserve"> „BA“), nepřímý výzkum, přímý výzkum.</w:t>
      </w:r>
    </w:p>
  </w:footnote>
  <w:footnote w:id="25">
    <w:p w:rsidR="00FC6891" w:rsidRDefault="005F1CD3">
      <w:pPr>
        <w:pStyle w:val="FootnoteText"/>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26">
    <w:p w:rsidR="00FC6891" w:rsidRDefault="005F1CD3">
      <w:pPr>
        <w:pStyle w:val="FootnoteText"/>
      </w:pPr>
      <w:r>
        <w:rPr>
          <w:rStyle w:val="FootnoteReference"/>
        </w:rPr>
        <w:footnoteRef/>
      </w:r>
      <w:r>
        <w:tab/>
        <w:t>Dílčí strop na externí zaměstnance financované z operačních p</w:t>
      </w:r>
      <w:r>
        <w:t>rostředků (bývalé položky „BA“).</w:t>
      </w:r>
    </w:p>
  </w:footnote>
  <w:footnote w:id="27">
    <w:p w:rsidR="00FC6891" w:rsidRDefault="005F1CD3">
      <w:pPr>
        <w:pStyle w:val="FootnoteText"/>
        <w:spacing w:after="120"/>
      </w:pPr>
      <w:r>
        <w:rPr>
          <w:rStyle w:val="FootnoteReference"/>
        </w:rPr>
        <w:footnoteRef/>
      </w:r>
      <w:r>
        <w:tab/>
      </w:r>
      <w:r>
        <w:rPr>
          <w:sz w:val="18"/>
        </w:rPr>
        <w:t>SZ = smluvní zaměstnanec; MZ = místní zaměstnanec; VNO = vyslaný národní odborník; ZAP = zaměstnanec agentury práce; MOD = mladý odborník při delegaci.</w:t>
      </w:r>
    </w:p>
  </w:footnote>
  <w:footnote w:id="28">
    <w:p w:rsidR="00FC6891" w:rsidRDefault="005F1CD3">
      <w:pPr>
        <w:pStyle w:val="FootnoteText"/>
        <w:spacing w:after="120"/>
      </w:pPr>
      <w:r>
        <w:rPr>
          <w:rStyle w:val="FootnoteReference"/>
        </w:rPr>
        <w:footnoteRef/>
      </w:r>
      <w:r>
        <w:tab/>
      </w:r>
      <w:r>
        <w:rPr>
          <w:sz w:val="18"/>
        </w:rPr>
        <w:t xml:space="preserve">SZ = smluvní zaměstnanec; MZ = místní zaměstnanec; VNO = vyslaný </w:t>
      </w:r>
      <w:r>
        <w:rPr>
          <w:sz w:val="18"/>
        </w:rPr>
        <w:t>národní odborník; ZAP = zaměstnanec agentury práce; MOD = mladý odborník při delegaci.</w:t>
      </w:r>
    </w:p>
  </w:footnote>
  <w:footnote w:id="29">
    <w:p w:rsidR="00FC6891" w:rsidRDefault="005F1CD3">
      <w:pPr>
        <w:pStyle w:val="FootnoteText"/>
      </w:pPr>
      <w:r>
        <w:rPr>
          <w:rStyle w:val="FootnoteReference"/>
        </w:rPr>
        <w:footnoteRef/>
      </w:r>
      <w:r>
        <w:tab/>
      </w:r>
      <w:r>
        <w:rPr>
          <w:sz w:val="18"/>
        </w:rPr>
        <w:t>Uveďte přesně druh výboru a skupinu, do níž náleží.</w:t>
      </w:r>
    </w:p>
  </w:footnote>
  <w:footnote w:id="30">
    <w:p w:rsidR="00FC6891" w:rsidRDefault="005F1CD3">
      <w:pPr>
        <w:pStyle w:val="FootnoteText"/>
      </w:pPr>
      <w:r>
        <w:rPr>
          <w:rStyle w:val="FootnoteReference"/>
        </w:rPr>
        <w:footnoteRef/>
      </w:r>
      <w:r>
        <w:tab/>
        <w:t>IKT: Informační a komunikační technologie: Musí být konzultováno GŘ DIGIT.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3" w:rsidRPr="005F1CD3" w:rsidRDefault="005F1CD3" w:rsidP="005F1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0EEDCDE"/>
    <w:lvl w:ilvl="0">
      <w:start w:val="1"/>
      <w:numFmt w:val="decimal"/>
      <w:pStyle w:val="ListNumber3"/>
      <w:lvlText w:val="%1."/>
      <w:lvlJc w:val="left"/>
      <w:pPr>
        <w:tabs>
          <w:tab w:val="num" w:pos="1209"/>
        </w:tabs>
        <w:ind w:left="1209" w:hanging="360"/>
      </w:pPr>
      <w:rPr>
        <w:rFonts w:cs="Times New Roman"/>
      </w:rPr>
    </w:lvl>
  </w:abstractNum>
  <w:abstractNum w:abstractNumId="1">
    <w:nsid w:val="FFFFFF7E"/>
    <w:multiLevelType w:val="singleLevel"/>
    <w:tmpl w:val="4BD6CDDC"/>
    <w:lvl w:ilvl="0">
      <w:start w:val="1"/>
      <w:numFmt w:val="decimal"/>
      <w:pStyle w:val="ListNumber2"/>
      <w:lvlText w:val="%1."/>
      <w:lvlJc w:val="left"/>
      <w:pPr>
        <w:tabs>
          <w:tab w:val="num" w:pos="926"/>
        </w:tabs>
        <w:ind w:left="926" w:hanging="360"/>
      </w:pPr>
      <w:rPr>
        <w:rFonts w:cs="Times New Roman"/>
      </w:rPr>
    </w:lvl>
  </w:abstractNum>
  <w:abstractNum w:abstractNumId="2">
    <w:nsid w:val="FFFFFF7F"/>
    <w:multiLevelType w:val="singleLevel"/>
    <w:tmpl w:val="8CB8FB90"/>
    <w:lvl w:ilvl="0">
      <w:start w:val="1"/>
      <w:numFmt w:val="decimal"/>
      <w:pStyle w:val="ListNumber"/>
      <w:lvlText w:val="%1."/>
      <w:lvlJc w:val="left"/>
      <w:pPr>
        <w:tabs>
          <w:tab w:val="num" w:pos="643"/>
        </w:tabs>
        <w:ind w:left="643" w:hanging="360"/>
      </w:pPr>
      <w:rPr>
        <w:rFonts w:cs="Times New Roman"/>
      </w:rPr>
    </w:lvl>
  </w:abstractNum>
  <w:abstractNum w:abstractNumId="3">
    <w:nsid w:val="FFFFFF81"/>
    <w:multiLevelType w:val="singleLevel"/>
    <w:tmpl w:val="AB00CCCA"/>
    <w:lvl w:ilvl="0">
      <w:start w:val="1"/>
      <w:numFmt w:val="bullet"/>
      <w:pStyle w:val="ListBullet3"/>
      <w:lvlText w:val=""/>
      <w:lvlJc w:val="left"/>
      <w:pPr>
        <w:tabs>
          <w:tab w:val="num" w:pos="1209"/>
        </w:tabs>
        <w:ind w:left="1209" w:hanging="360"/>
      </w:pPr>
      <w:rPr>
        <w:rFonts w:ascii="Symbol" w:hAnsi="Symbol" w:hint="default"/>
      </w:rPr>
    </w:lvl>
  </w:abstractNum>
  <w:abstractNum w:abstractNumId="4">
    <w:nsid w:val="FFFFFF82"/>
    <w:multiLevelType w:val="singleLevel"/>
    <w:tmpl w:val="5A2E2900"/>
    <w:lvl w:ilvl="0">
      <w:start w:val="1"/>
      <w:numFmt w:val="bullet"/>
      <w:pStyle w:val="ListBullet2"/>
      <w:lvlText w:val=""/>
      <w:lvlJc w:val="left"/>
      <w:pPr>
        <w:tabs>
          <w:tab w:val="num" w:pos="926"/>
        </w:tabs>
        <w:ind w:left="926" w:hanging="360"/>
      </w:pPr>
      <w:rPr>
        <w:rFonts w:ascii="Symbol" w:hAnsi="Symbol" w:hint="default"/>
      </w:rPr>
    </w:lvl>
  </w:abstractNum>
  <w:abstractNum w:abstractNumId="5">
    <w:nsid w:val="FFFFFF83"/>
    <w:multiLevelType w:val="singleLevel"/>
    <w:tmpl w:val="E44AA05A"/>
    <w:lvl w:ilvl="0">
      <w:start w:val="1"/>
      <w:numFmt w:val="bullet"/>
      <w:pStyle w:val="ListBullet"/>
      <w:lvlText w:val=""/>
      <w:lvlJc w:val="left"/>
      <w:pPr>
        <w:tabs>
          <w:tab w:val="num" w:pos="643"/>
        </w:tabs>
        <w:ind w:left="643" w:hanging="360"/>
      </w:pPr>
      <w:rPr>
        <w:rFonts w:ascii="Symbol" w:hAnsi="Symbol" w:hint="default"/>
      </w:rPr>
    </w:lvl>
  </w:abstractNum>
  <w:abstractNum w:abstractNumId="6">
    <w:nsid w:val="FFFFFF88"/>
    <w:multiLevelType w:val="singleLevel"/>
    <w:tmpl w:val="A60CB450"/>
    <w:lvl w:ilvl="0">
      <w:start w:val="1"/>
      <w:numFmt w:val="decimal"/>
      <w:pStyle w:val="ListBullet4"/>
      <w:lvlText w:val="%1."/>
      <w:lvlJc w:val="left"/>
      <w:pPr>
        <w:tabs>
          <w:tab w:val="num" w:pos="360"/>
        </w:tabs>
        <w:ind w:left="360" w:hanging="360"/>
      </w:pPr>
      <w:rPr>
        <w:rFonts w:cs="Times New Roman"/>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23"/>
    <w:lvlOverride w:ilvl="0">
      <w:startOverride w:val="1"/>
    </w:lvlOverride>
  </w:num>
  <w:num w:numId="9">
    <w:abstractNumId w:val="7"/>
  </w:num>
  <w:num w:numId="10">
    <w:abstractNumId w:val="16"/>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22"/>
  </w:num>
  <w:num w:numId="18">
    <w:abstractNumId w:val="11"/>
  </w:num>
  <w:num w:numId="19">
    <w:abstractNumId w:val="13"/>
  </w:num>
  <w:num w:numId="20">
    <w:abstractNumId w:val="9"/>
  </w:num>
  <w:num w:numId="21">
    <w:abstractNumId w:val="21"/>
  </w:num>
  <w:num w:numId="22">
    <w:abstractNumId w:val="8"/>
  </w:num>
  <w:num w:numId="23">
    <w:abstractNumId w:val="14"/>
  </w:num>
  <w:num w:numId="24">
    <w:abstractNumId w:val="18"/>
  </w:num>
  <w:num w:numId="25">
    <w:abstractNumId w:val="19"/>
  </w:num>
  <w:num w:numId="26">
    <w:abstractNumId w:val="10"/>
  </w:num>
  <w:num w:numId="27">
    <w:abstractNumId w:val="17"/>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5:26: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46"/>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136A935F0E0D4877B22DD733125673D7"/>
    <w:docVar w:name="LW_CROSSREFERENCE" w:val="&lt;UNUSED&gt;"/>
    <w:docVar w:name="LW_DocType" w:val="COM"/>
    <w:docVar w:name="LW_EMISSION" w:val="14.9.2016"/>
    <w:docVar w:name="LW_EMISSION_ISODATE" w:val="2016-09-14"/>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87"/>
    <w:docVar w:name="LW_REF.II.NEW.CP_YEAR" w:val="2016"/>
    <w:docVar w:name="LW_REF.INST.NEW" w:val="COM"/>
    <w:docVar w:name="LW_REF.INST.NEW_ADOPTED" w:val="final"/>
    <w:docVar w:name="LW_REF.INST.NEW_TEXT" w:val="(2016) 589"/>
    <w:docVar w:name="LW_REF.INTERNE" w:val="&lt;UNUSED&gt;"/>
    <w:docVar w:name="LW_SOUS.TITRE.OBJ.CP" w:val="&lt;UNUSED&gt;"/>
    <w:docVar w:name="LW_STATUT.CP" w:val="Návrh"/>
    <w:docVar w:name="LW_SUPERTITRE" w:val="&lt;UNUSED&gt;"/>
    <w:docVar w:name="LW_TITRE.OBJ.CP" w:val="_x000b_kterým se m\u283?ní na\u345?ízení (EU) \u269?. 1316/2013 a (EU) \u269?. 283/2014, pokud jde o podporu p\u345?ipojení k internetu v místních komunitách"/>
    <w:docVar w:name="LW_TYPE.DOC.CP" w:val="NA\u344?ÍZENÍ EVROPSKÉHO PARLAMENTU A RADY"/>
  </w:docVars>
  <w:rsids>
    <w:rsidRoot w:val="00FC6891"/>
    <w:rsid w:val="005F1CD3"/>
    <w:rsid w:val="00FC68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cs-CZ"/>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cs-CZ"/>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cs-CZ"/>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cs-CZ" w:eastAsia="cs-CZ"/>
    </w:rPr>
  </w:style>
  <w:style w:type="paragraph" w:styleId="Header">
    <w:name w:val="header"/>
    <w:basedOn w:val="Normal"/>
    <w:link w:val="HeaderChar"/>
    <w:uiPriority w:val="99"/>
    <w:unhideWhenUsed/>
    <w:rsid w:val="005F1CD3"/>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5F1CD3"/>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F1CD3"/>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cs-CZ"/>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cs-CZ"/>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cs-CZ"/>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cs-CZ" w:eastAsia="cs-CZ"/>
    </w:rPr>
  </w:style>
  <w:style w:type="paragraph" w:styleId="Header">
    <w:name w:val="header"/>
    <w:basedOn w:val="Normal"/>
    <w:link w:val="HeaderChar"/>
    <w:uiPriority w:val="99"/>
    <w:unhideWhenUsed/>
    <w:rsid w:val="005F1CD3"/>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5F1CD3"/>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F1CD3"/>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26" Type="http://schemas.openxmlformats.org/officeDocument/2006/relationships/hyperlink" Target="https://myintracomm.ec.europa.eu/budgweb/EN/pre/legalbasis/Pages/pre-040-020_preparation.aspx"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digital-single-market/en/news/full-synopsis-report-public-consultation-evaluation-and-review-regulatory-framework-electronic" TargetMode="External"/><Relationship Id="rId1" Type="http://schemas.openxmlformats.org/officeDocument/2006/relationships/hyperlink" Target="https://ec.europa.eu/digital-single-market/en/broadband-competence-off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519B-390D-4B28-AE50-E19CC766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37</Pages>
  <Words>8002</Words>
  <Characters>48497</Characters>
  <Application>Microsoft Office Word</Application>
  <DocSecurity>0</DocSecurity>
  <Lines>2108</Lines>
  <Paragraphs>911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19</cp:revision>
  <cp:lastPrinted>2016-09-09T18:03:00Z</cp:lastPrinted>
  <dcterms:created xsi:type="dcterms:W3CDTF">2016-09-29T13:56:00Z</dcterms:created>
  <dcterms:modified xsi:type="dcterms:W3CDTF">2016-10-03T13:35:00Z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Yellow (DQC version 03)</vt:lpwstr>
  </property>
</Properties>
</file>