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9C" w:rsidRDefault="00493E42" w:rsidP="00493E4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9A48F2205694DE8A81645D7C3731AB7" style="width:450.75pt;height:408.75pt">
            <v:imagedata r:id="rId12" o:title=""/>
          </v:shape>
        </w:pict>
      </w:r>
    </w:p>
    <w:p w:rsidR="0006109C" w:rsidRDefault="0006109C">
      <w:pPr>
        <w:rPr>
          <w:noProof/>
        </w:rPr>
        <w:sectPr w:rsidR="0006109C" w:rsidSect="00493E42">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6109C" w:rsidRDefault="00493E42">
      <w:pPr>
        <w:pStyle w:val="Exposdesmotifstitre"/>
        <w:rPr>
          <w:noProof/>
        </w:rPr>
      </w:pPr>
      <w:bookmarkStart w:id="0" w:name="_Toc455736242"/>
      <w:bookmarkStart w:id="1" w:name="_Toc455740694"/>
      <w:bookmarkStart w:id="2" w:name="_Toc455740869"/>
      <w:bookmarkStart w:id="3" w:name="_Toc455741952"/>
      <w:bookmarkStart w:id="4" w:name="_Toc455743777"/>
      <w:bookmarkStart w:id="5" w:name="_Toc455749663"/>
      <w:bookmarkStart w:id="6" w:name="_Toc455750897"/>
      <w:bookmarkStart w:id="7" w:name="_Toc455751132"/>
      <w:bookmarkStart w:id="8" w:name="_Toc455751307"/>
      <w:bookmarkStart w:id="9" w:name="_Toc455751849"/>
      <w:bookmarkStart w:id="10" w:name="_Toc455752323"/>
      <w:bookmarkStart w:id="11" w:name="_Toc455752858"/>
      <w:bookmarkStart w:id="12" w:name="_Toc455753128"/>
      <w:bookmarkStart w:id="13" w:name="_Toc455754001"/>
      <w:bookmarkStart w:id="14" w:name="_Toc455754656"/>
      <w:bookmarkStart w:id="15" w:name="_Toc455754667"/>
      <w:bookmarkStart w:id="16" w:name="_Toc455755017"/>
      <w:bookmarkStart w:id="17" w:name="_Toc455755192"/>
      <w:bookmarkStart w:id="18" w:name="_Toc455755830"/>
      <w:bookmarkStart w:id="19" w:name="_Toc455756255"/>
      <w:bookmarkStart w:id="20" w:name="_Toc455756609"/>
      <w:bookmarkStart w:id="21" w:name="_Toc455756759"/>
      <w:bookmarkStart w:id="22" w:name="_Toc455756934"/>
      <w:bookmarkStart w:id="23" w:name="_Toc455757491"/>
      <w:bookmarkStart w:id="24" w:name="_Toc455757780"/>
      <w:bookmarkStart w:id="25" w:name="_Toc455758563"/>
      <w:bookmarkStart w:id="26" w:name="_Toc455759141"/>
      <w:bookmarkStart w:id="27" w:name="_Toc455759887"/>
      <w:bookmarkStart w:id="28" w:name="_Toc455760062"/>
      <w:bookmarkStart w:id="29" w:name="_Toc455757955"/>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noProof/>
        </w:rPr>
        <w:lastRenderedPageBreak/>
        <w:t>PERUSTELUT</w:t>
      </w:r>
    </w:p>
    <w:p w:rsidR="0006109C" w:rsidRDefault="00493E42">
      <w:pPr>
        <w:pStyle w:val="ManualHeading1"/>
        <w:rPr>
          <w:noProof/>
        </w:rPr>
      </w:pPr>
      <w:r>
        <w:rPr>
          <w:noProof/>
        </w:rPr>
        <w:t>1.</w:t>
      </w:r>
      <w:r>
        <w:rPr>
          <w:noProof/>
        </w:rPr>
        <w:tab/>
        <w:t>EHDOTUKSEN TAUSTA</w:t>
      </w:r>
    </w:p>
    <w:p w:rsidR="0006109C" w:rsidRDefault="00493E42">
      <w:pPr>
        <w:pStyle w:val="ManualHeading2"/>
        <w:rPr>
          <w:rFonts w:eastAsia="Arial Unicode MS"/>
          <w:noProof/>
        </w:rPr>
      </w:pPr>
      <w:r>
        <w:rPr>
          <w:noProof/>
          <w:color w:val="000000"/>
          <w:u w:color="000000"/>
          <w:bdr w:val="nil"/>
        </w:rPr>
        <w:t>•</w:t>
      </w:r>
      <w:r>
        <w:rPr>
          <w:noProof/>
        </w:rPr>
        <w:tab/>
        <w:t>Ehdotuksen perustelut ja tavoitteet</w:t>
      </w:r>
    </w:p>
    <w:p w:rsidR="0006109C" w:rsidRDefault="00493E42">
      <w:pPr>
        <w:spacing w:before="0"/>
        <w:rPr>
          <w:noProof/>
        </w:rPr>
      </w:pPr>
      <w:r>
        <w:rPr>
          <w:noProof/>
        </w:rPr>
        <w:t xml:space="preserve">Toukokuussa 2015 julkaisemassaan tiedonannossa </w:t>
      </w:r>
      <w:r>
        <w:rPr>
          <w:i/>
          <w:noProof/>
        </w:rPr>
        <w:t>Digitaalisten sisämarkkinoiden strategia Euroopalle</w:t>
      </w:r>
      <w:r>
        <w:rPr>
          <w:rStyle w:val="FootnoteReference"/>
          <w:noProof/>
        </w:rPr>
        <w:footnoteReference w:id="1"/>
      </w:r>
      <w:r>
        <w:rPr>
          <w:noProof/>
        </w:rPr>
        <w:t>, jäljempänä ’DSM-strategia’, komissio ilmoitti esittävänsä vuonna 2016 ehdotuksia sähköisen viestinnän sääntelyjärjestelmän kunnianhimoisesta uudistamisesta</w:t>
      </w:r>
      <w:r>
        <w:rPr>
          <w:noProof/>
        </w:rPr>
        <w:t>. Uudistuksen tavoitteena on muun muassa tehostaa institutionaalista sääntelykehystä, jotta telesäännöt palvelisivat tarkoitustaan paremmin luotaessa otollisia olosuhteita digitaalisten sisämarkkinoiden toiminnalle. Tähän sisältyvät erittäin suurikapasitee</w:t>
      </w:r>
      <w:r>
        <w:rPr>
          <w:noProof/>
        </w:rPr>
        <w:t>ttisten verkkojen käyttöönotto, radiotaajuuksien koordinoidumpi hallinta langattomissa verkoissa ja tasapuolisten toimintaedellytysten luominen edistyneille digitaaliverkoille ja innovatiivisille palveluille. Tiedonannossa todettiin, että markkina- ja tekn</w:t>
      </w:r>
      <w:r>
        <w:rPr>
          <w:noProof/>
        </w:rPr>
        <w:t>ologiaympäristön muutokset edellyttävät institutionaalisen kehyksen lujittamista laajentamalla Euroopan sähköisen viestinnän sääntelyviranomaisten yhteistyöelimen (BEREC) roolia.</w:t>
      </w:r>
    </w:p>
    <w:p w:rsidR="0006109C" w:rsidRDefault="00493E42">
      <w:pPr>
        <w:spacing w:before="0"/>
        <w:rPr>
          <w:noProof/>
        </w:rPr>
      </w:pPr>
      <w:r>
        <w:rPr>
          <w:noProof/>
        </w:rPr>
        <w:t>Digitaalisten sisämarkkinoiden toimenpidepaketista antamassaan päätöslauselma</w:t>
      </w:r>
      <w:r>
        <w:rPr>
          <w:noProof/>
        </w:rPr>
        <w:t>ssa</w:t>
      </w:r>
      <w:r>
        <w:rPr>
          <w:rStyle w:val="FootnoteReference"/>
          <w:noProof/>
        </w:rPr>
        <w:footnoteReference w:id="2"/>
      </w:r>
      <w:r>
        <w:rPr>
          <w:noProof/>
        </w:rPr>
        <w:t xml:space="preserve"> Euroopan parlamentti kehotti komissiota viemään digitaalisten sisämarkkinoiden yhdentymistä eteenpäin varmistamalla, että käytössä on entistä toimivammat institutionaaliset puitteet. Tämä voidaan saavuttaa vahvistamalla BERECin roolia, valmiuksia ja p</w:t>
      </w:r>
      <w:r>
        <w:rPr>
          <w:noProof/>
        </w:rPr>
        <w:t>äätöksentekovaltuuksia, jotta se voi i) edistää sähköisen viestinnän sääntelyjärjestelmän johdonmukaista täytäntöönpanoa, ii) seurata tehokkaasti sisämarkkinoiden kehitystä ja iii) auttaa ratkaisemaan rajat ylittävät riita-asiat. Euroopan parlamentti koros</w:t>
      </w:r>
      <w:r>
        <w:rPr>
          <w:noProof/>
        </w:rPr>
        <w:t>ti tässä yhteydessä myös tarvetta parantaa taloudellisia ja henkilöstöresursseja ja tehostaa edelleen BERECin hallintorakennetta.</w:t>
      </w:r>
    </w:p>
    <w:p w:rsidR="0006109C" w:rsidRDefault="00493E42">
      <w:pPr>
        <w:spacing w:before="0"/>
        <w:rPr>
          <w:noProof/>
        </w:rPr>
      </w:pPr>
      <w:r>
        <w:rPr>
          <w:noProof/>
        </w:rPr>
        <w:t>Tätä ehdotusta on luettava yhdessä eurooppalaista sähköisen viestinnän säännöstöä koskevan Euroopan parlamentin ja neuvoston d</w:t>
      </w:r>
      <w:r>
        <w:rPr>
          <w:noProof/>
        </w:rPr>
        <w:t>irektiiviehdotuksen kanssa, jäljempänä ’direktiivi’. Kyseisessä ehdotuksessa annetaan BERECille lisätehtäviä, jotka auttaisivat varmistamaan sääntelykehyksen johdonmukaisen täytäntöönpanon. Tämä puolestaan tukisi sähköisen viestinnän markkinoiden kehitystä</w:t>
      </w:r>
      <w:r>
        <w:rPr>
          <w:noProof/>
        </w:rPr>
        <w:t xml:space="preserve"> koko unionissa. BEREC myös edistäisi erittäin suurikapasiteettisten datayhteyksien saatavuutta ja käyttöönottoa, kilpailua sähköisen viestinnän verkkojen ja palvelujen tarjoamisessa ja unionin kansalaisten etuja. Nyt käsillä olevan ehdotuksen tavoitteena </w:t>
      </w:r>
      <w:r>
        <w:rPr>
          <w:noProof/>
        </w:rPr>
        <w:t>on vahvistaa BERECin institutionaalista roolia ja tehostaa sen hallintorakennetta tekemällä siitä EU:n erillisvirasto, jotta se saisi paremmat valmiudet huolehtia tulevista tehtävistään.</w:t>
      </w:r>
    </w:p>
    <w:p w:rsidR="0006109C" w:rsidRDefault="00493E42">
      <w:pPr>
        <w:spacing w:before="0"/>
        <w:rPr>
          <w:noProof/>
        </w:rPr>
      </w:pPr>
      <w:r>
        <w:rPr>
          <w:noProof/>
        </w:rPr>
        <w:t>Sen jälkeen, kun BEREC ryhtyi hoitamaan tehtäviään vuonna 2010 ja tul</w:t>
      </w:r>
      <w:r>
        <w:rPr>
          <w:noProof/>
        </w:rPr>
        <w:t>i täysin toiminnalliseksi vuonna 2011, BERECilla ja BEREC-virastolla on ollut myönteinen vaikutus sääntelyjärjestelmän johdonmukaiseen täytäntöönpanoon. Ne ovat myös tarjonneet arvokasta teknistä asiantuntemusta kansallisille sääntelyviranomaisille ja EU:n</w:t>
      </w:r>
      <w:r>
        <w:rPr>
          <w:noProof/>
        </w:rPr>
        <w:t xml:space="preserve"> toimielimille. Asetuksella (EU) 2015/2120 BERECille annettiin äskettäin lisätehtäviä. Niihin kuuluvat suuntaviivojen antaminen kansallisille sääntelyviranomaisille avointa internetyhteyttä koskevien velvoitteiden täytäntöönpanosta ja lausuntojen antaminen</w:t>
      </w:r>
      <w:r>
        <w:rPr>
          <w:noProof/>
        </w:rPr>
        <w:t xml:space="preserve"> luonnoksista komission täytäntöönpanosäädöksiksi liittyen unionin laajuisten verkkovierailuihin sekä tietyt raportointivelvoitteet. Tähän ehdotukseen liittyvässä direktiiviehdotuksessa annetaan BERECille lisää uusia tehtäviä, kuten nykyistä laajempi rooli</w:t>
      </w:r>
      <w:r>
        <w:rPr>
          <w:noProof/>
        </w:rPr>
        <w:t xml:space="preserve"> markkinoiden korjaavia sääntelytoimia koskevassa neuvottelumenettelyssä, suuntaviivojen antaminen kansallisille </w:t>
      </w:r>
      <w:r>
        <w:rPr>
          <w:noProof/>
        </w:rPr>
        <w:lastRenderedPageBreak/>
        <w:t>sääntelyviranomaisille maantieteellisistä kartoituksista, yhteisten lähestymistapojen kehittäminen valtioiden rajat ylittävään loppukäyttäjäkys</w:t>
      </w:r>
      <w:r>
        <w:rPr>
          <w:noProof/>
        </w:rPr>
        <w:t xml:space="preserve">yntään vastaamiseksi, lausuntojen antaminen kansallisista toimenpide-ehdotuksista radiotaajuuksien käyttöoikeuksien jakamiseksi (taajuuksia koskeva ”vertaisarviointi”) samoin kuin rekisterin perustaminen oman alueen ulkopuolisesti käytettävistä numeroista </w:t>
      </w:r>
      <w:r>
        <w:rPr>
          <w:noProof/>
        </w:rPr>
        <w:t>ja rajatylittävistä järjestelyistä sekä sähköisen viestinnän verkkojen ja palvelujen tarjoajista.</w:t>
      </w:r>
    </w:p>
    <w:p w:rsidR="0006109C" w:rsidRDefault="00493E42">
      <w:pPr>
        <w:spacing w:before="0"/>
        <w:rPr>
          <w:noProof/>
        </w:rPr>
      </w:pPr>
      <w:r>
        <w:rPr>
          <w:noProof/>
        </w:rPr>
        <w:t>BERECilla ja BEREC-virastolla on ollut merkittävästi vahvempi rooli erityisesti rajat ylittävissä kysymyksissä (mm. laitteiden välisen suoran tiedonsiirron (M</w:t>
      </w:r>
      <w:r>
        <w:rPr>
          <w:noProof/>
        </w:rPr>
        <w:t xml:space="preserve">2M) palvelut tai valtioiden rajat ylittävä kysyntä yrityskäyttäjien piirissä), ja se on saanut kokemusta sääntelyjärjestelmän johdonmukaisen täytäntöönpanon varmistamisessa. On asianmukaista ja tarpeellista hyödyntää tätä kokemusta yhdistämällä nämä kaksi </w:t>
      </w:r>
      <w:r>
        <w:rPr>
          <w:noProof/>
        </w:rPr>
        <w:t>täysimittaiseksi erillisvirastoksi. Uuden viraston, jolla on laajempi toimeksianto, olisi jatkettava BERECin työtä ja asiantuntemuksen kokoamista kansallisilta sääntelyviranomaisilta. Koska BERECin identiteetti on jo vakiintunut tavalla, jota kannattaa keh</w:t>
      </w:r>
      <w:r>
        <w:rPr>
          <w:noProof/>
        </w:rPr>
        <w:t>ittää, ja koska nimen vaihtamisesta muodostuisi omat kustannuksensa, uuden viraston tulisi säilyttää nimenään BEREC.</w:t>
      </w:r>
    </w:p>
    <w:p w:rsidR="0006109C" w:rsidRDefault="00493E42">
      <w:pPr>
        <w:pBdr>
          <w:top w:val="nil"/>
          <w:left w:val="nil"/>
          <w:bottom w:val="nil"/>
          <w:right w:val="nil"/>
          <w:between w:val="nil"/>
          <w:bar w:val="nil"/>
        </w:pBdr>
        <w:spacing w:before="0" w:after="240"/>
        <w:rPr>
          <w:rFonts w:eastAsia="Arial Unicode MS"/>
          <w:noProof/>
        </w:rPr>
      </w:pPr>
      <w:r>
        <w:rPr>
          <w:noProof/>
        </w:rPr>
        <w:t>Tehostamalla BERECin roolia sähköisen viestinnän alalla ja pyrkimällä mukauttamaan sen rakennetta, hallintoa, toimintaa, ohjelmasuunnittelu</w:t>
      </w:r>
      <w:r>
        <w:rPr>
          <w:noProof/>
        </w:rPr>
        <w:t>a ja vastuuvelvollisuutta hajautetuista erillisvirastoista 19. heinäkuuta 2012 annetun Euroopan parlamentin, neuvoston ja komission yhteisen julkilausuman, jäljempänä ’yhteinen lähestymistapa’</w:t>
      </w:r>
      <w:r>
        <w:rPr>
          <w:rStyle w:val="FootnoteReference"/>
          <w:noProof/>
        </w:rPr>
        <w:footnoteReference w:id="3"/>
      </w:r>
      <w:r>
        <w:rPr>
          <w:noProof/>
        </w:rPr>
        <w:t>, linjoittamalla tavalla varmistetaan, että ehdotus tukee union</w:t>
      </w:r>
      <w:r>
        <w:rPr>
          <w:noProof/>
        </w:rPr>
        <w:t>in prioriteetteja.</w:t>
      </w:r>
    </w:p>
    <w:p w:rsidR="0006109C" w:rsidRDefault="00493E42">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rsidR="0006109C" w:rsidRDefault="00493E42">
      <w:pPr>
        <w:rPr>
          <w:noProof/>
        </w:rPr>
      </w:pPr>
      <w:r>
        <w:rPr>
          <w:noProof/>
        </w:rPr>
        <w:t xml:space="preserve">BERECin selkeiden tavoitteiden ansiosta tämä ehdotus luo hyvää synergiaa muiden DSM-strategiaan kuuluvien aloitteiden kanssa. Tämä johtuu viime kädessä siitä, että </w:t>
      </w:r>
      <w:r>
        <w:rPr>
          <w:noProof/>
        </w:rPr>
        <w:t>sähköisissä viestintäverkoissa tarjottavat liittymäpalvelut muodostavat selkärangan digitaalisten tuotteiden ja palvelujen jakelulle.</w:t>
      </w:r>
    </w:p>
    <w:p w:rsidR="0006109C" w:rsidRDefault="00493E42">
      <w:pPr>
        <w:rPr>
          <w:rFonts w:eastAsia="Calibri"/>
          <w:bCs/>
          <w:noProof/>
          <w:szCs w:val="24"/>
        </w:rPr>
      </w:pPr>
      <w:r>
        <w:rPr>
          <w:noProof/>
        </w:rPr>
        <w:t>Tällä ehdotuksella täydennetään voimassa olevaa alakohtaista sääntelyä. Ehdotetuissa BERECille annettavissa radiotaajuuste</w:t>
      </w:r>
      <w:r>
        <w:rPr>
          <w:noProof/>
        </w:rPr>
        <w:t xml:space="preserve">htävissä otetaan huomioon alalla nykyisin voimassa olevat säädökset, erityisesti radiotaajuuspäätös 676/2002/EY, radiotaajuuspolitiikkaa käsittelevästä ryhmästä tehty päätös 2002/622/EY sekä päätös 243/2012/EU monivuotisen radiotaajuuspoliittisen ohjelman </w:t>
      </w:r>
      <w:r>
        <w:rPr>
          <w:noProof/>
        </w:rPr>
        <w:t>(RSPP) perustamisesta.</w:t>
      </w:r>
    </w:p>
    <w:p w:rsidR="0006109C" w:rsidRDefault="00493E42">
      <w:pPr>
        <w:rPr>
          <w:rFonts w:eastAsia="Calibri"/>
          <w:bCs/>
          <w:noProof/>
          <w:szCs w:val="24"/>
        </w:rPr>
      </w:pPr>
      <w:r>
        <w:rPr>
          <w:noProof/>
        </w:rPr>
        <w:t>Ehdotuksella myös sisällytetään BEREC-asetukseen tehtävät, jotka annettiin BERECille hiljattain hyväksytyssä asetuksessa (EU) 2015/2020, jossa vahvistetaan säännöt avoimen internetin varmistamista ja verkkovierailujen lisämaksujen po</w:t>
      </w:r>
      <w:r>
        <w:rPr>
          <w:noProof/>
        </w:rPr>
        <w:t>istamista varten.</w:t>
      </w:r>
    </w:p>
    <w:p w:rsidR="0006109C" w:rsidRDefault="00493E42">
      <w:pPr>
        <w:rPr>
          <w:noProof/>
        </w:rPr>
      </w:pPr>
      <w:r>
        <w:rPr>
          <w:noProof/>
        </w:rPr>
        <w:t>Komission on vuoden 2016 loppuun mennessä määrä antaa ehdotus sähköisen viestinnän tietosuojadirektiivin</w:t>
      </w:r>
      <w:hyperlink r:id="rId19" w:anchor="ntr8-L_2009337EN.01000101-E0008">
        <w:r>
          <w:rPr>
            <w:rStyle w:val="FootnoteReference"/>
            <w:noProof/>
          </w:rPr>
          <w:footnoteReference w:id="4"/>
        </w:r>
      </w:hyperlink>
      <w:r>
        <w:rPr>
          <w:noProof/>
        </w:rPr>
        <w:t xml:space="preserve"> tarkistamisesta. Nyt käsillä olevan asetusehdotuksen soveltamisalaa voi olla tarpeen mukauttaa tietosuojadirektiivin tarkistuksen tulosten perusteella. </w:t>
      </w:r>
    </w:p>
    <w:p w:rsidR="0006109C" w:rsidRDefault="00493E42">
      <w:pPr>
        <w:rPr>
          <w:rFonts w:eastAsia="Calibri"/>
          <w:bCs/>
          <w:noProof/>
          <w:szCs w:val="24"/>
        </w:rPr>
      </w:pPr>
      <w:r>
        <w:rPr>
          <w:noProof/>
        </w:rPr>
        <w:t>Tämän ehdotuksen tavoitteena on tarjota BERECille tarkoituksenmukainen ja tehokas hallintorakenne, toi</w:t>
      </w:r>
      <w:r>
        <w:rPr>
          <w:noProof/>
        </w:rPr>
        <w:t>meksianto ja välineet, joita se tarvitsee sääntelyjärjestelmän johdonmukaisen täytäntöönpanon varmistamiseksi. Tässä mielessä se täydentää muita sähköisen viestinnän alan oikeudellisia ja poliittisia välineitä.</w:t>
      </w:r>
    </w:p>
    <w:p w:rsidR="0006109C" w:rsidRDefault="00493E42">
      <w:pPr>
        <w:pBdr>
          <w:top w:val="nil"/>
          <w:left w:val="nil"/>
          <w:bottom w:val="nil"/>
          <w:right w:val="nil"/>
          <w:between w:val="nil"/>
          <w:bar w:val="nil"/>
        </w:pBdr>
        <w:spacing w:before="0" w:after="240"/>
        <w:rPr>
          <w:rFonts w:eastAsia="Arial Unicode MS"/>
          <w:noProof/>
        </w:rPr>
      </w:pPr>
      <w:r>
        <w:rPr>
          <w:noProof/>
        </w:rPr>
        <w:t>BEREC voi hoitaa tehtävänsä tarvittaessa yhte</w:t>
      </w:r>
      <w:r>
        <w:rPr>
          <w:noProof/>
        </w:rPr>
        <w:t>istyössä muiden unionin elinten, virastojen, laitosten ja neuvoa-antavien ryhmien kanssa. Kyseeseen tulevat erityisesti radiotaajuuspolitiikkaa käsittelevä ryhmä, Euroopan tietosuojaneuvosto, audiovisuaalisten mediapalvelujen eurooppalaisten sääntelyvirano</w:t>
      </w:r>
      <w:r>
        <w:rPr>
          <w:noProof/>
        </w:rPr>
        <w:t>maisten ryhmä (ERGA), Euroopan unionin verkko- ja tietoturvavirasto (ENISA) sekä nykyiset komiteat (kuten viestintäkomitea ja radiotaajuuskomitea).</w:t>
      </w:r>
    </w:p>
    <w:p w:rsidR="0006109C" w:rsidRDefault="00493E42">
      <w:pPr>
        <w:pStyle w:val="ManualHeading2"/>
        <w:rPr>
          <w:rFonts w:eastAsia="Arial Unicode MS"/>
          <w:noProof/>
        </w:rPr>
      </w:pPr>
      <w:r>
        <w:rPr>
          <w:noProof/>
          <w:color w:val="000000"/>
          <w:u w:color="000000"/>
          <w:bdr w:val="nil"/>
        </w:rPr>
        <w:t>•</w:t>
      </w:r>
      <w:r>
        <w:rPr>
          <w:noProof/>
        </w:rPr>
        <w:tab/>
        <w:t>Yhdenmukaisuus unionin muiden politiikkojen kanssa</w:t>
      </w:r>
    </w:p>
    <w:p w:rsidR="0006109C" w:rsidRDefault="00493E42">
      <w:pPr>
        <w:widowControl w:val="0"/>
        <w:tabs>
          <w:tab w:val="left" w:pos="298"/>
        </w:tabs>
        <w:spacing w:before="0"/>
        <w:ind w:right="20"/>
        <w:rPr>
          <w:noProof/>
          <w:szCs w:val="24"/>
        </w:rPr>
      </w:pPr>
      <w:r>
        <w:rPr>
          <w:noProof/>
        </w:rPr>
        <w:t>DSM-strategia on yksi uuden komission vuonna 2014 esitt</w:t>
      </w:r>
      <w:r>
        <w:rPr>
          <w:noProof/>
        </w:rPr>
        <w:t>elemistä 10 painopisteestä. Tämä ehdotus linjautuu komission muihin ensisijaisiin painopisteisiin, erityisesti muihin aloitteisiin luoda syvemmät ja oikeudenmukaisemmat sisämarkkinat, edistää investointeja, luoda työpaikkoja ja tukea kestävää kasvua.</w:t>
      </w:r>
    </w:p>
    <w:p w:rsidR="0006109C" w:rsidRDefault="00493E42">
      <w:pPr>
        <w:widowControl w:val="0"/>
        <w:tabs>
          <w:tab w:val="left" w:pos="298"/>
        </w:tabs>
        <w:spacing w:before="0"/>
        <w:ind w:right="20"/>
        <w:rPr>
          <w:noProof/>
          <w:szCs w:val="24"/>
        </w:rPr>
      </w:pPr>
      <w:r>
        <w:rPr>
          <w:noProof/>
        </w:rPr>
        <w:t>Osa B</w:t>
      </w:r>
      <w:r>
        <w:rPr>
          <w:noProof/>
        </w:rPr>
        <w:t>ERECin tehtävistä rakentuu unionin nykyisen eri alojen lainsäädännön varaan ja täydentää sitä. Yhtenä tällaisena tehtävänä on antaa lausuntoja kansallisista toimenpide-ehdotuksista sisämarkkinamenettelyissä markkinoiden sääntelyä varten. Nämä perustuvat ki</w:t>
      </w:r>
      <w:r>
        <w:rPr>
          <w:noProof/>
        </w:rPr>
        <w:t>lpailuoikeuden periaatteisiin. Tällaisiin tehtäviin kuuluu myös suuntaviivojen antaminen verkon käyttöönottoa koskevista maantieteellisistä kartoituksista. Tehtävien myötä saadaan myös käyttöön hyödyllistä tietoa valtiontukipolitiikan tarkoituksiin, mikä p</w:t>
      </w:r>
      <w:r>
        <w:rPr>
          <w:noProof/>
        </w:rPr>
        <w:t>arantaa johdonmukaisuutta näiden kahden politiikka-alan välillä.</w:t>
      </w:r>
    </w:p>
    <w:p w:rsidR="0006109C" w:rsidRDefault="00493E42">
      <w:pPr>
        <w:widowControl w:val="0"/>
        <w:tabs>
          <w:tab w:val="left" w:pos="298"/>
        </w:tabs>
        <w:spacing w:before="0"/>
        <w:ind w:right="20"/>
        <w:rPr>
          <w:noProof/>
        </w:rPr>
      </w:pPr>
      <w:r>
        <w:rPr>
          <w:noProof/>
        </w:rPr>
        <w:t>Ehdotuksen tavoitteena on, että BERECista tehdään unionin hajautettu erillisvirasto yhteisen lähestymistavan periaatteita noudattaen.</w:t>
      </w:r>
    </w:p>
    <w:p w:rsidR="0006109C" w:rsidRDefault="00493E42">
      <w:pPr>
        <w:pStyle w:val="ManualHeading2"/>
        <w:rPr>
          <w:rFonts w:eastAsia="Arial Unicode MS"/>
          <w:noProof/>
          <w:color w:val="000000"/>
          <w:szCs w:val="24"/>
          <w:u w:color="000000"/>
          <w:bdr w:val="nil"/>
        </w:rPr>
      </w:pPr>
      <w:r>
        <w:rPr>
          <w:noProof/>
        </w:rPr>
        <w:t xml:space="preserve">Johdonmukaisuus suhteessa </w:t>
      </w:r>
      <w:r>
        <w:rPr>
          <w:noProof/>
          <w:color w:val="000000"/>
          <w:u w:color="000000"/>
          <w:bdr w:val="nil"/>
        </w:rPr>
        <w:t>kansainvälisen oikeuden mukaisi</w:t>
      </w:r>
      <w:r>
        <w:rPr>
          <w:noProof/>
          <w:color w:val="000000"/>
          <w:u w:color="000000"/>
          <w:bdr w:val="nil"/>
        </w:rPr>
        <w:t>in velvoitteisiin</w:t>
      </w:r>
    </w:p>
    <w:p w:rsidR="0006109C" w:rsidRDefault="00493E42">
      <w:pPr>
        <w:widowControl w:val="0"/>
        <w:tabs>
          <w:tab w:val="left" w:pos="298"/>
        </w:tabs>
        <w:spacing w:before="0"/>
        <w:ind w:right="20"/>
        <w:rPr>
          <w:noProof/>
          <w:szCs w:val="24"/>
        </w:rPr>
      </w:pPr>
      <w:r>
        <w:rPr>
          <w:noProof/>
        </w:rPr>
        <w:t>Tarvittaessa BEREC voi tehtäviään hoitaessaan tehdä yhteistyötä kolmansien maiden toimivaltaisten viranomaisten ja/tai kansainvälisten järjestöjen kanssa. Yhteistyön olisi perustuttava työjärjestelyihin, joissa olisi kunnioitettava unioni</w:t>
      </w:r>
      <w:r>
        <w:rPr>
          <w:noProof/>
        </w:rPr>
        <w:t>n kansainvälisiä suhteita, eikä se saisi luoda oikeudellisia velvoitteita unionille ja sen jäsenvaltioille.</w:t>
      </w:r>
    </w:p>
    <w:p w:rsidR="0006109C" w:rsidRDefault="00493E42">
      <w:pPr>
        <w:pStyle w:val="ManualHeading1"/>
        <w:rPr>
          <w:noProof/>
        </w:rPr>
      </w:pPr>
      <w:r>
        <w:rPr>
          <w:noProof/>
        </w:rPr>
        <w:t>2.</w:t>
      </w:r>
      <w:r>
        <w:rPr>
          <w:noProof/>
        </w:rPr>
        <w:tab/>
        <w:t>OIKEUSPERUSTA, TOISSIJAISUUSPERIAATE JA SUHTEELLISUUSPERIAATE</w:t>
      </w:r>
    </w:p>
    <w:p w:rsidR="0006109C" w:rsidRDefault="00493E42">
      <w:pPr>
        <w:pStyle w:val="ManualHeading2"/>
        <w:rPr>
          <w:rFonts w:eastAsia="Arial Unicode MS"/>
          <w:noProof/>
          <w:u w:color="000000"/>
          <w:bdr w:val="nil"/>
        </w:rPr>
      </w:pPr>
      <w:r>
        <w:rPr>
          <w:noProof/>
        </w:rPr>
        <w:t>•</w:t>
      </w:r>
      <w:r>
        <w:rPr>
          <w:noProof/>
        </w:rPr>
        <w:tab/>
        <w:t>Oikeusperusta</w:t>
      </w:r>
    </w:p>
    <w:p w:rsidR="0006109C" w:rsidRDefault="00493E42">
      <w:pPr>
        <w:widowControl w:val="0"/>
        <w:tabs>
          <w:tab w:val="left" w:pos="298"/>
        </w:tabs>
        <w:spacing w:before="0"/>
        <w:ind w:right="20"/>
        <w:rPr>
          <w:rFonts w:eastAsia="Arial Unicode MS"/>
          <w:noProof/>
        </w:rPr>
      </w:pPr>
      <w:r>
        <w:rPr>
          <w:noProof/>
        </w:rPr>
        <w:t>Ehdotus perustuu perustamissopimuksen 114 artiklaan, koska se liitt</w:t>
      </w:r>
      <w:r>
        <w:rPr>
          <w:noProof/>
        </w:rPr>
        <w:t>yy sähköisen viestinnän sisämarkkinoiden kehittämiseen ja toimintaan.</w:t>
      </w:r>
    </w:p>
    <w:p w:rsidR="0006109C" w:rsidRDefault="00493E42">
      <w:pPr>
        <w:pStyle w:val="ManualHeading2"/>
        <w:rPr>
          <w:rFonts w:eastAsia="Arial Unicode MS"/>
          <w:noProof/>
          <w:u w:color="000000"/>
          <w:bdr w:val="nil"/>
        </w:rPr>
      </w:pPr>
      <w:r>
        <w:rPr>
          <w:noProof/>
        </w:rPr>
        <w:t>•</w:t>
      </w:r>
      <w:r>
        <w:rPr>
          <w:noProof/>
        </w:rPr>
        <w:tab/>
        <w:t>Toissijaisuusperiaate (muun kuin jaetun toimivallan osalta)</w:t>
      </w:r>
    </w:p>
    <w:p w:rsidR="0006109C" w:rsidRDefault="00493E42">
      <w:pPr>
        <w:pStyle w:val="CommentText"/>
        <w:rPr>
          <w:noProof/>
          <w:sz w:val="24"/>
          <w:szCs w:val="24"/>
        </w:rPr>
      </w:pPr>
      <w:r>
        <w:rPr>
          <w:noProof/>
          <w:sz w:val="24"/>
        </w:rPr>
        <w:t>Unionin on tarpeen puuttua nykyisen sääntelyjärjestelmän soveltamisessa esiintyviin epäjohdonmukaisuuksiin ja tämänhetkisiin</w:t>
      </w:r>
      <w:r>
        <w:rPr>
          <w:noProof/>
          <w:sz w:val="24"/>
        </w:rPr>
        <w:t xml:space="preserve"> institutionaalisen rakenteen puutteisiin. Sama koskee epäjohdonmukaisuuksia vastuiden jakautumisessa jäsenvaltioiden, kansallisten sääntelyviranomaisten ja komission välillä. Markkinoiden hajanaisuuteen ei ole syynä yksinomaan unionin nykyinen sääntely-ym</w:t>
      </w:r>
      <w:r>
        <w:rPr>
          <w:noProof/>
          <w:sz w:val="24"/>
        </w:rPr>
        <w:t>päristö. Viime vuosina on kuitenkin käynyt selväksi, että telesääntelyn epäjohdonmukaisuus johtuu ainakin osittain nykyisestä institutionaalisesta rakenteesta ja siitä tavasta, jolla eri institutionaaliset toimijat (ensisijaisesti kansalliset sääntelyviran</w:t>
      </w:r>
      <w:r>
        <w:rPr>
          <w:noProof/>
          <w:sz w:val="24"/>
        </w:rPr>
        <w:t>omaiset, BEREC ja komissio) ovat vuorovaikutuksessa keskenään ja voivat vaikuttaa sääntelyn lopputulokseen. BERECille annettavat lisävaltuudet markkinoiden ennakkosääntelyyn parantavat oikeusvarmuutta ja sääntelyllistä johdonmukaisuutta.</w:t>
      </w:r>
    </w:p>
    <w:p w:rsidR="0006109C" w:rsidRDefault="00493E42">
      <w:pPr>
        <w:pStyle w:val="CommentText"/>
        <w:rPr>
          <w:noProof/>
          <w:sz w:val="24"/>
          <w:szCs w:val="24"/>
        </w:rPr>
      </w:pPr>
      <w:r>
        <w:rPr>
          <w:noProof/>
          <w:sz w:val="24"/>
        </w:rPr>
        <w:t>Markkinoiden ja te</w:t>
      </w:r>
      <w:r>
        <w:rPr>
          <w:noProof/>
          <w:sz w:val="24"/>
        </w:rPr>
        <w:t>kniikan kehitys voi merkitä myös sitä, että esille tulee rajat ylittäviä näkökohtia, jotka edellyttävät yhdenmukaista sääntelyä eri jäsenvaltioissa. Unionin elin voi puuttua näihin näkökohtiin paremmin kuin yksittäiset jäsenvaltiot. Tämä koskee erityisesti</w:t>
      </w:r>
      <w:r>
        <w:rPr>
          <w:noProof/>
          <w:sz w:val="24"/>
        </w:rPr>
        <w:t xml:space="preserve"> M2M:n kaltaisia palveluja, jotka olisi tarjottava siten, että ne pystyvät ylittämään saumattomasti kansalliset rajat. Kansalliset esteet haittaavat edelleen yritysten viestintäpalvelujen tarjoamista rajojen yli. Tämä on menetetty mahdollisuus sisämarkkino</w:t>
      </w:r>
      <w:r>
        <w:rPr>
          <w:noProof/>
          <w:sz w:val="24"/>
        </w:rPr>
        <w:t>iden toiminnan ja kehittämisen kannalta.</w:t>
      </w:r>
    </w:p>
    <w:p w:rsidR="0006109C" w:rsidRDefault="00493E42">
      <w:pPr>
        <w:pStyle w:val="CommentText"/>
        <w:rPr>
          <w:rFonts w:eastAsia="Arial Unicode MS"/>
          <w:noProof/>
        </w:rPr>
      </w:pPr>
      <w:r>
        <w:rPr>
          <w:noProof/>
          <w:sz w:val="24"/>
        </w:rPr>
        <w:t>On yhteinen etu varmistaa sääntelykehyksen yhdenmukaistettu, johdonmukainen ja tehokas täytäntöönpano BERECin tuella. Jäsenvaltiot eivät siksi voi riittävällä tavalla saavuttaa ehdotuksen tavoitteita, vaan ne voidaa</w:t>
      </w:r>
      <w:r>
        <w:rPr>
          <w:noProof/>
          <w:sz w:val="24"/>
        </w:rPr>
        <w:t>n saavuttaa paremmin unionin tasolla. Tämän vuoksi unioni voi toteuttaa Euroopan unionin perustamissopimuksen 5 artiklassa vahvistetun toissijaisuusperiaatteen mukaisia toimenpiteitä.</w:t>
      </w:r>
    </w:p>
    <w:p w:rsidR="0006109C" w:rsidRDefault="00493E42">
      <w:pPr>
        <w:pStyle w:val="ManualHeading2"/>
        <w:rPr>
          <w:rFonts w:eastAsia="Arial Unicode MS"/>
          <w:noProof/>
          <w:u w:color="000000"/>
          <w:bdr w:val="nil"/>
        </w:rPr>
      </w:pPr>
      <w:r>
        <w:rPr>
          <w:noProof/>
        </w:rPr>
        <w:t>•</w:t>
      </w:r>
      <w:r>
        <w:rPr>
          <w:noProof/>
        </w:rPr>
        <w:tab/>
        <w:t>Suhteellisuusperiaate</w:t>
      </w:r>
    </w:p>
    <w:p w:rsidR="0006109C" w:rsidRDefault="00493E42">
      <w:pPr>
        <w:pStyle w:val="CommentText"/>
        <w:rPr>
          <w:noProof/>
          <w:sz w:val="24"/>
          <w:szCs w:val="24"/>
        </w:rPr>
      </w:pPr>
      <w:r>
        <w:rPr>
          <w:noProof/>
          <w:sz w:val="24"/>
        </w:rPr>
        <w:t xml:space="preserve">Ehdotus on suhteellisuusperiaatteen mukainen </w:t>
      </w:r>
      <w:r>
        <w:rPr>
          <w:noProof/>
          <w:sz w:val="24"/>
        </w:rPr>
        <w:t>erityisesti BERECin tavoitteiden ja tehtävien osalta. Sen tavoitteena on varmistaa sääntelyjärjestelmän yhdenmukainen täytäntöönpano, mikä edistää sähköisen viestinnän markkinoiden kehitystä koko unionissa, kiinteiden ja langattomien erittäin suurikapasite</w:t>
      </w:r>
      <w:r>
        <w:rPr>
          <w:noProof/>
          <w:sz w:val="24"/>
        </w:rPr>
        <w:t>ettisten datayhteyksien saatavuutta ja käyttöönottoa, kilpailua sähköisten viestintäverkkojen ja -palvelujen tarjoamisessa sekä unionin kansalaisten etuja. BERECin tehtävänä on avustaa komissiota ja kansallisia sääntelyviranomaisia, antaa suuntaviivoja kan</w:t>
      </w:r>
      <w:r>
        <w:rPr>
          <w:noProof/>
          <w:sz w:val="24"/>
        </w:rPr>
        <w:t>sallisten sääntelyviranomaisten toimenpiteiden johdonmukaisuuden varmistamiseksi, antaa lausuntoja kansallisista toimenpide-ehdotuksista tehokkaissa sisämarkkinamenettelyissä, ylläpitää rekisteriä verkkojen ja palvelujen tarjoajista ja oman alueen ulkopuol</w:t>
      </w:r>
      <w:r>
        <w:rPr>
          <w:noProof/>
          <w:sz w:val="24"/>
        </w:rPr>
        <w:t>isesti käytettävistä numeroista sekä tehdä sitovia päätöksiä seuraavista kahdesta rajat ylittävästä asiasta: valtioiden rajat ylittävien markkinoiden määrittely ja sopimustiivistelmän malli. BERECilla olisi lähes sitovat valtuudet sisämarkkinamenettelyissä</w:t>
      </w:r>
      <w:r>
        <w:rPr>
          <w:noProof/>
          <w:sz w:val="24"/>
        </w:rPr>
        <w:t>, jotka koskevat kansallisia toimenpide-ehdotuksia markkinoiden sääntelyssä (ns. varmistusmekanismi) ja terminointimaksun yhtenäisen enimmäismäärän määrittämistä unionissa.</w:t>
      </w:r>
    </w:p>
    <w:p w:rsidR="0006109C" w:rsidRDefault="00493E42">
      <w:pPr>
        <w:pStyle w:val="CommentText"/>
        <w:rPr>
          <w:noProof/>
          <w:sz w:val="24"/>
          <w:szCs w:val="24"/>
        </w:rPr>
      </w:pPr>
      <w:r>
        <w:rPr>
          <w:noProof/>
          <w:sz w:val="24"/>
        </w:rPr>
        <w:t>Uuden viraston olisi jatkettava BERECin työtä ja asiantuntemuksen kokoamista kansal</w:t>
      </w:r>
      <w:r>
        <w:rPr>
          <w:noProof/>
          <w:sz w:val="24"/>
        </w:rPr>
        <w:t>lisilta sääntelyviranomaisilta, jotka ovat edelleen keskeisimpiä toimijoita viraston työssä ja sen hallintoneuvoston jäseniä. Suurin osa sääntelyjärjestelmän täytäntöönpanoon liittyvästä työstä kuuluu edelleen kansallisille sääntelyviranomaisille.</w:t>
      </w:r>
    </w:p>
    <w:p w:rsidR="0006109C" w:rsidRDefault="00493E42">
      <w:pPr>
        <w:pStyle w:val="Text1"/>
        <w:ind w:left="0"/>
        <w:rPr>
          <w:noProof/>
          <w:szCs w:val="24"/>
        </w:rPr>
      </w:pPr>
      <w:r>
        <w:rPr>
          <w:noProof/>
        </w:rPr>
        <w:t>Erityisesti käyttöoikeuksien sääntelyssä kansalliset sääntelyviranomaiset ovat edelleen toimivaltaisia varmistamaan, että markkinoiden toimintapuutteet korjataan asianmukaisin toimenpitein ja että sääntely auttaa pääsemään yhteisiin poliittisiin tavoitteis</w:t>
      </w:r>
      <w:r>
        <w:rPr>
          <w:noProof/>
        </w:rPr>
        <w:t>iin. Ehdotetut säännöt antavat sääntelyviranomaisille lisäkeinoja vastata sähköisen viestinnän tämänhetkisiin haasteisiin, mutta se, miten niitä käytetään, riippuu kansallisista olosuhteista, jotka arvioi kansallinen sääntelyviranomainen. Syynä siihen, ett</w:t>
      </w:r>
      <w:r>
        <w:rPr>
          <w:noProof/>
        </w:rPr>
        <w:t>ä viranomaisvalvontaa lujitetaan kohdennetusti ennen muuta laajentamalla BERECin roolia valvontamenettelyssä, ovat selkeät puutteet nykyisten sääntöjen soveltamisessa tilanteessa, jossa johdonmukaisuudella on olennainen merkitys sisämarkkinoiden moitteetto</w:t>
      </w:r>
      <w:r>
        <w:rPr>
          <w:noProof/>
        </w:rPr>
        <w:t>man toiminnan kannalta.</w:t>
      </w:r>
    </w:p>
    <w:p w:rsidR="0006109C" w:rsidRDefault="00493E42">
      <w:pPr>
        <w:pStyle w:val="Text1"/>
        <w:ind w:left="0"/>
        <w:rPr>
          <w:noProof/>
          <w:szCs w:val="24"/>
        </w:rPr>
      </w:pPr>
      <w:r>
        <w:rPr>
          <w:noProof/>
        </w:rPr>
        <w:t>Myös taajuuksien hallinnointi kuuluu edelleen jäsenvaltioiden toimivaltaan. Ehdotetut säännöt tarjoavat yleiset puitteet taajuuksien yhtenäiselle hallinnoinnille koko unionissa – samalla, kun jäsenvaltiot voivat soveltaa sääntöjä ot</w:t>
      </w:r>
      <w:r>
        <w:rPr>
          <w:noProof/>
        </w:rPr>
        <w:t>taen huomioon kansalliset olosuhteet. Koska taajuuksien hallinnoinnin vaikutukset ulottuvat rajojen yli ja kohdistuvat laajemmin verkkoyhteyksiin sisämarkkinoilla, tietynasteinen koordinointi unionin tasolla on välttämätöntä.</w:t>
      </w:r>
    </w:p>
    <w:p w:rsidR="0006109C" w:rsidRDefault="00493E42">
      <w:pPr>
        <w:pStyle w:val="CommentText"/>
        <w:rPr>
          <w:noProof/>
          <w:sz w:val="24"/>
          <w:szCs w:val="24"/>
        </w:rPr>
      </w:pPr>
      <w:r>
        <w:rPr>
          <w:noProof/>
          <w:sz w:val="24"/>
        </w:rPr>
        <w:t>Koska kyseessä asetus, ehdotet</w:t>
      </w:r>
      <w:r>
        <w:rPr>
          <w:noProof/>
          <w:sz w:val="24"/>
        </w:rPr>
        <w:t>tua säädöstä sovelletaan sellaisenaan unionissa. Unionille, kansallisille viranomaisille ja talouden toimijoille aiheutuva taloudellinen ja hallinnollinen rasite pidetään mahdollisimman pienenä ja oikeassa suhteessa ehdotuksen tavoitteeseen nähden. Oikeasu</w:t>
      </w:r>
      <w:r>
        <w:rPr>
          <w:noProof/>
          <w:sz w:val="24"/>
        </w:rPr>
        <w:t>hteisuuden näkökulmasta se parantaa nykytilannetta, jossa unionin virasto perustettiin lähinnä tukemaan BERECia. Sillä varmistetaan, että uusi virasto tuo enemmän lisäarvoa ja tukee unionin poliittisia prioriteetteja ja erityisesti DSM-strategiaa.</w:t>
      </w:r>
    </w:p>
    <w:p w:rsidR="0006109C" w:rsidRDefault="00493E42">
      <w:pPr>
        <w:pBdr>
          <w:top w:val="nil"/>
          <w:left w:val="nil"/>
          <w:bottom w:val="nil"/>
          <w:right w:val="nil"/>
          <w:between w:val="nil"/>
          <w:bar w:val="nil"/>
        </w:pBdr>
        <w:spacing w:before="0" w:after="240"/>
        <w:rPr>
          <w:rFonts w:eastAsia="Arial Unicode MS"/>
          <w:noProof/>
        </w:rPr>
      </w:pPr>
      <w:r>
        <w:rPr>
          <w:noProof/>
        </w:rPr>
        <w:t>Ottaen h</w:t>
      </w:r>
      <w:r>
        <w:rPr>
          <w:noProof/>
        </w:rPr>
        <w:t>uomioon ehdotuksen tavoitteet Euroopan unionista tehdyn sopimuksen 5 artiklassa vahvistetun suhteellisuusperiaatteen mukaisesti tässä asetuksessa ei ylitetä sitä, mikä on tarpeen näiden tavoitteiden saavuttamiseksi.</w:t>
      </w:r>
    </w:p>
    <w:p w:rsidR="0006109C" w:rsidRDefault="00493E42">
      <w:pPr>
        <w:pStyle w:val="ManualHeading2"/>
        <w:rPr>
          <w:rFonts w:eastAsia="Arial Unicode MS"/>
          <w:noProof/>
          <w:u w:color="000000"/>
          <w:bdr w:val="nil"/>
        </w:rPr>
      </w:pPr>
      <w:r>
        <w:rPr>
          <w:noProof/>
        </w:rPr>
        <w:t>•</w:t>
      </w:r>
      <w:r>
        <w:rPr>
          <w:noProof/>
        </w:rPr>
        <w:tab/>
        <w:t>Toimintatavan valinta</w:t>
      </w:r>
    </w:p>
    <w:p w:rsidR="0006109C" w:rsidRDefault="00493E42">
      <w:pPr>
        <w:pBdr>
          <w:top w:val="nil"/>
          <w:left w:val="nil"/>
          <w:bottom w:val="nil"/>
          <w:right w:val="nil"/>
          <w:between w:val="nil"/>
          <w:bar w:val="nil"/>
        </w:pBdr>
        <w:spacing w:before="0" w:after="240"/>
        <w:rPr>
          <w:noProof/>
          <w:szCs w:val="24"/>
        </w:rPr>
      </w:pPr>
      <w:r>
        <w:rPr>
          <w:noProof/>
        </w:rPr>
        <w:t>Asetus, jota sov</w:t>
      </w:r>
      <w:r>
        <w:rPr>
          <w:noProof/>
        </w:rPr>
        <w:t>elletaan sellaisenaan, on ainoa väline unionin hajautetun erillisviraston perustamiseksi ja sen tehtävien ja tavoitteiden määrittämiseksi. Näin voidaan huolehtia tarvittavasta tehokkuudesta ja yhdenmukaisuudesta, jota sääntelykehyksen täytäntöönpano edelly</w:t>
      </w:r>
      <w:r>
        <w:rPr>
          <w:noProof/>
        </w:rPr>
        <w:t>ttää.</w:t>
      </w:r>
    </w:p>
    <w:p w:rsidR="0006109C" w:rsidRDefault="00493E42">
      <w:pPr>
        <w:pBdr>
          <w:top w:val="nil"/>
          <w:left w:val="nil"/>
          <w:bottom w:val="nil"/>
          <w:right w:val="nil"/>
          <w:between w:val="nil"/>
          <w:bar w:val="nil"/>
        </w:pBdr>
        <w:spacing w:before="0" w:after="240"/>
        <w:rPr>
          <w:noProof/>
          <w:szCs w:val="24"/>
        </w:rPr>
      </w:pPr>
      <w:r>
        <w:rPr>
          <w:noProof/>
        </w:rPr>
        <w:t>Samaa säädöstapaa käytettiin BERECin ja BEREC-viraston perustamiseksi (asetus (EY) N:o 1211/2009). Uuden asetuksen tarkoituksena on muuttaa ja laajentaa asetuksen (EY) N:o 1211/2009 säännöksiä. Koska muutoksia on paljon, kyseinen säädös olisi selkeyd</w:t>
      </w:r>
      <w:r>
        <w:rPr>
          <w:noProof/>
        </w:rPr>
        <w:t>en vuoksi korvattava ja kumottava.</w:t>
      </w:r>
    </w:p>
    <w:p w:rsidR="0006109C" w:rsidRDefault="00493E42">
      <w:pPr>
        <w:pStyle w:val="ManualHeading1"/>
        <w:rPr>
          <w:noProof/>
        </w:rPr>
      </w:pPr>
      <w:r>
        <w:rPr>
          <w:noProof/>
        </w:rPr>
        <w:t>3.</w:t>
      </w:r>
      <w:r>
        <w:rPr>
          <w:noProof/>
        </w:rPr>
        <w:tab/>
        <w:t>JÄLKIARVIOINTIEN, SIDOSRYHMÄKUULEMISTEN JA VAIKUTUSTENARVIOINTIEN TULOKSET</w:t>
      </w:r>
    </w:p>
    <w:p w:rsidR="0006109C" w:rsidRDefault="00493E42">
      <w:pPr>
        <w:pStyle w:val="ManualHeading2"/>
        <w:rPr>
          <w:rFonts w:eastAsia="Arial Unicode MS"/>
          <w:noProof/>
          <w:u w:color="000000"/>
          <w:bdr w:val="nil"/>
        </w:rPr>
      </w:pPr>
      <w:r>
        <w:rPr>
          <w:noProof/>
        </w:rPr>
        <w:t>•</w:t>
      </w:r>
      <w:r>
        <w:rPr>
          <w:noProof/>
        </w:rPr>
        <w:tab/>
        <w:t>Voimassa olevan lainsäädännön jälkiarvioinnit/toimivuustarkastukset</w:t>
      </w:r>
    </w:p>
    <w:p w:rsidR="0006109C" w:rsidRDefault="00493E42">
      <w:pPr>
        <w:pBdr>
          <w:top w:val="nil"/>
          <w:left w:val="nil"/>
          <w:bottom w:val="nil"/>
          <w:right w:val="nil"/>
          <w:between w:val="nil"/>
          <w:bar w:val="nil"/>
        </w:pBdr>
        <w:spacing w:before="0" w:after="240"/>
        <w:rPr>
          <w:noProof/>
          <w:szCs w:val="24"/>
        </w:rPr>
      </w:pPr>
      <w:r>
        <w:rPr>
          <w:noProof/>
        </w:rPr>
        <w:t>Komissio on suorittanut jälkiarvioinnin (REFIT), jossa arvioitiin BEREC-a</w:t>
      </w:r>
      <w:r>
        <w:rPr>
          <w:noProof/>
        </w:rPr>
        <w:t>setuksen ja sääntelyjärjestelmän muiden osien vaikuttavuutta, tehokkuutta, merkityksellisyyttä, johdonmukaisuutta ja EU-lisäarvoa. Arvioinnissa nostettiin esiin osa-alueita, joilla on varaa yksinkertaistamiseen vaarantamatta niiden tavoitteita. BERECista j</w:t>
      </w:r>
      <w:r>
        <w:rPr>
          <w:noProof/>
        </w:rPr>
        <w:t>a BEREC-virastosta on tehty myös aikaisempi arviointi</w:t>
      </w:r>
      <w:r>
        <w:rPr>
          <w:rStyle w:val="FootnoteReference"/>
          <w:noProof/>
        </w:rPr>
        <w:footnoteReference w:id="5"/>
      </w:r>
      <w:r>
        <w:rPr>
          <w:noProof/>
        </w:rPr>
        <w:t xml:space="preserve"> vuosina 2012–2013 asetuksen (EY) N:o 1211/2009 15 artiklan mukaisesti. Sen tulokset on sisällytetty jälkiarviointiin.</w:t>
      </w:r>
    </w:p>
    <w:p w:rsidR="0006109C" w:rsidRDefault="00493E42">
      <w:pPr>
        <w:rPr>
          <w:noProof/>
          <w:szCs w:val="24"/>
        </w:rPr>
      </w:pPr>
      <w:r>
        <w:rPr>
          <w:noProof/>
        </w:rPr>
        <w:t>Ehdotuksen mukana olevassa komission yksiköiden valmisteluasiakirjassa, jossa arvio</w:t>
      </w:r>
      <w:r>
        <w:rPr>
          <w:noProof/>
        </w:rPr>
        <w:t>idaan voimassa olevien säännösten toimivuutta, todetaan että sähköisen viestinnän sääntelyjärjestelmä on yleisesti tarkasteltuna saavuttanut yleisen tavoitteensa luoda kilpailukykyinen ala, joka tuottaa merkittävää hyötyä loppukäyttäjille. Sen erityistavoi</w:t>
      </w:r>
      <w:r>
        <w:rPr>
          <w:noProof/>
        </w:rPr>
        <w:t>tteet – kilpailun edistäminen, sisämarkkinoiden kehittäminen ja loppukäyttäjien edun ajaminen – ovat edelleen tarkoituksenmukaisia. On kuitenkin tarpeen tarkistaa sääntelykehystä, myös BEREC-asetusta, jotta voidaan vastata kasvavaan tarpeeseen luoda edelly</w:t>
      </w:r>
      <w:r>
        <w:rPr>
          <w:noProof/>
        </w:rPr>
        <w:t>tyksiä digitaalisten sisämarkkinoiden yhteen liittämiselle ja yksinkertaistaa säännöksiä ottamalla huomioon markkinoiden ja teknologian kehitys.</w:t>
      </w:r>
    </w:p>
    <w:p w:rsidR="0006109C" w:rsidRDefault="00493E42">
      <w:pPr>
        <w:rPr>
          <w:noProof/>
          <w:szCs w:val="24"/>
        </w:rPr>
      </w:pPr>
      <w:r>
        <w:rPr>
          <w:noProof/>
        </w:rPr>
        <w:t>Erityisten arviointiperusteiden mukaan tehdyt havainnot voidaan tiivistää seuraavasti.</w:t>
      </w:r>
    </w:p>
    <w:p w:rsidR="0006109C" w:rsidRDefault="00493E42">
      <w:pPr>
        <w:rPr>
          <w:noProof/>
          <w:szCs w:val="24"/>
        </w:rPr>
      </w:pPr>
      <w:r>
        <w:rPr>
          <w:b/>
          <w:noProof/>
        </w:rPr>
        <w:t>Merkityksellisyys</w:t>
      </w:r>
      <w:r>
        <w:rPr>
          <w:noProof/>
        </w:rPr>
        <w:t xml:space="preserve"> – Suht</w:t>
      </w:r>
      <w:r>
        <w:rPr>
          <w:noProof/>
        </w:rPr>
        <w:t>eessa muiden tärkeiden institutionaalisten toimijoiden tehtävään ja toimintaan BERECin on voimassa olevien säännösten mukaisesti pyrittävä sääntelyjärjestelmän tavoitteisiin. Sen on erityisesti varmistettava sääntelyjärjestelmän johdonmukainen täytäntöönpa</w:t>
      </w:r>
      <w:r>
        <w:rPr>
          <w:noProof/>
        </w:rPr>
        <w:t>no sisämarkkinoiden kehityksen ja paremman toimivuuden edistämiseksi. Tämän tavoitteen ja laajemman toimeksiantonsa myötä BERECin merkitys kasvaa, vaikka julkisen sidosryhmäkuulemisen yhteydessä ei ollut yksimielisyyttä siitä, millä tavoin tämän merkitykse</w:t>
      </w:r>
      <w:r>
        <w:rPr>
          <w:noProof/>
        </w:rPr>
        <w:t>n kasvun pitäisi heijastua säännöksissä.</w:t>
      </w:r>
    </w:p>
    <w:p w:rsidR="0006109C" w:rsidRDefault="00493E42">
      <w:pPr>
        <w:rPr>
          <w:noProof/>
        </w:rPr>
      </w:pPr>
      <w:r>
        <w:rPr>
          <w:b/>
          <w:noProof/>
        </w:rPr>
        <w:t>Tuloksellisuus</w:t>
      </w:r>
      <w:r>
        <w:rPr>
          <w:noProof/>
        </w:rPr>
        <w:t xml:space="preserve"> – Telesääntelyn uudistamista koskeneessa julkisessa sidosryhmäkuulemisessa esitettiin vaihtelevia näkemyksiä BERECin valmiuksista tukea johdonmukaisia tuloksia. Osa sidosryhmistä näkee BERECin tarjoam</w:t>
      </w:r>
      <w:r>
        <w:rPr>
          <w:noProof/>
        </w:rPr>
        <w:t>an riippumattoman teknisen neuvonannon ja sen roolin markkina-analyysiprosessissa myönteisessä valossa. Toiset katsovat, että sen rakenne kansallisista sääntelyviranomaisista muodostuvana ryhmänä, jolla ei ole oikeushenkilöllisyyttä, heikentää BERECin kann</w:t>
      </w:r>
      <w:r>
        <w:rPr>
          <w:noProof/>
        </w:rPr>
        <w:t>ustimia työskennellä kohti sisämarkkinoiden tavoitteita sen sijaan, että se pyrkisi vain kansallisten jäsentensä yksittäisiin tai kollektiivisiin tavoitteisiin. Vastaajat totesivat, että BERECin on tarpeen omaksua aktiivisempi ote keskeisillä aihealueilla.</w:t>
      </w:r>
      <w:r>
        <w:rPr>
          <w:noProof/>
        </w:rPr>
        <w:t xml:space="preserve"> Ne totesivat myös, että tämänhetkisen institutionaalisen rakenteensa vuoksi BEREC usein valitsee suuremman joustavuuden tai pienimmän yhteisen nimittäjän sen sijaan, että pyrkisi yhdenmukaistettuun lähestymistapaan sisämarkkinoilla.</w:t>
      </w:r>
    </w:p>
    <w:p w:rsidR="0006109C" w:rsidRDefault="00493E42">
      <w:pPr>
        <w:rPr>
          <w:noProof/>
        </w:rPr>
      </w:pPr>
      <w:r>
        <w:rPr>
          <w:noProof/>
        </w:rPr>
        <w:t>Nykyisistä tehtävistää</w:t>
      </w:r>
      <w:r>
        <w:rPr>
          <w:noProof/>
        </w:rPr>
        <w:t>n BEREC on yksilöinyt osa-alueita, joilla sillä voisi olla suurempi rooli (ks. sääntelyneuvoston lausunto EU:n sähköisen viestinnän sääntelyjärjestelmän tarkistamisesta</w:t>
      </w:r>
      <w:r>
        <w:rPr>
          <w:rStyle w:val="FootnoteReference"/>
          <w:noProof/>
        </w:rPr>
        <w:footnoteReference w:id="6"/>
      </w:r>
      <w:r>
        <w:rPr>
          <w:noProof/>
        </w:rPr>
        <w:t>). Esimerkkeinä ovat BERECin lausuntojen soveltamisalan laajentaminen (7 ja 7a artikla)</w:t>
      </w:r>
      <w:r>
        <w:rPr>
          <w:noProof/>
        </w:rPr>
        <w:t>, rajatylittävät kysymykset (kuten kansainväliset verkkovierailut), vertailuanalyysi internet-liityntäpalvelujen laadusta unionin tasolla ja teknisten suuntaviivojen laatiminen.</w:t>
      </w:r>
    </w:p>
    <w:p w:rsidR="0006109C" w:rsidRDefault="00493E42">
      <w:pPr>
        <w:rPr>
          <w:rFonts w:eastAsia="Calibri"/>
          <w:bCs/>
          <w:noProof/>
        </w:rPr>
      </w:pPr>
      <w:r>
        <w:rPr>
          <w:noProof/>
        </w:rPr>
        <w:t>Mitä tulee BEREC-viraston tavoitteiden linjaamiseen unionin nykyisten priorite</w:t>
      </w:r>
      <w:r>
        <w:rPr>
          <w:noProof/>
        </w:rPr>
        <w:t>ettien mukaisiksi, arvioinnissa katsottiin, että BERECia tukiessaan BEREC-viraston nykyiset tehtävät viime kädessä edistävät sisämarkkinoiden kehitystä ja sääntöjen johdonmukaista täytäntöönpanoa. Tästä huolimatta tilanne on ainutlaatuinen, sillä virasto o</w:t>
      </w:r>
      <w:r>
        <w:rPr>
          <w:noProof/>
        </w:rPr>
        <w:t>n perustettu hoitamaan yksinomaan tukitoimintoa toiselle unionin oikeuden nojalla perustetulle sääntelyelimelle. Tämä asettaa haasteita, koska BEREC-viraston on – suhteellisen rajallisista tehtävistään huolimatta – noudatettava samoja yksityiskohtaisia sää</w:t>
      </w:r>
      <w:r>
        <w:rPr>
          <w:noProof/>
        </w:rPr>
        <w:t>ntöjä, joita sovelletaan kaikkiin unionin hajautettuihin erillisvirastoihin (rahoitus, henkilöstö, täytäntöönpanosäännöt, hankinnat, raportointi jne.).</w:t>
      </w:r>
    </w:p>
    <w:p w:rsidR="0006109C" w:rsidRDefault="00493E42">
      <w:pPr>
        <w:rPr>
          <w:noProof/>
          <w:szCs w:val="24"/>
        </w:rPr>
      </w:pPr>
      <w:r>
        <w:rPr>
          <w:b/>
          <w:noProof/>
        </w:rPr>
        <w:t>Tehokkuus</w:t>
      </w:r>
      <w:r>
        <w:rPr>
          <w:noProof/>
        </w:rPr>
        <w:t xml:space="preserve"> – Vaikka tarkkaa kustannuslaskentaa ei ollut mahdollista tehdä, arviointi on osoittanut, että </w:t>
      </w:r>
      <w:r>
        <w:rPr>
          <w:noProof/>
        </w:rPr>
        <w:t>sääntelyjärjestelmästä useimmille toimijoille, loppukäyttäjille ja koko yhteiskunnalle aiheutuvat hyödyt ovat paljon suuremmat kuin sen täytäntöönpanosta aiheutuvat kustannukset.</w:t>
      </w:r>
    </w:p>
    <w:p w:rsidR="0006109C" w:rsidRDefault="00493E42">
      <w:pPr>
        <w:rPr>
          <w:noProof/>
          <w:szCs w:val="24"/>
        </w:rPr>
      </w:pPr>
      <w:r>
        <w:rPr>
          <w:noProof/>
        </w:rPr>
        <w:t>Monessa suhteessa BEREC-virasto ei ole samoilla linjoilla yhteisen lähestymis</w:t>
      </w:r>
      <w:r>
        <w:rPr>
          <w:noProof/>
        </w:rPr>
        <w:t>tavan periaatteiden kanssa. Sen koko ja tehtäväkenttä ovat suppeita verrattuna muihin unionin virastoihin, mikä heikentää sen kykyä houkutella ja pitää palveluksessaan henkilöstöä. Vaikutukset organisatorisiin näkökohtiin ovat kielteisiä. Nykyinen kaksipor</w:t>
      </w:r>
      <w:r>
        <w:rPr>
          <w:noProof/>
        </w:rPr>
        <w:t>tainen rakenne aiheuttaa myös tehottomuutta. Vaikka tällaista tehottomuutta on vaikea kvantifioida, kaksitasoinen rakenne monimutkaistaa asioita ja luo hallinnollisia rasitteita. Esimerkiksi vuosikertomuksia ja työohjelmia on kumpiakin kaksi – toiset hyväk</w:t>
      </w:r>
      <w:r>
        <w:rPr>
          <w:noProof/>
        </w:rPr>
        <w:t>syy sääntelyneuvosto BERECille ja toiset johtokunta BEREC-virastolle.</w:t>
      </w:r>
    </w:p>
    <w:p w:rsidR="0006109C" w:rsidRDefault="00493E42">
      <w:pPr>
        <w:rPr>
          <w:noProof/>
        </w:rPr>
      </w:pPr>
      <w:r>
        <w:rPr>
          <w:noProof/>
        </w:rPr>
        <w:t xml:space="preserve">Arvioinnissa on yksilöity joukko kysymyksiä, joita voitaisiin yksinkertaistaa ja virtaviivaistaa (nimittävän viranomaisen toimivallan siirto, puheenjohtajan pidemmät tai uusittavat </w:t>
      </w:r>
      <w:r>
        <w:rPr>
          <w:noProof/>
        </w:rPr>
        <w:t>toimeksiannot, määräenemmistöpäätöksenteko, riittävät resurssit, johtokunnan yksinkertaistaminen sekä pitemmät kuulemisjaksot tai kaksivaiheinen kuulemismenettely keskeisissä poliittisissa kysymyksissä).</w:t>
      </w:r>
    </w:p>
    <w:p w:rsidR="0006109C" w:rsidRDefault="00493E42">
      <w:pPr>
        <w:rPr>
          <w:rFonts w:eastAsia="Calibri"/>
          <w:bCs/>
          <w:noProof/>
        </w:rPr>
      </w:pPr>
      <w:r>
        <w:rPr>
          <w:b/>
          <w:noProof/>
        </w:rPr>
        <w:t>Eurooppalainen lisäarvo</w:t>
      </w:r>
      <w:r>
        <w:rPr>
          <w:noProof/>
        </w:rPr>
        <w:t xml:space="preserve"> – BERECin perustamisesta ja </w:t>
      </w:r>
      <w:r>
        <w:rPr>
          <w:noProof/>
        </w:rPr>
        <w:t>varsinkin sen EU:n toimielimille antamasta neuvonnasta saatava eurooppalainen lisäarvo kytkeytyy sähköisen viestinnän sisämarkkinoiden toimintaan. Yleisesti ottaen tämä nähdään myönteisenä, mutta toisinaan BERECin tehokkuus kyseenalaistetaan. Toiminnan teh</w:t>
      </w:r>
      <w:r>
        <w:rPr>
          <w:noProof/>
        </w:rPr>
        <w:t>ostaminen lisäisi sen lisäarvoa. BEREC-viraston lisäarvo unionin virastona, joka tukee BERECia, on toinen tärkeä näkökohta.</w:t>
      </w:r>
    </w:p>
    <w:p w:rsidR="0006109C" w:rsidRDefault="00493E42">
      <w:pPr>
        <w:pBdr>
          <w:top w:val="nil"/>
          <w:left w:val="nil"/>
          <w:bottom w:val="nil"/>
          <w:right w:val="nil"/>
          <w:between w:val="nil"/>
          <w:bar w:val="nil"/>
        </w:pBdr>
        <w:spacing w:before="0" w:after="240"/>
        <w:rPr>
          <w:rFonts w:eastAsia="Arial Unicode MS"/>
          <w:noProof/>
        </w:rPr>
      </w:pPr>
      <w:r>
        <w:rPr>
          <w:b/>
          <w:noProof/>
        </w:rPr>
        <w:t>Johdonmukaisuus</w:t>
      </w:r>
      <w:r>
        <w:rPr>
          <w:noProof/>
        </w:rPr>
        <w:t xml:space="preserve"> – Sääntelyjärjestelmän muodostavien eri välineiden on täydennettävä toisiaan. Arvioinnissa on kuitenkin havaittu sis</w:t>
      </w:r>
      <w:r>
        <w:rPr>
          <w:noProof/>
        </w:rPr>
        <w:t xml:space="preserve">äisiä epäjohdonmukaisuuksia, kuten ristiriitaisuuksia riippumattomien kansallisten sääntelyviranomaisten ja BERECin tehtävien välillä. Tämä johtuu siitä, että BERECin odotetaan antavan lausuntoja Euroopan tasolla sellaisillakin osa-alueilla, joilla kaikki </w:t>
      </w:r>
      <w:r>
        <w:rPr>
          <w:noProof/>
        </w:rPr>
        <w:t>sen jäseninä olevat sääntelyviranomaiset eivät ovat kansallisesti toimivaltaisia. Arvioinnissa on myös käynyt ilmi, että joissakin tapauksissa BERECin ja komission välinen koordinointi on osoittautunut haasteelliseksi, (esim. terminointimaksuja ja verkkovi</w:t>
      </w:r>
      <w:r>
        <w:rPr>
          <w:noProof/>
        </w:rPr>
        <w:t>erailuja koskevien tietojen antaminen BERECille ja BEREC-virastolle ja tällaisten tietojen saaminen niiltä). Parantamisen varaa on, jotta kukin organisaatio voisi suorittaa tehtävänsä tehokkaasti.</w:t>
      </w:r>
    </w:p>
    <w:p w:rsidR="0006109C" w:rsidRDefault="00493E42">
      <w:pPr>
        <w:pStyle w:val="ManualHeading2"/>
        <w:rPr>
          <w:rFonts w:eastAsia="Arial Unicode MS"/>
          <w:noProof/>
          <w:u w:color="000000"/>
          <w:bdr w:val="nil"/>
        </w:rPr>
      </w:pPr>
      <w:r>
        <w:rPr>
          <w:noProof/>
        </w:rPr>
        <w:t>•</w:t>
      </w:r>
      <w:r>
        <w:rPr>
          <w:noProof/>
        </w:rPr>
        <w:tab/>
        <w:t>Sidosryhmien kuuleminen</w:t>
      </w:r>
    </w:p>
    <w:p w:rsidR="0006109C" w:rsidRDefault="00493E42">
      <w:pPr>
        <w:spacing w:after="200"/>
        <w:rPr>
          <w:noProof/>
          <w:szCs w:val="24"/>
        </w:rPr>
      </w:pPr>
      <w:r>
        <w:rPr>
          <w:noProof/>
        </w:rPr>
        <w:t>Avoimessa julkisessa sidosryhmäku</w:t>
      </w:r>
      <w:r>
        <w:rPr>
          <w:noProof/>
        </w:rPr>
        <w:t>ulemisessa, joka käynnistettiin 11. syyskuuta 2015 kahdentoista viikon ajaksi, kerättiin palautetta nykyisten sääntöjen arvioimiseksi ja kartoitettiin näkökantoja mahdollisiin muutoksiin, joita sääntelyjärjestelmään voitaisiin tehdä markkinoiden ja tekniik</w:t>
      </w:r>
      <w:r>
        <w:rPr>
          <w:noProof/>
        </w:rPr>
        <w:t>an kehityksen perusteella. Kuuleminen kattoi yleisen arvion nykyisestä sääntelyjärjestelmästä sekä yksityiskohtaisen arvioinnin ja uudelleentarkastelun sen yksittäisistä osista. Kyseessä ovat</w:t>
      </w:r>
    </w:p>
    <w:p w:rsidR="0006109C" w:rsidRDefault="00493E42">
      <w:pPr>
        <w:pStyle w:val="Bullet0"/>
        <w:numPr>
          <w:ilvl w:val="0"/>
          <w:numId w:val="19"/>
        </w:numPr>
        <w:rPr>
          <w:noProof/>
        </w:rPr>
      </w:pPr>
      <w:r>
        <w:rPr>
          <w:noProof/>
        </w:rPr>
        <w:t xml:space="preserve">verkkoon pääsyn sääntely </w:t>
      </w:r>
    </w:p>
    <w:p w:rsidR="0006109C" w:rsidRDefault="00493E42">
      <w:pPr>
        <w:pStyle w:val="Bullet0"/>
        <w:rPr>
          <w:noProof/>
        </w:rPr>
      </w:pPr>
      <w:r>
        <w:rPr>
          <w:noProof/>
        </w:rPr>
        <w:t>taajuuksien hallinnointi ja langattoma</w:t>
      </w:r>
      <w:r>
        <w:rPr>
          <w:noProof/>
        </w:rPr>
        <w:t>t yhteydet</w:t>
      </w:r>
    </w:p>
    <w:p w:rsidR="0006109C" w:rsidRDefault="00493E42">
      <w:pPr>
        <w:pStyle w:val="Bullet0"/>
        <w:rPr>
          <w:noProof/>
        </w:rPr>
      </w:pPr>
      <w:r>
        <w:rPr>
          <w:noProof/>
        </w:rPr>
        <w:t>viestintäpalvelujen alakohtainen sääntely</w:t>
      </w:r>
    </w:p>
    <w:p w:rsidR="0006109C" w:rsidRDefault="00493E42">
      <w:pPr>
        <w:pStyle w:val="Bullet0"/>
        <w:rPr>
          <w:noProof/>
        </w:rPr>
      </w:pPr>
      <w:r>
        <w:rPr>
          <w:noProof/>
        </w:rPr>
        <w:t xml:space="preserve">yleispalvelusäännöt </w:t>
      </w:r>
    </w:p>
    <w:p w:rsidR="0006109C" w:rsidRDefault="00493E42">
      <w:pPr>
        <w:pStyle w:val="Bullet0"/>
        <w:rPr>
          <w:noProof/>
        </w:rPr>
      </w:pPr>
      <w:r>
        <w:rPr>
          <w:noProof/>
        </w:rPr>
        <w:t>institutionaalinen rakenne ja hallinto.</w:t>
      </w:r>
    </w:p>
    <w:p w:rsidR="0006109C" w:rsidRDefault="00493E42">
      <w:pPr>
        <w:spacing w:before="0" w:after="200"/>
        <w:rPr>
          <w:noProof/>
          <w:szCs w:val="24"/>
        </w:rPr>
      </w:pPr>
      <w:r>
        <w:rPr>
          <w:noProof/>
        </w:rPr>
        <w:t xml:space="preserve">Sidosryhmiä kuultiin laajalti ja yksityiskohtaisesti, ja palautetta saatiin kuluttajilta, sähköisten viestintäverkkojen ja -palvelujen </w:t>
      </w:r>
      <w:r>
        <w:rPr>
          <w:noProof/>
        </w:rPr>
        <w:t>tarjoajilta, kansallisilta ja EU:n tason operaattoriyhdistyksiltä, kansalaisjärjestöiltä, televisioyhtiöiltä, teknologian tarjoajilta, internet- ja verkkopalvelujen tarjoajilta, internetyhteyksiin nojautuvilta yrityksiltä ja laajemmin digitalouden toimijoi</w:t>
      </w:r>
      <w:r>
        <w:rPr>
          <w:noProof/>
        </w:rPr>
        <w:t>lta, kansallisilta viranomaisilta kaikilta tasoilta, kansallisilta sääntelyviranomaisilta sekä muilta asianomaisilta sidosryhmiltä. Palautetta saatiin sidosryhmiltä, joihin ehdotus vaikuttaa, sen täytäntöönpanosta vastaavilta sidosryhmiltä sekä sidosryhmil</w:t>
      </w:r>
      <w:r>
        <w:rPr>
          <w:noProof/>
        </w:rPr>
        <w:t>tä, jotka ilmaisivat siihen intressinsä. Vastauksia saatiin yhteensä 244 kaikista jäsenvaltioista ja unionin ulkopuolelta. Puolivälissä järjestettiin julkinen kuulemistilaisuus 11. marraskuuta 2015.</w:t>
      </w:r>
    </w:p>
    <w:p w:rsidR="0006109C" w:rsidRDefault="00493E42">
      <w:pPr>
        <w:spacing w:before="0" w:after="200"/>
        <w:rPr>
          <w:noProof/>
          <w:szCs w:val="24"/>
        </w:rPr>
      </w:pPr>
      <w:r>
        <w:rPr>
          <w:noProof/>
        </w:rPr>
        <w:t>Julkisen sidosryhmäkuulemisen lisäksi BEREC itse osallist</w:t>
      </w:r>
      <w:r>
        <w:rPr>
          <w:noProof/>
        </w:rPr>
        <w:t>ui arviointiin ja uudelleentarkasteluun ja julkaisi lausuntonsa joulukuussa 2015</w:t>
      </w:r>
      <w:r>
        <w:rPr>
          <w:rStyle w:val="FootnoteReference"/>
          <w:noProof/>
        </w:rPr>
        <w:footnoteReference w:id="7"/>
      </w:r>
      <w:r>
        <w:rPr>
          <w:noProof/>
        </w:rPr>
        <w:t>. Myös RSPG antoi lausuntonsa DSM-strategiasta ja sääntelyjärjestelmän uudelleentarkastelusta</w:t>
      </w:r>
      <w:r>
        <w:rPr>
          <w:rStyle w:val="FootnoteReference"/>
          <w:noProof/>
        </w:rPr>
        <w:footnoteReference w:id="8"/>
      </w:r>
      <w:r>
        <w:rPr>
          <w:noProof/>
        </w:rPr>
        <w:t>.</w:t>
      </w:r>
    </w:p>
    <w:p w:rsidR="0006109C" w:rsidRDefault="00493E42">
      <w:pPr>
        <w:spacing w:after="200"/>
        <w:rPr>
          <w:noProof/>
          <w:szCs w:val="24"/>
        </w:rPr>
      </w:pPr>
      <w:r>
        <w:rPr>
          <w:noProof/>
        </w:rPr>
        <w:t>Kuulemismenettelyssä kävivät ilmi seuraavat trendit:</w:t>
      </w:r>
    </w:p>
    <w:p w:rsidR="0006109C" w:rsidRDefault="00493E42">
      <w:pPr>
        <w:pStyle w:val="Bullet0"/>
        <w:numPr>
          <w:ilvl w:val="0"/>
          <w:numId w:val="15"/>
        </w:numPr>
        <w:rPr>
          <w:noProof/>
        </w:rPr>
      </w:pPr>
      <w:r>
        <w:rPr>
          <w:noProof/>
        </w:rPr>
        <w:t>Hyvät internetyhteydet kat</w:t>
      </w:r>
      <w:r>
        <w:rPr>
          <w:noProof/>
        </w:rPr>
        <w:t>sotaan edellytykseksi digitaalisille sisämarkkinoille. Monet vastaajista painottivat tarvetta poliittisiin toimenpiteisiin ja mahdollisiin muutoksiin nykyisissä toimintaperiaatteissa ja sääntelyvälineissä, jotta voidaan tukea infrastruktuurin käyttöönottoa</w:t>
      </w:r>
      <w:r>
        <w:rPr>
          <w:noProof/>
        </w:rPr>
        <w:t xml:space="preserve"> tulevien tarpeiden mukaan</w:t>
      </w:r>
    </w:p>
    <w:p w:rsidR="0006109C" w:rsidRDefault="00493E42">
      <w:pPr>
        <w:pStyle w:val="Bullet0"/>
        <w:rPr>
          <w:noProof/>
        </w:rPr>
      </w:pPr>
      <w:r>
        <w:rPr>
          <w:noProof/>
        </w:rPr>
        <w:t>Osa vastaajista totesi, ettei nykyinen sääntelyjärjestelmä hyödytä sisämarkkinoita paljoakaan. Yleisesti oltiin sitä mieltä, että sääntelyjärjestelmää on mukautettava nykyiseen markkinadynamiikkaan. Monet vastaajat katsoivat kuit</w:t>
      </w:r>
      <w:r>
        <w:rPr>
          <w:noProof/>
        </w:rPr>
        <w:t>enkin, että telemarkkinoiden vapauttaminen on tuonut parannuksia, kuten hyötyjä loppukäyttäjille ja kilpailua useimmille kansallisille markkinoille.</w:t>
      </w:r>
    </w:p>
    <w:p w:rsidR="0006109C" w:rsidRDefault="00493E42">
      <w:pPr>
        <w:pStyle w:val="Bullet0"/>
        <w:rPr>
          <w:noProof/>
        </w:rPr>
      </w:pPr>
      <w:r>
        <w:rPr>
          <w:noProof/>
        </w:rPr>
        <w:t>Taajuuksiin liittyen vastaajat totesivat langattomien yhteyksien ja langattoman laajakaistan tärkeyden. Yle</w:t>
      </w:r>
      <w:r>
        <w:rPr>
          <w:noProof/>
        </w:rPr>
        <w:t>isesti ottaen teollisuus, joka kannattaa koordinoidumpaa lähestymistapaa, haluaa lisätä investointivarmuutta ja mahdollisuuksia kehittää uutta langatonta ja matkaviestintää, myös 5G-verkkoja, unionin laajuudelta.</w:t>
      </w:r>
    </w:p>
    <w:p w:rsidR="0006109C" w:rsidRDefault="00493E42">
      <w:pPr>
        <w:pStyle w:val="Bullet0"/>
        <w:rPr>
          <w:noProof/>
        </w:rPr>
      </w:pPr>
      <w:r>
        <w:rPr>
          <w:noProof/>
        </w:rPr>
        <w:t>Kansallisten sääntelyviranomaisten ja taaju</w:t>
      </w:r>
      <w:r>
        <w:rPr>
          <w:noProof/>
        </w:rPr>
        <w:t>uksien hallinnasta vastaavien viranomaisten rooli tunnustetaan laajalti, mutta lähes puolet vastaajista korosti, että unionin tason institutionaalista rakennetta olisi mukautettava, jotta voidaan parantaa oikeusvarmuutta ja vastuuvelvollisuutta. Ne peräänk</w:t>
      </w:r>
      <w:r>
        <w:rPr>
          <w:noProof/>
        </w:rPr>
        <w:t>uuluttivat</w:t>
      </w:r>
    </w:p>
    <w:p w:rsidR="0006109C" w:rsidRDefault="00493E42">
      <w:pPr>
        <w:pStyle w:val="Bullet1"/>
        <w:numPr>
          <w:ilvl w:val="0"/>
          <w:numId w:val="18"/>
        </w:numPr>
        <w:rPr>
          <w:noProof/>
        </w:rPr>
      </w:pPr>
      <w:r>
        <w:rPr>
          <w:noProof/>
        </w:rPr>
        <w:t>selkeämpää toimivallan jakoa eri elinten välillä (päällekkäisyyksien välttämiseksi),</w:t>
      </w:r>
    </w:p>
    <w:p w:rsidR="0006109C" w:rsidRDefault="00493E42">
      <w:pPr>
        <w:pStyle w:val="Bullet1"/>
        <w:numPr>
          <w:ilvl w:val="0"/>
          <w:numId w:val="18"/>
        </w:numPr>
        <w:rPr>
          <w:noProof/>
        </w:rPr>
      </w:pPr>
      <w:r>
        <w:rPr>
          <w:noProof/>
        </w:rPr>
        <w:t>takeita elinten poliittiselle ja oikeudelliselle vastuulle päätöksistään ja</w:t>
      </w:r>
    </w:p>
    <w:p w:rsidR="0006109C" w:rsidRDefault="00493E42">
      <w:pPr>
        <w:pStyle w:val="Bullet1"/>
        <w:numPr>
          <w:ilvl w:val="0"/>
          <w:numId w:val="18"/>
        </w:numPr>
        <w:rPr>
          <w:noProof/>
        </w:rPr>
      </w:pPr>
      <w:r>
        <w:rPr>
          <w:noProof/>
        </w:rPr>
        <w:t xml:space="preserve">korkeaa avoimuuden tasoa päätöksenteossa (sidosryhmien osallistumisen lisäämistä </w:t>
      </w:r>
      <w:r>
        <w:rPr>
          <w:noProof/>
        </w:rPr>
        <w:t>päätöksentekoon).</w:t>
      </w:r>
    </w:p>
    <w:p w:rsidR="0006109C" w:rsidRDefault="00493E42">
      <w:pPr>
        <w:spacing w:after="200"/>
        <w:rPr>
          <w:noProof/>
          <w:szCs w:val="24"/>
        </w:rPr>
      </w:pPr>
      <w:r>
        <w:rPr>
          <w:noProof/>
        </w:rPr>
        <w:t>Osana arviointimenettelyä komissio teetti myös selvityksiä. Niihin sisältyi julkisia seminaareja, joissa sidosryhmillä oli tilaisuus kommentoida meneillään olevaa arviointityötä ja antaa siitä palautetta.</w:t>
      </w:r>
    </w:p>
    <w:p w:rsidR="0006109C" w:rsidRDefault="00493E42">
      <w:pPr>
        <w:pStyle w:val="Bullet0"/>
        <w:rPr>
          <w:noProof/>
        </w:rPr>
      </w:pPr>
      <w:r>
        <w:rPr>
          <w:noProof/>
        </w:rPr>
        <w:t xml:space="preserve">6. huhtikuuta 2016 järjestetyssä </w:t>
      </w:r>
      <w:r>
        <w:rPr>
          <w:noProof/>
        </w:rPr>
        <w:t xml:space="preserve">julkisessa seminaarissa validoitiin välivaiheen tuloksia tutkimuksesta, jossa WIK, IDATE ja Deloitte tarkastelivat </w:t>
      </w:r>
      <w:r>
        <w:rPr>
          <w:i/>
          <w:noProof/>
        </w:rPr>
        <w:t>sääntelymalleja, etenkin käyttöoikeuksissa, verkkoinvestointimalleille Euroopassa</w:t>
      </w:r>
      <w:r>
        <w:rPr>
          <w:noProof/>
        </w:rPr>
        <w:t xml:space="preserve"> (SMART 2015/0002)</w:t>
      </w:r>
    </w:p>
    <w:p w:rsidR="0006109C" w:rsidRDefault="00493E42">
      <w:pPr>
        <w:pStyle w:val="Bullet0"/>
        <w:rPr>
          <w:noProof/>
        </w:rPr>
      </w:pPr>
      <w:r>
        <w:rPr>
          <w:noProof/>
        </w:rPr>
        <w:t>2. toukokuuta 2016 järjestetyssä julkises</w:t>
      </w:r>
      <w:r>
        <w:rPr>
          <w:noProof/>
        </w:rPr>
        <w:t xml:space="preserve">sa seminaarissa validoitiin välivaiheen tuloksia tutkimuksesta, jossa WIK, CRIDS ja Cullen tarkastelivat </w:t>
      </w:r>
      <w:r>
        <w:rPr>
          <w:i/>
          <w:noProof/>
        </w:rPr>
        <w:t>sääntelyjärjestelmän tarkistukseen liittyviä sisältökysymyksiä markkinoille pääsyssä, niukkojen resurssien hallinnassa ja yleisissä kuluttaja-asioissa</w:t>
      </w:r>
      <w:r>
        <w:rPr>
          <w:noProof/>
        </w:rPr>
        <w:t xml:space="preserve"> </w:t>
      </w:r>
      <w:r>
        <w:rPr>
          <w:noProof/>
        </w:rPr>
        <w:t>(SMART 2015/0003).</w:t>
      </w:r>
    </w:p>
    <w:p w:rsidR="0006109C" w:rsidRDefault="00493E42">
      <w:pPr>
        <w:pStyle w:val="ManualHeading2"/>
        <w:rPr>
          <w:rFonts w:eastAsia="Arial Unicode MS"/>
          <w:noProof/>
          <w:u w:color="000000"/>
          <w:bdr w:val="nil"/>
        </w:rPr>
      </w:pPr>
      <w:r>
        <w:rPr>
          <w:noProof/>
        </w:rPr>
        <w:t>•</w:t>
      </w:r>
      <w:r>
        <w:rPr>
          <w:noProof/>
        </w:rPr>
        <w:tab/>
        <w:t>Asiantuntijatiedon käyttö</w:t>
      </w:r>
    </w:p>
    <w:p w:rsidR="0006109C" w:rsidRDefault="00493E42">
      <w:pPr>
        <w:spacing w:after="200"/>
        <w:rPr>
          <w:noProof/>
          <w:szCs w:val="24"/>
        </w:rPr>
      </w:pPr>
      <w:r>
        <w:rPr>
          <w:noProof/>
        </w:rPr>
        <w:t>Komissio on nojautunut seuraavaan ulkopuoliseen asiantuntija-apuun:</w:t>
      </w:r>
    </w:p>
    <w:p w:rsidR="0006109C" w:rsidRDefault="00493E42">
      <w:pPr>
        <w:pStyle w:val="Bullet0"/>
        <w:rPr>
          <w:noProof/>
        </w:rPr>
      </w:pPr>
      <w:r>
        <w:rPr>
          <w:noProof/>
        </w:rPr>
        <w:t>– poliittiset suositukset muilta EU:n toimielimiltä, erityisesti Euroopan parlamentilta</w:t>
      </w:r>
      <w:r>
        <w:rPr>
          <w:rStyle w:val="FootnoteReference"/>
          <w:noProof/>
        </w:rPr>
        <w:footnoteReference w:id="9"/>
      </w:r>
      <w:r>
        <w:rPr>
          <w:rStyle w:val="FootnoteReference"/>
          <w:noProof/>
        </w:rPr>
        <w:t xml:space="preserve"> </w:t>
      </w:r>
      <w:r>
        <w:rPr>
          <w:noProof/>
        </w:rPr>
        <w:t xml:space="preserve"> ja Eurooppa-neuvostolta</w:t>
      </w:r>
      <w:r>
        <w:rPr>
          <w:rStyle w:val="FootnoteReference"/>
          <w:noProof/>
        </w:rPr>
        <w:footnoteReference w:id="10"/>
      </w:r>
      <w:r>
        <w:rPr>
          <w:noProof/>
        </w:rPr>
        <w:t>.</w:t>
      </w:r>
    </w:p>
    <w:p w:rsidR="0006109C" w:rsidRDefault="00493E42">
      <w:pPr>
        <w:pStyle w:val="Bullet0"/>
        <w:rPr>
          <w:noProof/>
        </w:rPr>
      </w:pPr>
      <w:r>
        <w:rPr>
          <w:noProof/>
        </w:rPr>
        <w:t>– Kolme uudelleentarkaste</w:t>
      </w:r>
      <w:r>
        <w:rPr>
          <w:noProof/>
        </w:rPr>
        <w:t>luun liittyviä tutkimusta:</w:t>
      </w:r>
    </w:p>
    <w:p w:rsidR="0006109C" w:rsidRDefault="00493E42">
      <w:pPr>
        <w:pStyle w:val="Tiret1"/>
        <w:numPr>
          <w:ilvl w:val="0"/>
          <w:numId w:val="16"/>
        </w:numPr>
        <w:rPr>
          <w:noProof/>
        </w:rPr>
      </w:pPr>
      <w:r>
        <w:rPr>
          <w:i/>
          <w:noProof/>
        </w:rPr>
        <w:t>valmistelutuki vaikutusten arvioinnille sähköisen viestinnän sääntelyjärjestelmän tarkistuksesta</w:t>
      </w:r>
      <w:r>
        <w:rPr>
          <w:noProof/>
        </w:rPr>
        <w:t xml:space="preserve"> (SMART 2015/0005).</w:t>
      </w:r>
    </w:p>
    <w:p w:rsidR="0006109C" w:rsidRDefault="00493E42">
      <w:pPr>
        <w:pStyle w:val="Tiret1"/>
        <w:rPr>
          <w:noProof/>
        </w:rPr>
      </w:pPr>
      <w:r>
        <w:rPr>
          <w:i/>
          <w:noProof/>
        </w:rPr>
        <w:t>sääntelymallit, etenkin käyttöoikeuksissa, verkkoinvestointimalleille Euroopassa</w:t>
      </w:r>
      <w:r>
        <w:rPr>
          <w:noProof/>
        </w:rPr>
        <w:t xml:space="preserve"> (SMART 2015/0002).</w:t>
      </w:r>
    </w:p>
    <w:p w:rsidR="0006109C" w:rsidRDefault="00493E42">
      <w:pPr>
        <w:pStyle w:val="Tiret1"/>
        <w:rPr>
          <w:noProof/>
        </w:rPr>
      </w:pPr>
      <w:r>
        <w:rPr>
          <w:i/>
          <w:noProof/>
        </w:rPr>
        <w:t>sääntelyjärje</w:t>
      </w:r>
      <w:r>
        <w:rPr>
          <w:i/>
          <w:noProof/>
        </w:rPr>
        <w:t>stelmän tarkistukseen liittyvät sisältökysymykset markkinoille pääsyssä, niukkojen resurssien hallinnassa ja yleisissä kuluttaja-asioissa</w:t>
      </w:r>
      <w:r>
        <w:rPr>
          <w:noProof/>
        </w:rPr>
        <w:t xml:space="preserve"> (SMART 2015/0003).</w:t>
      </w:r>
    </w:p>
    <w:p w:rsidR="0006109C" w:rsidRDefault="00493E42">
      <w:pPr>
        <w:pStyle w:val="Bullet0"/>
        <w:rPr>
          <w:noProof/>
        </w:rPr>
      </w:pPr>
      <w:r>
        <w:rPr>
          <w:noProof/>
        </w:rPr>
        <w:t>– Lisäksi uudelleentarkasteluun saatiin aineksia eräistä muista tutkimuksista, jotka mainitaan vaik</w:t>
      </w:r>
      <w:r>
        <w:rPr>
          <w:noProof/>
        </w:rPr>
        <w:t>utusten arvioinnin jaksossa 6.1.4.</w:t>
      </w:r>
    </w:p>
    <w:p w:rsidR="0006109C" w:rsidRDefault="00493E42">
      <w:pPr>
        <w:pStyle w:val="Bullet0"/>
        <w:rPr>
          <w:noProof/>
        </w:rPr>
      </w:pPr>
      <w:r>
        <w:rPr>
          <w:noProof/>
        </w:rPr>
        <w:t>– Korkean tason asiantuntijaryhmä osana tutkimusta SMART 2015/0005</w:t>
      </w:r>
      <w:r>
        <w:rPr>
          <w:rStyle w:val="FootnoteReference"/>
          <w:noProof/>
        </w:rPr>
        <w:footnoteReference w:id="11"/>
      </w:r>
      <w:r>
        <w:rPr>
          <w:rStyle w:val="FootnoteReference"/>
          <w:noProof/>
          <w:vertAlign w:val="baseline"/>
        </w:rPr>
        <w:t>.</w:t>
      </w:r>
    </w:p>
    <w:p w:rsidR="0006109C" w:rsidRDefault="00493E42">
      <w:pPr>
        <w:pStyle w:val="ManualHeading2"/>
        <w:rPr>
          <w:rFonts w:eastAsia="Arial Unicode MS"/>
          <w:noProof/>
          <w:u w:color="000000"/>
          <w:bdr w:val="nil"/>
        </w:rPr>
      </w:pPr>
      <w:r>
        <w:rPr>
          <w:noProof/>
        </w:rPr>
        <w:t>•</w:t>
      </w:r>
      <w:r>
        <w:rPr>
          <w:noProof/>
        </w:rPr>
        <w:tab/>
        <w:t>Vaikutusten arviointi</w:t>
      </w:r>
    </w:p>
    <w:p w:rsidR="0006109C" w:rsidRDefault="00493E42">
      <w:pPr>
        <w:rPr>
          <w:rFonts w:eastAsia="Calibri"/>
          <w:noProof/>
          <w:szCs w:val="24"/>
        </w:rPr>
      </w:pPr>
      <w:r>
        <w:rPr>
          <w:noProof/>
        </w:rPr>
        <w:t>Tiivistelmä vaikutusten arvioinnista ja sääntelyntarkastelulautakunnan puoltava lausunto ovat komission verkkosivustolla</w:t>
      </w:r>
      <w:r>
        <w:rPr>
          <w:rStyle w:val="FootnoteReference"/>
          <w:noProof/>
        </w:rPr>
        <w:footnoteReference w:id="12"/>
      </w:r>
      <w:r>
        <w:rPr>
          <w:noProof/>
        </w:rPr>
        <w:t>.</w:t>
      </w:r>
    </w:p>
    <w:p w:rsidR="0006109C" w:rsidRDefault="00493E42">
      <w:pPr>
        <w:rPr>
          <w:rFonts w:eastAsia="Calibri"/>
          <w:noProof/>
          <w:szCs w:val="24"/>
        </w:rPr>
      </w:pPr>
      <w:r>
        <w:rPr>
          <w:noProof/>
        </w:rPr>
        <w:t>Seuraavassa esitetään tarkastelun kohteena olleet hallinnointivaihtoehdot. Etusijalle asetettiin vaihtoehto 3, vaikka BERECin rakenteen linjaamista yhteisen lähestymistavan mukaiseksi harkittiin myös vaihtoehdossa 2</w:t>
      </w:r>
      <w:r>
        <w:rPr>
          <w:rStyle w:val="FootnoteReference"/>
          <w:noProof/>
        </w:rPr>
        <w:footnoteReference w:id="13"/>
      </w:r>
      <w:r>
        <w:rPr>
          <w:noProof/>
        </w:rPr>
        <w:t>.</w:t>
      </w:r>
    </w:p>
    <w:p w:rsidR="0006109C" w:rsidRDefault="00493E42">
      <w:pPr>
        <w:spacing w:before="240" w:after="240"/>
        <w:rPr>
          <w:rFonts w:eastAsia="Calibri"/>
          <w:b/>
          <w:i/>
          <w:noProof/>
          <w:szCs w:val="24"/>
        </w:rPr>
      </w:pPr>
      <w:r>
        <w:rPr>
          <w:b/>
          <w:i/>
          <w:noProof/>
        </w:rPr>
        <w:t>Vaihtoehto 1 – Perusskenaario – ei muu</w:t>
      </w:r>
      <w:r>
        <w:rPr>
          <w:b/>
          <w:i/>
          <w:noProof/>
        </w:rPr>
        <w:t>toksia</w:t>
      </w:r>
    </w:p>
    <w:p w:rsidR="0006109C" w:rsidRDefault="00493E42">
      <w:pPr>
        <w:rPr>
          <w:rFonts w:eastAsia="Calibri"/>
          <w:noProof/>
          <w:szCs w:val="24"/>
        </w:rPr>
      </w:pPr>
      <w:r>
        <w:rPr>
          <w:noProof/>
        </w:rPr>
        <w:t>Tämä vaihtoehto perustuu nykyisiin säännöksiin. Nykytilanteen toimivuuteen vaikuttaa se, etteivät kansallisten sääntelyviranomaisten toimivaltuudet ole tarvittavassa määrin yhdenmukaisia. Lainsäätäjä on antanut BERECille tehtäviä aloilla, joilla sen</w:t>
      </w:r>
      <w:r>
        <w:rPr>
          <w:noProof/>
        </w:rPr>
        <w:t xml:space="preserve"> jäsenten kansallisen tason toimivaltuudet eivät vastaa toisiaan, esimerkkinä rajat ylittävien riitojen ratkaisu.</w:t>
      </w:r>
    </w:p>
    <w:p w:rsidR="0006109C" w:rsidRDefault="00493E42">
      <w:pPr>
        <w:spacing w:before="240" w:after="240"/>
        <w:rPr>
          <w:rFonts w:eastAsia="Calibri"/>
          <w:b/>
          <w:i/>
          <w:noProof/>
          <w:szCs w:val="24"/>
        </w:rPr>
      </w:pPr>
      <w:r>
        <w:rPr>
          <w:b/>
          <w:i/>
          <w:noProof/>
        </w:rPr>
        <w:t>Vaihtoehto 2 – Neuvoa-antavan roolin ja toimivaltuuksien tehostaminen</w:t>
      </w:r>
    </w:p>
    <w:p w:rsidR="0006109C" w:rsidRDefault="00493E42">
      <w:pPr>
        <w:rPr>
          <w:rFonts w:eastAsia="Calibri"/>
          <w:noProof/>
          <w:szCs w:val="24"/>
        </w:rPr>
      </w:pPr>
      <w:r>
        <w:rPr>
          <w:noProof/>
        </w:rPr>
        <w:t>Tässä vaihtoehdossa tehtäisiin joitakin muutoksia nykyisiin sääntöihin s</w:t>
      </w:r>
      <w:r>
        <w:rPr>
          <w:noProof/>
        </w:rPr>
        <w:t>ääntelyjärjestelmän täytäntöönpanosta viime vuosina saatujen kokemusten ja REFIT-arvioinnin perusteella. Muun muassa riippumattomien kansallisten sääntelyviranomaisten roolia vahvistettaisiin määrittämällä, mitkä valtuudet niillä on vähintään oltava kaikki</w:t>
      </w:r>
      <w:r>
        <w:rPr>
          <w:noProof/>
        </w:rPr>
        <w:t>alla unionissa.</w:t>
      </w:r>
    </w:p>
    <w:p w:rsidR="0006109C" w:rsidRDefault="00493E42">
      <w:pPr>
        <w:rPr>
          <w:rFonts w:eastAsia="Calibri"/>
          <w:noProof/>
          <w:szCs w:val="24"/>
        </w:rPr>
      </w:pPr>
      <w:r>
        <w:rPr>
          <w:noProof/>
        </w:rPr>
        <w:t>Unionin tasolla BERECin neuvoa-antavaa roolia laajennettaisiin osa-alueille, joilla toimivaltaisia ovat riippumattomat kansalliset sääntelyviranomaiset, jotta sen tehtävät olisivat linjassa kansallisten sääntelyviranomaisten tehtävien kanss</w:t>
      </w:r>
      <w:r>
        <w:rPr>
          <w:noProof/>
        </w:rPr>
        <w:t>a. Tehokkaamman toiminnan ja vakaamman hallinnon turvaamiseksi BERECin hallintorakennetta mukautettaisiin vastaamaan paremmin yhteistä lähestymistapaa. Tämä tarkoittaa sitä, että sääntelytehtävistä huolehtisi BERECin puitteissa elin, jolla on oikeushenkilö</w:t>
      </w:r>
      <w:r>
        <w:rPr>
          <w:noProof/>
        </w:rPr>
        <w:t>llisyys.</w:t>
      </w:r>
    </w:p>
    <w:p w:rsidR="0006109C" w:rsidRDefault="00493E42">
      <w:pPr>
        <w:rPr>
          <w:rFonts w:eastAsia="Calibri"/>
          <w:noProof/>
          <w:szCs w:val="24"/>
        </w:rPr>
      </w:pPr>
      <w:r>
        <w:rPr>
          <w:noProof/>
        </w:rPr>
        <w:t>Vaihtoehdossa perustettaisiin uusi hallintoneuvosto valvomaan yleisin suuntaviivoin viraston toimintaa. Se korvaisi nykyisen sääntelyneuvoston ja johtokunnan. Vakaamman hallintorakenteen tueksi (hallintoneuvoston jäsenten joukosta valittava) puhee</w:t>
      </w:r>
      <w:r>
        <w:rPr>
          <w:noProof/>
        </w:rPr>
        <w:t>njohtaja nimitettäisiin pidemmäksi toimikaudeksi (tällä hetkellä toimikausi on vuoden mittainen). Pääjohtajalla olisi enemmän valtaa kuin nykyisellä BEREC-viraston hallintojohtajalla, ja pääjohtaja valittaisiin komission esittämistä ehdokkaista avoimessa v</w:t>
      </w:r>
      <w:r>
        <w:rPr>
          <w:noProof/>
        </w:rPr>
        <w:t>alintamenettelyssä yhteisen lähestymistavan mukaisesti samoin kuin muissakin virastoissa.</w:t>
      </w:r>
    </w:p>
    <w:p w:rsidR="0006109C" w:rsidRDefault="00493E42">
      <w:pPr>
        <w:spacing w:before="240" w:after="240"/>
        <w:rPr>
          <w:rFonts w:eastAsia="Calibri"/>
          <w:b/>
          <w:i/>
          <w:noProof/>
          <w:szCs w:val="24"/>
        </w:rPr>
      </w:pPr>
      <w:r>
        <w:rPr>
          <w:b/>
          <w:i/>
          <w:noProof/>
        </w:rPr>
        <w:t>Vaihtoehto 3 – Neuvoa-antava rooli, joka käsittää tietyt esinormatiiviset valtuudet ja paremmat valmiudet markkina-analyysiprosessin ja taajuuksien käyttöoikeuksien j</w:t>
      </w:r>
      <w:r>
        <w:rPr>
          <w:b/>
          <w:i/>
          <w:noProof/>
        </w:rPr>
        <w:t>akamisen suhteen</w:t>
      </w:r>
    </w:p>
    <w:p w:rsidR="0006109C" w:rsidRDefault="00493E42">
      <w:pPr>
        <w:rPr>
          <w:rFonts w:eastAsia="Calibri"/>
          <w:noProof/>
          <w:szCs w:val="24"/>
        </w:rPr>
      </w:pPr>
      <w:r>
        <w:rPr>
          <w:noProof/>
        </w:rPr>
        <w:t>Tämä vaihtoehto sisältää useimmat vaihtoehtoon 2 sisältyvät osatekijät, kuten yhdenmukaiset vähimmäisvaltuudet (myös valtuudet määritellä sääntelylliset ja markkinoita muokkaavat näkökohdat sähköisen viestinnän verkoille ja palveluille taa</w:t>
      </w:r>
      <w:r>
        <w:rPr>
          <w:noProof/>
        </w:rPr>
        <w:t>juuksien käyttöoikeuksien jakamisessa), kansallisten sääntelyviranomaisten ja BERECin tehtävien yhtenäiset linjaukset ja BERECin hallintorakenteen mukauttamisen vastaamaan yhteistä lähestymistapaa.</w:t>
      </w:r>
    </w:p>
    <w:p w:rsidR="0006109C" w:rsidRDefault="00493E42">
      <w:pPr>
        <w:rPr>
          <w:rFonts w:eastAsia="Calibri"/>
          <w:noProof/>
          <w:szCs w:val="24"/>
        </w:rPr>
      </w:pPr>
      <w:r>
        <w:rPr>
          <w:noProof/>
        </w:rPr>
        <w:t>BERECille annetaan lisätehtäviä, kuten valtuudet tehdä sit</w:t>
      </w:r>
      <w:r>
        <w:rPr>
          <w:noProof/>
        </w:rPr>
        <w:t>ovia päätöksiä rajat ylittävien markkinoiden määrittelystä ja sopimustiivistelmän mallista sekä lähes sitovat valtuudet sisämarkkinamenettelyissä, jotka koskevat kansallisia toimenpide-ehdotuksia markkinoiden sääntelyssä (ns. varmistusmekanismi – ks. jälje</w:t>
      </w:r>
      <w:r>
        <w:rPr>
          <w:noProof/>
        </w:rPr>
        <w:t>mpänä) ja terminointimaksun yhtenäisen enimmäismäärän määrittämistä unionissa. BEREC myös antaisi suuntaviivoja maantieteellisistä kartoituksista, yhteisistä lähestymistavoista valtioiden rajat ylittävään kysyntään vastaamiseksi, viitetarjouksien vähimmäis</w:t>
      </w:r>
      <w:r>
        <w:rPr>
          <w:noProof/>
        </w:rPr>
        <w:t>vaatimuksista, yhteisistä perusteista numerovarojen hallinnoimiseksi, palvelun laatua koskevista parametreista, sovellettavista mittausmenetelmistä ja teknisistä yksityiskohdista kustannusmallille, jota kansalliset sääntelyviranomaiset soveltavat määrittäe</w:t>
      </w:r>
      <w:r>
        <w:rPr>
          <w:noProof/>
        </w:rPr>
        <w:t>ssään symmetristen terminointimaksujen enimmäismääriä. BERECille annetaan myös valtuudet pyytää tietoja suoraan operaattoreilta.</w:t>
      </w:r>
    </w:p>
    <w:p w:rsidR="0006109C" w:rsidRDefault="00493E42">
      <w:pPr>
        <w:rPr>
          <w:rFonts w:eastAsia="Calibri"/>
          <w:noProof/>
          <w:szCs w:val="24"/>
        </w:rPr>
      </w:pPr>
      <w:r>
        <w:rPr>
          <w:noProof/>
        </w:rPr>
        <w:t>BERECin tehtävänä olisi myös perustaa rekisteri numeroiden oman alueen ulkopuolisesta käytöstä ja rajat ylittävistä järjestelyi</w:t>
      </w:r>
      <w:r>
        <w:rPr>
          <w:noProof/>
        </w:rPr>
        <w:t xml:space="preserve">stä sekä rekisteri sähköisen viestinnän verkkojen ja palvelujen tarjoajista. Lisäksi BEREC avustaisi komissiota ja kansallisia sääntelyviranomaisia standardoinnin alalla auttamalla niitä tunnistamaan loppukäyttäjien väliseen päästä päähän -liitettävyyteen </w:t>
      </w:r>
      <w:r>
        <w:rPr>
          <w:noProof/>
        </w:rPr>
        <w:t>tai hätäpalvelujen tosiasialliseen saantiin kohdistuvia uhkia. Tämä voitaisiin toteuttaa panemalla täytäntöön voimassa olevat normit ja asettamalla uusia normeja.</w:t>
      </w:r>
    </w:p>
    <w:p w:rsidR="0006109C" w:rsidRDefault="00493E42">
      <w:pPr>
        <w:rPr>
          <w:rFonts w:eastAsia="Calibri"/>
          <w:noProof/>
          <w:szCs w:val="24"/>
        </w:rPr>
      </w:pPr>
      <w:r>
        <w:rPr>
          <w:noProof/>
        </w:rPr>
        <w:t xml:space="preserve">Nykyistä tilannetta, jossa komissiolla ja BERECilla vain ei-sitovat valtuudet korjaavissa </w:t>
      </w:r>
      <w:r>
        <w:rPr>
          <w:noProof/>
        </w:rPr>
        <w:t>toimissa, parannettaisiin ns. varmistusmekanismilla (double-lock). Tämä mekanismi toimii siten, että jos sekä BEREC että komissio omaksuvat saman kannan kansallisen sääntelyviranomaisen ehdotuksiin korjaaviksi toimiksi, komissio voi vaatia kansallista sään</w:t>
      </w:r>
      <w:r>
        <w:rPr>
          <w:noProof/>
        </w:rPr>
        <w:t>telyviranomaista muuttamaan toimenpide-ehdotusta tai peruuttamaan sen ja tarvittaessa ilmoittamaan markkina-analyysin uudelleen. BERECin puitteissa otettaisiin myös käyttöön erityinen ”vertaisarviointi” uutena koordinointimekanismina, jolla voidaan paranta</w:t>
      </w:r>
      <w:r>
        <w:rPr>
          <w:noProof/>
        </w:rPr>
        <w:t>a jäsenvaltioiden välistä tehokkuutta ja johdonmukaisuutta sääntelyllisissä markkinanäkökohdissa taajuuksien käyttöoikeuksien jakamisessa.</w:t>
      </w:r>
    </w:p>
    <w:p w:rsidR="0006109C" w:rsidRDefault="00493E42">
      <w:pPr>
        <w:spacing w:before="240" w:after="240"/>
        <w:rPr>
          <w:rFonts w:eastAsia="Calibri"/>
          <w:b/>
          <w:i/>
          <w:noProof/>
          <w:szCs w:val="24"/>
        </w:rPr>
      </w:pPr>
      <w:r>
        <w:rPr>
          <w:b/>
          <w:i/>
          <w:noProof/>
        </w:rPr>
        <w:t>Vaihtoehto 4 – EU:n sääntelyviranomainen, jolla on tietyt täytäntöönpanovaltuudet</w:t>
      </w:r>
    </w:p>
    <w:p w:rsidR="0006109C" w:rsidRDefault="00493E42">
      <w:pPr>
        <w:rPr>
          <w:rFonts w:eastAsia="Calibri"/>
          <w:noProof/>
          <w:szCs w:val="24"/>
        </w:rPr>
      </w:pPr>
      <w:r>
        <w:rPr>
          <w:noProof/>
        </w:rPr>
        <w:t>Tässä vaihtoehdossa perustettaisiin</w:t>
      </w:r>
      <w:r>
        <w:rPr>
          <w:noProof/>
        </w:rPr>
        <w:t xml:space="preserve"> EU:n sääntelyviranomainen vahvistettuna virastona, jolle annettaisiin tarvittavat resurssit käyttää sille siirrettäviä täytäntöönpanovaltuuksia, myös valtuuksia seurantaan ja täytäntöönpanon valvontaan. Se voisi toimia sitovin valtuuksin aloilla, joilla o</w:t>
      </w:r>
      <w:r>
        <w:rPr>
          <w:noProof/>
        </w:rPr>
        <w:t xml:space="preserve">n tarpeen varmistaa EU:n sääntöjen yhdenmukainen soveltaminen. Näihin aloihin kuuluvat uudet EU:n laajuiset tai maailmanlaajuiset palvelut, jotka ovat tällä hetkellä pitkälti sääntelemättömiä tai epäselvän sääntelyn alaisia (M2M, avoimen internetin kautta </w:t>
      </w:r>
      <w:r>
        <w:rPr>
          <w:noProof/>
        </w:rPr>
        <w:t>tapahtuva jakelu (OTT) sekä muut unionille tärkeät osa-alueet, kuten verkkovierailut tai valtioiden rajat ylittävät markkinat).</w:t>
      </w:r>
    </w:p>
    <w:p w:rsidR="0006109C" w:rsidRDefault="00493E42">
      <w:pPr>
        <w:pBdr>
          <w:top w:val="nil"/>
          <w:left w:val="nil"/>
          <w:bottom w:val="nil"/>
          <w:right w:val="nil"/>
          <w:between w:val="nil"/>
          <w:bar w:val="nil"/>
        </w:pBdr>
        <w:spacing w:before="0" w:after="240"/>
        <w:rPr>
          <w:rFonts w:eastAsia="Arial Unicode MS"/>
          <w:noProof/>
        </w:rPr>
      </w:pPr>
      <w:r>
        <w:rPr>
          <w:noProof/>
        </w:rPr>
        <w:t>Radiotaajuuksien osalta käyttöön otettaisiin valmisteleva vertaisarviointimekanismi, johon EU:n sääntelyviranomainen osallistuis</w:t>
      </w:r>
      <w:r>
        <w:rPr>
          <w:noProof/>
        </w:rPr>
        <w:t>i, mahdollisesti komission veto-oikeudella. EU:n sääntelyviranomainen voisi myös koordinoida sitovia yleiseurooppalaisia taajuuksien jakomenettelyjä tietyillä taajuusalueilla. Lisäksi virasto muodostaisi institutionaalisen tahon sovittelupalvelulle rajatyl</w:t>
      </w:r>
      <w:r>
        <w:rPr>
          <w:noProof/>
        </w:rPr>
        <w:t>ittävissä häiriötapauksissa ja sääntelykysymyksissä.</w:t>
      </w:r>
    </w:p>
    <w:p w:rsidR="0006109C" w:rsidRDefault="00493E42">
      <w:pPr>
        <w:pStyle w:val="ManualHeading2"/>
        <w:rPr>
          <w:rFonts w:eastAsia="Arial Unicode MS"/>
          <w:noProof/>
          <w:u w:color="000000"/>
          <w:bdr w:val="nil"/>
        </w:rPr>
      </w:pPr>
      <w:r>
        <w:rPr>
          <w:noProof/>
        </w:rPr>
        <w:t>•</w:t>
      </w:r>
      <w:r>
        <w:rPr>
          <w:noProof/>
        </w:rPr>
        <w:tab/>
        <w:t>Sääntelyn tila ja yksinkertaistaminen</w:t>
      </w:r>
    </w:p>
    <w:p w:rsidR="0006109C" w:rsidRDefault="00493E42">
      <w:pPr>
        <w:rPr>
          <w:noProof/>
          <w:szCs w:val="24"/>
        </w:rPr>
      </w:pPr>
      <w:r>
        <w:rPr>
          <w:noProof/>
        </w:rPr>
        <w:t>Etusijalle asetetussa vaihtoehdossa esitetyt toimenpiteet vastaavat REFIT-periaatteita, koska niiden tavoitteena on yksinkertaistaa ja vähentää hallinnollista taak</w:t>
      </w:r>
      <w:r>
        <w:rPr>
          <w:noProof/>
        </w:rPr>
        <w:t xml:space="preserve">kaa uudelleentarkastetussa tehdyn REFIT-arvioinnin tulosten mukaisesti. Monilla hallintoon ja muihin toimintalohkoihin ehdotetuilla muutoksilla on määrä selventää sääntöjä, jotta osapuolet kykenevät vaivattomasti ymmärtämään oikeutensa ja velvollisuutensa </w:t>
      </w:r>
      <w:r>
        <w:rPr>
          <w:noProof/>
        </w:rPr>
        <w:t>ja jotta voidaan välttää ylisääntelyä ja hallinnollista rasitetta.</w:t>
      </w:r>
    </w:p>
    <w:p w:rsidR="0006109C" w:rsidRDefault="00493E42">
      <w:pPr>
        <w:rPr>
          <w:noProof/>
        </w:rPr>
      </w:pPr>
      <w:r>
        <w:rPr>
          <w:noProof/>
        </w:rPr>
        <w:t>Ehdotus pyrkii tehokkaampaan ja kevyempään institutionaaliseen rakenteeseen ottaen huomioon REFIT-arviointi. Ehdotetuilla muutoksilla BEREC vastaisi yhteistä lähestymistapaa ja muiden union</w:t>
      </w:r>
      <w:r>
        <w:rPr>
          <w:noProof/>
        </w:rPr>
        <w:t>in virastojen rakennetta. Jos BERECista ehdotuksen mukaisesti tehdään unionin hajautettu erillisvirasto, saadaan tiettyjä tehokkuushyötyjä ja synergioita, mikä osittain kompensoisi tarvetta lisäresursseihin BERECille annettujen uusien tehtävien täyttämisek</w:t>
      </w:r>
      <w:r>
        <w:rPr>
          <w:noProof/>
        </w:rPr>
        <w:t>si.</w:t>
      </w:r>
    </w:p>
    <w:p w:rsidR="0006109C" w:rsidRDefault="00493E42">
      <w:pPr>
        <w:tabs>
          <w:tab w:val="left" w:pos="720"/>
        </w:tabs>
        <w:spacing w:before="0" w:after="240"/>
        <w:rPr>
          <w:noProof/>
        </w:rPr>
      </w:pPr>
      <w:r>
        <w:rPr>
          <w:noProof/>
        </w:rPr>
        <w:t>– Perustettavalla unionin erillisvirastolla olisi tarkoituksenmukainen rakenne, hallinto, toimeksianto ja valtuudet. Tämä vahvistaisi oikeudellista ja poliittista vastuuta, koska kaikista (sääntelyllisistä, hallinnollisista, taloudellisista jne.) päätö</w:t>
      </w:r>
      <w:r>
        <w:rPr>
          <w:noProof/>
        </w:rPr>
        <w:t xml:space="preserve">ksistä vastaisi unionin virasto, jolla on oikeushenkilöllisyys. </w:t>
      </w:r>
    </w:p>
    <w:p w:rsidR="0006109C" w:rsidRDefault="00493E42">
      <w:pPr>
        <w:tabs>
          <w:tab w:val="left" w:pos="720"/>
        </w:tabs>
        <w:spacing w:before="0" w:after="240"/>
        <w:rPr>
          <w:noProof/>
        </w:rPr>
      </w:pPr>
      <w:r>
        <w:rPr>
          <w:noProof/>
        </w:rPr>
        <w:t xml:space="preserve">– Hallintorakennetta yksinkertaistettaisiin korvaamalla nykyiset kaksi hallintorakennetta (sääntelyneuvosto sääntelyä koskeville päätöksille ja johtokunta hallinnollisille ja taloudellisille </w:t>
      </w:r>
      <w:r>
        <w:rPr>
          <w:noProof/>
        </w:rPr>
        <w:t>päätöksille) yhdellä hallintoneuvostolla. Tämä vähentäisi hallinnollista taakkaa poistamalla nykyiset kaksinkertaiset esityslistat, työohjelmat, vuosiraportit, asiakirjarekisterit, jäsenten nimitykset jne.</w:t>
      </w:r>
    </w:p>
    <w:p w:rsidR="0006109C" w:rsidRDefault="00493E42">
      <w:pPr>
        <w:tabs>
          <w:tab w:val="left" w:pos="720"/>
        </w:tabs>
        <w:spacing w:before="0" w:after="240"/>
        <w:rPr>
          <w:noProof/>
        </w:rPr>
      </w:pPr>
      <w:r>
        <w:rPr>
          <w:noProof/>
        </w:rPr>
        <w:t>– Viraston johtoon nimitettäisiin pääjohtaja, joka</w:t>
      </w:r>
      <w:r>
        <w:rPr>
          <w:noProof/>
        </w:rPr>
        <w:t xml:space="preserve"> toimii BERECin laillisena edustajana ja vastaa viraston tehtävien suorittamisesta. Pääjohtajalle muun muassa delegoitaisiin nimittävän viranomaisen toimivalta. Tämä tehostaisi viraston henkilöstöhallintoa (voimassa olevan BEREC-asetuksen mukaan kyseiset v</w:t>
      </w:r>
      <w:r>
        <w:rPr>
          <w:noProof/>
        </w:rPr>
        <w:t>altuudet kuuluvat varapuheenjohtajalle, jonka toimikausi on yksi vuosi, eikä niitä voida siirtää valtuutetuille tai edelleenvaltuutetuille).</w:t>
      </w:r>
    </w:p>
    <w:p w:rsidR="0006109C" w:rsidRDefault="00493E42">
      <w:pPr>
        <w:tabs>
          <w:tab w:val="left" w:pos="720"/>
        </w:tabs>
        <w:spacing w:before="0" w:after="240"/>
        <w:rPr>
          <w:noProof/>
        </w:rPr>
      </w:pPr>
      <w:r>
        <w:rPr>
          <w:noProof/>
        </w:rPr>
        <w:t>– Hallintoneuvoston puheenjohtajan toimikausi olisi neljä vuotta ja uusittavissa (tällä hetkellä yksi vuosi) ja pää</w:t>
      </w:r>
      <w:r>
        <w:rPr>
          <w:noProof/>
        </w:rPr>
        <w:t>johtajan toimikausi viisi vuotta ja uusittavissa (tällä hetkellä kolme vuotta ja uusittavissa). He toimisivat tehtävässään pidempään jatkuvuuden ja vakauden takaamiseksi.</w:t>
      </w:r>
    </w:p>
    <w:p w:rsidR="0006109C" w:rsidRDefault="00493E42">
      <w:pPr>
        <w:pBdr>
          <w:top w:val="nil"/>
          <w:left w:val="nil"/>
          <w:bottom w:val="nil"/>
          <w:right w:val="nil"/>
          <w:between w:val="nil"/>
          <w:bar w:val="nil"/>
        </w:pBdr>
        <w:spacing w:before="0" w:after="240"/>
        <w:rPr>
          <w:rFonts w:eastAsia="Arial Unicode MS"/>
          <w:noProof/>
        </w:rPr>
      </w:pPr>
      <w:r>
        <w:rPr>
          <w:noProof/>
        </w:rPr>
        <w:t xml:space="preserve">Kaiken kaikkiaan BEREC saisi paremmat edellytykset avustaa komissiota ja kansallisia </w:t>
      </w:r>
      <w:r>
        <w:rPr>
          <w:noProof/>
        </w:rPr>
        <w:t>sääntelyviranomaisia ja tuottaisi tehokkuusetuja edellä esitetyillä osa-alueilla. Tämä tehostaisi unionin sääntelyviranomaisten järjestelmää digitaalisilla sisämarkkinoilla ja muodostaisi tarvittavan tuen televiestinnän tarkistetun sääntelyjärjestelmän teh</w:t>
      </w:r>
      <w:r>
        <w:rPr>
          <w:noProof/>
        </w:rPr>
        <w:t>okkaalle täytäntöönpanolle.</w:t>
      </w:r>
    </w:p>
    <w:p w:rsidR="0006109C" w:rsidRDefault="00493E42">
      <w:pPr>
        <w:pStyle w:val="ManualHeading2"/>
        <w:rPr>
          <w:rFonts w:eastAsia="Arial Unicode MS"/>
          <w:noProof/>
          <w:u w:color="000000"/>
          <w:bdr w:val="nil"/>
        </w:rPr>
      </w:pPr>
      <w:r>
        <w:rPr>
          <w:noProof/>
        </w:rPr>
        <w:t>•</w:t>
      </w:r>
      <w:r>
        <w:rPr>
          <w:noProof/>
        </w:rPr>
        <w:tab/>
        <w:t>Perusoikeudet</w:t>
      </w:r>
    </w:p>
    <w:p w:rsidR="0006109C" w:rsidRDefault="00493E42">
      <w:pPr>
        <w:pBdr>
          <w:top w:val="nil"/>
          <w:left w:val="nil"/>
          <w:bottom w:val="nil"/>
          <w:right w:val="nil"/>
          <w:between w:val="nil"/>
          <w:bar w:val="nil"/>
        </w:pBdr>
        <w:spacing w:before="0" w:after="240"/>
        <w:rPr>
          <w:rFonts w:eastAsia="Arial Unicode MS"/>
          <w:noProof/>
        </w:rPr>
      </w:pPr>
      <w:r>
        <w:rPr>
          <w:rStyle w:val="None"/>
          <w:noProof/>
        </w:rPr>
        <w:t>Ehdotuksessa otetaan kaikilta osin huomioon Euroopan unionin perusoikeuskirjassa tunnustetut perusoikeudet ja periaatteet. Ehdotettavilla</w:t>
      </w:r>
      <w:r>
        <w:rPr>
          <w:noProof/>
        </w:rPr>
        <w:t xml:space="preserve"> toimenpiteillä, joihin BERECin perustaminen kuuluu, pyritään parantamaan l</w:t>
      </w:r>
      <w:r>
        <w:rPr>
          <w:noProof/>
        </w:rPr>
        <w:t>iitettävyyttä huolehtien samalla loppukäyttäjien suojelusta nykyaikaistetuin säännöin. Tämä puolestaan takaa syrjimättömän pääsyn kaikkeen sisältöön ja palveluihin, myös julkisiin palveluihin. Se auttaa myös edistämään sananvapautta ja elinkeinovapautta ja</w:t>
      </w:r>
      <w:r>
        <w:rPr>
          <w:noProof/>
        </w:rPr>
        <w:t xml:space="preserve"> antaa jäsenvaltioille mahdollisuuden noudattaa perusoikeuskirjaa selvästi pienemmin kustannuksin tulevaisuudessa.</w:t>
      </w:r>
    </w:p>
    <w:p w:rsidR="0006109C" w:rsidRDefault="00493E42">
      <w:pPr>
        <w:pStyle w:val="ManualHeading1"/>
        <w:rPr>
          <w:noProof/>
        </w:rPr>
      </w:pPr>
      <w:r>
        <w:rPr>
          <w:noProof/>
        </w:rPr>
        <w:t>4.</w:t>
      </w:r>
      <w:r>
        <w:rPr>
          <w:noProof/>
        </w:rPr>
        <w:tab/>
        <w:t>TALOUSARVIOVAIKUTUKSET</w:t>
      </w:r>
    </w:p>
    <w:p w:rsidR="0006109C" w:rsidRDefault="00493E42">
      <w:pPr>
        <w:autoSpaceDE w:val="0"/>
        <w:autoSpaceDN w:val="0"/>
        <w:adjustRightInd w:val="0"/>
        <w:spacing w:before="0" w:after="0"/>
        <w:rPr>
          <w:noProof/>
          <w:szCs w:val="24"/>
        </w:rPr>
      </w:pPr>
      <w:r>
        <w:rPr>
          <w:noProof/>
        </w:rPr>
        <w:t xml:space="preserve">Nykyisen BERECin ja BEREC-viraston pohjalta perustettavalle BERECille annetaan useita tehtäviä, joiden tavoitteena </w:t>
      </w:r>
      <w:r>
        <w:rPr>
          <w:noProof/>
        </w:rPr>
        <w:t>on varmistaa sääntelyjärjestelmän yhdenmukainen täytäntöönpano, mikä edistää sähköisen viestinnän markkinoiden kehitystä koko unionissa, erittäin suurikapasiteettisten datayhteyksien saatavuutta ja käyttöönottoa kaikkien unionin kansalaisten ja yritysten k</w:t>
      </w:r>
      <w:r>
        <w:rPr>
          <w:noProof/>
        </w:rPr>
        <w:t>eskuudessa, kilpailua sähköisten viestintäverkkojen ja -palvelujen tarjoamisessa ja unionin kansalaisten etuja.</w:t>
      </w:r>
    </w:p>
    <w:p w:rsidR="0006109C" w:rsidRDefault="0006109C">
      <w:pPr>
        <w:autoSpaceDE w:val="0"/>
        <w:autoSpaceDN w:val="0"/>
        <w:adjustRightInd w:val="0"/>
        <w:spacing w:before="0" w:after="0"/>
        <w:rPr>
          <w:noProof/>
          <w:szCs w:val="24"/>
        </w:rPr>
      </w:pPr>
    </w:p>
    <w:p w:rsidR="0006109C" w:rsidRDefault="00493E42">
      <w:pPr>
        <w:autoSpaceDE w:val="0"/>
        <w:autoSpaceDN w:val="0"/>
        <w:adjustRightInd w:val="0"/>
        <w:spacing w:before="0" w:after="240"/>
        <w:rPr>
          <w:noProof/>
          <w:szCs w:val="24"/>
        </w:rPr>
      </w:pPr>
      <w:r>
        <w:rPr>
          <w:noProof/>
        </w:rPr>
        <w:t>BERECin toimeksiannon mukaisten tehtävien täyttämiseksi tarvitaan vuosina 2019–2020 kaikkiaan 14,135 miljoonan euron suuruiset rahoitusvarat</w:t>
      </w:r>
      <w:r>
        <w:rPr>
          <w:rStyle w:val="FootnoteReference"/>
          <w:noProof/>
        </w:rPr>
        <w:footnoteReference w:id="14"/>
      </w:r>
      <w:r>
        <w:rPr>
          <w:noProof/>
        </w:rPr>
        <w:t xml:space="preserve">. </w:t>
      </w:r>
      <w:r>
        <w:rPr>
          <w:noProof/>
        </w:rPr>
        <w:t>Unionin rahoitusosuuden lisäksi BEREC voi veloittaa julkaisuista ja muista tarjotuista palveluista ja saada rahoitusosuuksia kolmansilta mailta tai BERECin työhön osallistuvilta kolmansien maiden sähköisen viestinnän sääntelyviranomaisilta sekä vapaaehtois</w:t>
      </w:r>
      <w:r>
        <w:rPr>
          <w:noProof/>
        </w:rPr>
        <w:t>ia rahoitusosuuksia jäsenvaltioilta ja kansallisilta sääntelyviranomaisilta</w:t>
      </w:r>
      <w:r>
        <w:rPr>
          <w:rStyle w:val="FootnoteReference"/>
          <w:noProof/>
        </w:rPr>
        <w:footnoteReference w:id="15"/>
      </w:r>
      <w:r>
        <w:rPr>
          <w:noProof/>
        </w:rPr>
        <w:t xml:space="preserve">. </w:t>
      </w:r>
    </w:p>
    <w:p w:rsidR="0006109C" w:rsidRDefault="00493E42">
      <w:pPr>
        <w:pBdr>
          <w:top w:val="nil"/>
          <w:left w:val="nil"/>
          <w:bottom w:val="nil"/>
          <w:right w:val="nil"/>
          <w:between w:val="nil"/>
          <w:bar w:val="nil"/>
        </w:pBdr>
        <w:spacing w:before="0" w:after="240"/>
        <w:rPr>
          <w:noProof/>
          <w:sz w:val="22"/>
        </w:rPr>
      </w:pPr>
      <w:r>
        <w:rPr>
          <w:noProof/>
        </w:rPr>
        <w:t xml:space="preserve">Uuden viraston odotetaan jatkavan tulevaisuudessa nykyisiä palvelusopimuksia komission kanssa (tilinpitäjä ja tiettyjen sovellusten ja välineiden käyttö) ja muiden unionin </w:t>
      </w:r>
      <w:r>
        <w:rPr>
          <w:noProof/>
        </w:rPr>
        <w:t>virastojen kanssa (erityisesti ENISAn kanssa backup-tiedon ulkoisen säilyttämisen ja sisäisen valvonnan koordinaattorin osalta). Palvelusopimusten käyttöä voidaan myös laajentaa uusille alueille tehokkuuden ja synergian lisäämiseksi.</w:t>
      </w:r>
    </w:p>
    <w:p w:rsidR="0006109C" w:rsidRDefault="00493E42">
      <w:pPr>
        <w:pBdr>
          <w:top w:val="nil"/>
          <w:left w:val="nil"/>
          <w:bottom w:val="nil"/>
          <w:right w:val="nil"/>
          <w:between w:val="nil"/>
          <w:bar w:val="nil"/>
        </w:pBdr>
        <w:spacing w:before="0" w:after="240"/>
        <w:rPr>
          <w:rFonts w:eastAsia="Arial Unicode MS"/>
          <w:noProof/>
        </w:rPr>
      </w:pPr>
      <w:r>
        <w:rPr>
          <w:noProof/>
        </w:rPr>
        <w:t>BERECin nykyisen henki</w:t>
      </w:r>
      <w:r>
        <w:rPr>
          <w:noProof/>
        </w:rPr>
        <w:t>löstömäärän lisäksi mukaan olisi laskettava 11 sopimussuhteista toimihenkilöä ja 7 työkomennuksella olevaa kansallista asiantuntijaa. Henkilöstön määrä olisi yhteensä 44 kauden 2019–2020 loppuun mennessä</w:t>
      </w:r>
      <w:r>
        <w:rPr>
          <w:rStyle w:val="FootnoteReference"/>
          <w:noProof/>
        </w:rPr>
        <w:footnoteReference w:id="16"/>
      </w:r>
      <w:r>
        <w:rPr>
          <w:noProof/>
        </w:rPr>
        <w:t xml:space="preserve">. Vaikutustenarvioinnin perusteella ja ennakoimatta </w:t>
      </w:r>
      <w:r>
        <w:rPr>
          <w:noProof/>
        </w:rPr>
        <w:t>seuraavaa monivuotista rahoituskehystä BERECin tarvitsema lisähenkilöstö sen uusien tehtävien täyttämiseksi laajennetun toimeksiannon perusteella on yhteensä arviolta 34 kokoaikaista työntekijää, jolloin henkilöstön kokonaismäärä olisi 60 kokoaikaista työn</w:t>
      </w:r>
      <w:r>
        <w:rPr>
          <w:noProof/>
        </w:rPr>
        <w:t>tekijää toteutusvaiheen 2019–2022 lopussa.</w:t>
      </w:r>
    </w:p>
    <w:p w:rsidR="0006109C" w:rsidRDefault="00493E42">
      <w:pPr>
        <w:pStyle w:val="ManualHeading1"/>
        <w:rPr>
          <w:noProof/>
        </w:rPr>
      </w:pPr>
      <w:r>
        <w:rPr>
          <w:noProof/>
        </w:rPr>
        <w:t>5.</w:t>
      </w:r>
      <w:r>
        <w:rPr>
          <w:noProof/>
        </w:rPr>
        <w:tab/>
        <w:t>LISÄTIEDOT</w:t>
      </w:r>
    </w:p>
    <w:p w:rsidR="0006109C" w:rsidRDefault="00493E42">
      <w:pPr>
        <w:pStyle w:val="ManualHeading2"/>
        <w:rPr>
          <w:rFonts w:eastAsia="Arial Unicode MS"/>
          <w:noProof/>
          <w:u w:color="000000"/>
          <w:bdr w:val="nil"/>
        </w:rPr>
      </w:pPr>
      <w:r>
        <w:rPr>
          <w:noProof/>
        </w:rPr>
        <w:t>•</w:t>
      </w:r>
      <w:r>
        <w:rPr>
          <w:noProof/>
        </w:rPr>
        <w:tab/>
        <w:t>Täytäntöönpanosuunnitelmat sekä seuranta-, arviointi- ja raportointijärjestelyt</w:t>
      </w:r>
    </w:p>
    <w:p w:rsidR="0006109C" w:rsidRDefault="00493E42">
      <w:pPr>
        <w:tabs>
          <w:tab w:val="left" w:pos="720"/>
        </w:tabs>
        <w:spacing w:before="0" w:after="240"/>
        <w:rPr>
          <w:noProof/>
        </w:rPr>
      </w:pPr>
      <w:r>
        <w:rPr>
          <w:noProof/>
        </w:rPr>
        <w:t>Ehdotuksessa esitetään yhteisen lähestymistavan mukaisesti, että komissio tekee viimeistään viiden vuoden kuluttua tä</w:t>
      </w:r>
      <w:r>
        <w:rPr>
          <w:noProof/>
        </w:rPr>
        <w:t>män asetuksen voimaantulosta ja sen jälkeen viiden vuoden välein komission suuntaviivojen mukaisen arvioinnin BERECin toiminnasta suhteessa sen tavoitteisiin, toimeksiantoon, tehtäviin ja toimipaikkaan (toimipaikkoihin). Arvioinnissa tarkastellaan erityise</w:t>
      </w:r>
      <w:r>
        <w:rPr>
          <w:noProof/>
        </w:rPr>
        <w:t>sti mahdollista tarvetta muuttaa BERECin toimeksiantoa ja tällaisten muutosten taloudellisia vaikutuksia. Jos komissio toteaa, että BERECin toiminnan jatkaminen ei ole enää perusteltua ottaen huomioon sille asetetut tavoitteet, toimeksianto ja tehtävät, se</w:t>
      </w:r>
      <w:r>
        <w:rPr>
          <w:noProof/>
        </w:rPr>
        <w:t xml:space="preserve"> voi ehdottaa tämän asetuksen muuttamista tai kumoamista. Komissio raportoi Euroopan parlamentille, neuvostolle ja hallintoneuvostolle arvioinnin tuloksista. Arvioinnin tulokset on julkistettava.</w:t>
      </w:r>
    </w:p>
    <w:p w:rsidR="0006109C" w:rsidRDefault="00493E42">
      <w:pPr>
        <w:tabs>
          <w:tab w:val="left" w:pos="720"/>
        </w:tabs>
        <w:spacing w:before="0" w:after="240"/>
        <w:rPr>
          <w:noProof/>
        </w:rPr>
      </w:pPr>
      <w:r>
        <w:rPr>
          <w:noProof/>
        </w:rPr>
        <w:t>BEREC antaa myös vuosikertomukset toimintansa tuloksista. Vu</w:t>
      </w:r>
      <w:r>
        <w:rPr>
          <w:noProof/>
        </w:rPr>
        <w:t>osikertomukset on toimitettava Euroopan parlamentille, neuvostolle, komissiolle ja tilintarkastustuomioistuimelle ja julkaistava.</w:t>
      </w:r>
    </w:p>
    <w:p w:rsidR="0006109C" w:rsidRDefault="00493E42">
      <w:pPr>
        <w:tabs>
          <w:tab w:val="left" w:pos="720"/>
        </w:tabs>
        <w:spacing w:before="0" w:after="240"/>
        <w:rPr>
          <w:noProof/>
        </w:rPr>
      </w:pPr>
      <w:r>
        <w:rPr>
          <w:noProof/>
        </w:rPr>
        <w:t>Komissio varmistaa jatkossakin, että sääntelyjärjestelmän täytäntöönpanoa seurataan seuraavassa mainituin perustein.</w:t>
      </w:r>
    </w:p>
    <w:p w:rsidR="0006109C" w:rsidRDefault="00493E42">
      <w:pPr>
        <w:pStyle w:val="ManualHeading2"/>
        <w:rPr>
          <w:rFonts w:eastAsia="Arial Unicode MS"/>
          <w:noProof/>
          <w:u w:color="000000"/>
          <w:bdr w:val="nil"/>
        </w:rPr>
      </w:pPr>
      <w:bookmarkStart w:id="31" w:name="_Toc456633152"/>
      <w:bookmarkStart w:id="32" w:name="_Toc456628628"/>
      <w:bookmarkStart w:id="33" w:name="_Toc456263123"/>
      <w:bookmarkStart w:id="34" w:name="_Toc456262824"/>
      <w:bookmarkStart w:id="35" w:name="_Toc456261886"/>
      <w:bookmarkStart w:id="36" w:name="_Toc456115252"/>
      <w:bookmarkStart w:id="37" w:name="_Toc456114340"/>
      <w:bookmarkStart w:id="38" w:name="_Toc456026214"/>
      <w:bookmarkStart w:id="39" w:name="_Toc456025762"/>
      <w:bookmarkStart w:id="40" w:name="_Toc455764968"/>
      <w:bookmarkStart w:id="41" w:name="_Toc455763954"/>
      <w:bookmarkStart w:id="42" w:name="_Toc455761986"/>
      <w:bookmarkStart w:id="43" w:name="_Toc455759953"/>
      <w:bookmarkStart w:id="44" w:name="_Toc455755721"/>
      <w:bookmarkStart w:id="45" w:name="_Toc455746508"/>
      <w:bookmarkStart w:id="46" w:name="_Toc455740209"/>
      <w:bookmarkStart w:id="47" w:name="_Toc453340922"/>
      <w:bookmarkStart w:id="48" w:name="_Toc453340588"/>
      <w:bookmarkStart w:id="49" w:name="_Toc453339587"/>
      <w:bookmarkStart w:id="50" w:name="_Toc453339086"/>
      <w:bookmarkStart w:id="51" w:name="_Toc453337853"/>
      <w:bookmarkStart w:id="52" w:name="_Toc453318013"/>
      <w:bookmarkStart w:id="53" w:name="_Toc453093000"/>
      <w:bookmarkStart w:id="54" w:name="_Toc453089695"/>
      <w:bookmarkStart w:id="55" w:name="_Toc453087012"/>
      <w:bookmarkStart w:id="56" w:name="_Toc453002998"/>
      <w:bookmarkStart w:id="57" w:name="_Toc453001504"/>
      <w:bookmarkStart w:id="58" w:name="_Toc452998504"/>
      <w:bookmarkStart w:id="59" w:name="_Toc452992283"/>
      <w:bookmarkStart w:id="60" w:name="_Toc452742267"/>
      <w:bookmarkStart w:id="61" w:name="_Toc452742078"/>
      <w:bookmarkStart w:id="62" w:name="_Toc452741678"/>
      <w:bookmarkStart w:id="63" w:name="_Toc452741495"/>
      <w:bookmarkStart w:id="64" w:name="_Toc452740081"/>
      <w:bookmarkStart w:id="65" w:name="_Toc452739831"/>
      <w:bookmarkStart w:id="66" w:name="_Toc452738564"/>
      <w:bookmarkStart w:id="67" w:name="_Toc452736704"/>
      <w:bookmarkStart w:id="68" w:name="_Toc452729942"/>
      <w:bookmarkStart w:id="69" w:name="_Toc452729247"/>
      <w:bookmarkStart w:id="70" w:name="_Toc452727178"/>
      <w:bookmarkStart w:id="71" w:name="_Toc452723317"/>
      <w:bookmarkStart w:id="72" w:name="_Toc452723144"/>
      <w:bookmarkStart w:id="73" w:name="_Toc452721107"/>
      <w:bookmarkStart w:id="74" w:name="_Toc452712424"/>
      <w:bookmarkStart w:id="75" w:name="_Toc452708183"/>
      <w:bookmarkStart w:id="76" w:name="_Toc452657912"/>
      <w:bookmarkStart w:id="77" w:name="_Toc452651029"/>
      <w:bookmarkStart w:id="78" w:name="_Toc452650902"/>
      <w:bookmarkStart w:id="79" w:name="_Toc452646089"/>
      <w:bookmarkStart w:id="80" w:name="_Toc452573992"/>
      <w:bookmarkStart w:id="81" w:name="_Toc452571630"/>
      <w:bookmarkStart w:id="82" w:name="_Toc451879342"/>
      <w:bookmarkStart w:id="83" w:name="_Toc451879012"/>
      <w:bookmarkStart w:id="84" w:name="_Toc451878164"/>
      <w:bookmarkStart w:id="85" w:name="_Toc451877223"/>
      <w:bookmarkStart w:id="86" w:name="_Toc451876728"/>
      <w:bookmarkStart w:id="87" w:name="_Toc451875737"/>
      <w:bookmarkStart w:id="88" w:name="_Toc451875208"/>
      <w:bookmarkStart w:id="89" w:name="_Toc451525353"/>
      <w:bookmarkStart w:id="90" w:name="_Toc451527055"/>
      <w:bookmarkStart w:id="91" w:name="_Toc451526875"/>
      <w:bookmarkStart w:id="92" w:name="_Toc451524424"/>
      <w:bookmarkStart w:id="93" w:name="_Toc451525800"/>
      <w:bookmarkStart w:id="94" w:name="_Toc451525448"/>
      <w:bookmarkStart w:id="95" w:name="_Toc451524999"/>
      <w:bookmarkStart w:id="96" w:name="_Toc451524792"/>
      <w:bookmarkStart w:id="97" w:name="_Toc451523699"/>
      <w:bookmarkStart w:id="98" w:name="_Toc451523094"/>
      <w:bookmarkStart w:id="99" w:name="_Toc451522619"/>
      <w:bookmarkStart w:id="100" w:name="_Toc451523865"/>
      <w:bookmarkStart w:id="101" w:name="_Toc451523259"/>
      <w:bookmarkStart w:id="102" w:name="_Toc451520641"/>
      <w:bookmarkStart w:id="103" w:name="_Toc451520917"/>
      <w:bookmarkStart w:id="104" w:name="_Toc451518420"/>
      <w:bookmarkStart w:id="105" w:name="_Toc451457872"/>
      <w:bookmarkStart w:id="106" w:name="_Toc451451961"/>
      <w:r>
        <w:rPr>
          <w:noProof/>
        </w:rPr>
        <w:t xml:space="preserve">Euroopan </w:t>
      </w:r>
      <w:r>
        <w:rPr>
          <w:noProof/>
        </w:rPr>
        <w:t>digitaalinen tilanneselvitys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6109C" w:rsidRDefault="00493E42">
      <w:pPr>
        <w:autoSpaceDE w:val="0"/>
        <w:autoSpaceDN w:val="0"/>
        <w:adjustRightInd w:val="0"/>
        <w:spacing w:before="0"/>
        <w:rPr>
          <w:noProof/>
          <w:szCs w:val="24"/>
        </w:rPr>
      </w:pPr>
      <w:r>
        <w:rPr>
          <w:b/>
          <w:noProof/>
        </w:rPr>
        <w:t>Euroopan digitaalinen tilanneselvitys</w:t>
      </w:r>
      <w:r>
        <w:rPr>
          <w:noProof/>
        </w:rPr>
        <w:t xml:space="preserve"> (European Digital Progress Report, EDPR) tarjoaa kattavaa tietoa ja analyysia markkinoiden, sääntelyn ja kuluttajanäkökohtien kehityksestä digitaalisessa taloudessa 28 jäsenvaltiossa. Siinä</w:t>
      </w:r>
      <w:r>
        <w:rPr>
          <w:noProof/>
        </w:rPr>
        <w:t xml:space="preserve"> kootaan yhteen Euroopan digitaalistrategian tulostaulussa (Digital Scoreboard</w:t>
      </w:r>
      <w:r>
        <w:rPr>
          <w:rStyle w:val="FootnoteReference"/>
          <w:noProof/>
        </w:rPr>
        <w:footnoteReference w:id="17"/>
      </w:r>
      <w:r>
        <w:rPr>
          <w:noProof/>
        </w:rPr>
        <w:t>) ja televiestintäalan täytäntöönpanoraportissa julkaistut selvitykset ja tiedot ja tehdään lisäksi maakohtaiset katsaukset. Se perustuu seuraavista saatavaan näyttöön:</w:t>
      </w:r>
    </w:p>
    <w:p w:rsidR="0006109C" w:rsidRDefault="00493E42">
      <w:pPr>
        <w:pStyle w:val="Tiret1"/>
        <w:rPr>
          <w:noProof/>
        </w:rPr>
      </w:pPr>
      <w:r>
        <w:rPr>
          <w:b/>
          <w:noProof/>
        </w:rPr>
        <w:t>Digitaal</w:t>
      </w:r>
      <w:r>
        <w:rPr>
          <w:b/>
          <w:noProof/>
        </w:rPr>
        <w:t>istrategian tulostaulu</w:t>
      </w:r>
      <w:r>
        <w:rPr>
          <w:noProof/>
        </w:rPr>
        <w:t>, joka mittaa Euroopan digitaalitalouden edistymistä. Siinä käytetään kansallisten sääntelyviranomaisten antamia tietoja sekä Eurostatin ja muita asiaankuuluvia lähteitä yleiskatsauksen tekemiseksi digitaalitalouden ja -yhteiskunnan i</w:t>
      </w:r>
      <w:r>
        <w:rPr>
          <w:noProof/>
        </w:rPr>
        <w:t>ndeksin kaikkiin näkökohtiin EU:n jäsenvaltioissa</w:t>
      </w:r>
      <w:r>
        <w:rPr>
          <w:rStyle w:val="FootnoteReference"/>
          <w:noProof/>
        </w:rPr>
        <w:footnoteReference w:id="18"/>
      </w:r>
      <w:r>
        <w:rPr>
          <w:noProof/>
        </w:rPr>
        <w:t>. Selvitykseen sisältyvien indikaattoreiden avulla voidaan vertailla edistymistä eri Euroopan maissa ja ajan mittaan.</w:t>
      </w:r>
    </w:p>
    <w:p w:rsidR="0006109C" w:rsidRDefault="00493E42">
      <w:pPr>
        <w:pStyle w:val="Tiret1"/>
        <w:rPr>
          <w:rFonts w:eastAsia="Arial Unicode MS"/>
          <w:noProof/>
        </w:rPr>
      </w:pPr>
      <w:r>
        <w:rPr>
          <w:b/>
          <w:noProof/>
        </w:rPr>
        <w:t>Televiestintäalan raportit Euroopan sähköisen viestinnän sääntelystä ja markkinoista</w:t>
      </w:r>
      <w:r>
        <w:rPr>
          <w:noProof/>
        </w:rPr>
        <w:t>, jo</w:t>
      </w:r>
      <w:r>
        <w:rPr>
          <w:noProof/>
        </w:rPr>
        <w:t>issa on kattavaa tietoa ja analyysia markkinoiden, sääntelyn ja kuluttajanäkökohtien kehityksestä tällä alalla.</w:t>
      </w:r>
    </w:p>
    <w:p w:rsidR="0006109C" w:rsidRDefault="00493E42">
      <w:pPr>
        <w:pStyle w:val="ManualHeading2"/>
        <w:rPr>
          <w:rFonts w:eastAsia="Arial Unicode MS"/>
          <w:noProof/>
          <w:u w:color="000000"/>
          <w:bdr w:val="nil"/>
        </w:rPr>
      </w:pPr>
      <w:r>
        <w:rPr>
          <w:noProof/>
        </w:rPr>
        <w:t>•</w:t>
      </w:r>
      <w:r>
        <w:rPr>
          <w:noProof/>
        </w:rPr>
        <w:tab/>
        <w:t>Perusteluasiakirjat (direktiivien osalta)</w:t>
      </w:r>
    </w:p>
    <w:p w:rsidR="0006109C" w:rsidRDefault="00493E42">
      <w:pPr>
        <w:pBdr>
          <w:top w:val="nil"/>
          <w:left w:val="nil"/>
          <w:bottom w:val="nil"/>
          <w:right w:val="nil"/>
          <w:between w:val="nil"/>
          <w:bar w:val="nil"/>
        </w:pBdr>
        <w:spacing w:before="0" w:after="240"/>
        <w:rPr>
          <w:rFonts w:eastAsia="Arial Unicode MS"/>
          <w:noProof/>
          <w:szCs w:val="24"/>
        </w:rPr>
      </w:pPr>
      <w:r>
        <w:rPr>
          <w:noProof/>
        </w:rPr>
        <w:t>Ei sovelleta</w:t>
      </w:r>
    </w:p>
    <w:p w:rsidR="0006109C" w:rsidRDefault="00493E42">
      <w:pPr>
        <w:pStyle w:val="ManualHeading2"/>
        <w:rPr>
          <w:rFonts w:eastAsia="Arial Unicode MS"/>
          <w:noProof/>
          <w:u w:color="000000"/>
          <w:bdr w:val="nil"/>
        </w:rPr>
      </w:pPr>
      <w:r>
        <w:rPr>
          <w:noProof/>
        </w:rPr>
        <w:t>•</w:t>
      </w:r>
      <w:r>
        <w:rPr>
          <w:noProof/>
        </w:rPr>
        <w:tab/>
        <w:t>Ehdotukseen sisältyvien säännösten yksityiskohtaiset selitykset</w:t>
      </w:r>
    </w:p>
    <w:p w:rsidR="0006109C" w:rsidRDefault="00493E42">
      <w:pPr>
        <w:pBdr>
          <w:top w:val="nil"/>
          <w:left w:val="nil"/>
          <w:bottom w:val="nil"/>
          <w:right w:val="nil"/>
          <w:between w:val="nil"/>
          <w:bar w:val="nil"/>
        </w:pBdr>
        <w:spacing w:before="0" w:after="240"/>
        <w:rPr>
          <w:noProof/>
        </w:rPr>
      </w:pPr>
      <w:r>
        <w:rPr>
          <w:noProof/>
        </w:rPr>
        <w:t>Asetuksella (EY) N:o </w:t>
      </w:r>
      <w:r>
        <w:rPr>
          <w:noProof/>
        </w:rPr>
        <w:t>1211/2009 perustettiin Euroopan sähköisen viestinnän sääntelyviranomaisten yhteistyöelin (BEREC) ja BEREC-virasto sekä annettiin kummallekin tehtävät. Tällä ehdotuksella laajennetaan BERECin nykyistä toimeksiantoa ja muutetaan se täysivaltaiseksi virastoks</w:t>
      </w:r>
      <w:r>
        <w:rPr>
          <w:noProof/>
        </w:rPr>
        <w:t>i, jolla on tarvittavat välineet ja riittävät voimavarat, jotta se voi saavuttaa tavoitteensa ja suorittaa tehtävänsä.</w:t>
      </w:r>
    </w:p>
    <w:p w:rsidR="0006109C" w:rsidRDefault="00493E42">
      <w:pPr>
        <w:spacing w:before="0" w:after="0"/>
        <w:rPr>
          <w:b/>
          <w:noProof/>
          <w:szCs w:val="24"/>
        </w:rPr>
      </w:pPr>
      <w:r>
        <w:rPr>
          <w:b/>
          <w:noProof/>
        </w:rPr>
        <w:t>1) Perustaminen, laajuus ja tavoitteet:</w:t>
      </w:r>
    </w:p>
    <w:p w:rsidR="0006109C" w:rsidRDefault="0006109C">
      <w:pPr>
        <w:spacing w:before="0" w:after="0"/>
        <w:rPr>
          <w:b/>
          <w:noProof/>
          <w:szCs w:val="24"/>
        </w:rPr>
      </w:pPr>
    </w:p>
    <w:p w:rsidR="0006109C" w:rsidRDefault="00493E42">
      <w:pPr>
        <w:tabs>
          <w:tab w:val="left" w:pos="720"/>
        </w:tabs>
        <w:spacing w:before="0" w:after="240"/>
        <w:rPr>
          <w:b/>
          <w:noProof/>
          <w:szCs w:val="24"/>
        </w:rPr>
      </w:pPr>
      <w:r>
        <w:rPr>
          <w:b/>
          <w:noProof/>
        </w:rPr>
        <w:t>I luku: Tavoitteet ja tehtävät</w:t>
      </w:r>
    </w:p>
    <w:p w:rsidR="0006109C" w:rsidRDefault="00493E42">
      <w:pPr>
        <w:tabs>
          <w:tab w:val="left" w:pos="720"/>
        </w:tabs>
        <w:spacing w:before="0" w:after="240"/>
        <w:rPr>
          <w:noProof/>
          <w:szCs w:val="24"/>
        </w:rPr>
      </w:pPr>
      <w:r>
        <w:rPr>
          <w:b/>
          <w:noProof/>
        </w:rPr>
        <w:t>1 artiklalla</w:t>
      </w:r>
      <w:r>
        <w:rPr>
          <w:noProof/>
        </w:rPr>
        <w:t xml:space="preserve"> perustetaan BEREC ja säädetään asetuksen soveltamisa</w:t>
      </w:r>
      <w:r>
        <w:rPr>
          <w:noProof/>
        </w:rPr>
        <w:t>lasta, määritelmistä ja BERECin tavoitteista, jotka vastaavat kansallisten sääntelyviranomaisten tavoitteita.</w:t>
      </w:r>
    </w:p>
    <w:p w:rsidR="0006109C" w:rsidRDefault="00493E42">
      <w:pPr>
        <w:tabs>
          <w:tab w:val="left" w:pos="720"/>
        </w:tabs>
        <w:spacing w:before="0" w:after="240"/>
        <w:rPr>
          <w:noProof/>
          <w:szCs w:val="24"/>
        </w:rPr>
      </w:pPr>
      <w:r>
        <w:rPr>
          <w:b/>
          <w:noProof/>
        </w:rPr>
        <w:t>2 artiklassa</w:t>
      </w:r>
      <w:r>
        <w:rPr>
          <w:noProof/>
        </w:rPr>
        <w:t xml:space="preserve"> luetellaan BERECin tehtävät. Siinä todetaan, että BEREC voi tarvittaessa tehdä yhteistyötä unionin elinten, laitosten, virastojen ja neuvoa-antavien ryhmien, kolmansien maiden toimivaltaisten viranomaisten ja/tai kansainvälisten organisaatioiden kanssa ja</w:t>
      </w:r>
      <w:r>
        <w:rPr>
          <w:noProof/>
        </w:rPr>
        <w:t xml:space="preserve"> että sen olisi tarvittaessa kuultava asianomaisia osapuolia.</w:t>
      </w:r>
    </w:p>
    <w:p w:rsidR="0006109C" w:rsidRDefault="00493E42">
      <w:pPr>
        <w:tabs>
          <w:tab w:val="left" w:pos="720"/>
        </w:tabs>
        <w:spacing w:before="0" w:after="240"/>
        <w:rPr>
          <w:b/>
          <w:noProof/>
          <w:szCs w:val="24"/>
        </w:rPr>
      </w:pPr>
      <w:r>
        <w:rPr>
          <w:b/>
          <w:noProof/>
        </w:rPr>
        <w:t>II luku: Hallinto- ja johtamisrakenne</w:t>
      </w:r>
    </w:p>
    <w:p w:rsidR="0006109C" w:rsidRDefault="00493E42">
      <w:pPr>
        <w:tabs>
          <w:tab w:val="left" w:pos="720"/>
        </w:tabs>
        <w:spacing w:before="0" w:after="240"/>
        <w:rPr>
          <w:noProof/>
          <w:szCs w:val="24"/>
        </w:rPr>
      </w:pPr>
      <w:r>
        <w:rPr>
          <w:b/>
          <w:noProof/>
        </w:rPr>
        <w:t>3 artikla</w:t>
      </w:r>
      <w:r>
        <w:rPr>
          <w:noProof/>
        </w:rPr>
        <w:t xml:space="preserve"> koskee BERECin hallinto- ja johtamisrakennetta, joka muodostuu hallintoneuvostosta, pääjohtajasta, työryhmistä ja valituslautakunnasta.</w:t>
      </w:r>
    </w:p>
    <w:p w:rsidR="0006109C" w:rsidRDefault="00493E42">
      <w:pPr>
        <w:tabs>
          <w:tab w:val="left" w:pos="720"/>
        </w:tabs>
        <w:spacing w:before="0" w:after="240"/>
        <w:rPr>
          <w:noProof/>
          <w:szCs w:val="24"/>
        </w:rPr>
      </w:pPr>
      <w:r>
        <w:rPr>
          <w:b/>
          <w:noProof/>
        </w:rPr>
        <w:t>4–5 artikl</w:t>
      </w:r>
      <w:r>
        <w:rPr>
          <w:b/>
          <w:noProof/>
        </w:rPr>
        <w:t>assa</w:t>
      </w:r>
      <w:r>
        <w:rPr>
          <w:noProof/>
        </w:rPr>
        <w:t xml:space="preserve"> säädetään, että hallintoneuvosto koostuu kunkin kansallisen sääntelyviranomaisen johtajasta tai kollegiaalisen elimen jäsenestä sekä kahdesta komission edustajasta, joilla kaikilla on äänioikeus. Siinä myös määritellään sen tehtävät. Hallintoneuvoston</w:t>
      </w:r>
      <w:r>
        <w:rPr>
          <w:noProof/>
        </w:rPr>
        <w:t xml:space="preserve"> on määrä siirtää nimittävän viranomaisen toimivalta pääjohtajalle, jolla on valtuudet siirtää se edelleen ja määritellä olosuhteet, joissa toimivallan siirto voidaan keskeyttää.</w:t>
      </w:r>
    </w:p>
    <w:p w:rsidR="0006109C" w:rsidRDefault="00493E42">
      <w:pPr>
        <w:tabs>
          <w:tab w:val="left" w:pos="720"/>
        </w:tabs>
        <w:spacing w:before="0" w:after="240"/>
        <w:rPr>
          <w:noProof/>
          <w:szCs w:val="24"/>
        </w:rPr>
      </w:pPr>
      <w:r>
        <w:rPr>
          <w:b/>
          <w:noProof/>
        </w:rPr>
        <w:t>6 artiklassa</w:t>
      </w:r>
      <w:r>
        <w:rPr>
          <w:noProof/>
        </w:rPr>
        <w:t xml:space="preserve"> säädetään, että hallintoneuvosto valitsee jäsentensä keskuudesta puheenjohtajan ja varapuheenjohtajan kahden kolmasosan enemmistöllä neljän vuoden toimikaudeksi, joka voidaan uusia kerran.</w:t>
      </w:r>
    </w:p>
    <w:p w:rsidR="0006109C" w:rsidRDefault="00493E42">
      <w:pPr>
        <w:tabs>
          <w:tab w:val="left" w:pos="720"/>
        </w:tabs>
        <w:spacing w:before="0" w:after="240"/>
        <w:rPr>
          <w:noProof/>
        </w:rPr>
      </w:pPr>
      <w:r>
        <w:rPr>
          <w:b/>
          <w:noProof/>
        </w:rPr>
        <w:t>7–8 artiklassa</w:t>
      </w:r>
      <w:r>
        <w:rPr>
          <w:noProof/>
        </w:rPr>
        <w:t xml:space="preserve"> säädetään hallintoneuvoston sääntömääräisten kokous</w:t>
      </w:r>
      <w:r>
        <w:rPr>
          <w:noProof/>
        </w:rPr>
        <w:t>ten vähimmäismäärästä vuodessa (kaksi) ja sen äänestyssäännöistä (oletusarvoisesti jäsenten enemmistöllä).</w:t>
      </w:r>
    </w:p>
    <w:p w:rsidR="0006109C" w:rsidRDefault="00493E42">
      <w:pPr>
        <w:tabs>
          <w:tab w:val="left" w:pos="720"/>
        </w:tabs>
        <w:spacing w:before="0" w:after="240"/>
        <w:rPr>
          <w:noProof/>
        </w:rPr>
      </w:pPr>
      <w:r>
        <w:rPr>
          <w:b/>
          <w:noProof/>
        </w:rPr>
        <w:t>9 artiklassa</w:t>
      </w:r>
      <w:r>
        <w:rPr>
          <w:noProof/>
        </w:rPr>
        <w:t xml:space="preserve"> vahvistetaan tehtävät pääjohtajalle, joka vastaa viraston johtamisesta ja toimii sen laillisena edustajana. Pääjohtaja on vastuussa hall</w:t>
      </w:r>
      <w:r>
        <w:rPr>
          <w:noProof/>
        </w:rPr>
        <w:t xml:space="preserve">intoneuvostolle. Hän raportoi Euroopan parlamentille ja häntä voidaan pyytää raportoimaan neuvostolle tehtäviensä suorittamisesta. </w:t>
      </w:r>
    </w:p>
    <w:p w:rsidR="0006109C" w:rsidRDefault="00493E42">
      <w:pPr>
        <w:tabs>
          <w:tab w:val="left" w:pos="720"/>
        </w:tabs>
        <w:spacing w:before="0" w:after="240"/>
        <w:rPr>
          <w:noProof/>
        </w:rPr>
      </w:pPr>
      <w:r>
        <w:rPr>
          <w:b/>
          <w:noProof/>
        </w:rPr>
        <w:t>10 artiklassa</w:t>
      </w:r>
      <w:r>
        <w:rPr>
          <w:noProof/>
        </w:rPr>
        <w:t xml:space="preserve"> säädetään, että hallintoneuvosto voi tarvittaessa perustaa työryhmiä, joita koordinoi ja moderoi BERECin henki</w:t>
      </w:r>
      <w:r>
        <w:rPr>
          <w:noProof/>
        </w:rPr>
        <w:t>löstön jäsen. Tiettyjen työryhmien perustamista varten on määrä laatia ennakolta luettelot pätevistä asiantuntijoista.</w:t>
      </w:r>
    </w:p>
    <w:p w:rsidR="0006109C" w:rsidRDefault="00493E42">
      <w:pPr>
        <w:tabs>
          <w:tab w:val="left" w:pos="720"/>
        </w:tabs>
        <w:spacing w:before="0" w:after="240"/>
        <w:rPr>
          <w:noProof/>
        </w:rPr>
      </w:pPr>
      <w:r>
        <w:rPr>
          <w:b/>
          <w:noProof/>
        </w:rPr>
        <w:t>11–14 artiklalla</w:t>
      </w:r>
      <w:r>
        <w:rPr>
          <w:noProof/>
        </w:rPr>
        <w:t xml:space="preserve"> perustetaan valituslautakunta ja säädetään sen kokoonpanosta ja jäsenten nimittämisestä. Jäsenen olisi oltava riippumatt</w:t>
      </w:r>
      <w:r>
        <w:rPr>
          <w:noProof/>
        </w:rPr>
        <w:t xml:space="preserve">omia, eivätkä he saa hoitaa muita tehtäviä BERECin puitteissa. Kaikki luonnolliset tai oikeushenkilöt, mukaan lukien kansalliset sääntelyviranomaiset, voivat hakea muutosta BERECin tekemään sitovaan päätökseen. Muutoksenhaulla ei ole lykkäävää vaikutusta, </w:t>
      </w:r>
      <w:r>
        <w:rPr>
          <w:noProof/>
        </w:rPr>
        <w:t>mutta valituslautakunta voi lykätä sen kohteena olevan päätöksen soveltamista.</w:t>
      </w:r>
    </w:p>
    <w:p w:rsidR="0006109C" w:rsidRDefault="00493E42">
      <w:pPr>
        <w:tabs>
          <w:tab w:val="left" w:pos="720"/>
        </w:tabs>
        <w:spacing w:before="0" w:after="240"/>
        <w:rPr>
          <w:b/>
          <w:noProof/>
        </w:rPr>
      </w:pPr>
      <w:r>
        <w:rPr>
          <w:b/>
          <w:noProof/>
        </w:rPr>
        <w:t>III luku: Vuotuinen ja monivuotinen ohjelmasuunnittelu</w:t>
      </w:r>
    </w:p>
    <w:p w:rsidR="0006109C" w:rsidRDefault="00493E42">
      <w:pPr>
        <w:tabs>
          <w:tab w:val="left" w:pos="720"/>
        </w:tabs>
        <w:spacing w:before="0" w:after="240"/>
        <w:rPr>
          <w:noProof/>
        </w:rPr>
      </w:pPr>
      <w:r>
        <w:rPr>
          <w:b/>
          <w:noProof/>
        </w:rPr>
        <w:t>15 artiklassa</w:t>
      </w:r>
      <w:r>
        <w:rPr>
          <w:noProof/>
        </w:rPr>
        <w:t xml:space="preserve"> vahvistetaan menettely vuotuisen ja monivuotisen ohjelma-asiakirjan hyväksymiseksi. Sen yhteydessä olisi hyv</w:t>
      </w:r>
      <w:r>
        <w:rPr>
          <w:noProof/>
        </w:rPr>
        <w:t>äksyttävä strategia, joka koskee suhteita unionin elinten, laitosten, virastojen ja neuvoa-antavien ryhmien, kolmansien maiden toimivaltaisten viranomaisten ja/tai kansainvälisten järjestöjen kanssa.</w:t>
      </w:r>
    </w:p>
    <w:p w:rsidR="0006109C" w:rsidRDefault="00493E42">
      <w:pPr>
        <w:tabs>
          <w:tab w:val="left" w:pos="720"/>
        </w:tabs>
        <w:spacing w:before="0" w:after="240"/>
        <w:rPr>
          <w:noProof/>
        </w:rPr>
      </w:pPr>
      <w:r>
        <w:rPr>
          <w:b/>
          <w:noProof/>
        </w:rPr>
        <w:t>16–17 artiklassa</w:t>
      </w:r>
      <w:r>
        <w:rPr>
          <w:noProof/>
        </w:rPr>
        <w:t xml:space="preserve"> säädetään BERECin talousarviosta ja sen</w:t>
      </w:r>
      <w:r>
        <w:rPr>
          <w:noProof/>
        </w:rPr>
        <w:t xml:space="preserve"> rakenteesta (tulot ja menot).</w:t>
      </w:r>
    </w:p>
    <w:p w:rsidR="0006109C" w:rsidRDefault="00493E42">
      <w:pPr>
        <w:tabs>
          <w:tab w:val="left" w:pos="720"/>
        </w:tabs>
        <w:spacing w:before="0" w:after="240"/>
        <w:rPr>
          <w:noProof/>
        </w:rPr>
      </w:pPr>
      <w:r>
        <w:rPr>
          <w:b/>
          <w:noProof/>
        </w:rPr>
        <w:t>18–20 artiklassa</w:t>
      </w:r>
      <w:r>
        <w:rPr>
          <w:noProof/>
        </w:rPr>
        <w:t xml:space="preserve"> todetaan, että pääjohtaja vastaa BERECin talousarvion täytäntöönpanosta ja vahvistaa menettelyn tilinpäätöksen esittämistä ja vastuuvapauden myöntämistä varten. Hallintoneuvosto vahvistaa BERECiin sovellettav</w:t>
      </w:r>
      <w:r>
        <w:rPr>
          <w:noProof/>
        </w:rPr>
        <w:t>at varainhoitosäännöt.</w:t>
      </w:r>
    </w:p>
    <w:p w:rsidR="0006109C" w:rsidRDefault="00493E42">
      <w:pPr>
        <w:tabs>
          <w:tab w:val="left" w:pos="720"/>
        </w:tabs>
        <w:spacing w:before="0" w:after="240"/>
        <w:rPr>
          <w:b/>
          <w:noProof/>
        </w:rPr>
      </w:pPr>
      <w:r>
        <w:rPr>
          <w:b/>
          <w:noProof/>
        </w:rPr>
        <w:t>IV luku: Henkilöstö</w:t>
      </w:r>
    </w:p>
    <w:p w:rsidR="0006109C" w:rsidRDefault="00493E42">
      <w:pPr>
        <w:tabs>
          <w:tab w:val="left" w:pos="720"/>
        </w:tabs>
        <w:spacing w:before="0" w:after="240"/>
        <w:rPr>
          <w:noProof/>
        </w:rPr>
      </w:pPr>
      <w:r>
        <w:rPr>
          <w:b/>
          <w:noProof/>
        </w:rPr>
        <w:t>21 artiklassa</w:t>
      </w:r>
      <w:r>
        <w:rPr>
          <w:noProof/>
        </w:rPr>
        <w:t xml:space="preserve"> todetaan, että BERECin henkilöstöön sovelletaan Euroopan unionin virkamiehiin sovellettavia henkilöstösääntöjä ja muuta henkilöstöä koskevia palvelussuhteen ehtoja sekä niiden täytäntöönpanosääntöjä.</w:t>
      </w:r>
    </w:p>
    <w:p w:rsidR="0006109C" w:rsidRDefault="00493E42">
      <w:pPr>
        <w:tabs>
          <w:tab w:val="left" w:pos="720"/>
        </w:tabs>
        <w:spacing w:before="0" w:after="240"/>
        <w:rPr>
          <w:noProof/>
        </w:rPr>
      </w:pPr>
      <w:r>
        <w:rPr>
          <w:b/>
          <w:noProof/>
        </w:rPr>
        <w:t>22 artiklassa</w:t>
      </w:r>
      <w:r>
        <w:rPr>
          <w:noProof/>
        </w:rPr>
        <w:t xml:space="preserve"> vahvistetaan menettely, jonka mukaisesti hallintoneuvosto nimittää pääjohtajan komission esittämältä ehdokaslistalta viisivuotiskaudeksi, joka voidaan uusia, sekä menettely pääjohtajan toimikauden jatkamiselle tai pääjohtajan erottamiselle.</w:t>
      </w:r>
    </w:p>
    <w:p w:rsidR="0006109C" w:rsidRDefault="00493E42">
      <w:pPr>
        <w:tabs>
          <w:tab w:val="left" w:pos="720"/>
        </w:tabs>
        <w:spacing w:before="0" w:after="240"/>
        <w:rPr>
          <w:noProof/>
        </w:rPr>
      </w:pPr>
      <w:r>
        <w:rPr>
          <w:b/>
          <w:noProof/>
        </w:rPr>
        <w:t>23 artiklassa</w:t>
      </w:r>
      <w:r>
        <w:rPr>
          <w:noProof/>
        </w:rPr>
        <w:t xml:space="preserve"> todetaan, että BEREC voi käyttää kansallisia asiantuntijoita tai muuta BERECin ulkopuolista henkilöstöä, johon henkilöstösääntöjä ja muuhun henkilöstöön sovellettavia palvelussuhteen ehtoja ei sovelleta.</w:t>
      </w:r>
    </w:p>
    <w:p w:rsidR="0006109C" w:rsidRDefault="00493E42">
      <w:pPr>
        <w:tabs>
          <w:tab w:val="left" w:pos="720"/>
        </w:tabs>
        <w:spacing w:before="0" w:after="240"/>
        <w:rPr>
          <w:b/>
          <w:noProof/>
        </w:rPr>
      </w:pPr>
      <w:r>
        <w:rPr>
          <w:b/>
          <w:noProof/>
        </w:rPr>
        <w:t>V luku: Yleiset säännökset</w:t>
      </w:r>
    </w:p>
    <w:p w:rsidR="0006109C" w:rsidRDefault="00493E42">
      <w:pPr>
        <w:tabs>
          <w:tab w:val="left" w:pos="720"/>
        </w:tabs>
        <w:spacing w:before="0" w:after="240"/>
        <w:rPr>
          <w:noProof/>
        </w:rPr>
      </w:pPr>
      <w:r>
        <w:rPr>
          <w:b/>
          <w:noProof/>
        </w:rPr>
        <w:t>24–25 artik</w:t>
      </w:r>
      <w:r>
        <w:rPr>
          <w:b/>
          <w:noProof/>
        </w:rPr>
        <w:t>lassa</w:t>
      </w:r>
      <w:r>
        <w:rPr>
          <w:noProof/>
        </w:rPr>
        <w:t xml:space="preserve"> säädetään, että BERECin olisi oltava oikeushenkilö ja unionin elin. BERECiin ja sen henkilöstöön sovelletaan Euroopan unionin erioikeuksia ja vapauksia koskevaa pöytäkirjaa.</w:t>
      </w:r>
    </w:p>
    <w:p w:rsidR="0006109C" w:rsidRDefault="00493E42">
      <w:pPr>
        <w:tabs>
          <w:tab w:val="left" w:pos="720"/>
        </w:tabs>
        <w:spacing w:before="0" w:after="240"/>
        <w:rPr>
          <w:noProof/>
        </w:rPr>
      </w:pPr>
      <w:r>
        <w:rPr>
          <w:b/>
          <w:noProof/>
        </w:rPr>
        <w:t>26 artiklassa</w:t>
      </w:r>
      <w:r>
        <w:rPr>
          <w:noProof/>
        </w:rPr>
        <w:t xml:space="preserve"> säädetään, että BEREC voi tarvittaessa tehdä yhteistyötä toimi</w:t>
      </w:r>
      <w:r>
        <w:rPr>
          <w:noProof/>
        </w:rPr>
        <w:t>valtaisten unionin elinten, laitosten, virastojen ja neuvoa-antavien ryhmien kanssa sekä kolmansien maiden toimivaltaisten viranomaisten ja/tai kansainvälisten järjestöjen kanssa. Tämän yhteistyön olisi perustuttava työjärjestelyihin, joihin on saatava kom</w:t>
      </w:r>
      <w:r>
        <w:rPr>
          <w:noProof/>
        </w:rPr>
        <w:t>issiolta etukäteen lupa. Komissio ja virasto sopivat yhteisen lähestymistavan mukaisesti asianmukaisesta työjärjestelystä varmistaakseen, että BEREC toimii toimeksiantonsa ja olemassa olevien institutionaalisten puitteiden mukaisesti. Artiklassa todetaan m</w:t>
      </w:r>
      <w:r>
        <w:rPr>
          <w:noProof/>
        </w:rPr>
        <w:t>yös, että BERECin toimintaan voivat osallistua sähköisen viestinnän alalla toimivaltaiset sääntelyviranomaiset niistä kolmansista maista, jotka ovat tehneet unionin kanssa tätä koskevan sopimuksen.</w:t>
      </w:r>
    </w:p>
    <w:p w:rsidR="0006109C" w:rsidRDefault="00493E42">
      <w:pPr>
        <w:tabs>
          <w:tab w:val="left" w:pos="720"/>
        </w:tabs>
        <w:spacing w:before="0" w:after="240"/>
        <w:rPr>
          <w:noProof/>
        </w:rPr>
      </w:pPr>
      <w:r>
        <w:rPr>
          <w:b/>
          <w:noProof/>
        </w:rPr>
        <w:t>27 artiklassa</w:t>
      </w:r>
      <w:r>
        <w:rPr>
          <w:noProof/>
        </w:rPr>
        <w:t xml:space="preserve"> säädetään, että BERECin hallussa oleviin asi</w:t>
      </w:r>
      <w:r>
        <w:rPr>
          <w:noProof/>
        </w:rPr>
        <w:t>akirjoihin sovelletaan asetusta (EY) N:o 1049/2001 ja että BERECin suorittamaan henkilötietojen käsittelyyn sovelletaan asetusta (EY) N:o 45/2001. Siinä todetaan myös, että BEREC voi toteuttaa tiedotustoimia omasta aloitteestaan toimivaltaansa kuuluvilla a</w:t>
      </w:r>
      <w:r>
        <w:rPr>
          <w:noProof/>
        </w:rPr>
        <w:t>loilla.</w:t>
      </w:r>
    </w:p>
    <w:p w:rsidR="0006109C" w:rsidRDefault="00493E42">
      <w:pPr>
        <w:tabs>
          <w:tab w:val="left" w:pos="720"/>
        </w:tabs>
        <w:spacing w:before="0" w:after="240"/>
        <w:rPr>
          <w:noProof/>
        </w:rPr>
      </w:pPr>
      <w:r>
        <w:rPr>
          <w:b/>
          <w:noProof/>
        </w:rPr>
        <w:t>28 artiklassa</w:t>
      </w:r>
      <w:r>
        <w:rPr>
          <w:noProof/>
        </w:rPr>
        <w:t xml:space="preserve"> viitataan luottamuksellisuutta koskeviin sääntöihin, joita BERECin on noudatettava.</w:t>
      </w:r>
    </w:p>
    <w:p w:rsidR="0006109C" w:rsidRDefault="00493E42">
      <w:pPr>
        <w:tabs>
          <w:tab w:val="left" w:pos="720"/>
        </w:tabs>
        <w:spacing w:before="0" w:after="240"/>
        <w:rPr>
          <w:noProof/>
        </w:rPr>
      </w:pPr>
      <w:r>
        <w:rPr>
          <w:b/>
          <w:noProof/>
        </w:rPr>
        <w:t>29 artiklassa</w:t>
      </w:r>
      <w:r>
        <w:rPr>
          <w:noProof/>
        </w:rPr>
        <w:t xml:space="preserve"> viitataan turvallisuusluokiteltujen ja arkaluonteisten turvallisuusluokittelemattomien tietojen suojaamista koskeviin turvallisuussääntö</w:t>
      </w:r>
      <w:r>
        <w:rPr>
          <w:noProof/>
        </w:rPr>
        <w:t>ihin, jotka BERECin on hyväksyttävä.</w:t>
      </w:r>
    </w:p>
    <w:p w:rsidR="0006109C" w:rsidRDefault="00493E42">
      <w:pPr>
        <w:tabs>
          <w:tab w:val="left" w:pos="720"/>
        </w:tabs>
        <w:spacing w:before="0" w:after="240"/>
        <w:rPr>
          <w:noProof/>
        </w:rPr>
      </w:pPr>
      <w:r>
        <w:rPr>
          <w:b/>
          <w:noProof/>
        </w:rPr>
        <w:t>30 artiklassa</w:t>
      </w:r>
      <w:r>
        <w:rPr>
          <w:noProof/>
        </w:rPr>
        <w:t xml:space="preserve"> säädetään, että komissio ja kansalliset sääntelyviranomaiset antavat BERECille tietoja (ja päinvastoin). Siinä säädetään myös, että viimeisenä keinona BEREC voi pyytää tarvittavia tietoja muilta viranomais</w:t>
      </w:r>
      <w:r>
        <w:rPr>
          <w:noProof/>
        </w:rPr>
        <w:t>ilta sekä yrityksiltä.</w:t>
      </w:r>
    </w:p>
    <w:p w:rsidR="0006109C" w:rsidRDefault="00493E42">
      <w:pPr>
        <w:tabs>
          <w:tab w:val="left" w:pos="720"/>
        </w:tabs>
        <w:spacing w:before="0" w:after="240"/>
        <w:rPr>
          <w:noProof/>
        </w:rPr>
      </w:pPr>
      <w:r>
        <w:rPr>
          <w:b/>
          <w:noProof/>
        </w:rPr>
        <w:t>31 artiklan</w:t>
      </w:r>
      <w:r>
        <w:rPr>
          <w:noProof/>
        </w:rPr>
        <w:t xml:space="preserve"> mukaan hallintoneuvoston jäsenten, pääjohtajan, kansallisten asiantuntijoiden ja muun henkilöstön, joka ei ole BERECin palveluksessa, on tehtävä ilmoitus sitoumuksistaan sekä siitä, onko olemassa heidän riippumattomuutens</w:t>
      </w:r>
      <w:r>
        <w:rPr>
          <w:noProof/>
        </w:rPr>
        <w:t>a mahdollisesti vaarantavia välittömiä tai välillisiä sidonnaisuuksia. Lisäksi näiden samoin kuin työryhmiin osallistuvien asiantuntijoiden on ilmoitettava mahdolliset etunäkökohdat, jotka saattavat vaarantaa heidän riippumattomuutensa esityslistalla olevi</w:t>
      </w:r>
      <w:r>
        <w:rPr>
          <w:noProof/>
        </w:rPr>
        <w:t>en asioiden suhteen.</w:t>
      </w:r>
    </w:p>
    <w:p w:rsidR="0006109C" w:rsidRDefault="00493E42">
      <w:pPr>
        <w:tabs>
          <w:tab w:val="left" w:pos="720"/>
        </w:tabs>
        <w:spacing w:before="0" w:after="240"/>
        <w:rPr>
          <w:noProof/>
        </w:rPr>
      </w:pPr>
      <w:r>
        <w:rPr>
          <w:b/>
          <w:noProof/>
        </w:rPr>
        <w:t>32 artiklassa</w:t>
      </w:r>
      <w:r>
        <w:rPr>
          <w:noProof/>
        </w:rPr>
        <w:t xml:space="preserve"> säädetään, että BEREC liittyy 25 päivänä toukokuuta 1999 tehtyyn toimielinten väliseen sopimukseen Euroopan petostentorjuntaviraston (OLAF) sisäisistä tutkimuksista ja vahvistaa asianmukaiset määräykset, joita sovelletaan</w:t>
      </w:r>
      <w:r>
        <w:rPr>
          <w:noProof/>
        </w:rPr>
        <w:t xml:space="preserve"> BERECin kaikkiin työntekijöihin.</w:t>
      </w:r>
    </w:p>
    <w:p w:rsidR="0006109C" w:rsidRDefault="00493E42">
      <w:pPr>
        <w:tabs>
          <w:tab w:val="left" w:pos="720"/>
        </w:tabs>
        <w:spacing w:before="0" w:after="240"/>
        <w:rPr>
          <w:noProof/>
        </w:rPr>
      </w:pPr>
      <w:r>
        <w:rPr>
          <w:b/>
          <w:noProof/>
        </w:rPr>
        <w:t>33 artikla</w:t>
      </w:r>
      <w:r>
        <w:rPr>
          <w:noProof/>
        </w:rPr>
        <w:t xml:space="preserve"> sisältää säännökset BERECin sopimusperusteisesta vastuusta.</w:t>
      </w:r>
    </w:p>
    <w:p w:rsidR="0006109C" w:rsidRDefault="00493E42">
      <w:pPr>
        <w:tabs>
          <w:tab w:val="left" w:pos="720"/>
        </w:tabs>
        <w:spacing w:before="0" w:after="240"/>
        <w:rPr>
          <w:noProof/>
        </w:rPr>
      </w:pPr>
      <w:r>
        <w:rPr>
          <w:b/>
          <w:noProof/>
        </w:rPr>
        <w:t>34 artiklassa</w:t>
      </w:r>
      <w:r>
        <w:rPr>
          <w:noProof/>
        </w:rPr>
        <w:t xml:space="preserve"> säädetään, että BERECin toiminta kuuluu oikeusasiamiehen valvonnan alaisuuteen Euroopan unionin toiminnasta tehdyn sopimuksen 228 artikla</w:t>
      </w:r>
      <w:r>
        <w:rPr>
          <w:noProof/>
        </w:rPr>
        <w:t>n määräysten mukaisesti.</w:t>
      </w:r>
    </w:p>
    <w:p w:rsidR="0006109C" w:rsidRDefault="00493E42">
      <w:pPr>
        <w:tabs>
          <w:tab w:val="left" w:pos="720"/>
        </w:tabs>
        <w:spacing w:before="0" w:after="240"/>
        <w:rPr>
          <w:noProof/>
        </w:rPr>
      </w:pPr>
      <w:r>
        <w:rPr>
          <w:b/>
          <w:noProof/>
        </w:rPr>
        <w:t>35 artiklassa</w:t>
      </w:r>
      <w:r>
        <w:rPr>
          <w:noProof/>
        </w:rPr>
        <w:t xml:space="preserve"> säädetään, että BERECiin sovelletaan asetusta N:o 1/58 ja että Euroopan unionin elinten käännöskeskus huolehtii BERECin toiminnassa tarvittavista käännöspalveluista.</w:t>
      </w:r>
    </w:p>
    <w:p w:rsidR="0006109C" w:rsidRDefault="00493E42">
      <w:pPr>
        <w:tabs>
          <w:tab w:val="left" w:pos="720"/>
        </w:tabs>
        <w:spacing w:before="0" w:after="240"/>
        <w:rPr>
          <w:noProof/>
        </w:rPr>
      </w:pPr>
      <w:r>
        <w:rPr>
          <w:b/>
          <w:noProof/>
        </w:rPr>
        <w:t>36 artiklassa</w:t>
      </w:r>
      <w:r>
        <w:rPr>
          <w:noProof/>
        </w:rPr>
        <w:t xml:space="preserve"> viitataan valituslautakunnan työjärjestyksen vahvistamismenettelyyn, jonka osalta täytäntöönpanovalta siirretään komissiolle.</w:t>
      </w:r>
    </w:p>
    <w:p w:rsidR="0006109C" w:rsidRDefault="00493E42">
      <w:pPr>
        <w:tabs>
          <w:tab w:val="left" w:pos="720"/>
        </w:tabs>
        <w:spacing w:before="0" w:after="240"/>
        <w:rPr>
          <w:b/>
          <w:noProof/>
        </w:rPr>
      </w:pPr>
      <w:r>
        <w:rPr>
          <w:b/>
          <w:noProof/>
        </w:rPr>
        <w:t>VI luku: Siirtymä- ja loppusäännökset</w:t>
      </w:r>
    </w:p>
    <w:p w:rsidR="0006109C" w:rsidRDefault="00493E42">
      <w:pPr>
        <w:tabs>
          <w:tab w:val="left" w:pos="720"/>
        </w:tabs>
        <w:spacing w:before="0" w:after="240"/>
        <w:rPr>
          <w:noProof/>
        </w:rPr>
      </w:pPr>
      <w:r>
        <w:rPr>
          <w:b/>
          <w:noProof/>
        </w:rPr>
        <w:t>37 artiklassa</w:t>
      </w:r>
      <w:r>
        <w:rPr>
          <w:noProof/>
        </w:rPr>
        <w:t xml:space="preserve"> säädetään, että BERECin ja vastaanottavan jäsenvaltion välillä on tehtävä toi</w:t>
      </w:r>
      <w:r>
        <w:rPr>
          <w:noProof/>
        </w:rPr>
        <w:t>mipaikkaa koskeva sopimus. Vastaanottavan jäsenvaltion on varmistettava BERECin moitteettomalle ja tehokkaalle toiminnalle tarvittavat edellytykset, mukaan lukien monikieliset ja Eurooppa-suuntautuneet koulunkäyntimahdollisuudet sekä asianmukaiset liikenne</w:t>
      </w:r>
      <w:r>
        <w:rPr>
          <w:noProof/>
        </w:rPr>
        <w:t>yhteydet.</w:t>
      </w:r>
    </w:p>
    <w:p w:rsidR="0006109C" w:rsidRDefault="00493E42">
      <w:pPr>
        <w:tabs>
          <w:tab w:val="left" w:pos="720"/>
        </w:tabs>
        <w:spacing w:before="0" w:after="240"/>
        <w:rPr>
          <w:noProof/>
        </w:rPr>
      </w:pPr>
      <w:r>
        <w:rPr>
          <w:b/>
          <w:noProof/>
        </w:rPr>
        <w:t>38 artiklassa</w:t>
      </w:r>
      <w:r>
        <w:rPr>
          <w:noProof/>
        </w:rPr>
        <w:t xml:space="preserve"> säädetään, että komissio tekee viimeistään viiden vuoden kuluttua tämän asetuksen voimaantulosta ja sen jälkeen viiden vuoden välein komission suuntaviivojen mukaisen arvioinnin BERECin toiminnasta suhteessa sen tavoitteisiin, toime</w:t>
      </w:r>
      <w:r>
        <w:rPr>
          <w:noProof/>
        </w:rPr>
        <w:t>ksiantoon, tehtäviin ja toimipaikkaan (toimipaikkoihin). Komissio raportoi Euroopan parlamentille, neuvostolle ja hallintoneuvostolle arvioinnin tuloksista, jotka on julkistettava.</w:t>
      </w:r>
    </w:p>
    <w:p w:rsidR="0006109C" w:rsidRDefault="00493E42">
      <w:pPr>
        <w:tabs>
          <w:tab w:val="left" w:pos="720"/>
        </w:tabs>
        <w:spacing w:before="0" w:after="240"/>
        <w:rPr>
          <w:noProof/>
        </w:rPr>
      </w:pPr>
      <w:r>
        <w:rPr>
          <w:b/>
          <w:noProof/>
        </w:rPr>
        <w:t>39 artiklassa</w:t>
      </w:r>
      <w:r>
        <w:rPr>
          <w:noProof/>
        </w:rPr>
        <w:t xml:space="preserve"> säädetään, että BEREC korvaa asetuksella (EY) N:o 1211/2009 p</w:t>
      </w:r>
      <w:r>
        <w:rPr>
          <w:noProof/>
        </w:rPr>
        <w:t>erustetun BEREC-viraston kaikkien omistusten, sopimusten, oikeudellisten velvoitteiden, työsopimusten, taloudellisten sitoumusten ja vastuiden osalta. Artiklassa vahvistetaan myös siirtymäsäännökset, jotka koskevat väliaikaisena pääjohtajana toimivaa halli</w:t>
      </w:r>
      <w:r>
        <w:rPr>
          <w:noProof/>
        </w:rPr>
        <w:t>ntojohtajaa, hallintojohtajan sopimusta, hallintoneuvoston kokoonpanoa ja vastuuvapausmenettelyä.</w:t>
      </w:r>
    </w:p>
    <w:p w:rsidR="0006109C" w:rsidRDefault="00493E42">
      <w:pPr>
        <w:tabs>
          <w:tab w:val="left" w:pos="720"/>
        </w:tabs>
        <w:spacing w:before="0" w:after="240"/>
        <w:rPr>
          <w:noProof/>
        </w:rPr>
      </w:pPr>
      <w:r>
        <w:rPr>
          <w:b/>
          <w:noProof/>
        </w:rPr>
        <w:t>40 artiklassa</w:t>
      </w:r>
      <w:r>
        <w:rPr>
          <w:noProof/>
        </w:rPr>
        <w:t xml:space="preserve"> todetaan, että asetus (EY) N:o 1211/2009 kumotaan ja että viittaukset siihen ja BEREC-virastoon katsotaan viittauksiksi tähän asetukseen ja BERECiin.</w:t>
      </w:r>
    </w:p>
    <w:p w:rsidR="0006109C" w:rsidRDefault="00493E42">
      <w:pPr>
        <w:pBdr>
          <w:top w:val="nil"/>
          <w:left w:val="nil"/>
          <w:bottom w:val="nil"/>
          <w:right w:val="nil"/>
          <w:between w:val="nil"/>
          <w:bar w:val="nil"/>
        </w:pBdr>
        <w:spacing w:before="0" w:after="240"/>
        <w:rPr>
          <w:rFonts w:eastAsia="Arial Unicode MS"/>
          <w:noProof/>
        </w:rPr>
      </w:pPr>
      <w:r>
        <w:rPr>
          <w:b/>
          <w:noProof/>
        </w:rPr>
        <w:t>41 artikla</w:t>
      </w:r>
      <w:r>
        <w:rPr>
          <w:noProof/>
        </w:rPr>
        <w:t xml:space="preserve"> sisältää vakiolausekkeen asetuksen voimaantulosta, ja siinä säädetään joidenkin sen säännösten</w:t>
      </w:r>
      <w:r>
        <w:rPr>
          <w:noProof/>
        </w:rPr>
        <w:t xml:space="preserve"> soveltamisen lykkäämisestä.</w:t>
      </w:r>
    </w:p>
    <w:p w:rsidR="0006109C" w:rsidRDefault="0006109C">
      <w:pPr>
        <w:rPr>
          <w:noProof/>
        </w:rPr>
      </w:pPr>
    </w:p>
    <w:p w:rsidR="0006109C" w:rsidRDefault="0006109C">
      <w:pPr>
        <w:rPr>
          <w:noProof/>
        </w:rPr>
        <w:sectPr w:rsidR="0006109C" w:rsidSect="00493E42">
          <w:pgSz w:w="11907" w:h="16839"/>
          <w:pgMar w:top="1134" w:right="1417" w:bottom="1134" w:left="1417" w:header="709" w:footer="709" w:gutter="0"/>
          <w:cols w:space="708"/>
          <w:docGrid w:linePitch="360"/>
        </w:sectPr>
      </w:pPr>
    </w:p>
    <w:p w:rsidR="0006109C" w:rsidRDefault="00493E42" w:rsidP="00493E42">
      <w:pPr>
        <w:pStyle w:val="Rfrenceinterinstitutionnelle"/>
        <w:rPr>
          <w:noProof/>
        </w:rPr>
      </w:pPr>
      <w:r w:rsidRPr="00493E42">
        <w:t>2016/0286 (COD)</w:t>
      </w:r>
    </w:p>
    <w:p w:rsidR="0006109C" w:rsidRDefault="00493E42" w:rsidP="00493E42">
      <w:pPr>
        <w:pStyle w:val="Statut"/>
        <w:rPr>
          <w:noProof/>
        </w:rPr>
      </w:pPr>
      <w:r w:rsidRPr="00493E42">
        <w:t>Ehdotus</w:t>
      </w:r>
    </w:p>
    <w:p w:rsidR="0006109C" w:rsidRDefault="00493E42" w:rsidP="00493E42">
      <w:pPr>
        <w:pStyle w:val="Typedudocument"/>
        <w:rPr>
          <w:noProof/>
        </w:rPr>
      </w:pPr>
      <w:r w:rsidRPr="00493E42">
        <w:t>EUROOPAN PARLAMENTIN JA NEUVOSTON ASETUS</w:t>
      </w:r>
    </w:p>
    <w:p w:rsidR="0006109C" w:rsidRDefault="00493E42" w:rsidP="00493E42">
      <w:pPr>
        <w:pStyle w:val="Titreobjet"/>
        <w:rPr>
          <w:noProof/>
        </w:rPr>
      </w:pPr>
      <w:r w:rsidRPr="00493E42">
        <w:t>Euroopan sähköisen viestinnän sääntelyviranomaisten yhteistyöelimen perustamisesta</w:t>
      </w:r>
    </w:p>
    <w:p w:rsidR="0006109C" w:rsidRDefault="00493E42" w:rsidP="00493E42">
      <w:pPr>
        <w:pStyle w:val="IntrtEEE"/>
        <w:rPr>
          <w:noProof/>
        </w:rPr>
      </w:pPr>
      <w:r w:rsidRPr="00493E42">
        <w:t>(ETA:n kannalta merkityksellinen teksti)</w:t>
      </w:r>
    </w:p>
    <w:p w:rsidR="0006109C" w:rsidRDefault="00493E42">
      <w:pPr>
        <w:pStyle w:val="Institutionquiagit"/>
        <w:rPr>
          <w:noProof/>
        </w:rPr>
      </w:pPr>
      <w:r>
        <w:rPr>
          <w:noProof/>
        </w:rPr>
        <w:t>EUROOPAN PARLAMENTTI JA EUROOPAN UNIONIN NEUVOSTO, jotka</w:t>
      </w:r>
    </w:p>
    <w:p w:rsidR="0006109C" w:rsidRDefault="00493E42">
      <w:pPr>
        <w:rPr>
          <w:noProof/>
        </w:rPr>
      </w:pPr>
      <w:r>
        <w:rPr>
          <w:noProof/>
        </w:rPr>
        <w:t>ottavat huomioon Euroopan unionin toiminnasta tehdyn sopimuksen ja erityisesti sen 114 artiklan,</w:t>
      </w:r>
    </w:p>
    <w:p w:rsidR="0006109C" w:rsidRDefault="00493E42">
      <w:pPr>
        <w:rPr>
          <w:noProof/>
        </w:rPr>
      </w:pPr>
      <w:r>
        <w:rPr>
          <w:noProof/>
        </w:rPr>
        <w:t>ottavat huomioon Euroopan komission e</w:t>
      </w:r>
      <w:r>
        <w:rPr>
          <w:noProof/>
        </w:rPr>
        <w:t>hdotuksen,</w:t>
      </w:r>
    </w:p>
    <w:p w:rsidR="0006109C" w:rsidRDefault="00493E42">
      <w:pPr>
        <w:rPr>
          <w:noProof/>
        </w:rPr>
      </w:pPr>
      <w:r>
        <w:rPr>
          <w:noProof/>
        </w:rPr>
        <w:t>sen jälkeen kun esitys lainsäätämisjärjestyksessä hyväksyttäväksi säädökseksi on toimitettu kansallisille parlamenteille,</w:t>
      </w:r>
    </w:p>
    <w:p w:rsidR="0006109C" w:rsidRDefault="00493E42">
      <w:pPr>
        <w:rPr>
          <w:noProof/>
        </w:rPr>
      </w:pPr>
      <w:r>
        <w:rPr>
          <w:noProof/>
        </w:rPr>
        <w:t>ottavat huomioon Euroopan talous- ja sosiaalikomitean lausunnon</w:t>
      </w:r>
      <w:r>
        <w:rPr>
          <w:rStyle w:val="FootnoteReference"/>
          <w:noProof/>
        </w:rPr>
        <w:footnoteReference w:id="19"/>
      </w:r>
      <w:r>
        <w:rPr>
          <w:noProof/>
        </w:rPr>
        <w:t>,</w:t>
      </w:r>
    </w:p>
    <w:p w:rsidR="0006109C" w:rsidRDefault="00493E42">
      <w:pPr>
        <w:rPr>
          <w:noProof/>
        </w:rPr>
      </w:pPr>
      <w:r>
        <w:rPr>
          <w:noProof/>
        </w:rPr>
        <w:t>ovat kuulleet alueiden komiteaa</w:t>
      </w:r>
      <w:r>
        <w:rPr>
          <w:rStyle w:val="FootnoteReference"/>
          <w:noProof/>
        </w:rPr>
        <w:footnoteReference w:id="20"/>
      </w:r>
      <w:r>
        <w:rPr>
          <w:noProof/>
        </w:rPr>
        <w:t>,</w:t>
      </w:r>
    </w:p>
    <w:p w:rsidR="0006109C" w:rsidRDefault="00493E42">
      <w:pPr>
        <w:rPr>
          <w:noProof/>
        </w:rPr>
      </w:pPr>
      <w:r>
        <w:rPr>
          <w:noProof/>
        </w:rPr>
        <w:t xml:space="preserve">noudattavat tavallista </w:t>
      </w:r>
      <w:r>
        <w:rPr>
          <w:noProof/>
        </w:rPr>
        <w:t>lainsäätämisjärjestystä,</w:t>
      </w:r>
    </w:p>
    <w:p w:rsidR="0006109C" w:rsidRDefault="00493E42">
      <w:pPr>
        <w:rPr>
          <w:noProof/>
        </w:rPr>
      </w:pPr>
      <w:r>
        <w:rPr>
          <w:noProof/>
        </w:rPr>
        <w:t>sekä katsovat seuraavaa:</w:t>
      </w:r>
    </w:p>
    <w:p w:rsidR="0006109C" w:rsidRDefault="00493E42">
      <w:pPr>
        <w:pStyle w:val="ManualConsidrant"/>
        <w:rPr>
          <w:noProof/>
        </w:rPr>
      </w:pPr>
      <w:r>
        <w:rPr>
          <w:noProof/>
        </w:rPr>
        <w:t>(1)</w:t>
      </w:r>
      <w:r>
        <w:rPr>
          <w:noProof/>
        </w:rPr>
        <w:tab/>
        <w:t>Euroopan parlamentin ja neuvoston direktiivillä [</w:t>
      </w:r>
      <w:r>
        <w:rPr>
          <w:noProof/>
          <w:highlight w:val="yellow"/>
        </w:rPr>
        <w:t>...</w:t>
      </w:r>
      <w:r>
        <w:rPr>
          <w:noProof/>
        </w:rPr>
        <w:t xml:space="preserve">] </w:t>
      </w:r>
      <w:hyperlink r:id="rId20" w:anchor="ntr8-L_2009337EN.01000101-E0008">
        <w:r>
          <w:rPr>
            <w:rStyle w:val="FootnoteReference"/>
            <w:noProof/>
          </w:rPr>
          <w:footnoteReference w:id="21"/>
        </w:r>
      </w:hyperlink>
      <w:r>
        <w:rPr>
          <w:noProof/>
        </w:rPr>
        <w:t>, jäljempänä ’direktiiv</w:t>
      </w:r>
      <w:r>
        <w:rPr>
          <w:noProof/>
        </w:rPr>
        <w:t>i’, jolla annetaan tehtäviä Euroopan sähköisen viestinnän sääntelyviranomaisten yhteistyöelimelle, jäljempänä ’BEREC’, ja Euroopan parlamentin ja neuvoston direktiivillä 2002/58/EY</w:t>
      </w:r>
      <w:hyperlink r:id="rId21" w:anchor="ntr8-L_2009337EN.01000101-E0008">
        <w:r>
          <w:rPr>
            <w:rStyle w:val="FootnoteReference"/>
            <w:noProof/>
          </w:rPr>
          <w:footnoteReference w:id="22"/>
        </w:r>
      </w:hyperlink>
      <w:r>
        <w:rPr>
          <w:noProof/>
        </w:rPr>
        <w:t xml:space="preserve"> on tarkoitus luoda sähköisen viestinnän sisämarkkinat unionissa ja varmistaa investointien, innovoinnin ja kuluttajansuojan korkea taso tehostamalla kilpailua.</w:t>
      </w:r>
    </w:p>
    <w:p w:rsidR="0006109C" w:rsidRDefault="00493E42">
      <w:pPr>
        <w:pStyle w:val="ManualConsidrant"/>
        <w:rPr>
          <w:noProof/>
        </w:rPr>
      </w:pPr>
      <w:r>
        <w:rPr>
          <w:noProof/>
        </w:rPr>
        <w:t>(2)</w:t>
      </w:r>
      <w:r>
        <w:rPr>
          <w:noProof/>
        </w:rPr>
        <w:tab/>
        <w:t>Euroopan parlamentin ja neuvoston asetukse</w:t>
      </w:r>
      <w:r>
        <w:rPr>
          <w:noProof/>
        </w:rPr>
        <w:t>lla (EY) N:o 531/2012</w:t>
      </w:r>
      <w:r>
        <w:rPr>
          <w:rStyle w:val="FootnoteReference"/>
          <w:noProof/>
        </w:rPr>
        <w:footnoteReference w:id="23"/>
      </w:r>
      <w:r>
        <w:rPr>
          <w:noProof/>
        </w:rPr>
        <w:t xml:space="preserve"> täydennetään ja tuetaan unionin laajuisten verkkovierailujen osalta sähköisen viestinnän sääntelyjärjestelmässä annettuja sääntöjä ja annetaan BERECille tiettyjä tehtäviä.</w:t>
      </w:r>
    </w:p>
    <w:p w:rsidR="0006109C" w:rsidRDefault="00493E42">
      <w:pPr>
        <w:pStyle w:val="ManualConsidrant"/>
        <w:rPr>
          <w:noProof/>
        </w:rPr>
      </w:pPr>
      <w:r>
        <w:rPr>
          <w:noProof/>
        </w:rPr>
        <w:t>(3)</w:t>
      </w:r>
      <w:r>
        <w:rPr>
          <w:noProof/>
        </w:rPr>
        <w:tab/>
        <w:t>Euroopan parlamentin ja neuvoston asetuksessa (EU) N:o 20</w:t>
      </w:r>
      <w:r>
        <w:rPr>
          <w:noProof/>
        </w:rPr>
        <w:t>15/2120</w:t>
      </w:r>
      <w:r>
        <w:rPr>
          <w:rStyle w:val="FootnoteReference"/>
          <w:noProof/>
        </w:rPr>
        <w:footnoteReference w:id="24"/>
      </w:r>
      <w:r>
        <w:rPr>
          <w:noProof/>
        </w:rPr>
        <w:t xml:space="preserve"> vahvistetaan yhteiset säännöt tietoliikenteen yhdenvertaisen ja syrjimättömän kohtelun varmistamiseksi internetyhteyspalvelujen tarjoamisessa ja tähän liittyvien loppukäyttäjien oikeuksien turvaamiseksi sekä uusi vähittäistason hinnoittelumekanism</w:t>
      </w:r>
      <w:r>
        <w:rPr>
          <w:noProof/>
        </w:rPr>
        <w:t>i unionin laajuisille säännellyille verkkovierailupalveluille. Kyseisessä asetuksessa annetaan BERECille lisätehtäviä, erityisesti suuntaviivojen antaminen kansallisille sääntelyviranomaisille avointa internetyhteyttä koskevien velvoitteiden täytäntöönpano</w:t>
      </w:r>
      <w:r>
        <w:rPr>
          <w:noProof/>
        </w:rPr>
        <w:t>sta sekä unionin laajuisia verkkovierailuja koskevien komission täytäntöönpanosäädösten luonnoksiin liittyvä raportointi ja kuuleminen.</w:t>
      </w:r>
    </w:p>
    <w:p w:rsidR="0006109C" w:rsidRDefault="00493E42">
      <w:pPr>
        <w:pStyle w:val="ManualConsidrant"/>
        <w:rPr>
          <w:noProof/>
        </w:rPr>
      </w:pPr>
      <w:r>
        <w:rPr>
          <w:noProof/>
        </w:rPr>
        <w:t>(4)</w:t>
      </w:r>
      <w:r>
        <w:rPr>
          <w:noProof/>
        </w:rPr>
        <w:tab/>
        <w:t>BEREC ja BEREC-virasto perustettiin Euroopan parlamentin ja neuvoston asetuksella (EY) N:o 1211/2009</w:t>
      </w:r>
      <w:r>
        <w:rPr>
          <w:rStyle w:val="FootnoteReference"/>
          <w:noProof/>
        </w:rPr>
        <w:footnoteReference w:id="25"/>
      </w:r>
      <w:r>
        <w:rPr>
          <w:noProof/>
        </w:rPr>
        <w:t>. BEREC korvasi</w:t>
      </w:r>
      <w:r>
        <w:rPr>
          <w:noProof/>
        </w:rPr>
        <w:t xml:space="preserve"> eurooppalaisten sääntelyviranomaisten ryhmän (ERG)</w:t>
      </w:r>
      <w:r>
        <w:rPr>
          <w:rStyle w:val="FootnoteReference"/>
          <w:noProof/>
        </w:rPr>
        <w:footnoteReference w:id="26"/>
      </w:r>
      <w:r>
        <w:rPr>
          <w:noProof/>
        </w:rPr>
        <w:t xml:space="preserve"> tarkoituksenaan edistää sähköisten viestintäverkkojen ja -palvelujen sisämarkkinoiden kehittämistä ja parempaa toimintaa pyrkimällä varmistamaan, että sähköisen viestinnän sääntelyjärjestelmä pannaan täy</w:t>
      </w:r>
      <w:r>
        <w:rPr>
          <w:noProof/>
        </w:rPr>
        <w:t>täntöön johdonmukaisesti. BEREC-virasto perustettiin yhteisön elimenä, jolla on oikeushenkilöllisyys, huolehtimaan asetuksessa (EY) N:o 1211/2009 tarkoitetuista tehtävistä erityisesti tarjoamalla asiantuntijatukea ja hallinnollista tukea BERECille.</w:t>
      </w:r>
    </w:p>
    <w:p w:rsidR="0006109C" w:rsidRDefault="00493E42">
      <w:pPr>
        <w:pStyle w:val="ManualConsidrant"/>
        <w:rPr>
          <w:noProof/>
        </w:rPr>
      </w:pPr>
      <w:r>
        <w:rPr>
          <w:noProof/>
        </w:rPr>
        <w:t>(5)</w:t>
      </w:r>
      <w:r>
        <w:rPr>
          <w:noProof/>
        </w:rPr>
        <w:tab/>
      </w:r>
      <w:r>
        <w:rPr>
          <w:noProof/>
        </w:rPr>
        <w:t xml:space="preserve">Komissio ilmoitti 6 päivänä toukokuuta 2015 antamassaan tiedonannossa </w:t>
      </w:r>
      <w:r>
        <w:rPr>
          <w:i/>
          <w:noProof/>
        </w:rPr>
        <w:t>Digitaalisten sisämarkkinoiden strategia Euroopalle</w:t>
      </w:r>
      <w:r>
        <w:rPr>
          <w:rStyle w:val="FootnoteReference"/>
          <w:noProof/>
        </w:rPr>
        <w:footnoteReference w:id="27"/>
      </w:r>
      <w:r>
        <w:rPr>
          <w:noProof/>
        </w:rPr>
        <w:t xml:space="preserve"> esittävänsä vuonna 2016 ehdotuksia sähköisen viestinnän sääntelyjärjestelmän kunnianhimoisesta uudistamisesta muun muassa tehostamall</w:t>
      </w:r>
      <w:r>
        <w:rPr>
          <w:noProof/>
        </w:rPr>
        <w:t>a institutionaalista sääntelykehystä, jotta telesäännöt palvelisivat tarkoitustaan paremmin luotaessa otollisia olosuhteita digitaalisten sisämarkkinoiden toiminnalle. Tähän sisältyvät erittäin suurikapasiteettisten verkkojen käyttöönotto, radiotaajuuksien</w:t>
      </w:r>
      <w:r>
        <w:rPr>
          <w:noProof/>
        </w:rPr>
        <w:t xml:space="preserve"> koordinoidumpi hallinta langattomissa verkoissa ja tasapuolisten toimintaedellytysten luominen edistyneille digitaaliverkoille ja innovatiivisille palveluille. Tiedonannossa todettiin, että markkina- ja teknologiaympäristön muutokset edellyttävät institut</w:t>
      </w:r>
      <w:r>
        <w:rPr>
          <w:noProof/>
        </w:rPr>
        <w:t>ionaalisen kehyksen lujittamista vahvistamalla BERECin roolia.</w:t>
      </w:r>
    </w:p>
    <w:p w:rsidR="0006109C" w:rsidRDefault="00493E42">
      <w:pPr>
        <w:pStyle w:val="ManualConsidrant"/>
        <w:rPr>
          <w:noProof/>
        </w:rPr>
      </w:pPr>
      <w:r>
        <w:rPr>
          <w:noProof/>
        </w:rPr>
        <w:t>(6)</w:t>
      </w:r>
      <w:r>
        <w:rPr>
          <w:noProof/>
        </w:rPr>
        <w:tab/>
        <w:t>Digitaalisten sisämarkkinoiden toimenpidepaketista 19 päivänä tammikuuta 2016 antamassaan päätöslauselmassa Euroopan parlamentti kehotti komissiota viemään digitaalisten sisämarkkinoiden yh</w:t>
      </w:r>
      <w:r>
        <w:rPr>
          <w:noProof/>
        </w:rPr>
        <w:t>dentymistä eteenpäin varmistamalla, että käytössä on entistä toimivammat institutionaaliset puitteet. Tämä voidaan saavuttaa vahvistamalla BERECin roolia, valmiuksia ja päätöksentekovaltuuksia, jotta se voi edistää sähköisen viestinnän sääntelyjärjestelmän</w:t>
      </w:r>
      <w:r>
        <w:rPr>
          <w:noProof/>
        </w:rPr>
        <w:t xml:space="preserve"> johdonmukaista täytäntöönpanoa, seurata tehokkaasti sisämarkkinoiden kehitystä ja auttaa ratkaisemaan rajat ylittävät riita-asiat. Euroopan parlamentti korosti tässä yhteydessä myös tarvetta parantaa taloudellisia ja henkilöstöresursseja sekä tehostaa ede</w:t>
      </w:r>
      <w:r>
        <w:rPr>
          <w:noProof/>
        </w:rPr>
        <w:t>lleen BERECin hallintorakennetta.</w:t>
      </w:r>
    </w:p>
    <w:p w:rsidR="0006109C" w:rsidRDefault="00493E42">
      <w:pPr>
        <w:pStyle w:val="ManualConsidrant"/>
        <w:rPr>
          <w:noProof/>
        </w:rPr>
      </w:pPr>
      <w:r>
        <w:rPr>
          <w:noProof/>
        </w:rPr>
        <w:t>(7)</w:t>
      </w:r>
      <w:r>
        <w:rPr>
          <w:noProof/>
        </w:rPr>
        <w:tab/>
        <w:t>BERECilla ja BEREC-virastolla on ollut myönteinen vaikutus sähköisen viestinnän sääntelyjärjestelmän johdonmukaiseen täytäntöönpanoon. Jäsenvaltioiden välillä on kuitenkin edelleen huomattavia eroja sääntelykäytännöiss</w:t>
      </w:r>
      <w:r>
        <w:rPr>
          <w:noProof/>
        </w:rPr>
        <w:t>ä. Lisäksi BERECin ja BEREC-viraston hallintorakenne on raskas ja aiheuttaa tarpeetonta hallinnollista rasitetta. Jotta voidaan varmistaa tehokkuushyödyt ja synergia ja tukea sähköisen viestinnän sisämarkkinoiden kehitystä koko unionissa sekä edistää eritt</w:t>
      </w:r>
      <w:r>
        <w:rPr>
          <w:noProof/>
        </w:rPr>
        <w:t>äin suuren kapasiteetin datayhteyksien saatavuutta ja käyttöönottoa, kilpailua sähköisten viestintäverkkojen ja -palvelujen ja liitännäistoimintojen tarjoamisessa ja unionin kansalaisten etuja, tämän asetuksen tavoitteena on vahvistaa BERECin roolia ja teh</w:t>
      </w:r>
      <w:r>
        <w:rPr>
          <w:noProof/>
        </w:rPr>
        <w:t>ostaa sen hallintorakennetta perustamalla BEREC unionin erillisvirastona. Tällä tavoin voidaan myös ottaa huomioon, että BERECin roolia on huomattavasti vahvistettu asetuksella (EU) N:o 531/2012, jossa BERECille annetaan unionin laajuisiin verkkovierailuih</w:t>
      </w:r>
      <w:r>
        <w:rPr>
          <w:noProof/>
        </w:rPr>
        <w:t>in liittyviä tehtäviä, asetuksella (EU) N:o 2015/2120, jossa BERECille annetaan avoimeen internetyhteyteen ja unionin laajuisiin verkkovierailuihin liittyviä tehtäviä, sekä direktiivillä, jossa BERECille annetaan merkittävä määrä uusia tehtäviä, kuten päät</w:t>
      </w:r>
      <w:r>
        <w:rPr>
          <w:noProof/>
        </w:rPr>
        <w:t xml:space="preserve">östen tekeminen ja suuntaviivojen antaminen useista aiheista, raportointi teknisistä kysymyksistä, rekisterien ylläpitäminen sekä lausuntojen antaminen sisämarkkinamenettelyissä, jotka koskevat kansallisia toimenpide-ehdotuksia markkinoiden sääntelyssä ja </w:t>
      </w:r>
      <w:r>
        <w:rPr>
          <w:noProof/>
        </w:rPr>
        <w:t xml:space="preserve">radiotaajuuksien käyttöoikeuksien jakamisessa. </w:t>
      </w:r>
    </w:p>
    <w:p w:rsidR="0006109C" w:rsidRDefault="00493E42">
      <w:pPr>
        <w:pStyle w:val="ManualConsidrant"/>
        <w:rPr>
          <w:noProof/>
        </w:rPr>
      </w:pPr>
      <w:r>
        <w:rPr>
          <w:noProof/>
        </w:rPr>
        <w:t>(8)</w:t>
      </w:r>
      <w:r>
        <w:rPr>
          <w:noProof/>
        </w:rPr>
        <w:tab/>
        <w:t>Sähköisen viestinnän sääntelyjärjestelmän johdonmukainen soveltaminen kaikissa jäsenvaltioissa on edellytys sille, että sähköisen viestinnän sisämarkkinoita voidaan kehittää menestyksekkäästi koko unionis</w:t>
      </w:r>
      <w:r>
        <w:rPr>
          <w:noProof/>
        </w:rPr>
        <w:t>sa ja edistää erittäin suuren kapasiteetin datayhteyksien saatavuutta ja käyttöönottoa, kilpailua sähköisten viestintäverkkojen ja -palvelujen ja liitännäistoimintojen tarjoamisessa sekä unionin kansalaisten etuja. Ottaen huomioon markkinoiden ja teknologi</w:t>
      </w:r>
      <w:r>
        <w:rPr>
          <w:noProof/>
        </w:rPr>
        <w:t>an kehitys, johon liittyy usein yhä suurempi rajatylittävä ulottuvuus, ja johdonmukaisen täytäntöönpanon varmistamisesta sähköisen viestinnän alalla tähän mennessä saadut kokemukset on tarpeen edelleen kehittää BERECin ja BEREC-viraston työtä muuttamalla n</w:t>
      </w:r>
      <w:r>
        <w:rPr>
          <w:noProof/>
        </w:rPr>
        <w:t>e täysivaltaiseksi virastoksi.</w:t>
      </w:r>
    </w:p>
    <w:p w:rsidR="0006109C" w:rsidRDefault="00493E42">
      <w:pPr>
        <w:pStyle w:val="ManualConsidrant"/>
        <w:rPr>
          <w:noProof/>
        </w:rPr>
      </w:pPr>
      <w:r>
        <w:rPr>
          <w:noProof/>
        </w:rPr>
        <w:t>(9)</w:t>
      </w:r>
      <w:r>
        <w:rPr>
          <w:noProof/>
        </w:rPr>
        <w:tab/>
        <w:t>Virastoa olisi hallinnoitava ja sen olisi toimittava Euroopan parlamentin, neuvoston ja Euroopan komission erillisvirastoista 19 päivänä heinäkuuta 2012 antaman julkilausuman, jäljempänä ’yhteinen lähestymistapa’,</w:t>
      </w:r>
      <w:r>
        <w:rPr>
          <w:rStyle w:val="FootnoteReference"/>
          <w:noProof/>
        </w:rPr>
        <w:footnoteReference w:id="28"/>
      </w:r>
      <w:r>
        <w:rPr>
          <w:noProof/>
        </w:rPr>
        <w:t xml:space="preserve"> periaa</w:t>
      </w:r>
      <w:r>
        <w:rPr>
          <w:noProof/>
        </w:rPr>
        <w:t xml:space="preserve">tteiden mukaisesti. Koska BERECilla on vakiintunut julkisuuskuva ja koska sen nimen muuttamiseen liittyisi kustannuksia, viraston nimenä olisi säilytettävä BEREC. </w:t>
      </w:r>
    </w:p>
    <w:p w:rsidR="0006109C" w:rsidRDefault="00493E42">
      <w:pPr>
        <w:pStyle w:val="ManualConsidrant"/>
        <w:rPr>
          <w:noProof/>
        </w:rPr>
      </w:pPr>
      <w:r>
        <w:rPr>
          <w:noProof/>
        </w:rPr>
        <w:t>(10)</w:t>
      </w:r>
      <w:r>
        <w:rPr>
          <w:noProof/>
        </w:rPr>
        <w:tab/>
        <w:t>Kansallisten sääntelyviranomaisten ja komission edustajista muodostuvana sähköisen vies</w:t>
      </w:r>
      <w:r>
        <w:rPr>
          <w:noProof/>
        </w:rPr>
        <w:t>tinnän teknisenä asiantuntijaelimenä BERECilla on parhaat valmiudet saada tehtäväkseen päättää tietyistä kysymyksistä, joilla on rajatylittävä ulottuvuus, osallistua kansallisia toimenpide-ehdotuksia koskeviin tehokkaisiin sisämarkkinamenettelyihin (sekä m</w:t>
      </w:r>
      <w:r>
        <w:rPr>
          <w:noProof/>
        </w:rPr>
        <w:t>arkkinoiden sääntelyssä että taajuuksien käyttöoikeuksien jakamisessa), antaa tarvittavat suuntaviivat kansallisille sääntelyviranomaisille yhteisten perusteiden ja johdonmukaisen sääntelyn varmistamiseksi sekä ylläpitää tiettyjä rekistereitä unionin tasol</w:t>
      </w:r>
      <w:r>
        <w:rPr>
          <w:noProof/>
        </w:rPr>
        <w:t>la. Tämä ei rajoita kansallisille sääntelyviranomaisille, jotka ovat lähimpänä sähköisen viestinnän markkinoita ja niiden paikallisia olosuhteita, annettuja tehtäviä. Voidakseen hoitaa tehtävänsä virastolla olisi oltava asianmukaiset taloudelliset ja henki</w:t>
      </w:r>
      <w:r>
        <w:rPr>
          <w:noProof/>
        </w:rPr>
        <w:t>löstöresurssit, ja sen olisi jatkettava asiantuntemuksen kokoamista kansallisilta sääntelyviranomaisilta.</w:t>
      </w:r>
    </w:p>
    <w:p w:rsidR="0006109C" w:rsidRDefault="00493E42">
      <w:pPr>
        <w:pStyle w:val="ManualConsidrant"/>
        <w:rPr>
          <w:noProof/>
        </w:rPr>
      </w:pPr>
      <w:r>
        <w:rPr>
          <w:noProof/>
        </w:rPr>
        <w:t>(11)</w:t>
      </w:r>
      <w:r>
        <w:rPr>
          <w:noProof/>
        </w:rPr>
        <w:tab/>
        <w:t>BERECilla olisi oltava mahdollisuus tehdä tarvittaessa yhteistyötä muiden unionin elinten, virastojen, laitosten ja neuvoa-antavien ryhmien kanss</w:t>
      </w:r>
      <w:r>
        <w:rPr>
          <w:noProof/>
        </w:rPr>
        <w:t>a, tämän kuitenkaan rajoittamatta niiden roolia. Kyseeseen tulevat erityisesti radiotaajuuspolitiikkaa käsittelevä ryhmä</w:t>
      </w:r>
      <w:r>
        <w:rPr>
          <w:rStyle w:val="FootnoteReference"/>
          <w:noProof/>
        </w:rPr>
        <w:footnoteReference w:id="29"/>
      </w:r>
      <w:r>
        <w:rPr>
          <w:noProof/>
        </w:rPr>
        <w:t>, Euroopan tietosuojaneuvosto</w:t>
      </w:r>
      <w:r>
        <w:rPr>
          <w:rStyle w:val="FootnoteReference"/>
          <w:noProof/>
        </w:rPr>
        <w:footnoteReference w:id="30"/>
      </w:r>
      <w:r>
        <w:rPr>
          <w:noProof/>
        </w:rPr>
        <w:t>, audiovisuaalisten mediapalvelujen eurooppalaisten sääntelyviranomaisten ryhmä (ERGA)</w:t>
      </w:r>
      <w:r>
        <w:rPr>
          <w:rStyle w:val="FootnoteReference"/>
          <w:noProof/>
        </w:rPr>
        <w:footnoteReference w:id="31"/>
      </w:r>
      <w:r>
        <w:rPr>
          <w:noProof/>
        </w:rPr>
        <w:t>, Euroopan unionin</w:t>
      </w:r>
      <w:r>
        <w:rPr>
          <w:noProof/>
        </w:rPr>
        <w:t xml:space="preserve"> verkko- ja tietoturvavirasto (ENISA)</w:t>
      </w:r>
      <w:r>
        <w:rPr>
          <w:rStyle w:val="FootnoteReference"/>
          <w:noProof/>
        </w:rPr>
        <w:footnoteReference w:id="32"/>
      </w:r>
      <w:r>
        <w:rPr>
          <w:noProof/>
        </w:rPr>
        <w:t xml:space="preserve"> sekä nykyiset komiteat (kuten viestintäkomitea ja radiotaajuuskomitea). Sen olisi myös voitava tehdä yhteistyötä kolmansien maiden toimivaltaisten viranomaisten kanssa, erityisesti sähköisen viestinnän alalla toimival</w:t>
      </w:r>
      <w:r>
        <w:rPr>
          <w:noProof/>
        </w:rPr>
        <w:t>taisten sääntelyviranomaisten ja/tai kyseisten viranomaisten muodostamien ryhmien kanssa sekä kansainvälisten järjestöjen kanssa, jos tämä on tarpeen sen tehtävien suorittamiseksi.</w:t>
      </w:r>
    </w:p>
    <w:p w:rsidR="0006109C" w:rsidRDefault="00493E42">
      <w:pPr>
        <w:pStyle w:val="ManualConsidrant"/>
        <w:rPr>
          <w:noProof/>
        </w:rPr>
      </w:pPr>
      <w:r>
        <w:rPr>
          <w:noProof/>
        </w:rPr>
        <w:t>(12)</w:t>
      </w:r>
      <w:r>
        <w:rPr>
          <w:noProof/>
        </w:rPr>
        <w:tab/>
        <w:t>Siirtymällä aikaisemmasta tilanteesta, jossa toimi rinnakkain sekä sää</w:t>
      </w:r>
      <w:r>
        <w:rPr>
          <w:noProof/>
        </w:rPr>
        <w:t>ntelyneuvosto että johtokunta, yhteen hallintoneuvostoon, joka antaa yleiset suuntaviivat BERECin toiminnalle ja päättää sääntelyyn ja toimintaan samoin kuin hallintoon ja varainhoitoon liittyvistä asioista, voitaisiin parantaa viraston tehokkuutta, johdon</w:t>
      </w:r>
      <w:r>
        <w:rPr>
          <w:noProof/>
        </w:rPr>
        <w:t>mukaisuutta ja suorituskykyä. Tätä varten hallintoneuvoston olisi huolehdittava asiaankuuluvista toiminnoista ja sen olisi muodostuttava kahdesta komission edustajasta ja kunkin kansallisen sääntelyviranomaisen johtajasta tai kollegiaalisen elimen jäsenest</w:t>
      </w:r>
      <w:r>
        <w:rPr>
          <w:noProof/>
        </w:rPr>
        <w:t>ä, joita suojaavat irtisanomisehdot.</w:t>
      </w:r>
    </w:p>
    <w:p w:rsidR="0006109C" w:rsidRDefault="00493E42">
      <w:pPr>
        <w:pStyle w:val="ManualConsidrant"/>
        <w:rPr>
          <w:noProof/>
        </w:rPr>
      </w:pPr>
      <w:r>
        <w:rPr>
          <w:noProof/>
        </w:rPr>
        <w:t>(13)</w:t>
      </w:r>
      <w:r>
        <w:rPr>
          <w:noProof/>
        </w:rPr>
        <w:tab/>
        <w:t>Nimittävän viranomaisen toimivaltaa käytti aiemmin BEREC-viraston johtokunnan varapuheenjohtaja. Uuden viraston hallintoneuvoston olisi delegoitava nimittävän viranomaisen toimivalta pääjohtajalle, jolla olisi olta</w:t>
      </w:r>
      <w:r>
        <w:rPr>
          <w:noProof/>
        </w:rPr>
        <w:t>va valtuudet siirtää tämä toimivalta edelleen. Tämä edistäisi BERECin tehokasta henkilöstöhallintoa ja takaisi, että johtokunta samoin kuin puheenjohtaja ja varapuheenjohtaja voivat keskittyä tehtäviinsä.</w:t>
      </w:r>
    </w:p>
    <w:p w:rsidR="0006109C" w:rsidRDefault="00493E42">
      <w:pPr>
        <w:pStyle w:val="ManualConsidrant"/>
        <w:rPr>
          <w:noProof/>
        </w:rPr>
      </w:pPr>
      <w:r>
        <w:rPr>
          <w:noProof/>
        </w:rPr>
        <w:t>(14)</w:t>
      </w:r>
      <w:r>
        <w:rPr>
          <w:noProof/>
        </w:rPr>
        <w:tab/>
        <w:t>Sääntelyneuvoston puheenjohtajan ja varapuheen</w:t>
      </w:r>
      <w:r>
        <w:rPr>
          <w:noProof/>
        </w:rPr>
        <w:t>johtajien toimikausi on aiemmin ollut yksi vuosi. Ottaen huomioon BERECille annetut lisätehtävät sekä tarve varmistaa sen toiminnan vuotuinen ja monivuotinen ohjelmasuunnittelu on erittäin tärkeää varmistaa, että puheenjohtaja ja varapuheenjohtaja voivat t</w:t>
      </w:r>
      <w:r>
        <w:rPr>
          <w:noProof/>
        </w:rPr>
        <w:t>oimia vakaalla ja pitkäjänteisellä toimeksiannolla.</w:t>
      </w:r>
    </w:p>
    <w:p w:rsidR="0006109C" w:rsidRDefault="00493E42">
      <w:pPr>
        <w:pStyle w:val="ManualConsidrant"/>
        <w:rPr>
          <w:noProof/>
        </w:rPr>
      </w:pPr>
      <w:r>
        <w:rPr>
          <w:noProof/>
        </w:rPr>
        <w:t>(15)</w:t>
      </w:r>
      <w:r>
        <w:rPr>
          <w:noProof/>
        </w:rPr>
        <w:tab/>
        <w:t>Hallintoneuvoston olisi pidettävä vähintään kaksi sääntömääräistä kokousta vuodessa. Ottaen huomioon aiemmat kokemukset ja BERECin roolin laajentaminen hallintoneuvoston voi olla tarpeen järjestää yl</w:t>
      </w:r>
      <w:r>
        <w:rPr>
          <w:noProof/>
        </w:rPr>
        <w:t>imääräisiä kokouksia.</w:t>
      </w:r>
    </w:p>
    <w:p w:rsidR="0006109C" w:rsidRDefault="00493E42">
      <w:pPr>
        <w:pStyle w:val="ManualConsidrant"/>
        <w:rPr>
          <w:noProof/>
        </w:rPr>
      </w:pPr>
      <w:r>
        <w:rPr>
          <w:noProof/>
        </w:rPr>
        <w:t>(16)</w:t>
      </w:r>
      <w:r>
        <w:rPr>
          <w:noProof/>
        </w:rPr>
        <w:tab/>
        <w:t>Pääjohtajalla, jonka olisi oltava BERECin laillinen edustaja, on ratkaiseva rooli uuden viraston asianmukaisen toiminnan ja sille annettavien tehtävien toteuttamisen kannalta. Hallintoneuvoston tulisi nimittää pääjohtaja komissio</w:t>
      </w:r>
      <w:r>
        <w:rPr>
          <w:noProof/>
        </w:rPr>
        <w:t>n avointa ja läpinäkyvää menettelyä noudattaen laatiman luettelon perusteella, jotta voidaan taata hakijoiden tinkimätön arviointi ja riippumattomuuden korkea taso. BEREC-viraston hallintojohtajan toimikausi oli aiemmin kolme vuotta. Pääjohtajan toimeksian</w:t>
      </w:r>
      <w:r>
        <w:rPr>
          <w:noProof/>
        </w:rPr>
        <w:t>non olisi oltava riittävän pitkä, jotta varmistetaan viraston pitkän aikavälin strategian vakaus ja täyttäminen.</w:t>
      </w:r>
    </w:p>
    <w:p w:rsidR="0006109C" w:rsidRDefault="00493E42">
      <w:pPr>
        <w:pStyle w:val="ManualConsidrant"/>
        <w:rPr>
          <w:noProof/>
        </w:rPr>
      </w:pPr>
      <w:r>
        <w:rPr>
          <w:noProof/>
        </w:rPr>
        <w:t>(17)</w:t>
      </w:r>
      <w:r>
        <w:rPr>
          <w:noProof/>
        </w:rPr>
        <w:tab/>
        <w:t>Kokemus on osoittanut, että useimmat BERECin tehtävät voidaan suorittaa paremmin työryhmien kautta, minkä vuoksi hallintoneuvoston olisi v</w:t>
      </w:r>
      <w:r>
        <w:rPr>
          <w:noProof/>
        </w:rPr>
        <w:t xml:space="preserve">astattava työryhmien perustamisesta ja niiden jäsenten nimittämisestä. Tasapainoisen lähestymistavan varmistamiseksi BERECin henkilöstön jäsenten olisi koordinoitava ja moderoitava työryhmiä. Pätevistä asiantuntijoista olisi laadittava luettelot etukäteen </w:t>
      </w:r>
      <w:r>
        <w:rPr>
          <w:noProof/>
        </w:rPr>
        <w:t>tiettyjen työryhmien nopean perustamisen varmistamiseksi, erityisesti niiden liittyessä sisämarkkinamenettelyihin, jotka koskevat kansallisia toimenpide-ehdotuksia markkinoiden sääntelyssä ja radiotaajuuksien käyttöoikeuksien jakamisessa, jotta nämä menett</w:t>
      </w:r>
      <w:r>
        <w:rPr>
          <w:noProof/>
        </w:rPr>
        <w:t>elyt voidaan suorittaa niille asetetuissa määräajoissa.</w:t>
      </w:r>
    </w:p>
    <w:p w:rsidR="0006109C" w:rsidRDefault="00493E42">
      <w:pPr>
        <w:pStyle w:val="ManualConsidrant"/>
        <w:rPr>
          <w:noProof/>
        </w:rPr>
      </w:pPr>
      <w:r>
        <w:rPr>
          <w:noProof/>
        </w:rPr>
        <w:t>(18)</w:t>
      </w:r>
      <w:r>
        <w:rPr>
          <w:noProof/>
        </w:rPr>
        <w:tab/>
        <w:t>Koska BERECilla on valtuudet tehdä sitovia päätöksiä, on tarpeen varmistaa, että kaikilla luonnollisilla tai oikeushenkilöillä, jotka ovat BERECin päätöksen kohteena tai joita BERECin päätös kosk</w:t>
      </w:r>
      <w:r>
        <w:rPr>
          <w:noProof/>
        </w:rPr>
        <w:t>ee, on oikeus hakea päätökseen muutosta valituslautakunnalta, joka on osa virastoa mutta riippumaton sen hallinto- ja sääntelyrakenteesta. Koska valituslautakunnan päätösten on määrä tuottaa oikeusvaikutuksia suhteessa kolmansiin osapuoliin, niiden laillis</w:t>
      </w:r>
      <w:r>
        <w:rPr>
          <w:noProof/>
        </w:rPr>
        <w:t>uutta koskeva kanne voidaan nostaa unionin yleisessä tuomioistuimessa. Yhdenmukaisten edellytysten varmistamiseksi valituslautakunnan työjärjestyksen osalta täytäntöönpanovalta olisi siirrettävä komissiolle. Tätä valtaa olisi käytettävä Euroopan parlamenti</w:t>
      </w:r>
      <w:r>
        <w:rPr>
          <w:noProof/>
        </w:rPr>
        <w:t>n ja neuvoston asetuksen (EU) N:o 182/2011 mukaisesti</w:t>
      </w:r>
      <w:r>
        <w:rPr>
          <w:rStyle w:val="FootnoteReference"/>
          <w:noProof/>
        </w:rPr>
        <w:footnoteReference w:id="33"/>
      </w:r>
      <w:r>
        <w:rPr>
          <w:noProof/>
        </w:rPr>
        <w:t>.</w:t>
      </w:r>
    </w:p>
    <w:p w:rsidR="0006109C" w:rsidRDefault="00493E42">
      <w:pPr>
        <w:pStyle w:val="ManualConsidrant"/>
        <w:rPr>
          <w:noProof/>
        </w:rPr>
      </w:pPr>
      <w:r>
        <w:rPr>
          <w:noProof/>
        </w:rPr>
        <w:t>(19)</w:t>
      </w:r>
      <w:r>
        <w:rPr>
          <w:noProof/>
        </w:rPr>
        <w:tab/>
        <w:t>BERECiin olisi sovellettava komission delegoitua asetusta (EU) N:o 1271/2013</w:t>
      </w:r>
      <w:r>
        <w:rPr>
          <w:rStyle w:val="FootnoteReference"/>
          <w:noProof/>
        </w:rPr>
        <w:footnoteReference w:id="34"/>
      </w:r>
      <w:r>
        <w:rPr>
          <w:noProof/>
        </w:rPr>
        <w:t>.</w:t>
      </w:r>
    </w:p>
    <w:p w:rsidR="0006109C" w:rsidRDefault="00493E42">
      <w:pPr>
        <w:pStyle w:val="ManualConsidrant"/>
        <w:rPr>
          <w:noProof/>
        </w:rPr>
      </w:pPr>
      <w:r>
        <w:rPr>
          <w:noProof/>
        </w:rPr>
        <w:t>(20)</w:t>
      </w:r>
      <w:r>
        <w:rPr>
          <w:noProof/>
        </w:rPr>
        <w:tab/>
        <w:t>BERECin riippumattomuuden varmistamiseksi sillä olisi oltava oma talousarvio, jonka varat muodostuvat suurimmak</w:t>
      </w:r>
      <w:r>
        <w:rPr>
          <w:noProof/>
        </w:rPr>
        <w:t>si osaksi unionin rahoitusosuudesta. BERECin rahoittamisen olisi edellytettävä budjettivallan käyttäjän suostumusta talousarviota koskevasta kurinalaisuudesta, talousarvioyhteistyöstä ja moitteettomasta varainhoidosta tehdyn toimielinten sopimuksen</w:t>
      </w:r>
      <w:r>
        <w:rPr>
          <w:rStyle w:val="FootnoteReference"/>
          <w:noProof/>
        </w:rPr>
        <w:footnoteReference w:id="35"/>
      </w:r>
      <w:r>
        <w:rPr>
          <w:noProof/>
        </w:rPr>
        <w:t xml:space="preserve"> 31 koh</w:t>
      </w:r>
      <w:r>
        <w:rPr>
          <w:noProof/>
        </w:rPr>
        <w:t>dan mukaisesti.</w:t>
      </w:r>
    </w:p>
    <w:p w:rsidR="0006109C" w:rsidRDefault="00493E42">
      <w:pPr>
        <w:pStyle w:val="ManualConsidrant"/>
        <w:rPr>
          <w:noProof/>
        </w:rPr>
      </w:pPr>
      <w:r>
        <w:rPr>
          <w:noProof/>
        </w:rPr>
        <w:t>(21)</w:t>
      </w:r>
      <w:r>
        <w:rPr>
          <w:noProof/>
        </w:rPr>
        <w:tab/>
        <w:t>BERECin pitäisi olla operatiivisissa ja teknisissä kysymyksissä riippumaton, ja sillä pitäisi olla oikeudellinen, hallinnollinen ja taloudellinen itsemääräämisoikeus. Tämän vuoksi on tarpeen ja asianmukaista, että BEREC on unionin elin</w:t>
      </w:r>
      <w:r>
        <w:rPr>
          <w:noProof/>
        </w:rPr>
        <w:t xml:space="preserve">, joka on oikeushenkilö ja joka käyttää sille annettua toimivaltaa. </w:t>
      </w:r>
    </w:p>
    <w:p w:rsidR="0006109C" w:rsidRDefault="00493E42">
      <w:pPr>
        <w:pStyle w:val="ManualConsidrant"/>
        <w:rPr>
          <w:noProof/>
        </w:rPr>
      </w:pPr>
      <w:r>
        <w:rPr>
          <w:noProof/>
        </w:rPr>
        <w:t>(22)</w:t>
      </w:r>
      <w:r>
        <w:rPr>
          <w:noProof/>
        </w:rPr>
        <w:tab/>
        <w:t>Unionin erillisvirastona BERECin olisi toimittava toimeksiantonsa ja olemassa olevien institutionaalisten puitteiden mukaisesti. Sen ei pitäisi katsoa edustavan unionin kantaa suhtee</w:t>
      </w:r>
      <w:r>
        <w:rPr>
          <w:noProof/>
        </w:rPr>
        <w:t>ssa ulkopuoliseen yleisöön tai sitovan unionia oikeudellisiin velvoitteisiin.</w:t>
      </w:r>
    </w:p>
    <w:p w:rsidR="0006109C" w:rsidRDefault="00493E42">
      <w:pPr>
        <w:pStyle w:val="ManualConsidrant"/>
        <w:rPr>
          <w:noProof/>
        </w:rPr>
      </w:pPr>
      <w:r>
        <w:rPr>
          <w:noProof/>
        </w:rPr>
        <w:t>(23)</w:t>
      </w:r>
      <w:r>
        <w:rPr>
          <w:noProof/>
        </w:rPr>
        <w:tab/>
        <w:t>Sähköisen viestinnän sääntelyjärjestelmän johdonmukaisen täytäntöönpanon jatkamiseksi BERECin puitteissa uuden viraston olisi oltava avoinna sähköisen viestinnän alalla toim</w:t>
      </w:r>
      <w:r>
        <w:rPr>
          <w:noProof/>
        </w:rPr>
        <w:t>ivaltaisten sääntelyviranomaisten osallistumiselle niistä kolmansista maista, jotka ovat tehneet unionin kanssa tätä koskevan sopimuksen, ja erityisesti ETA:n EFTA-valtioista ja ehdokasmaista.</w:t>
      </w:r>
    </w:p>
    <w:p w:rsidR="0006109C" w:rsidRDefault="00493E42">
      <w:pPr>
        <w:pStyle w:val="ManualConsidrant"/>
        <w:rPr>
          <w:noProof/>
        </w:rPr>
      </w:pPr>
      <w:r>
        <w:rPr>
          <w:noProof/>
        </w:rPr>
        <w:t>(24)</w:t>
      </w:r>
      <w:r>
        <w:rPr>
          <w:noProof/>
        </w:rPr>
        <w:tab/>
        <w:t>BERECin olisi voitava harjoittaa toimivaltansa alalla tied</w:t>
      </w:r>
      <w:r>
        <w:rPr>
          <w:noProof/>
        </w:rPr>
        <w:t>otustoimintaa, joka ei saisi haitata BERECin keskeisiä tehtäviä ja joka olisi toteutettava hallintoneuvoston hyväksymien tiedotusta ja viestintää koskevien suunnitelmien mukaisesti. BERECin tiedotusstrategian olisi oltava sisällöltään ja täytäntöönpanoltaa</w:t>
      </w:r>
      <w:r>
        <w:rPr>
          <w:noProof/>
        </w:rPr>
        <w:t>n johdonmukainen, tarkoituksenmukainen ja yhteensovitettu komission ja muiden toimielinten strategioiden ja toimien kanssa, jotta voidaan ottaa huomioon unionin laajempi julkisuuskuva.</w:t>
      </w:r>
    </w:p>
    <w:p w:rsidR="0006109C" w:rsidRDefault="00493E42">
      <w:pPr>
        <w:pStyle w:val="ManualConsidrant"/>
        <w:rPr>
          <w:noProof/>
        </w:rPr>
      </w:pPr>
      <w:r>
        <w:rPr>
          <w:noProof/>
        </w:rPr>
        <w:t>(25)</w:t>
      </w:r>
      <w:r>
        <w:rPr>
          <w:noProof/>
        </w:rPr>
        <w:tab/>
        <w:t xml:space="preserve">Voidakseen hoitaa tehtävänsä tehokkaasti BERECilla olisi oltava </w:t>
      </w:r>
      <w:r>
        <w:rPr>
          <w:noProof/>
        </w:rPr>
        <w:t>oikeus pyytää kaikki tarpeelliset tiedot komissiolta, kansallisilta sääntelyviranomaisilta ja viimeisenä keinona muilta viranomaisilta ja yrityksiltä. Tietopyyntöjen olisi oltava oikein suhteutettuja eivätkä ne saisi aiheuttaa kohtuutonta rasitetta niille,</w:t>
      </w:r>
      <w:r>
        <w:rPr>
          <w:noProof/>
        </w:rPr>
        <w:t xml:space="preserve"> joille ne on osoitettu. Kansallisten sääntelyviranomaisten, jotka ovat lähimpänä sähköisen viestinnän markkinoita, olisi tehtävä yhteistyötä BERECin kanssa ja annettava käyttöön ajantasaiset ja tarkat tiedot, jotta BEREC pystyy täyttämään toimeksiantonsa.</w:t>
      </w:r>
      <w:r>
        <w:rPr>
          <w:noProof/>
        </w:rPr>
        <w:t xml:space="preserve"> BERECin tulisi antaa tarvittavat tiedot komission ja kansallisten sääntelyviranomaisten käyttöön vilpittömän yhteistyön periaatteen pohjalta.</w:t>
      </w:r>
    </w:p>
    <w:p w:rsidR="0006109C" w:rsidRDefault="00493E42">
      <w:pPr>
        <w:pStyle w:val="ManualConsidrant"/>
        <w:rPr>
          <w:noProof/>
        </w:rPr>
      </w:pPr>
      <w:r>
        <w:rPr>
          <w:noProof/>
        </w:rPr>
        <w:t>(26)</w:t>
      </w:r>
      <w:r>
        <w:rPr>
          <w:noProof/>
        </w:rPr>
        <w:tab/>
        <w:t>Jäsenvaltiot eivät voi riittävällä tavalla saavuttaa tämän asetuksen tavoitteita eli varmistaa sähköisen vie</w:t>
      </w:r>
      <w:r>
        <w:rPr>
          <w:noProof/>
        </w:rPr>
        <w:t>stinnän sääntelyjärjestelmän johdonmukaista täytäntöönpanoa määritellyllä soveltamisalalla varsinkaan rajatylittävissä näkökohdissa ja kansallisia toimenpide-ehdotuksia koskevissa tehokkaissa sisämarkkinamenettelyissä, vaan ne voidaan toiminnan vaikutusten</w:t>
      </w:r>
      <w:r>
        <w:rPr>
          <w:noProof/>
        </w:rPr>
        <w:t xml:space="preserve"> ja laajuuden vuoksi saavuttaa paremmin unionin tasolla. Sen vuoksi unioni voi toteuttaa toimenpiteitä Euroopan unionista tehdyn sopimuksen 5 artiklassa vahvistetun toissijaisuusperiaatteen mukaisesti. Mainitussa artiklassa vahvistetun suhteellisuusperiaat</w:t>
      </w:r>
      <w:r>
        <w:rPr>
          <w:noProof/>
        </w:rPr>
        <w:t>teen mukaisesti tässä asetuksessa ei ylitetä sitä, mikä on tarpeen näiden tavoitteiden saavuttamiseksi.</w:t>
      </w:r>
    </w:p>
    <w:p w:rsidR="0006109C" w:rsidRDefault="00493E42">
      <w:pPr>
        <w:pStyle w:val="ManualConsidrant"/>
        <w:rPr>
          <w:noProof/>
        </w:rPr>
      </w:pPr>
      <w:r>
        <w:rPr>
          <w:noProof/>
        </w:rPr>
        <w:t>(27)</w:t>
      </w:r>
      <w:r>
        <w:rPr>
          <w:noProof/>
        </w:rPr>
        <w:tab/>
        <w:t>Tällä asetuksella on tarkoitus muuttaa ja laajentaa Euroopan parlamentin ja neuvoston asetuksen (EY) N:o 1211/2009 säännöksiä. Koska muutoksia on p</w:t>
      </w:r>
      <w:r>
        <w:rPr>
          <w:noProof/>
        </w:rPr>
        <w:t>aljon, kyseinen säädös olisi selkeyden vuoksi korvattava ja kumottava. Viittauksia kumottuun asetukseen olisi pidettävä viittauksina tähän asetukseen.</w:t>
      </w:r>
    </w:p>
    <w:p w:rsidR="0006109C" w:rsidRDefault="00493E42">
      <w:pPr>
        <w:pStyle w:val="ManualConsidrant"/>
        <w:rPr>
          <w:noProof/>
        </w:rPr>
      </w:pPr>
      <w:r>
        <w:rPr>
          <w:noProof/>
        </w:rPr>
        <w:t>(28)</w:t>
      </w:r>
      <w:r>
        <w:rPr>
          <w:noProof/>
        </w:rPr>
        <w:tab/>
        <w:t>BEREC toimii kaikkien omistusten, sopimusten, oikeudellisten velvoitteiden, työsopimusten, taloudell</w:t>
      </w:r>
      <w:r>
        <w:rPr>
          <w:noProof/>
        </w:rPr>
        <w:t>isten sitoumusten ja vastuiden osalta seuraajana BEREC-virastolle, joka perustettiin asetuksella (EY) N:o 1211/2009 yhteisön elimenä, jolla on oikeushenkilöllisyys. BERECin olisi otettava palvelukseen BEREC-viraston henkilöstö tämän vaikuttamatta sen oikeu</w:t>
      </w:r>
      <w:r>
        <w:rPr>
          <w:noProof/>
        </w:rPr>
        <w:t>ksiin ja velvollisuuksiin,</w:t>
      </w:r>
    </w:p>
    <w:p w:rsidR="0006109C" w:rsidRDefault="00493E42">
      <w:pPr>
        <w:pStyle w:val="Formuledadoption"/>
        <w:rPr>
          <w:noProof/>
        </w:rPr>
      </w:pPr>
      <w:r>
        <w:rPr>
          <w:noProof/>
        </w:rPr>
        <w:t>OVAT HYVÄKSYNEET TÄMÄN ASETUKSEN:</w:t>
      </w:r>
    </w:p>
    <w:p w:rsidR="0006109C" w:rsidRDefault="00493E42">
      <w:pPr>
        <w:pStyle w:val="SectionTitle"/>
        <w:autoSpaceDE w:val="0"/>
        <w:autoSpaceDN w:val="0"/>
        <w:rPr>
          <w:rFonts w:eastAsiaTheme="minorEastAsia"/>
          <w:bCs/>
          <w:noProof/>
          <w:szCs w:val="28"/>
        </w:rPr>
      </w:pPr>
      <w:r>
        <w:rPr>
          <w:noProof/>
        </w:rPr>
        <w:t>I luku</w:t>
      </w:r>
    </w:p>
    <w:p w:rsidR="0006109C" w:rsidRDefault="00493E42">
      <w:pPr>
        <w:pStyle w:val="SectionTitle"/>
        <w:autoSpaceDE w:val="0"/>
        <w:autoSpaceDN w:val="0"/>
        <w:rPr>
          <w:rFonts w:eastAsiaTheme="minorEastAsia"/>
          <w:bCs/>
          <w:noProof/>
          <w:szCs w:val="28"/>
        </w:rPr>
      </w:pPr>
      <w:r>
        <w:rPr>
          <w:noProof/>
        </w:rPr>
        <w:t>Tavoitteet ja tehtävät</w:t>
      </w:r>
    </w:p>
    <w:p w:rsidR="0006109C" w:rsidRDefault="00493E42">
      <w:pPr>
        <w:pStyle w:val="Titrearticle"/>
        <w:rPr>
          <w:noProof/>
        </w:rPr>
      </w:pPr>
      <w:r>
        <w:rPr>
          <w:noProof/>
        </w:rPr>
        <w:t>1 artikla</w:t>
      </w:r>
    </w:p>
    <w:p w:rsidR="0006109C" w:rsidRDefault="00493E42">
      <w:pPr>
        <w:pStyle w:val="NormalCentered"/>
        <w:autoSpaceDE w:val="0"/>
        <w:autoSpaceDN w:val="0"/>
        <w:rPr>
          <w:rFonts w:eastAsiaTheme="minorEastAsia"/>
          <w:b/>
          <w:bCs/>
          <w:noProof/>
          <w:szCs w:val="24"/>
        </w:rPr>
      </w:pPr>
      <w:r>
        <w:rPr>
          <w:b/>
          <w:noProof/>
        </w:rPr>
        <w:t>Perustaminen ja tavoitteet</w:t>
      </w:r>
    </w:p>
    <w:p w:rsidR="0006109C" w:rsidRDefault="00493E42">
      <w:pPr>
        <w:rPr>
          <w:noProof/>
        </w:rPr>
      </w:pPr>
      <w:r>
        <w:rPr>
          <w:noProof/>
        </w:rPr>
        <w:t>1. Perustetaan Euroopan sähköisen viestinnän sääntelyviranomaisten yhteistyöelin, jäljempänä ’BEREC’.</w:t>
      </w:r>
    </w:p>
    <w:p w:rsidR="0006109C" w:rsidRDefault="00493E42">
      <w:pPr>
        <w:rPr>
          <w:noProof/>
        </w:rPr>
      </w:pPr>
      <w:r>
        <w:rPr>
          <w:noProof/>
        </w:rPr>
        <w:t>2. BERECin toiminta kuuluu</w:t>
      </w:r>
      <w:r>
        <w:rPr>
          <w:noProof/>
        </w:rPr>
        <w:t xml:space="preserve"> direktiivin [...], direktiivin 2002/58/EY, asetuksen (EY) N:o 531/2012, asetuksen (EU) N:o 2015/2120 ja päätöksen 243/2012/EU</w:t>
      </w:r>
      <w:r>
        <w:rPr>
          <w:rStyle w:val="FootnoteReference"/>
          <w:noProof/>
        </w:rPr>
        <w:footnoteReference w:id="36"/>
      </w:r>
      <w:r>
        <w:rPr>
          <w:noProof/>
        </w:rPr>
        <w:t xml:space="preserve"> (radiotaajuuspoliittinen ohjelma) soveltamisalaan.</w:t>
      </w:r>
    </w:p>
    <w:p w:rsidR="0006109C" w:rsidRDefault="00493E42">
      <w:pPr>
        <w:rPr>
          <w:noProof/>
        </w:rPr>
      </w:pPr>
      <w:r>
        <w:rPr>
          <w:noProof/>
        </w:rPr>
        <w:t>Mainituissa direktiiveissä, asetuksissa ja päätöksessä säädettyjä määritelmiä</w:t>
      </w:r>
      <w:r>
        <w:rPr>
          <w:noProof/>
        </w:rPr>
        <w:t xml:space="preserve"> sovelletaan tässä asetuksessa.</w:t>
      </w:r>
    </w:p>
    <w:p w:rsidR="0006109C" w:rsidRDefault="00493E42">
      <w:pPr>
        <w:rPr>
          <w:noProof/>
        </w:rPr>
      </w:pPr>
      <w:r>
        <w:rPr>
          <w:noProof/>
        </w:rPr>
        <w:t>3. BERECin on pyrittävä samoihin direktiivin 3 artiklassa tarkoitettuihin tavoitteisiin kuin kansallisten sääntelyviranomaisten. BERECin on erityisesti varmistettava sähköisen viestinnän sääntelyjärjestelmän johdonmukainen t</w:t>
      </w:r>
      <w:r>
        <w:rPr>
          <w:noProof/>
        </w:rPr>
        <w:t>äytäntöönpano 2 kohdassa tarkoitetulla soveltamisalalla ja siten edistettävä sisämarkkinoiden kehitystä. Sen on myös edistettävä erittäin suuren kapasiteetin yhteyksien saatavuutta ja käyttöönottoa, kilpailua sähköisen viestinnän verkkojen, palvelujen ja n</w:t>
      </w:r>
      <w:r>
        <w:rPr>
          <w:noProof/>
        </w:rPr>
        <w:t>iihin liittyvien toimintojen tarjoamisessa ja unionin kansalaisten etuja.</w:t>
      </w:r>
    </w:p>
    <w:p w:rsidR="0006109C" w:rsidRDefault="00493E42">
      <w:pPr>
        <w:pStyle w:val="Titrearticle"/>
        <w:rPr>
          <w:noProof/>
        </w:rPr>
      </w:pPr>
      <w:r>
        <w:rPr>
          <w:noProof/>
        </w:rPr>
        <w:t>2 artikla</w:t>
      </w:r>
    </w:p>
    <w:p w:rsidR="0006109C" w:rsidRDefault="00493E42">
      <w:pPr>
        <w:pStyle w:val="NormalCentered"/>
        <w:autoSpaceDE w:val="0"/>
        <w:autoSpaceDN w:val="0"/>
        <w:rPr>
          <w:rFonts w:eastAsiaTheme="minorEastAsia"/>
          <w:b/>
          <w:bCs/>
          <w:noProof/>
          <w:szCs w:val="24"/>
        </w:rPr>
      </w:pPr>
      <w:r>
        <w:rPr>
          <w:b/>
          <w:noProof/>
        </w:rPr>
        <w:t>Tehtävät</w:t>
      </w:r>
    </w:p>
    <w:p w:rsidR="0006109C" w:rsidRDefault="00493E42">
      <w:pPr>
        <w:rPr>
          <w:noProof/>
        </w:rPr>
      </w:pPr>
      <w:r>
        <w:rPr>
          <w:noProof/>
        </w:rPr>
        <w:t>1. BERECin tehtävänä on</w:t>
      </w:r>
    </w:p>
    <w:p w:rsidR="0006109C" w:rsidRDefault="00493E42">
      <w:pPr>
        <w:pStyle w:val="Point0"/>
        <w:rPr>
          <w:noProof/>
        </w:rPr>
      </w:pPr>
      <w:r>
        <w:rPr>
          <w:noProof/>
        </w:rPr>
        <w:t>a)</w:t>
      </w:r>
      <w:r>
        <w:rPr>
          <w:noProof/>
        </w:rPr>
        <w:tab/>
        <w:t>pyynnöstä tai omasta aloitteestaan avustaa ja neuvoa komissiota ja kansallisia sääntelyviranomaisia ja tehdä yhteistyötä niiden kanssa k</w:t>
      </w:r>
      <w:r>
        <w:rPr>
          <w:noProof/>
        </w:rPr>
        <w:t>aikissa toimeksiantoonsa kuuluvissa teknisissä asioissa sekä pyynnöstä avustaa ja neuvoa Euroopan parlamenttia ja neuvostoa;</w:t>
      </w:r>
    </w:p>
    <w:p w:rsidR="0006109C" w:rsidRDefault="00493E42">
      <w:pPr>
        <w:pStyle w:val="Point0"/>
        <w:rPr>
          <w:noProof/>
        </w:rPr>
      </w:pPr>
      <w:r>
        <w:rPr>
          <w:noProof/>
        </w:rPr>
        <w:t>b)</w:t>
      </w:r>
      <w:r>
        <w:rPr>
          <w:noProof/>
        </w:rPr>
        <w:tab/>
        <w:t>tehdä päätöksiä:</w:t>
      </w:r>
    </w:p>
    <w:p w:rsidR="0006109C" w:rsidRDefault="00493E42">
      <w:pPr>
        <w:pStyle w:val="Tiret0"/>
        <w:numPr>
          <w:ilvl w:val="0"/>
          <w:numId w:val="17"/>
        </w:numPr>
        <w:rPr>
          <w:noProof/>
        </w:rPr>
      </w:pPr>
      <w:r>
        <w:rPr>
          <w:noProof/>
        </w:rPr>
        <w:t>valtioiden rajat ylittävien markkinoiden määrittelystä direktiivin 63 artiklan mukaisesti;</w:t>
      </w:r>
    </w:p>
    <w:p w:rsidR="0006109C" w:rsidRDefault="00493E42">
      <w:pPr>
        <w:pStyle w:val="Tiret0"/>
        <w:rPr>
          <w:noProof/>
        </w:rPr>
      </w:pPr>
      <w:r>
        <w:rPr>
          <w:noProof/>
        </w:rPr>
        <w:t xml:space="preserve">sopimustiivistelmän </w:t>
      </w:r>
      <w:r>
        <w:rPr>
          <w:noProof/>
        </w:rPr>
        <w:t>mallista direktiivin 95 artiklan mukaisesti;</w:t>
      </w:r>
    </w:p>
    <w:p w:rsidR="0006109C" w:rsidRDefault="00493E42">
      <w:pPr>
        <w:pStyle w:val="Point0"/>
        <w:rPr>
          <w:noProof/>
        </w:rPr>
      </w:pPr>
      <w:r>
        <w:rPr>
          <w:noProof/>
        </w:rPr>
        <w:t>c)</w:t>
      </w:r>
      <w:r>
        <w:rPr>
          <w:noProof/>
        </w:rPr>
        <w:tab/>
        <w:t>laatia taloudellinen malli komission avuksi sen määrittäessä terminointimaksujen enimmäismääriä unionissa direktiivin 73 artiklan mukaisesti;</w:t>
      </w:r>
    </w:p>
    <w:p w:rsidR="0006109C" w:rsidRDefault="00493E42">
      <w:pPr>
        <w:pStyle w:val="Point0"/>
        <w:rPr>
          <w:noProof/>
        </w:rPr>
      </w:pPr>
      <w:r>
        <w:rPr>
          <w:noProof/>
        </w:rPr>
        <w:t>d)</w:t>
      </w:r>
      <w:r>
        <w:rPr>
          <w:noProof/>
        </w:rPr>
        <w:tab/>
        <w:t>antaa direktiivissä ja asetuksessa (EU) N:o 531/2012 tarkoitett</w:t>
      </w:r>
      <w:r>
        <w:rPr>
          <w:noProof/>
        </w:rPr>
        <w:t>uja lausuntoja erityisesti:</w:t>
      </w:r>
    </w:p>
    <w:p w:rsidR="0006109C" w:rsidRDefault="00493E42">
      <w:pPr>
        <w:pStyle w:val="Tiret0"/>
        <w:rPr>
          <w:noProof/>
        </w:rPr>
      </w:pPr>
      <w:r>
        <w:rPr>
          <w:noProof/>
        </w:rPr>
        <w:t>rajat ylittävien riitojen ratkaisusta direktiivin 27 artiklan mukaisesti;</w:t>
      </w:r>
    </w:p>
    <w:p w:rsidR="0006109C" w:rsidRDefault="00493E42">
      <w:pPr>
        <w:pStyle w:val="Tiret0"/>
        <w:rPr>
          <w:noProof/>
        </w:rPr>
      </w:pPr>
      <w:r>
        <w:rPr>
          <w:noProof/>
        </w:rPr>
        <w:t>kansallisista toimenpide-ehdotuksista sisämarkkinamenettelyissä markkinoiden sääntelyä varten direktiivin 32, 33 ja 66 artiklan mukaisesti;</w:t>
      </w:r>
    </w:p>
    <w:p w:rsidR="0006109C" w:rsidRDefault="00493E42">
      <w:pPr>
        <w:pStyle w:val="Tiret0"/>
        <w:rPr>
          <w:noProof/>
        </w:rPr>
      </w:pPr>
      <w:r>
        <w:rPr>
          <w:noProof/>
        </w:rPr>
        <w:t xml:space="preserve">kansallisista </w:t>
      </w:r>
      <w:r>
        <w:rPr>
          <w:noProof/>
        </w:rPr>
        <w:t>toimenpide-ehdotuksista sisämarkkinamenettelyissä taajuuksia koskevaa vertaisarviointia varten direktiivin 35 artiklan mukaisesti;</w:t>
      </w:r>
    </w:p>
    <w:p w:rsidR="0006109C" w:rsidRDefault="00493E42">
      <w:pPr>
        <w:pStyle w:val="Tiret0"/>
        <w:rPr>
          <w:noProof/>
        </w:rPr>
      </w:pPr>
      <w:r>
        <w:rPr>
          <w:noProof/>
        </w:rPr>
        <w:t>yhdenmukaistamista koskevien päätösten ja suositusten luonnoksista direktiivin 38 artiklan mukaisesti;</w:t>
      </w:r>
    </w:p>
    <w:p w:rsidR="0006109C" w:rsidRDefault="00493E42">
      <w:pPr>
        <w:pStyle w:val="Point0"/>
        <w:rPr>
          <w:noProof/>
        </w:rPr>
      </w:pPr>
      <w:r>
        <w:rPr>
          <w:noProof/>
        </w:rPr>
        <w:t>e)</w:t>
      </w:r>
      <w:r>
        <w:rPr>
          <w:noProof/>
        </w:rPr>
        <w:tab/>
        <w:t xml:space="preserve">antaa </w:t>
      </w:r>
      <w:r>
        <w:rPr>
          <w:noProof/>
        </w:rPr>
        <w:t>direktiivissä, asetuksessa (EU) N:o 531/2012 ja asetuksessa (EU) N:o 2015/2120 tarkoitettuja suuntaviivoja</w:t>
      </w:r>
    </w:p>
    <w:p w:rsidR="0006109C" w:rsidRDefault="00493E42">
      <w:pPr>
        <w:pStyle w:val="Tiret0"/>
        <w:rPr>
          <w:noProof/>
        </w:rPr>
      </w:pPr>
      <w:r>
        <w:rPr>
          <w:noProof/>
        </w:rPr>
        <w:t>kansallisten sääntelyviranomaisten velvoitteiden täytäntöönpanosta maantieteellisissä kartoituksissa direktiivin 22 artiklan mukaisesti;</w:t>
      </w:r>
    </w:p>
    <w:p w:rsidR="0006109C" w:rsidRDefault="00493E42">
      <w:pPr>
        <w:pStyle w:val="Tiret0"/>
        <w:rPr>
          <w:noProof/>
        </w:rPr>
      </w:pPr>
      <w:r>
        <w:rPr>
          <w:noProof/>
        </w:rPr>
        <w:t>yhteisistä l</w:t>
      </w:r>
      <w:r>
        <w:rPr>
          <w:noProof/>
        </w:rPr>
        <w:t>ähestymistavoista verkon liityntäpisteen määrittelyyn eri verkkotopologioissa direktiivin 59 artiklan mukaisesti;</w:t>
      </w:r>
    </w:p>
    <w:p w:rsidR="0006109C" w:rsidRDefault="00493E42">
      <w:pPr>
        <w:pStyle w:val="Tiret0"/>
        <w:rPr>
          <w:noProof/>
        </w:rPr>
      </w:pPr>
      <w:r>
        <w:rPr>
          <w:noProof/>
        </w:rPr>
        <w:t>yhteisistä lähestymistavoista vastata valtioiden rajat ylittävään loppukäyttäjäkysyntään direktiivin 64 artiklan mukaisesti;</w:t>
      </w:r>
    </w:p>
    <w:p w:rsidR="0006109C" w:rsidRDefault="00493E42">
      <w:pPr>
        <w:pStyle w:val="Tiret0"/>
        <w:rPr>
          <w:noProof/>
        </w:rPr>
      </w:pPr>
      <w:r>
        <w:rPr>
          <w:noProof/>
        </w:rPr>
        <w:t>viitetarjouksen v</w:t>
      </w:r>
      <w:r>
        <w:rPr>
          <w:noProof/>
        </w:rPr>
        <w:t>ähimmäisvaatimuksista direktiivin 67 artiklan mukaisesti;</w:t>
      </w:r>
    </w:p>
    <w:p w:rsidR="0006109C" w:rsidRDefault="00493E42">
      <w:pPr>
        <w:pStyle w:val="Tiret0"/>
        <w:rPr>
          <w:noProof/>
        </w:rPr>
      </w:pPr>
      <w:r>
        <w:rPr>
          <w:noProof/>
        </w:rPr>
        <w:t>teknisistä yksityiskohdista kustannusmallille, jota kansalliset sääntelyviranomaiset soveltavat määrittäessään symmetristen terminointimaksujen enimmäismääriä direktiivin 73 artiklan mukaisesti;</w:t>
      </w:r>
    </w:p>
    <w:p w:rsidR="0006109C" w:rsidRDefault="00493E42">
      <w:pPr>
        <w:pStyle w:val="Tiret0"/>
        <w:rPr>
          <w:noProof/>
        </w:rPr>
      </w:pPr>
      <w:r>
        <w:rPr>
          <w:noProof/>
        </w:rPr>
        <w:t>yht</w:t>
      </w:r>
      <w:r>
        <w:rPr>
          <w:noProof/>
        </w:rPr>
        <w:t>eisistä perusteista arvioida valmiuksia hallinnoida numerovaroja ja numerovarojen ehtymisen riskiä direktiivin 87 artiklan mukaisesti;</w:t>
      </w:r>
    </w:p>
    <w:p w:rsidR="0006109C" w:rsidRDefault="00493E42">
      <w:pPr>
        <w:pStyle w:val="Tiret0"/>
        <w:rPr>
          <w:noProof/>
        </w:rPr>
      </w:pPr>
      <w:r>
        <w:rPr>
          <w:noProof/>
        </w:rPr>
        <w:t xml:space="preserve">asiaankuuluvista palvelun laatua koskevista parametreista ja sovellettavista mittausmenetelmistä direktiivin 97 artiklan </w:t>
      </w:r>
      <w:r>
        <w:rPr>
          <w:noProof/>
        </w:rPr>
        <w:t>mukaisesti;</w:t>
      </w:r>
    </w:p>
    <w:p w:rsidR="0006109C" w:rsidRDefault="00493E42">
      <w:pPr>
        <w:pStyle w:val="Tiret0"/>
        <w:rPr>
          <w:noProof/>
        </w:rPr>
      </w:pPr>
      <w:r>
        <w:rPr>
          <w:noProof/>
        </w:rPr>
        <w:t>kansallisten sääntelyviranomaisten velvoitteiden täytäntöönpanosta avoimissa internetyhteyksissä asetuksen (EU) N:o 2015/2120 5 artiklan mukaisesti;</w:t>
      </w:r>
    </w:p>
    <w:p w:rsidR="0006109C" w:rsidRDefault="00493E42">
      <w:pPr>
        <w:pStyle w:val="Tiret0"/>
        <w:rPr>
          <w:noProof/>
        </w:rPr>
      </w:pPr>
      <w:r>
        <w:rPr>
          <w:noProof/>
        </w:rPr>
        <w:t>verkkovierailupalvelujen tukkutason käyttöoikeuksista asetuksen (EU) N:o 531/2012 3 artiklan mu</w:t>
      </w:r>
      <w:r>
        <w:rPr>
          <w:noProof/>
        </w:rPr>
        <w:t>kaisesti.</w:t>
      </w:r>
    </w:p>
    <w:p w:rsidR="0006109C" w:rsidRDefault="0006109C">
      <w:pPr>
        <w:rPr>
          <w:noProof/>
        </w:rPr>
      </w:pPr>
    </w:p>
    <w:p w:rsidR="0006109C" w:rsidRDefault="00493E42">
      <w:pPr>
        <w:rPr>
          <w:noProof/>
        </w:rPr>
      </w:pPr>
      <w:r>
        <w:rPr>
          <w:noProof/>
        </w:rPr>
        <w:t>2. BERECin tehtävänä on myös</w:t>
      </w:r>
    </w:p>
    <w:p w:rsidR="0006109C" w:rsidRDefault="00493E42">
      <w:pPr>
        <w:pStyle w:val="Point0"/>
        <w:rPr>
          <w:noProof/>
        </w:rPr>
      </w:pPr>
      <w:r>
        <w:rPr>
          <w:noProof/>
        </w:rPr>
        <w:t>a)</w:t>
      </w:r>
      <w:r>
        <w:rPr>
          <w:noProof/>
        </w:rPr>
        <w:tab/>
        <w:t>seurata ja koordinoida kansallisten sääntelyviranomaisten toimintaa asetuksen (EU) N:o 531/2012 soveltamisessa ja erityisesti säänneltyjen vähittäistason verkkovierailupalvelujen tarjoamista kotimaan hintoihin lop</w:t>
      </w:r>
      <w:r>
        <w:rPr>
          <w:noProof/>
        </w:rPr>
        <w:t xml:space="preserve">pukäyttäjien edun mukaisesti; </w:t>
      </w:r>
    </w:p>
    <w:p w:rsidR="0006109C" w:rsidRDefault="00493E42">
      <w:pPr>
        <w:pStyle w:val="Point0"/>
        <w:rPr>
          <w:noProof/>
        </w:rPr>
      </w:pPr>
      <w:r>
        <w:rPr>
          <w:noProof/>
        </w:rPr>
        <w:t>b)</w:t>
      </w:r>
      <w:r>
        <w:rPr>
          <w:noProof/>
        </w:rPr>
        <w:tab/>
        <w:t>raportoida toimivaltaansa kuuluvista teknisistä kysymyksistä ja erityisesti</w:t>
      </w:r>
    </w:p>
    <w:p w:rsidR="0006109C" w:rsidRDefault="00493E42">
      <w:pPr>
        <w:pStyle w:val="Tiret0"/>
        <w:rPr>
          <w:noProof/>
        </w:rPr>
      </w:pPr>
      <w:r>
        <w:rPr>
          <w:noProof/>
        </w:rPr>
        <w:t>2 artiklan 1 kohdan d ja e alakohdassa tarkoitettujen lausuntojen ja suuntaviivojen käytännön soveltamisesta;</w:t>
      </w:r>
    </w:p>
    <w:p w:rsidR="0006109C" w:rsidRDefault="00493E42">
      <w:pPr>
        <w:pStyle w:val="Tiret0"/>
        <w:rPr>
          <w:noProof/>
        </w:rPr>
      </w:pPr>
      <w:r>
        <w:rPr>
          <w:noProof/>
        </w:rPr>
        <w:t>henkilöiden välisten viestintäpalvel</w:t>
      </w:r>
      <w:r>
        <w:rPr>
          <w:noProof/>
        </w:rPr>
        <w:t>ujen yhteentoimivuuden tasosta sekä hätäpalvelujen tosiasialliseen saantiin tai loppukäyttäjien väliseen päästä päähän -liitettävyyteen kohdistuvasta uhasta direktiivin 59 artiklan mukaisesti;</w:t>
      </w:r>
    </w:p>
    <w:p w:rsidR="0006109C" w:rsidRDefault="00493E42">
      <w:pPr>
        <w:pStyle w:val="Tiret0"/>
        <w:rPr>
          <w:noProof/>
        </w:rPr>
      </w:pPr>
      <w:r>
        <w:rPr>
          <w:noProof/>
        </w:rPr>
        <w:t>verkkovierailupalvelujen vähittäis- ja tukkuhintojen kehittymis</w:t>
      </w:r>
      <w:r>
        <w:rPr>
          <w:noProof/>
        </w:rPr>
        <w:t>estä sekä hintojen avoimuudesta ja vertailukelpoisuudesta asetuksen (EU) N:o 531/2012 19 artiklan mukaisesti;</w:t>
      </w:r>
    </w:p>
    <w:p w:rsidR="0006109C" w:rsidRDefault="00493E42">
      <w:pPr>
        <w:pStyle w:val="Tiret0"/>
        <w:autoSpaceDE w:val="0"/>
        <w:autoSpaceDN w:val="0"/>
        <w:rPr>
          <w:rFonts w:eastAsiaTheme="minorEastAsia"/>
          <w:noProof/>
          <w:szCs w:val="24"/>
        </w:rPr>
      </w:pPr>
      <w:r>
        <w:rPr>
          <w:noProof/>
        </w:rPr>
        <w:t>kansallisten sääntelyviranomaisten asetuksen (EU) N:o 2015/2120 5 artiklan mukaisesti antamien vuotuisten kertomusten tuloksista julkaisemalla vuo</w:t>
      </w:r>
      <w:r>
        <w:rPr>
          <w:noProof/>
        </w:rPr>
        <w:t>tuinen yhteenvetokertomus.</w:t>
      </w:r>
    </w:p>
    <w:p w:rsidR="0006109C" w:rsidRDefault="00493E42">
      <w:pPr>
        <w:pStyle w:val="Point0"/>
        <w:rPr>
          <w:noProof/>
        </w:rPr>
      </w:pPr>
      <w:r>
        <w:rPr>
          <w:noProof/>
        </w:rPr>
        <w:t>c)</w:t>
      </w:r>
      <w:r>
        <w:rPr>
          <w:noProof/>
        </w:rPr>
        <w:tab/>
        <w:t>laatia suosituksia ja parhaita käytäntöjä kansallisille sääntelyviranomaisille, jotta voidaan edesauttaa johdonmukaista täytäntöönpanoa sen toimeksiantoon kuuluvissa teknisissä kysymyksissä;</w:t>
      </w:r>
    </w:p>
    <w:p w:rsidR="0006109C" w:rsidRDefault="00493E42">
      <w:pPr>
        <w:pStyle w:val="Point0"/>
        <w:rPr>
          <w:noProof/>
        </w:rPr>
      </w:pPr>
      <w:r>
        <w:rPr>
          <w:noProof/>
        </w:rPr>
        <w:t>d)</w:t>
      </w:r>
      <w:r>
        <w:rPr>
          <w:noProof/>
        </w:rPr>
        <w:tab/>
        <w:t>pitää rekisteriä</w:t>
      </w:r>
    </w:p>
    <w:p w:rsidR="0006109C" w:rsidRDefault="00493E42">
      <w:pPr>
        <w:pStyle w:val="Tiret0"/>
        <w:rPr>
          <w:noProof/>
        </w:rPr>
      </w:pPr>
      <w:r>
        <w:rPr>
          <w:noProof/>
        </w:rPr>
        <w:t>sähköisiä viest</w:t>
      </w:r>
      <w:r>
        <w:rPr>
          <w:noProof/>
        </w:rPr>
        <w:t>intäverkkoja ja -palveluja tarjoavista yrityksistä direktiivin 12 artiklan mukaisesti. BEREC myös antaa standardimuotoiset lausunnot yritysten tekemistä ilmoituksista direktiivin 14 artiklan mukaisesti;</w:t>
      </w:r>
    </w:p>
    <w:p w:rsidR="0006109C" w:rsidRDefault="00493E42">
      <w:pPr>
        <w:pStyle w:val="Tiret0"/>
        <w:rPr>
          <w:noProof/>
        </w:rPr>
      </w:pPr>
      <w:r>
        <w:rPr>
          <w:noProof/>
        </w:rPr>
        <w:t>numeroista, joita on oikeus käyttää oman alueen rajat</w:t>
      </w:r>
      <w:r>
        <w:rPr>
          <w:noProof/>
        </w:rPr>
        <w:t xml:space="preserve"> ylittävällä tavalla direktiivin 87 artiklan mukaisesti;</w:t>
      </w:r>
    </w:p>
    <w:p w:rsidR="0006109C" w:rsidRDefault="00493E42">
      <w:pPr>
        <w:pStyle w:val="Point0"/>
        <w:rPr>
          <w:noProof/>
        </w:rPr>
      </w:pPr>
      <w:r>
        <w:rPr>
          <w:noProof/>
        </w:rPr>
        <w:t>e)</w:t>
      </w:r>
      <w:r>
        <w:rPr>
          <w:noProof/>
        </w:rPr>
        <w:tab/>
        <w:t>suorittaa muut tehtävät, jotka sille annetaan unionin säädöksissä ja erityisesti direktiivissä, asetuksessa (EY) N:o 531/2012 ja asetuksessa (EU) N:o 2015/2120.</w:t>
      </w:r>
    </w:p>
    <w:p w:rsidR="0006109C" w:rsidRDefault="00493E42">
      <w:pPr>
        <w:rPr>
          <w:noProof/>
        </w:rPr>
      </w:pPr>
      <w:r>
        <w:rPr>
          <w:noProof/>
        </w:rPr>
        <w:t>3. Kansallisten sääntelyviranomaist</w:t>
      </w:r>
      <w:r>
        <w:rPr>
          <w:noProof/>
        </w:rPr>
        <w:t>en on noudatettava BERECin tekemiä päätöksiä ja otettava sen hyväksymät lausunnot, suuntaviivat, suositukset ja parhaat käytännöt mahdollisimman pitkälti huomioon tavoitteena varmistaa sähköisen viestinnän sääntelyjärjestelmän johdonmukainen täytäntöönpano</w:t>
      </w:r>
      <w:r>
        <w:rPr>
          <w:noProof/>
        </w:rPr>
        <w:t xml:space="preserve"> 1 artiklan 2 kohdassa tarkoitetulla soveltamisalalla, sanotun kuitenkaan rajoittamatta sovellettavan unionin lainsäädännön noudattamista.</w:t>
      </w:r>
    </w:p>
    <w:p w:rsidR="0006109C" w:rsidRDefault="00493E42">
      <w:pPr>
        <w:rPr>
          <w:noProof/>
        </w:rPr>
      </w:pPr>
      <w:r>
        <w:rPr>
          <w:noProof/>
        </w:rPr>
        <w:t xml:space="preserve">4. Siltä osin kuin on tarpeen tämän asetuksen tavoitteiden saavuttamiseksi ja tehtäviensä suorittamiseksi BEREC voi </w:t>
      </w:r>
      <w:r>
        <w:rPr>
          <w:noProof/>
        </w:rPr>
        <w:t>tehdä yhteistyötä toimivaltaisten unionin elinten, laitosten, virastojen ja neuvoa-antavien ryhmien kanssa, kolmansien maiden toimivaltaisten viranomaisten kanssa ja/tai kansainvälisten järjestöjen kanssa 26 artiklan mukaisesti.</w:t>
      </w:r>
    </w:p>
    <w:p w:rsidR="0006109C" w:rsidRDefault="00493E42">
      <w:pPr>
        <w:pStyle w:val="SectionTitle"/>
        <w:autoSpaceDE w:val="0"/>
        <w:autoSpaceDN w:val="0"/>
        <w:rPr>
          <w:rFonts w:eastAsiaTheme="minorEastAsia"/>
          <w:bCs/>
          <w:noProof/>
          <w:szCs w:val="28"/>
        </w:rPr>
      </w:pPr>
      <w:r>
        <w:rPr>
          <w:noProof/>
        </w:rPr>
        <w:t>II luku</w:t>
      </w:r>
    </w:p>
    <w:p w:rsidR="0006109C" w:rsidRDefault="00493E42">
      <w:pPr>
        <w:pStyle w:val="SectionTitle"/>
        <w:autoSpaceDE w:val="0"/>
        <w:autoSpaceDN w:val="0"/>
        <w:rPr>
          <w:rFonts w:eastAsiaTheme="minorEastAsia"/>
          <w:bCs/>
          <w:noProof/>
          <w:szCs w:val="28"/>
        </w:rPr>
      </w:pPr>
      <w:r>
        <w:rPr>
          <w:noProof/>
        </w:rPr>
        <w:t>Organisaatio</w:t>
      </w:r>
    </w:p>
    <w:p w:rsidR="0006109C" w:rsidRDefault="00493E42">
      <w:pPr>
        <w:pStyle w:val="Titrearticle"/>
        <w:rPr>
          <w:noProof/>
        </w:rPr>
      </w:pPr>
      <w:r>
        <w:rPr>
          <w:noProof/>
        </w:rPr>
        <w:t xml:space="preserve">3 </w:t>
      </w:r>
      <w:r>
        <w:rPr>
          <w:noProof/>
        </w:rPr>
        <w:t>artikla</w:t>
      </w:r>
    </w:p>
    <w:p w:rsidR="0006109C" w:rsidRDefault="00493E42">
      <w:pPr>
        <w:pStyle w:val="NormalCentered"/>
        <w:autoSpaceDE w:val="0"/>
        <w:autoSpaceDN w:val="0"/>
        <w:rPr>
          <w:rFonts w:eastAsiaTheme="minorEastAsia"/>
          <w:b/>
          <w:bCs/>
          <w:noProof/>
          <w:szCs w:val="24"/>
        </w:rPr>
      </w:pPr>
      <w:r>
        <w:rPr>
          <w:b/>
          <w:noProof/>
        </w:rPr>
        <w:t>Hallinto- ja johtamisrakenne</w:t>
      </w:r>
    </w:p>
    <w:p w:rsidR="0006109C" w:rsidRDefault="00493E42">
      <w:pPr>
        <w:rPr>
          <w:noProof/>
        </w:rPr>
      </w:pPr>
      <w:r>
        <w:rPr>
          <w:noProof/>
        </w:rPr>
        <w:t>1. BERECin hallinto- ja johtamisrakenne muodostuu seuraavista:</w:t>
      </w:r>
    </w:p>
    <w:p w:rsidR="0006109C" w:rsidRDefault="00493E42">
      <w:pPr>
        <w:pStyle w:val="Tiret0"/>
        <w:rPr>
          <w:noProof/>
        </w:rPr>
      </w:pPr>
      <w:r>
        <w:rPr>
          <w:noProof/>
        </w:rPr>
        <w:t>hallintoneuvosto, jonka tehtävät luetellaan 5 artiklassa;</w:t>
      </w:r>
    </w:p>
    <w:p w:rsidR="0006109C" w:rsidRDefault="00493E42">
      <w:pPr>
        <w:pStyle w:val="Tiret0"/>
        <w:rPr>
          <w:noProof/>
        </w:rPr>
      </w:pPr>
      <w:r>
        <w:rPr>
          <w:noProof/>
        </w:rPr>
        <w:t>pääjohtaja, jonka velvollisuudet luetellaan 9 artiklassa;</w:t>
      </w:r>
    </w:p>
    <w:p w:rsidR="0006109C" w:rsidRDefault="00493E42">
      <w:pPr>
        <w:pStyle w:val="Tiret0"/>
        <w:rPr>
          <w:noProof/>
        </w:rPr>
      </w:pPr>
      <w:r>
        <w:rPr>
          <w:noProof/>
        </w:rPr>
        <w:t>työryhmät;</w:t>
      </w:r>
    </w:p>
    <w:p w:rsidR="0006109C" w:rsidRDefault="00493E42">
      <w:pPr>
        <w:pStyle w:val="Tiret0"/>
        <w:rPr>
          <w:noProof/>
        </w:rPr>
      </w:pPr>
      <w:r>
        <w:rPr>
          <w:noProof/>
        </w:rPr>
        <w:t>valituslautakunta.</w:t>
      </w:r>
    </w:p>
    <w:p w:rsidR="0006109C" w:rsidRDefault="00493E42">
      <w:pPr>
        <w:pStyle w:val="SectionTitle"/>
        <w:autoSpaceDE w:val="0"/>
        <w:autoSpaceDN w:val="0"/>
        <w:rPr>
          <w:rFonts w:eastAsiaTheme="minorEastAsia"/>
          <w:bCs/>
          <w:noProof/>
          <w:szCs w:val="28"/>
        </w:rPr>
      </w:pPr>
      <w:r>
        <w:rPr>
          <w:noProof/>
        </w:rPr>
        <w:t>1 jakso</w:t>
      </w:r>
    </w:p>
    <w:p w:rsidR="0006109C" w:rsidRDefault="00493E42">
      <w:pPr>
        <w:pStyle w:val="SectionTitle"/>
        <w:autoSpaceDE w:val="0"/>
        <w:autoSpaceDN w:val="0"/>
        <w:rPr>
          <w:noProof/>
          <w:sz w:val="24"/>
          <w:szCs w:val="24"/>
        </w:rPr>
      </w:pPr>
      <w:r>
        <w:rPr>
          <w:noProof/>
          <w:sz w:val="24"/>
        </w:rPr>
        <w:t>Ha</w:t>
      </w:r>
      <w:r>
        <w:rPr>
          <w:noProof/>
          <w:sz w:val="24"/>
        </w:rPr>
        <w:t>llintoneuvosto</w:t>
      </w:r>
    </w:p>
    <w:p w:rsidR="0006109C" w:rsidRDefault="00493E42">
      <w:pPr>
        <w:pStyle w:val="Titrearticle"/>
        <w:rPr>
          <w:noProof/>
        </w:rPr>
      </w:pPr>
      <w:r>
        <w:rPr>
          <w:noProof/>
        </w:rPr>
        <w:t>4 artikla</w:t>
      </w:r>
    </w:p>
    <w:p w:rsidR="0006109C" w:rsidRDefault="00493E42">
      <w:pPr>
        <w:pStyle w:val="NormalCentered"/>
        <w:autoSpaceDE w:val="0"/>
        <w:autoSpaceDN w:val="0"/>
        <w:rPr>
          <w:b/>
          <w:bCs/>
          <w:noProof/>
          <w:szCs w:val="24"/>
        </w:rPr>
      </w:pPr>
      <w:r>
        <w:rPr>
          <w:b/>
          <w:noProof/>
        </w:rPr>
        <w:t>Hallintoneuvoston kokoonpano</w:t>
      </w:r>
    </w:p>
    <w:p w:rsidR="0006109C" w:rsidRDefault="00493E42">
      <w:pPr>
        <w:rPr>
          <w:noProof/>
        </w:rPr>
      </w:pPr>
      <w:r>
        <w:rPr>
          <w:noProof/>
        </w:rPr>
        <w:t>1. Hallintoneuvosto koostuu yhdestä kunkin jäsenvaltion edustajasta ja kahdesta komission edustajasta, joilla kaikilla on äänioikeus. Kukin kansallisen sääntelyviranomainen vastaa oman edustajansa nimeä</w:t>
      </w:r>
      <w:r>
        <w:rPr>
          <w:noProof/>
        </w:rPr>
        <w:t>misestä valitsemalla tehtävään joko kansallisen sääntelyviranomaisen johtajan tai sen kollegiaalisen elimen jäsenen.</w:t>
      </w:r>
    </w:p>
    <w:p w:rsidR="0006109C" w:rsidRDefault="00493E42">
      <w:pPr>
        <w:rPr>
          <w:noProof/>
        </w:rPr>
      </w:pPr>
      <w:r>
        <w:rPr>
          <w:noProof/>
        </w:rPr>
        <w:t>Niissä jäsenvaltioissa, joissa direktiivin nojalla toimivaltaisia kansallisia sääntelyviranomaisia on useampia kuin yksi, kyseisten viranom</w:t>
      </w:r>
      <w:r>
        <w:rPr>
          <w:noProof/>
        </w:rPr>
        <w:t>aisten on sovittava yhteisestä edustajasta ja kansallisten sääntelyviranomaisten välillä on varmistettava tarvittava koordinointi.</w:t>
      </w:r>
    </w:p>
    <w:p w:rsidR="0006109C" w:rsidRDefault="00493E42">
      <w:pPr>
        <w:rPr>
          <w:noProof/>
        </w:rPr>
      </w:pPr>
      <w:r>
        <w:rPr>
          <w:noProof/>
        </w:rPr>
        <w:t>2. Jokaisella hallintoneuvoston jäsenellä on varajäsen. Varajäsen edustaa varsinaista jäsentä tämän poissaollessa. Kukin kans</w:t>
      </w:r>
      <w:r>
        <w:rPr>
          <w:noProof/>
        </w:rPr>
        <w:t>allinen sääntelyviranomainen vastaa oman varajäsenensä nimeämisestä kansallisen sääntelyviranomaisen johtajien, kollegiaalisen elimen jäsenten ja henkilöstön joukosta.</w:t>
      </w:r>
    </w:p>
    <w:p w:rsidR="0006109C" w:rsidRDefault="00493E42">
      <w:pPr>
        <w:rPr>
          <w:noProof/>
        </w:rPr>
      </w:pPr>
      <w:r>
        <w:rPr>
          <w:noProof/>
        </w:rPr>
        <w:t xml:space="preserve">3. Hallintoneuvoston jäsenet ja varajäsenet nimitetään heidän sähköisen viestinnän alaa </w:t>
      </w:r>
      <w:r>
        <w:rPr>
          <w:noProof/>
        </w:rPr>
        <w:t>koskevan tietämyksensä perusteella ottaen huomioon asianmukaiset johtamis-, hallinto- ja varainhoitotaidot. Kaikkien hallintoneuvostossa edustettuna olevien osapuolten on pyrittävä rajoittamaan edustajiensa vaihtuvuutta, jotta voidaan varmistaa hallintoneu</w:t>
      </w:r>
      <w:r>
        <w:rPr>
          <w:noProof/>
        </w:rPr>
        <w:t>voston työskentelyn jatkuvuus. Kaikkien osapuolten on pyrittävä naisten ja miesten tasapuoliseen edustukseen hallintoneuvostossa.</w:t>
      </w:r>
    </w:p>
    <w:p w:rsidR="0006109C" w:rsidRDefault="00493E42">
      <w:pPr>
        <w:rPr>
          <w:noProof/>
        </w:rPr>
      </w:pPr>
      <w:r>
        <w:rPr>
          <w:noProof/>
        </w:rPr>
        <w:t>4. Jäsenten ja heidän varajäsentensä toimikausi on neljä vuotta. Toimikautta voidaan jatkaa.</w:t>
      </w:r>
    </w:p>
    <w:p w:rsidR="0006109C" w:rsidRDefault="00493E42">
      <w:pPr>
        <w:pStyle w:val="Titrearticle"/>
        <w:rPr>
          <w:noProof/>
        </w:rPr>
      </w:pPr>
      <w:r>
        <w:rPr>
          <w:noProof/>
        </w:rPr>
        <w:t>5 artikla</w:t>
      </w:r>
    </w:p>
    <w:p w:rsidR="0006109C" w:rsidRDefault="00493E42">
      <w:pPr>
        <w:pStyle w:val="NormalCentered"/>
        <w:autoSpaceDE w:val="0"/>
        <w:autoSpaceDN w:val="0"/>
        <w:rPr>
          <w:b/>
          <w:bCs/>
          <w:noProof/>
          <w:szCs w:val="24"/>
        </w:rPr>
      </w:pPr>
      <w:r>
        <w:rPr>
          <w:b/>
          <w:noProof/>
        </w:rPr>
        <w:t>Hallintoneuvoston tehtä</w:t>
      </w:r>
      <w:r>
        <w:rPr>
          <w:b/>
          <w:noProof/>
        </w:rPr>
        <w:t>vät</w:t>
      </w:r>
    </w:p>
    <w:p w:rsidR="0006109C" w:rsidRDefault="00493E42">
      <w:pPr>
        <w:rPr>
          <w:noProof/>
        </w:rPr>
      </w:pPr>
      <w:r>
        <w:rPr>
          <w:noProof/>
        </w:rPr>
        <w:t>1. Hallintoneuvosto</w:t>
      </w:r>
    </w:p>
    <w:p w:rsidR="0006109C" w:rsidRDefault="00493E42">
      <w:pPr>
        <w:pStyle w:val="Point0"/>
        <w:rPr>
          <w:noProof/>
        </w:rPr>
      </w:pPr>
      <w:r>
        <w:rPr>
          <w:noProof/>
        </w:rPr>
        <w:t>a)</w:t>
      </w:r>
      <w:r>
        <w:rPr>
          <w:noProof/>
        </w:rPr>
        <w:tab/>
        <w:t>antaa yleiset suuntaviivat BERECin toiminnalle ja hyväksyy vuosittain viraston yhtenäisen ohjelma-asiakirjan äänivaltaisten jäsentensä kahden kolmasosan enemmistöllä ottaen huomioon komission lausunnon ja 15 artiklan mukaisesti;</w:t>
      </w:r>
    </w:p>
    <w:p w:rsidR="0006109C" w:rsidRDefault="00493E42">
      <w:pPr>
        <w:pStyle w:val="Point0"/>
        <w:rPr>
          <w:noProof/>
        </w:rPr>
      </w:pPr>
      <w:r>
        <w:rPr>
          <w:noProof/>
        </w:rPr>
        <w:t>b)</w:t>
      </w:r>
      <w:r>
        <w:rPr>
          <w:noProof/>
        </w:rPr>
        <w:tab/>
        <w:t>hyväksyy äänioikeutettujen jäsentensä kahden kolmasosan enemmistöllä BERECin vuotuisen talousarvion ja suorittaa muut BERECin talousarvioon liittyvät tehtävät III luvun mukaisesti;</w:t>
      </w:r>
    </w:p>
    <w:p w:rsidR="0006109C" w:rsidRDefault="00493E42">
      <w:pPr>
        <w:pStyle w:val="Point0"/>
        <w:rPr>
          <w:noProof/>
        </w:rPr>
      </w:pPr>
      <w:r>
        <w:rPr>
          <w:noProof/>
        </w:rPr>
        <w:t>c)</w:t>
      </w:r>
      <w:r>
        <w:rPr>
          <w:noProof/>
        </w:rPr>
        <w:tab/>
        <w:t>hyväksyy BERECin toimintaa koskevan konsolidoidun vuosikertomuksen ja</w:t>
      </w:r>
      <w:r>
        <w:rPr>
          <w:noProof/>
        </w:rPr>
        <w:t xml:space="preserve"> tekee siitä arvioinnin ja lähettää vuosikertomuksen ja arviointinsa viimeistään kunkin vuoden heinäkuun 1 päivänä Euroopan parlamentille, neuvostolle, komissiolle ja tilintarkastustuomioistuimelle. Toimintaa koskeva konsolidoitu vuosikertomus julkaistaan;</w:t>
      </w:r>
    </w:p>
    <w:p w:rsidR="0006109C" w:rsidRDefault="00493E42">
      <w:pPr>
        <w:pStyle w:val="Point0"/>
        <w:rPr>
          <w:noProof/>
        </w:rPr>
      </w:pPr>
      <w:r>
        <w:rPr>
          <w:noProof/>
        </w:rPr>
        <w:t>d)</w:t>
      </w:r>
      <w:r>
        <w:rPr>
          <w:noProof/>
        </w:rPr>
        <w:tab/>
        <w:t>hyväksyy BERECiin sovellettavat varainhoitosäännöt 20 artiklan mukaisesti;</w:t>
      </w:r>
    </w:p>
    <w:p w:rsidR="0006109C" w:rsidRDefault="00493E42">
      <w:pPr>
        <w:pStyle w:val="Point0"/>
        <w:rPr>
          <w:noProof/>
        </w:rPr>
      </w:pPr>
      <w:r>
        <w:rPr>
          <w:noProof/>
        </w:rPr>
        <w:t>e)</w:t>
      </w:r>
      <w:r>
        <w:rPr>
          <w:noProof/>
        </w:rPr>
        <w:tab/>
        <w:t>hyväksyy petostentorjuntastrategian, joka on oikeassa suhteessa petosriskeihin nähden ottaen huomioon toteutettavien toimenpiteiden kustannukset ja hyödyt;</w:t>
      </w:r>
    </w:p>
    <w:p w:rsidR="0006109C" w:rsidRDefault="00493E42">
      <w:pPr>
        <w:pStyle w:val="Point0"/>
        <w:rPr>
          <w:noProof/>
        </w:rPr>
      </w:pPr>
      <w:r>
        <w:rPr>
          <w:noProof/>
        </w:rPr>
        <w:t>f)</w:t>
      </w:r>
      <w:r>
        <w:rPr>
          <w:noProof/>
        </w:rPr>
        <w:tab/>
        <w:t>huolehtii siitä</w:t>
      </w:r>
      <w:r>
        <w:rPr>
          <w:noProof/>
        </w:rPr>
        <w:t>, että sisäisen tai ulkoisen tarkastuksen raportteihin ja arviointeihin perustuvien havaintojen ja suositusten sekä Euroopan petostentorjuntaviraston (OLAF) tutkimusten perusteella toteutetaan asianmukaiset jatkotoimet;</w:t>
      </w:r>
    </w:p>
    <w:p w:rsidR="0006109C" w:rsidRDefault="00493E42">
      <w:pPr>
        <w:pStyle w:val="Point0"/>
        <w:rPr>
          <w:noProof/>
        </w:rPr>
      </w:pPr>
      <w:r>
        <w:rPr>
          <w:noProof/>
        </w:rPr>
        <w:t>g)</w:t>
      </w:r>
      <w:r>
        <w:rPr>
          <w:noProof/>
        </w:rPr>
        <w:tab/>
        <w:t>hyväksyy 31 artiklassa tarkoitetu</w:t>
      </w:r>
      <w:r>
        <w:rPr>
          <w:noProof/>
        </w:rPr>
        <w:t>t eturistiriitojen ehkäisemistä ja ratkaisemista koskevat säännöt, myös valituslautakunnan jäsenten osalta;</w:t>
      </w:r>
    </w:p>
    <w:p w:rsidR="0006109C" w:rsidRDefault="00493E42">
      <w:pPr>
        <w:pStyle w:val="Point0"/>
        <w:rPr>
          <w:noProof/>
        </w:rPr>
      </w:pPr>
      <w:r>
        <w:rPr>
          <w:noProof/>
        </w:rPr>
        <w:t>h)</w:t>
      </w:r>
      <w:r>
        <w:rPr>
          <w:noProof/>
        </w:rPr>
        <w:tab/>
        <w:t>hyväksyy tarpeiden analysoinnin pohjalta 27 artiklassa tarkoitetut tiedotusta ja viestintää koskevat suunnitelmat ja saattaa ne säännöllisesti aj</w:t>
      </w:r>
      <w:r>
        <w:rPr>
          <w:noProof/>
        </w:rPr>
        <w:t>an tasalle;</w:t>
      </w:r>
    </w:p>
    <w:p w:rsidR="0006109C" w:rsidRDefault="00493E42">
      <w:pPr>
        <w:pStyle w:val="Point0"/>
        <w:rPr>
          <w:noProof/>
        </w:rPr>
      </w:pPr>
      <w:r>
        <w:rPr>
          <w:noProof/>
        </w:rPr>
        <w:t>i)</w:t>
      </w:r>
      <w:r>
        <w:rPr>
          <w:noProof/>
        </w:rPr>
        <w:tab/>
        <w:t>hyväksyy työjärjestyksensä;</w:t>
      </w:r>
    </w:p>
    <w:p w:rsidR="0006109C" w:rsidRDefault="00493E42">
      <w:pPr>
        <w:pStyle w:val="Point0"/>
        <w:rPr>
          <w:noProof/>
        </w:rPr>
      </w:pPr>
      <w:r>
        <w:rPr>
          <w:noProof/>
        </w:rPr>
        <w:t>j)</w:t>
      </w:r>
      <w:r>
        <w:rPr>
          <w:noProof/>
        </w:rPr>
        <w:tab/>
        <w:t xml:space="preserve">käyttää 2 kohdan mukaisesti BERECin henkilöstön suhteen henkilöstösäännöissä nimittävälle viranomaiselle ja muuhun henkilöstöön sovellettavissa palvelussuhteen ehdoissa työsopimusten tekemiseen valtuutetulle </w:t>
      </w:r>
      <w:r>
        <w:rPr>
          <w:noProof/>
        </w:rPr>
        <w:t>viranomaiselle annettuja valtuuksia</w:t>
      </w:r>
      <w:r>
        <w:rPr>
          <w:rStyle w:val="FootnoteReference"/>
          <w:noProof/>
        </w:rPr>
        <w:footnoteReference w:id="37"/>
      </w:r>
      <w:r>
        <w:rPr>
          <w:noProof/>
        </w:rPr>
        <w:t>, jäljempänä ’nimittävän viranomaisen toimivalta’;</w:t>
      </w:r>
    </w:p>
    <w:p w:rsidR="0006109C" w:rsidRDefault="00493E42">
      <w:pPr>
        <w:pStyle w:val="Point0"/>
        <w:rPr>
          <w:noProof/>
        </w:rPr>
      </w:pPr>
      <w:r>
        <w:rPr>
          <w:noProof/>
        </w:rPr>
        <w:t>k)</w:t>
      </w:r>
      <w:r>
        <w:rPr>
          <w:noProof/>
        </w:rPr>
        <w:tab/>
        <w:t>vahvistaa henkilöstösääntöjen ja muuta henkilöstöä koskevien palvelussuhteen ehtojen täytäntöönpanoa koskevat säännökset henkilöstösääntöjen 110 artiklan mukaisesti;</w:t>
      </w:r>
    </w:p>
    <w:p w:rsidR="0006109C" w:rsidRDefault="00493E42">
      <w:pPr>
        <w:pStyle w:val="Point0"/>
        <w:rPr>
          <w:noProof/>
        </w:rPr>
      </w:pPr>
      <w:r>
        <w:rPr>
          <w:noProof/>
        </w:rPr>
        <w:t>l)</w:t>
      </w:r>
      <w:r>
        <w:rPr>
          <w:noProof/>
        </w:rPr>
        <w:tab/>
        <w:t>antaa luvan työjärjestelyistä sopimiseen toimivaltaisten unionin elinten, laitosten, virastojen ja neuvoa-antavien ryhmien, kolmansien maiden toimivaltaisten viranomaisten ja/tai kansainvälisten järjestöjen kanssa 26 artiklan mukaisesti;</w:t>
      </w:r>
    </w:p>
    <w:p w:rsidR="0006109C" w:rsidRDefault="00493E42">
      <w:pPr>
        <w:pStyle w:val="Point0"/>
        <w:rPr>
          <w:noProof/>
        </w:rPr>
      </w:pPr>
      <w:r>
        <w:rPr>
          <w:noProof/>
        </w:rPr>
        <w:t>m)</w:t>
      </w:r>
      <w:r>
        <w:rPr>
          <w:noProof/>
        </w:rPr>
        <w:tab/>
        <w:t>nimittää pää</w:t>
      </w:r>
      <w:r>
        <w:rPr>
          <w:noProof/>
        </w:rPr>
        <w:t>johtajan ja jatkaa tarvittaessa tämän toimikautta tai erottaa tämän 22 artiklan mukaisesti;</w:t>
      </w:r>
    </w:p>
    <w:p w:rsidR="0006109C" w:rsidRDefault="00493E42">
      <w:pPr>
        <w:pStyle w:val="Point0"/>
        <w:rPr>
          <w:noProof/>
        </w:rPr>
      </w:pPr>
      <w:r>
        <w:rPr>
          <w:noProof/>
        </w:rPr>
        <w:t>n)</w:t>
      </w:r>
      <w:r>
        <w:rPr>
          <w:noProof/>
        </w:rPr>
        <w:tab/>
        <w:t>jollei henkilöstösäännöistä ja muuta henkilöstöä koskevista palvelussuhteen ehdoista muuta johdu, nimittää tilinpitäjän, joka hoitaa tehtäviään täysin riippumatt</w:t>
      </w:r>
      <w:r>
        <w:rPr>
          <w:noProof/>
        </w:rPr>
        <w:t>omasti. BEREC voi nimittää komission tilinpitäjän BERECin tilinpitäjäksi;</w:t>
      </w:r>
    </w:p>
    <w:p w:rsidR="0006109C" w:rsidRDefault="00493E42">
      <w:pPr>
        <w:pStyle w:val="Point0"/>
        <w:rPr>
          <w:noProof/>
        </w:rPr>
      </w:pPr>
      <w:r>
        <w:rPr>
          <w:noProof/>
        </w:rPr>
        <w:t>o)</w:t>
      </w:r>
      <w:r>
        <w:rPr>
          <w:noProof/>
        </w:rPr>
        <w:tab/>
        <w:t>nimittää valituslautakunnan (-kuntien) jäsenet;</w:t>
      </w:r>
    </w:p>
    <w:p w:rsidR="0006109C" w:rsidRDefault="00493E42">
      <w:pPr>
        <w:pStyle w:val="Point0"/>
        <w:rPr>
          <w:noProof/>
        </w:rPr>
      </w:pPr>
      <w:r>
        <w:rPr>
          <w:noProof/>
        </w:rPr>
        <w:t>p)</w:t>
      </w:r>
      <w:r>
        <w:rPr>
          <w:noProof/>
        </w:rPr>
        <w:tab/>
        <w:t>tekee kaikki BERECin sisäisten rakenteiden perustamista ja tarvittaessa niiden muuttamista koskevat päätökset ottaen huomioon BE</w:t>
      </w:r>
      <w:r>
        <w:rPr>
          <w:noProof/>
        </w:rPr>
        <w:t>RECin toimintatarpeet ja moitteettoman varainhoidon.</w:t>
      </w:r>
    </w:p>
    <w:p w:rsidR="0006109C" w:rsidRDefault="00493E42">
      <w:pPr>
        <w:keepLines/>
        <w:autoSpaceDE w:val="0"/>
        <w:autoSpaceDN w:val="0"/>
        <w:adjustRightInd w:val="0"/>
        <w:rPr>
          <w:noProof/>
        </w:rPr>
      </w:pPr>
      <w:r>
        <w:rPr>
          <w:noProof/>
        </w:rPr>
        <w:t>2. Hallintoneuvosto tekee henkilöstösääntöjen 110 artiklan mukaisesti henkilöstösääntöjen 2 artiklan 1 kohtaan ja muuta henkilöstöä koskevien palvelussuhteen ehtojen 6 artiklaan perustuvan päätöksen, jol</w:t>
      </w:r>
      <w:r>
        <w:rPr>
          <w:noProof/>
        </w:rPr>
        <w:t>la siirretään nimittävän viranomaisen toimivalta pääjohtajalle ja määritellään olosuhteet, joissa toimivallan siirto voidaan keskeyttää. Pääjohtajalla on valtuudet siirtää tämä toimivalta edelleen.</w:t>
      </w:r>
    </w:p>
    <w:p w:rsidR="0006109C" w:rsidRDefault="00493E42">
      <w:pPr>
        <w:rPr>
          <w:noProof/>
        </w:rPr>
      </w:pPr>
      <w:r>
        <w:rPr>
          <w:noProof/>
        </w:rPr>
        <w:t>Jos poikkeukselliset olosuhteet sitä edellyttävät, hallint</w:t>
      </w:r>
      <w:r>
        <w:rPr>
          <w:noProof/>
        </w:rPr>
        <w:t>oneuvosto voi tekemällään päätöksellä tilapäisesti keskeyttää pääjohtajalle siirretyn nimittävän viranomaisen toimivallan ja hänen edelleen siirtämänsä nimittävän viranomaisen toimivallan ja käyttää kyseistä toimivaltaa itse tai siirtää sen jollekin jäseni</w:t>
      </w:r>
      <w:r>
        <w:rPr>
          <w:noProof/>
        </w:rPr>
        <w:t>stään tai jollekulle henkilöstöön kuuluvalle, joka on muu kuin pääjohtaja.</w:t>
      </w:r>
    </w:p>
    <w:p w:rsidR="0006109C" w:rsidRDefault="00493E42">
      <w:pPr>
        <w:pStyle w:val="Titrearticle"/>
        <w:rPr>
          <w:noProof/>
        </w:rPr>
      </w:pPr>
      <w:r>
        <w:rPr>
          <w:noProof/>
        </w:rPr>
        <w:t>6 artikla</w:t>
      </w:r>
    </w:p>
    <w:p w:rsidR="0006109C" w:rsidRDefault="00493E42">
      <w:pPr>
        <w:pStyle w:val="NormalCentered"/>
        <w:autoSpaceDE w:val="0"/>
        <w:autoSpaceDN w:val="0"/>
        <w:rPr>
          <w:b/>
          <w:bCs/>
          <w:noProof/>
          <w:szCs w:val="24"/>
        </w:rPr>
      </w:pPr>
      <w:r>
        <w:rPr>
          <w:b/>
          <w:noProof/>
        </w:rPr>
        <w:t>Hallintoneuvoston puheenjohtaja ja varapuheenjohtaja</w:t>
      </w:r>
    </w:p>
    <w:p w:rsidR="0006109C" w:rsidRDefault="00493E42">
      <w:pPr>
        <w:rPr>
          <w:noProof/>
        </w:rPr>
      </w:pPr>
      <w:r>
        <w:rPr>
          <w:noProof/>
        </w:rPr>
        <w:t>1. Hallintoneuvosto valitsee jäsenvaltioita edustavien äänivaltaisten jäsentensä keskuudesta puheenjohtajan ja varapuh</w:t>
      </w:r>
      <w:r>
        <w:rPr>
          <w:noProof/>
        </w:rPr>
        <w:t>eenjohtajan. Puheenjohtaja ja varapuheenjohtaja valitaan hallintoneuvoston äänivaltaisten jäsenten kahden kolmasosan enemmistöllä.</w:t>
      </w:r>
    </w:p>
    <w:p w:rsidR="0006109C" w:rsidRDefault="00493E42">
      <w:pPr>
        <w:rPr>
          <w:rFonts w:eastAsia="Calibri"/>
          <w:noProof/>
        </w:rPr>
      </w:pPr>
      <w:r>
        <w:rPr>
          <w:noProof/>
        </w:rPr>
        <w:t>2. Varapuheenjohtaja toimii viran puolesta puheenjohtajan sijaisena tämän ollessa estyneenä.</w:t>
      </w:r>
    </w:p>
    <w:p w:rsidR="0006109C" w:rsidRDefault="00493E42">
      <w:pPr>
        <w:keepLines/>
        <w:autoSpaceDE w:val="0"/>
        <w:autoSpaceDN w:val="0"/>
        <w:adjustRightInd w:val="0"/>
        <w:rPr>
          <w:noProof/>
        </w:rPr>
      </w:pPr>
      <w:r>
        <w:rPr>
          <w:noProof/>
        </w:rPr>
        <w:t>3. Puheenjohtajan ja varapuheenj</w:t>
      </w:r>
      <w:r>
        <w:rPr>
          <w:noProof/>
        </w:rPr>
        <w:t>ohtajan toimikausi on neljä vuotta lukuun ottamatta tämän asetuksen voimaantulon jälkeen valitun varapuheenjohtajan ensimmäistä toimikautta, joka on kaksi vuotta. Toimikausi voidaan uusia kerran.</w:t>
      </w:r>
    </w:p>
    <w:p w:rsidR="0006109C" w:rsidRDefault="00493E42">
      <w:pPr>
        <w:pStyle w:val="Titrearticle"/>
        <w:rPr>
          <w:noProof/>
        </w:rPr>
      </w:pPr>
      <w:r>
        <w:rPr>
          <w:noProof/>
        </w:rPr>
        <w:t>7 artikla</w:t>
      </w:r>
    </w:p>
    <w:p w:rsidR="0006109C" w:rsidRDefault="00493E42">
      <w:pPr>
        <w:pStyle w:val="NormalCentered"/>
        <w:autoSpaceDE w:val="0"/>
        <w:autoSpaceDN w:val="0"/>
        <w:rPr>
          <w:b/>
          <w:bCs/>
          <w:noProof/>
          <w:szCs w:val="24"/>
        </w:rPr>
      </w:pPr>
      <w:r>
        <w:rPr>
          <w:b/>
          <w:noProof/>
        </w:rPr>
        <w:t>Hallintoneuvoston kokoukset</w:t>
      </w:r>
    </w:p>
    <w:p w:rsidR="0006109C" w:rsidRDefault="00493E42">
      <w:pPr>
        <w:rPr>
          <w:noProof/>
        </w:rPr>
      </w:pPr>
      <w:r>
        <w:rPr>
          <w:noProof/>
        </w:rPr>
        <w:t>1. Hallintoneuvoston k</w:t>
      </w:r>
      <w:r>
        <w:rPr>
          <w:noProof/>
        </w:rPr>
        <w:t>okoukset kutsuu koolle puheenjohtaja.</w:t>
      </w:r>
    </w:p>
    <w:p w:rsidR="0006109C" w:rsidRDefault="00493E42">
      <w:pPr>
        <w:rPr>
          <w:noProof/>
        </w:rPr>
      </w:pPr>
      <w:r>
        <w:rPr>
          <w:noProof/>
        </w:rPr>
        <w:t>2. BERECin pääjohtaja osallistuu asioiden käsittelyyn, mutta hänellä ei ole äänioikeutta.</w:t>
      </w:r>
    </w:p>
    <w:p w:rsidR="0006109C" w:rsidRDefault="00493E42">
      <w:pPr>
        <w:rPr>
          <w:noProof/>
        </w:rPr>
      </w:pPr>
      <w:r>
        <w:rPr>
          <w:noProof/>
        </w:rPr>
        <w:t>3. Hallintoneuvosto pitää vähintään kaksi sääntömääräistä kokousta vuodessa. Lisäksi se kokoontuu puheenjohtajan aloitteesta tai</w:t>
      </w:r>
      <w:r>
        <w:rPr>
          <w:noProof/>
        </w:rPr>
        <w:t xml:space="preserve"> jos komissio tai vähintään kolmasosa hallintoneuvoston jäsenistä sitä pyytää.</w:t>
      </w:r>
    </w:p>
    <w:p w:rsidR="0006109C" w:rsidRDefault="00493E42">
      <w:pPr>
        <w:rPr>
          <w:noProof/>
        </w:rPr>
      </w:pPr>
      <w:r>
        <w:rPr>
          <w:noProof/>
        </w:rPr>
        <w:t>4. Hallintoneuvosto voi kutsua kokouksiinsa tarkkailijoiksi henkilöitä, joiden lausunnoilla voi olla merkitystä.</w:t>
      </w:r>
    </w:p>
    <w:p w:rsidR="0006109C" w:rsidRDefault="00493E42">
      <w:pPr>
        <w:rPr>
          <w:noProof/>
        </w:rPr>
      </w:pPr>
      <w:r>
        <w:rPr>
          <w:noProof/>
        </w:rPr>
        <w:t>5. Hallintoneuvoston jäsenillä tai varajäsenillä voi olla kokouk</w:t>
      </w:r>
      <w:r>
        <w:rPr>
          <w:noProof/>
        </w:rPr>
        <w:t>sissa avustajinaan neuvonantajia tai asiantuntijoita, jollei työjärjestyksestä muuta johdu.</w:t>
      </w:r>
    </w:p>
    <w:p w:rsidR="0006109C" w:rsidRDefault="00493E42">
      <w:pPr>
        <w:rPr>
          <w:noProof/>
        </w:rPr>
      </w:pPr>
      <w:r>
        <w:rPr>
          <w:noProof/>
        </w:rPr>
        <w:t>6. BEREC vastaa hallintoneuvoston sihteeristön tehtävistä.</w:t>
      </w:r>
    </w:p>
    <w:p w:rsidR="0006109C" w:rsidRDefault="00493E42">
      <w:pPr>
        <w:pStyle w:val="Titrearticle"/>
        <w:rPr>
          <w:noProof/>
        </w:rPr>
      </w:pPr>
      <w:r>
        <w:rPr>
          <w:noProof/>
        </w:rPr>
        <w:t>8 artikla</w:t>
      </w:r>
    </w:p>
    <w:p w:rsidR="0006109C" w:rsidRDefault="00493E42">
      <w:pPr>
        <w:pStyle w:val="NormalCentered"/>
        <w:autoSpaceDE w:val="0"/>
        <w:autoSpaceDN w:val="0"/>
        <w:rPr>
          <w:b/>
          <w:bCs/>
          <w:noProof/>
        </w:rPr>
      </w:pPr>
      <w:r>
        <w:rPr>
          <w:b/>
          <w:noProof/>
        </w:rPr>
        <w:t>Hallintoneuvoston äänestyssäännöt</w:t>
      </w:r>
    </w:p>
    <w:p w:rsidR="0006109C" w:rsidRDefault="00493E42">
      <w:pPr>
        <w:rPr>
          <w:noProof/>
        </w:rPr>
      </w:pPr>
      <w:r>
        <w:rPr>
          <w:noProof/>
        </w:rPr>
        <w:t>1. Hallintoneuvosto tekee päätöksensä äänivaltaisten jäsenten</w:t>
      </w:r>
      <w:r>
        <w:rPr>
          <w:noProof/>
        </w:rPr>
        <w:t>sä enemmistöllä, sanotun kuitenkaan rajoittamatta 5 artiklan 1 kohdan a ja b alakohdan ja 22 artiklan 8 kohdan soveltamista.</w:t>
      </w:r>
    </w:p>
    <w:p w:rsidR="0006109C" w:rsidRDefault="00493E42">
      <w:pPr>
        <w:rPr>
          <w:noProof/>
        </w:rPr>
      </w:pPr>
      <w:r>
        <w:rPr>
          <w:noProof/>
        </w:rPr>
        <w:t xml:space="preserve">2. Kullakin äänioikeutetulla jäsenellä on yksi ääni. Äänioikeutetun jäsenen poissa ollessa hänen varajäsenellään on oikeus käyttää </w:t>
      </w:r>
      <w:r>
        <w:rPr>
          <w:noProof/>
        </w:rPr>
        <w:t>äänioikeutta.</w:t>
      </w:r>
    </w:p>
    <w:p w:rsidR="0006109C" w:rsidRDefault="00493E42">
      <w:pPr>
        <w:rPr>
          <w:noProof/>
        </w:rPr>
      </w:pPr>
      <w:r>
        <w:rPr>
          <w:noProof/>
        </w:rPr>
        <w:t>3. Puheenjohtaja osallistuu äänestykseen.</w:t>
      </w:r>
    </w:p>
    <w:p w:rsidR="0006109C" w:rsidRDefault="00493E42">
      <w:pPr>
        <w:rPr>
          <w:noProof/>
        </w:rPr>
      </w:pPr>
      <w:r>
        <w:rPr>
          <w:noProof/>
        </w:rPr>
        <w:t>4. Pääjohtaja ei osallistu äänestykseen.</w:t>
      </w:r>
    </w:p>
    <w:p w:rsidR="0006109C" w:rsidRDefault="00493E42">
      <w:pPr>
        <w:rPr>
          <w:noProof/>
        </w:rPr>
      </w:pPr>
      <w:r>
        <w:rPr>
          <w:noProof/>
        </w:rPr>
        <w:t xml:space="preserve">5. Hallintoneuvoston työjärjestyksessä määritellään yksityiskohtaisemmat äänestystä koskevat järjestelyt, erityisesti olosuhteet, joissa jäsen voi toimia </w:t>
      </w:r>
      <w:r>
        <w:rPr>
          <w:noProof/>
        </w:rPr>
        <w:t>toisen jäsenen puolesta.</w:t>
      </w:r>
    </w:p>
    <w:p w:rsidR="0006109C" w:rsidRDefault="00493E42">
      <w:pPr>
        <w:pStyle w:val="SectionTitle"/>
        <w:autoSpaceDE w:val="0"/>
        <w:autoSpaceDN w:val="0"/>
        <w:rPr>
          <w:rFonts w:eastAsiaTheme="minorEastAsia"/>
          <w:bCs/>
          <w:noProof/>
          <w:szCs w:val="28"/>
        </w:rPr>
      </w:pPr>
      <w:r>
        <w:rPr>
          <w:noProof/>
        </w:rPr>
        <w:t>2 jakso</w:t>
      </w:r>
    </w:p>
    <w:p w:rsidR="0006109C" w:rsidRDefault="00493E42">
      <w:pPr>
        <w:pStyle w:val="SectionTitle"/>
        <w:autoSpaceDE w:val="0"/>
        <w:autoSpaceDN w:val="0"/>
        <w:rPr>
          <w:noProof/>
          <w:sz w:val="24"/>
          <w:szCs w:val="24"/>
        </w:rPr>
      </w:pPr>
      <w:r>
        <w:rPr>
          <w:noProof/>
          <w:sz w:val="24"/>
        </w:rPr>
        <w:t>Pääjohtaja</w:t>
      </w:r>
    </w:p>
    <w:p w:rsidR="0006109C" w:rsidRDefault="00493E42">
      <w:pPr>
        <w:pStyle w:val="Titrearticle"/>
        <w:rPr>
          <w:noProof/>
        </w:rPr>
      </w:pPr>
      <w:r>
        <w:rPr>
          <w:noProof/>
        </w:rPr>
        <w:t>9 artikla</w:t>
      </w:r>
    </w:p>
    <w:p w:rsidR="0006109C" w:rsidRDefault="00493E42">
      <w:pPr>
        <w:pStyle w:val="NormalCentered"/>
        <w:autoSpaceDE w:val="0"/>
        <w:autoSpaceDN w:val="0"/>
        <w:rPr>
          <w:b/>
          <w:bCs/>
          <w:noProof/>
          <w:szCs w:val="24"/>
        </w:rPr>
      </w:pPr>
      <w:r>
        <w:rPr>
          <w:b/>
          <w:noProof/>
        </w:rPr>
        <w:t>Pääjohtajan tehtävät</w:t>
      </w:r>
    </w:p>
    <w:p w:rsidR="0006109C" w:rsidRDefault="00493E42">
      <w:pPr>
        <w:rPr>
          <w:noProof/>
          <w:szCs w:val="24"/>
        </w:rPr>
      </w:pPr>
      <w:r>
        <w:rPr>
          <w:noProof/>
        </w:rPr>
        <w:t>1. Pääjohtaja vastaa BERECin hallinnosta. Pääjohtaja on vastuussa hallintoneuvostolle.</w:t>
      </w:r>
    </w:p>
    <w:p w:rsidR="0006109C" w:rsidRDefault="00493E42">
      <w:pPr>
        <w:rPr>
          <w:noProof/>
          <w:szCs w:val="24"/>
        </w:rPr>
      </w:pPr>
      <w:r>
        <w:rPr>
          <w:noProof/>
        </w:rPr>
        <w:t xml:space="preserve">2. Pääjohtaja hoitaa tehtäviään riippumattomasti, eikä hän saa pyytää eikä ottaa vastaan </w:t>
      </w:r>
      <w:r>
        <w:rPr>
          <w:noProof/>
        </w:rPr>
        <w:t>ohjeita miltään hallitukselta, toimielimeltä, miltään muulta elimeltä eikä henkilöltä, sanotun kuitenkaan rajoittamatta komission ja hallintoneuvoston toimivaltaa.</w:t>
      </w:r>
    </w:p>
    <w:p w:rsidR="0006109C" w:rsidRDefault="00493E42">
      <w:pPr>
        <w:rPr>
          <w:noProof/>
          <w:szCs w:val="24"/>
        </w:rPr>
      </w:pPr>
      <w:r>
        <w:rPr>
          <w:noProof/>
        </w:rPr>
        <w:t>3. Pääjohtaja raportoi pyydettäessä Euroopan parlamentille tehtäviensä hoidosta. Neuvosto vo</w:t>
      </w:r>
      <w:r>
        <w:rPr>
          <w:noProof/>
        </w:rPr>
        <w:t>i pyytää pääjohtajaa raportoimaan tehtäviensä hoidosta.</w:t>
      </w:r>
    </w:p>
    <w:p w:rsidR="0006109C" w:rsidRDefault="00493E42">
      <w:pPr>
        <w:rPr>
          <w:noProof/>
          <w:szCs w:val="24"/>
        </w:rPr>
      </w:pPr>
      <w:r>
        <w:rPr>
          <w:noProof/>
        </w:rPr>
        <w:t>4. Pääjohtaja on BERECin laillinen edustaja.</w:t>
      </w:r>
    </w:p>
    <w:p w:rsidR="0006109C" w:rsidRDefault="00493E42">
      <w:pPr>
        <w:rPr>
          <w:noProof/>
          <w:szCs w:val="24"/>
        </w:rPr>
      </w:pPr>
      <w:r>
        <w:rPr>
          <w:noProof/>
        </w:rPr>
        <w:t>5. Pääjohtaja vastaa BERECin tehtävien täytäntöönpanosta. Pääjohtajan vastuulla on erityisesti</w:t>
      </w:r>
    </w:p>
    <w:p w:rsidR="0006109C" w:rsidRDefault="00493E42">
      <w:pPr>
        <w:pStyle w:val="Point0"/>
        <w:rPr>
          <w:noProof/>
        </w:rPr>
      </w:pPr>
      <w:r>
        <w:rPr>
          <w:noProof/>
        </w:rPr>
        <w:t>a)</w:t>
      </w:r>
      <w:r>
        <w:rPr>
          <w:noProof/>
        </w:rPr>
        <w:tab/>
        <w:t>BERECin päivittäinen hallinto;</w:t>
      </w:r>
    </w:p>
    <w:p w:rsidR="0006109C" w:rsidRDefault="00493E42">
      <w:pPr>
        <w:pStyle w:val="Point0"/>
        <w:rPr>
          <w:noProof/>
        </w:rPr>
      </w:pPr>
      <w:r>
        <w:rPr>
          <w:noProof/>
        </w:rPr>
        <w:t>b)</w:t>
      </w:r>
      <w:r>
        <w:rPr>
          <w:noProof/>
        </w:rPr>
        <w:tab/>
        <w:t>hallintoneuvoston tekem</w:t>
      </w:r>
      <w:r>
        <w:rPr>
          <w:noProof/>
        </w:rPr>
        <w:t>ien päätösten täytäntöönpano;</w:t>
      </w:r>
    </w:p>
    <w:p w:rsidR="0006109C" w:rsidRDefault="00493E42">
      <w:pPr>
        <w:pStyle w:val="Point0"/>
        <w:rPr>
          <w:noProof/>
        </w:rPr>
      </w:pPr>
      <w:r>
        <w:rPr>
          <w:noProof/>
        </w:rPr>
        <w:t>c)</w:t>
      </w:r>
      <w:r>
        <w:rPr>
          <w:noProof/>
        </w:rPr>
        <w:tab/>
        <w:t>yhtenäisen ohjelma-asiakirjan laatiminen ja sen toimittaminen hallintoneuvostolle;</w:t>
      </w:r>
    </w:p>
    <w:p w:rsidR="0006109C" w:rsidRDefault="00493E42">
      <w:pPr>
        <w:pStyle w:val="Point0"/>
        <w:rPr>
          <w:noProof/>
        </w:rPr>
      </w:pPr>
      <w:r>
        <w:rPr>
          <w:noProof/>
        </w:rPr>
        <w:t>d)</w:t>
      </w:r>
      <w:r>
        <w:rPr>
          <w:noProof/>
        </w:rPr>
        <w:tab/>
        <w:t>yhtenäisen ohjelma-asiakirjan täytäntöönpano ja siitä raportointi hallintoneuvostolle;</w:t>
      </w:r>
    </w:p>
    <w:p w:rsidR="0006109C" w:rsidRDefault="00493E42">
      <w:pPr>
        <w:pStyle w:val="Point0"/>
        <w:rPr>
          <w:noProof/>
        </w:rPr>
      </w:pPr>
      <w:r>
        <w:rPr>
          <w:noProof/>
        </w:rPr>
        <w:t>e)</w:t>
      </w:r>
      <w:r>
        <w:rPr>
          <w:noProof/>
        </w:rPr>
        <w:tab/>
        <w:t>BERECin toimintaa koskevan vuotuisen konsolidoi</w:t>
      </w:r>
      <w:r>
        <w:rPr>
          <w:noProof/>
        </w:rPr>
        <w:t>dun toimintakertomuksen laatiminen ja sen esittäminen hallintoneuvostolle arvioitavaksi ja hyväksyttäväksi;</w:t>
      </w:r>
    </w:p>
    <w:p w:rsidR="0006109C" w:rsidRDefault="00493E42">
      <w:pPr>
        <w:pStyle w:val="Point0"/>
        <w:rPr>
          <w:noProof/>
        </w:rPr>
      </w:pPr>
      <w:r>
        <w:rPr>
          <w:noProof/>
        </w:rPr>
        <w:t>f)</w:t>
      </w:r>
      <w:r>
        <w:rPr>
          <w:noProof/>
        </w:rPr>
        <w:tab/>
        <w:t>toimintasuunnitelman laatiminen sisäisten tai ulkoisten tarkastusraporttien ja arviointien päätelmien sekä Euroopan petostentorjuntaviraston (OLA</w:t>
      </w:r>
      <w:r>
        <w:rPr>
          <w:noProof/>
        </w:rPr>
        <w:t>F) tutkimusten perusteella ja raportointi edistymisestä komissiolle kahdesti vuodessa ja hallintoneuvostolle säännöllisesti;</w:t>
      </w:r>
    </w:p>
    <w:p w:rsidR="0006109C" w:rsidRDefault="00493E42">
      <w:pPr>
        <w:pStyle w:val="Point0"/>
        <w:rPr>
          <w:noProof/>
        </w:rPr>
      </w:pPr>
      <w:r>
        <w:rPr>
          <w:noProof/>
        </w:rPr>
        <w:t>g)</w:t>
      </w:r>
      <w:r>
        <w:rPr>
          <w:noProof/>
        </w:rPr>
        <w:tab/>
        <w:t>unionin taloudellisten etujen suojaaminen soveltamalla petoksia, lahjontaa ja muuta laitonta toimintaa ehkäiseviä toimenpiteitä,</w:t>
      </w:r>
      <w:r>
        <w:rPr>
          <w:noProof/>
        </w:rPr>
        <w:t xml:space="preserve"> toteuttamalla tehokkaita tarkastuksia ja, jos väärinkäytöksiä havaitaan, perimällä takaisin aiheettomasti maksetut määrät ja tarvittaessa määräämällä tehokkaita, oikeasuhteisia ja varoittavia hallinnollisia seuraamuksia, joihin sisältyvät myös taloudellis</w:t>
      </w:r>
      <w:r>
        <w:rPr>
          <w:noProof/>
        </w:rPr>
        <w:t>et seuraamukset;</w:t>
      </w:r>
    </w:p>
    <w:p w:rsidR="0006109C" w:rsidRDefault="00493E42">
      <w:pPr>
        <w:pStyle w:val="Point0"/>
        <w:rPr>
          <w:noProof/>
        </w:rPr>
      </w:pPr>
      <w:r>
        <w:rPr>
          <w:noProof/>
        </w:rPr>
        <w:t>h)</w:t>
      </w:r>
      <w:r>
        <w:rPr>
          <w:noProof/>
        </w:rPr>
        <w:tab/>
        <w:t>BERECin petostentorjuntastrategian valmistelu ja sen esittäminen hallintoneuvoston hyväksyttäväksi;</w:t>
      </w:r>
    </w:p>
    <w:p w:rsidR="0006109C" w:rsidRDefault="00493E42">
      <w:pPr>
        <w:pStyle w:val="Point0"/>
        <w:rPr>
          <w:noProof/>
        </w:rPr>
      </w:pPr>
      <w:r>
        <w:rPr>
          <w:noProof/>
        </w:rPr>
        <w:t>i)</w:t>
      </w:r>
      <w:r>
        <w:rPr>
          <w:noProof/>
        </w:rPr>
        <w:tab/>
        <w:t>BERECiin sovellettavien varainhoitosääntöjen luonnoksen valmistelu;</w:t>
      </w:r>
    </w:p>
    <w:p w:rsidR="0006109C" w:rsidRDefault="00493E42">
      <w:pPr>
        <w:pStyle w:val="Point0"/>
        <w:rPr>
          <w:noProof/>
        </w:rPr>
      </w:pPr>
      <w:r>
        <w:rPr>
          <w:noProof/>
        </w:rPr>
        <w:t>j)</w:t>
      </w:r>
      <w:r>
        <w:rPr>
          <w:noProof/>
        </w:rPr>
        <w:tab/>
        <w:t>BERECin tuloja ja menoja koskevan ennakkoarvion luonnoksen laa</w:t>
      </w:r>
      <w:r>
        <w:rPr>
          <w:noProof/>
        </w:rPr>
        <w:t>timinen ja viraston talousarvion toteuttaminen.</w:t>
      </w:r>
    </w:p>
    <w:p w:rsidR="0006109C" w:rsidRDefault="00493E42">
      <w:pPr>
        <w:rPr>
          <w:noProof/>
          <w:szCs w:val="24"/>
        </w:rPr>
      </w:pPr>
      <w:r>
        <w:rPr>
          <w:noProof/>
        </w:rPr>
        <w:t>6. Pääjohtajan vastuulla on myös päättää, onko BERECin tehtävien tehokkaan ja toimivan toteuttamisen kannalta tarpeellista sijoittaa yksi tai useampi toimihenkilö yhteen tai useampaan jäsenvaltioon. Päätös pe</w:t>
      </w:r>
      <w:r>
        <w:rPr>
          <w:noProof/>
        </w:rPr>
        <w:t>rustaa paikallistoimisto edellyttää etukäteen annettua suostumusta komissiolta, hallintoneuvostolta ja asianomaiselta jäsenvaltiolta (asianomaisilta jäsenvaltioilta). Päätöksessä on määriteltävä paikallistoimistossa toteutettavien toimien laajuus siten, et</w:t>
      </w:r>
      <w:r>
        <w:rPr>
          <w:noProof/>
        </w:rPr>
        <w:t xml:space="preserve">tä vältetään tarpeettomia kustannuksia ja BERECin hallinnollisten tehtävien päällekkäisyyttä. </w:t>
      </w:r>
    </w:p>
    <w:p w:rsidR="0006109C" w:rsidRDefault="00493E42">
      <w:pPr>
        <w:pStyle w:val="SectionTitle"/>
        <w:autoSpaceDE w:val="0"/>
        <w:autoSpaceDN w:val="0"/>
        <w:rPr>
          <w:rFonts w:eastAsiaTheme="minorEastAsia"/>
          <w:bCs/>
          <w:noProof/>
          <w:szCs w:val="28"/>
        </w:rPr>
      </w:pPr>
      <w:r>
        <w:rPr>
          <w:noProof/>
        </w:rPr>
        <w:t>3 jakso</w:t>
      </w:r>
    </w:p>
    <w:p w:rsidR="0006109C" w:rsidRDefault="00493E42">
      <w:pPr>
        <w:pStyle w:val="SectionTitle"/>
        <w:autoSpaceDE w:val="0"/>
        <w:autoSpaceDN w:val="0"/>
        <w:rPr>
          <w:noProof/>
          <w:sz w:val="24"/>
          <w:szCs w:val="24"/>
        </w:rPr>
      </w:pPr>
      <w:r>
        <w:rPr>
          <w:noProof/>
          <w:sz w:val="24"/>
        </w:rPr>
        <w:t>Työryhmät</w:t>
      </w:r>
    </w:p>
    <w:p w:rsidR="0006109C" w:rsidRDefault="00493E42">
      <w:pPr>
        <w:pStyle w:val="Titrearticle"/>
        <w:rPr>
          <w:noProof/>
        </w:rPr>
      </w:pPr>
      <w:r>
        <w:rPr>
          <w:noProof/>
        </w:rPr>
        <w:t>10 artikla</w:t>
      </w:r>
    </w:p>
    <w:p w:rsidR="0006109C" w:rsidRDefault="00493E42">
      <w:pPr>
        <w:pStyle w:val="NormalCentered"/>
        <w:autoSpaceDE w:val="0"/>
        <w:autoSpaceDN w:val="0"/>
        <w:rPr>
          <w:b/>
          <w:bCs/>
          <w:noProof/>
        </w:rPr>
      </w:pPr>
      <w:r>
        <w:rPr>
          <w:b/>
          <w:noProof/>
        </w:rPr>
        <w:t>Työryhmien toiminta</w:t>
      </w:r>
    </w:p>
    <w:p w:rsidR="0006109C" w:rsidRDefault="00493E42">
      <w:pPr>
        <w:rPr>
          <w:noProof/>
        </w:rPr>
      </w:pPr>
      <w:r>
        <w:rPr>
          <w:noProof/>
        </w:rPr>
        <w:t xml:space="preserve">1. Perustelluissa tapauksissa ja erityisesti BERECin työohjelman toteuttamiseksi hallintoneuvosto voi perustaa </w:t>
      </w:r>
      <w:r>
        <w:rPr>
          <w:noProof/>
        </w:rPr>
        <w:t>tarvittavat työryhmät.</w:t>
      </w:r>
    </w:p>
    <w:p w:rsidR="0006109C" w:rsidRDefault="00493E42">
      <w:pPr>
        <w:rPr>
          <w:noProof/>
        </w:rPr>
      </w:pPr>
      <w:r>
        <w:rPr>
          <w:noProof/>
        </w:rPr>
        <w:t>2. Hallintoneuvosto nimittää jäsenet näihin työryhmiin, joihin voi osallistua asiantuntijoita kansallisista sääntelyviranomaisista, komissiosta, BERECin henkilöstöstä ja BERECin työhön osallistuvista kolmansien maiden kansallisista s</w:t>
      </w:r>
      <w:r>
        <w:rPr>
          <w:noProof/>
        </w:rPr>
        <w:t>ääntelyviranomaisista.</w:t>
      </w:r>
    </w:p>
    <w:p w:rsidR="0006109C" w:rsidRDefault="00493E42">
      <w:pPr>
        <w:rPr>
          <w:noProof/>
        </w:rPr>
      </w:pPr>
      <w:r>
        <w:rPr>
          <w:noProof/>
        </w:rPr>
        <w:t>Työryhmiin, jotka on perustettu suorittamaan 2 artiklan 1 kohdan d alakohdan kolmannessa luetelmakohdassa tarkoitettuja tehtäviä, nimitetään jäsenet kansallisten sääntelyviranomaisten, komission ja pääjohtajan laatimista pätevien asi</w:t>
      </w:r>
      <w:r>
        <w:rPr>
          <w:noProof/>
        </w:rPr>
        <w:t>antuntijoiden luetteloista.</w:t>
      </w:r>
    </w:p>
    <w:p w:rsidR="0006109C" w:rsidRDefault="00493E42">
      <w:pPr>
        <w:rPr>
          <w:noProof/>
        </w:rPr>
      </w:pPr>
      <w:r>
        <w:rPr>
          <w:noProof/>
        </w:rPr>
        <w:t>Työryhmiin, jotka on perustettu suorittamaan 2 artiklan 1 kohdan d alakohdan toisessa luetelmakohdassa tarkoitettuja tehtäviä, nimitetään jäsenet pelkästään kansallisten sääntelyviranomaisten ja pääjohtajan laatimista pätevien a</w:t>
      </w:r>
      <w:r>
        <w:rPr>
          <w:noProof/>
        </w:rPr>
        <w:t>siantuntijoiden luetteloista.</w:t>
      </w:r>
    </w:p>
    <w:p w:rsidR="0006109C" w:rsidRDefault="00493E42">
      <w:pPr>
        <w:rPr>
          <w:noProof/>
        </w:rPr>
      </w:pPr>
      <w:r>
        <w:rPr>
          <w:noProof/>
        </w:rPr>
        <w:t>Hallintoneuvosto voi kutsua kyseessä olevalla alalla päteviksi tunnustettuja yksittäisiä asiantuntijoita osallistumaan työryhmiin tarvittaessa tapauskohtaisesti.</w:t>
      </w:r>
    </w:p>
    <w:p w:rsidR="0006109C" w:rsidRDefault="00493E42">
      <w:pPr>
        <w:rPr>
          <w:noProof/>
        </w:rPr>
      </w:pPr>
      <w:r>
        <w:rPr>
          <w:noProof/>
        </w:rPr>
        <w:t>3. Työryhmiä koordinoi ja moderoi BERECin henkilöstön jäsen, jok</w:t>
      </w:r>
      <w:r>
        <w:rPr>
          <w:noProof/>
        </w:rPr>
        <w:t>a nimetään sisäisen työjärjestyksen mukaisesti.</w:t>
      </w:r>
    </w:p>
    <w:p w:rsidR="0006109C" w:rsidRDefault="00493E42">
      <w:pPr>
        <w:rPr>
          <w:noProof/>
        </w:rPr>
      </w:pPr>
      <w:r>
        <w:rPr>
          <w:noProof/>
        </w:rPr>
        <w:t>4. Hallintoneuvosto vahvistaa sisäisen työjärjestyksen, jossa vahvistetaan käytännön järjestelyt työryhmien toiminnalle.</w:t>
      </w:r>
    </w:p>
    <w:p w:rsidR="0006109C" w:rsidRDefault="00493E42">
      <w:pPr>
        <w:rPr>
          <w:noProof/>
        </w:rPr>
      </w:pPr>
      <w:r>
        <w:rPr>
          <w:noProof/>
        </w:rPr>
        <w:t>5. BEREC antaa tukea työryhmille.</w:t>
      </w:r>
    </w:p>
    <w:p w:rsidR="0006109C" w:rsidRDefault="00493E42">
      <w:pPr>
        <w:pStyle w:val="SectionTitle"/>
        <w:autoSpaceDE w:val="0"/>
        <w:autoSpaceDN w:val="0"/>
        <w:rPr>
          <w:rFonts w:eastAsiaTheme="minorEastAsia"/>
          <w:bCs/>
          <w:noProof/>
          <w:szCs w:val="28"/>
        </w:rPr>
      </w:pPr>
      <w:r>
        <w:rPr>
          <w:noProof/>
        </w:rPr>
        <w:t>4 jakso</w:t>
      </w:r>
    </w:p>
    <w:p w:rsidR="0006109C" w:rsidRDefault="00493E42">
      <w:pPr>
        <w:pStyle w:val="SectionTitle"/>
        <w:autoSpaceDE w:val="0"/>
        <w:autoSpaceDN w:val="0"/>
        <w:rPr>
          <w:noProof/>
          <w:sz w:val="24"/>
          <w:szCs w:val="24"/>
        </w:rPr>
      </w:pPr>
      <w:r>
        <w:rPr>
          <w:noProof/>
          <w:sz w:val="24"/>
        </w:rPr>
        <w:t>Valituslautakunta</w:t>
      </w:r>
    </w:p>
    <w:p w:rsidR="0006109C" w:rsidRDefault="00493E42">
      <w:pPr>
        <w:pStyle w:val="Titrearticle"/>
        <w:rPr>
          <w:noProof/>
        </w:rPr>
      </w:pPr>
      <w:r>
        <w:rPr>
          <w:noProof/>
        </w:rPr>
        <w:t>11 artikla</w:t>
      </w:r>
    </w:p>
    <w:p w:rsidR="0006109C" w:rsidRDefault="00493E42">
      <w:pPr>
        <w:pStyle w:val="NormalCentered"/>
        <w:autoSpaceDE w:val="0"/>
        <w:autoSpaceDN w:val="0"/>
        <w:rPr>
          <w:b/>
          <w:bCs/>
          <w:noProof/>
        </w:rPr>
      </w:pPr>
      <w:r>
        <w:rPr>
          <w:b/>
          <w:noProof/>
        </w:rPr>
        <w:t>Valituslautakunn</w:t>
      </w:r>
      <w:r>
        <w:rPr>
          <w:b/>
          <w:noProof/>
        </w:rPr>
        <w:t>an perustaminen ja kokoonpano</w:t>
      </w:r>
    </w:p>
    <w:p w:rsidR="0006109C" w:rsidRDefault="00493E42">
      <w:pPr>
        <w:rPr>
          <w:noProof/>
          <w:szCs w:val="24"/>
        </w:rPr>
      </w:pPr>
      <w:r>
        <w:rPr>
          <w:noProof/>
        </w:rPr>
        <w:t>1. BERECin on perustettava yksi valituslautakunta.</w:t>
      </w:r>
    </w:p>
    <w:p w:rsidR="0006109C" w:rsidRDefault="00493E42">
      <w:pPr>
        <w:rPr>
          <w:noProof/>
          <w:szCs w:val="24"/>
        </w:rPr>
      </w:pPr>
      <w:r>
        <w:rPr>
          <w:noProof/>
        </w:rPr>
        <w:t>2. Valituslautakuntaan kuuluu puheenjohtaja ja kaksi muuta jäsentä. Jokaisella valituslautakunnan jäsenellä on varajäsen. Varajäsen edustaa varsinaista jäsentä tämän poissaoll</w:t>
      </w:r>
      <w:r>
        <w:rPr>
          <w:noProof/>
        </w:rPr>
        <w:t>essa.</w:t>
      </w:r>
    </w:p>
    <w:p w:rsidR="0006109C" w:rsidRDefault="00493E42">
      <w:pPr>
        <w:rPr>
          <w:noProof/>
          <w:szCs w:val="24"/>
        </w:rPr>
      </w:pPr>
      <w:r>
        <w:rPr>
          <w:noProof/>
        </w:rPr>
        <w:t>3. Hallintoneuvosto nimittää valituslautakunnan puheenjohtajan, muut jäsenet ja heidän varajäsenensä komission vahvistamasta pätevien ehdokkaiden luettelosta.</w:t>
      </w:r>
    </w:p>
    <w:p w:rsidR="0006109C" w:rsidRDefault="00493E42">
      <w:pPr>
        <w:rPr>
          <w:noProof/>
          <w:szCs w:val="24"/>
        </w:rPr>
      </w:pPr>
      <w:r>
        <w:rPr>
          <w:noProof/>
        </w:rPr>
        <w:t>4. Jos valituslautakunta katsoo, että muutoksenhaun luonne niin vaatii, se voi pyytää, että</w:t>
      </w:r>
      <w:r>
        <w:rPr>
          <w:noProof/>
        </w:rPr>
        <w:t xml:space="preserve"> hallintoneuvosto nimittää kaksi lisäjäsentä ja heidän varajäsenensä 3 kohdassa tarkoitetusta luettelosta.</w:t>
      </w:r>
    </w:p>
    <w:p w:rsidR="0006109C" w:rsidRDefault="00493E42">
      <w:pPr>
        <w:rPr>
          <w:noProof/>
          <w:szCs w:val="24"/>
        </w:rPr>
      </w:pPr>
      <w:r>
        <w:rPr>
          <w:noProof/>
        </w:rPr>
        <w:t>5. Komissio vahvistaa BERECin ehdotuksesta valituslautakunnan työjärjestyksen hallintoneuvostoa kuultuaan 36 artiklan 2 kohdassa tarkoitettua menette</w:t>
      </w:r>
      <w:r>
        <w:rPr>
          <w:noProof/>
        </w:rPr>
        <w:t>lyä noudattaen.</w:t>
      </w:r>
    </w:p>
    <w:p w:rsidR="0006109C" w:rsidRDefault="00493E42">
      <w:pPr>
        <w:pStyle w:val="Titrearticle"/>
        <w:rPr>
          <w:noProof/>
        </w:rPr>
      </w:pPr>
      <w:r>
        <w:rPr>
          <w:noProof/>
        </w:rPr>
        <w:t>12 artikla</w:t>
      </w:r>
    </w:p>
    <w:p w:rsidR="0006109C" w:rsidRDefault="00493E42">
      <w:pPr>
        <w:pStyle w:val="NormalCentered"/>
        <w:autoSpaceDE w:val="0"/>
        <w:autoSpaceDN w:val="0"/>
        <w:rPr>
          <w:b/>
          <w:bCs/>
          <w:noProof/>
        </w:rPr>
      </w:pPr>
      <w:r>
        <w:rPr>
          <w:b/>
          <w:noProof/>
        </w:rPr>
        <w:t>Valituslautakunnan jäsenet</w:t>
      </w:r>
    </w:p>
    <w:p w:rsidR="0006109C" w:rsidRDefault="00493E42">
      <w:pPr>
        <w:rPr>
          <w:noProof/>
          <w:szCs w:val="24"/>
        </w:rPr>
      </w:pPr>
      <w:r>
        <w:rPr>
          <w:noProof/>
        </w:rPr>
        <w:t>1. Valituslautakunnan jäsenten ja varajäsenten toimikausi on neljä vuotta. Hallintoneuvosto voi komission ehdotuksesta pidentää toimikautta neljän vuoden ajanjaksolla.</w:t>
      </w:r>
    </w:p>
    <w:p w:rsidR="0006109C" w:rsidRDefault="00493E42">
      <w:pPr>
        <w:rPr>
          <w:noProof/>
          <w:szCs w:val="24"/>
        </w:rPr>
      </w:pPr>
      <w:r>
        <w:rPr>
          <w:noProof/>
        </w:rPr>
        <w:t xml:space="preserve">2. Valituslautakunnan jäsenten on </w:t>
      </w:r>
      <w:r>
        <w:rPr>
          <w:noProof/>
        </w:rPr>
        <w:t>oltava riippumattomia, ja he eivät saa hoitaa muita tehtäviä BERECissa. He eivät saa päätöksiä tehdessään pyytää eivätkä ottaa vastaan ohjeita miltään hallitukselta eikä miltään muulta elimeltä.</w:t>
      </w:r>
    </w:p>
    <w:p w:rsidR="0006109C" w:rsidRDefault="00493E42">
      <w:pPr>
        <w:rPr>
          <w:noProof/>
          <w:szCs w:val="24"/>
        </w:rPr>
      </w:pPr>
      <w:r>
        <w:rPr>
          <w:noProof/>
        </w:rPr>
        <w:t>3. Valituslautakunnan jäsenet voidaan erottaa tai heidän nime</w:t>
      </w:r>
      <w:r>
        <w:rPr>
          <w:noProof/>
        </w:rPr>
        <w:t>nsä voidaan poistaa pätevien ehdokkaiden luettelosta heidän toimikautensa kestäessä vain, jos tähän on painavat syyt ja jos hallintoneuvosto tekee tätä koskevan päätöksen komission ehdotuksesta.</w:t>
      </w:r>
    </w:p>
    <w:p w:rsidR="0006109C" w:rsidRDefault="00493E42">
      <w:pPr>
        <w:pStyle w:val="Titrearticle"/>
        <w:rPr>
          <w:noProof/>
        </w:rPr>
      </w:pPr>
      <w:r>
        <w:rPr>
          <w:noProof/>
        </w:rPr>
        <w:t>13 artikla</w:t>
      </w:r>
    </w:p>
    <w:p w:rsidR="0006109C" w:rsidRDefault="00493E42">
      <w:pPr>
        <w:pStyle w:val="NormalCentered"/>
        <w:autoSpaceDE w:val="0"/>
        <w:autoSpaceDN w:val="0"/>
        <w:rPr>
          <w:b/>
          <w:bCs/>
          <w:noProof/>
        </w:rPr>
      </w:pPr>
      <w:r>
        <w:rPr>
          <w:b/>
          <w:noProof/>
        </w:rPr>
        <w:t>Esteellisyys ja jäävääminen</w:t>
      </w:r>
    </w:p>
    <w:p w:rsidR="0006109C" w:rsidRDefault="00493E42">
      <w:pPr>
        <w:rPr>
          <w:noProof/>
          <w:szCs w:val="24"/>
        </w:rPr>
      </w:pPr>
      <w:r>
        <w:rPr>
          <w:noProof/>
        </w:rPr>
        <w:t xml:space="preserve">1. Valituslautakunnan </w:t>
      </w:r>
      <w:r>
        <w:rPr>
          <w:noProof/>
        </w:rPr>
        <w:t>jäsenet eivät voi osallistua muutoksenhakumenettelyyn, jos asia koskee heidän omaa etuaan, jos he ovat aikaisemmin edustaneet jompaakumpaa menettelyn osapuolista tai jos he ovat osallistuneet sen päätöksen tekemiseen, jota muutoksenhaku koskee.</w:t>
      </w:r>
    </w:p>
    <w:p w:rsidR="0006109C" w:rsidRDefault="00493E42">
      <w:pPr>
        <w:rPr>
          <w:noProof/>
          <w:szCs w:val="24"/>
        </w:rPr>
      </w:pPr>
      <w:r>
        <w:rPr>
          <w:noProof/>
        </w:rPr>
        <w:t>2. Jos vali</w:t>
      </w:r>
      <w:r>
        <w:rPr>
          <w:noProof/>
        </w:rPr>
        <w:t>tuslautakunnan jäsen ei jostain 1 kohdassa luetellusta tai muusta syystä katso voivansa osallistua johonkin muutoksenhakumenettelyyn, hänen on ilmoitettava asiasta valituslautakunnalle.</w:t>
      </w:r>
    </w:p>
    <w:p w:rsidR="0006109C" w:rsidRDefault="00493E42">
      <w:pPr>
        <w:rPr>
          <w:noProof/>
          <w:szCs w:val="24"/>
        </w:rPr>
      </w:pPr>
      <w:r>
        <w:rPr>
          <w:noProof/>
        </w:rPr>
        <w:t>3. Muutoksenhakumenettelyn osapuoli voi vastustaa ketä tahansa valitus</w:t>
      </w:r>
      <w:r>
        <w:rPr>
          <w:noProof/>
        </w:rPr>
        <w:t xml:space="preserve">lautakunnan jäsentä jollain 1 kohdassa tarkoitetulla perusteella tai jos kyseistä jäsentä epäillään puolueellisuudesta. Tällaista jääväystä ei voida hyväksyä, jos menettelyn osapuoli on jo toteuttanut menettelyyn liittyvän toimen, vaikka jääväysperuste on </w:t>
      </w:r>
      <w:r>
        <w:rPr>
          <w:noProof/>
        </w:rPr>
        <w:t>ollut hänen tiedossaan. Jääväysperusteena ei voi käyttää jäsenen kansallisuutta.</w:t>
      </w:r>
    </w:p>
    <w:p w:rsidR="0006109C" w:rsidRDefault="00493E42">
      <w:pPr>
        <w:rPr>
          <w:noProof/>
          <w:szCs w:val="24"/>
        </w:rPr>
      </w:pPr>
      <w:r>
        <w:rPr>
          <w:noProof/>
        </w:rPr>
        <w:t>4. Valituslautakunta päättää, miten 2 ja 3 kohdassa tarkoitetuissa tapauksissa on meneteltävä. Asianomainen jäsen ei osallistu asian käsittelyyn. Kyseisen päätöksen tekemiseks</w:t>
      </w:r>
      <w:r>
        <w:rPr>
          <w:noProof/>
        </w:rPr>
        <w:t>i asianomainen jäsen korvataan valituslautakunnassa varajäsenellään.</w:t>
      </w:r>
    </w:p>
    <w:p w:rsidR="0006109C" w:rsidRDefault="00493E42">
      <w:pPr>
        <w:pStyle w:val="Titrearticle"/>
        <w:rPr>
          <w:noProof/>
        </w:rPr>
      </w:pPr>
      <w:r>
        <w:rPr>
          <w:noProof/>
        </w:rPr>
        <w:t>14 artikla</w:t>
      </w:r>
    </w:p>
    <w:p w:rsidR="0006109C" w:rsidRDefault="00493E42">
      <w:pPr>
        <w:pStyle w:val="NormalCentered"/>
        <w:autoSpaceDE w:val="0"/>
        <w:autoSpaceDN w:val="0"/>
        <w:rPr>
          <w:b/>
          <w:bCs/>
          <w:noProof/>
        </w:rPr>
      </w:pPr>
      <w:r>
        <w:rPr>
          <w:b/>
          <w:noProof/>
        </w:rPr>
        <w:t>Päätökset, joihin voidaan hakea muutosta</w:t>
      </w:r>
    </w:p>
    <w:p w:rsidR="0006109C" w:rsidRDefault="00493E42">
      <w:pPr>
        <w:rPr>
          <w:noProof/>
          <w:szCs w:val="24"/>
        </w:rPr>
      </w:pPr>
      <w:r>
        <w:rPr>
          <w:noProof/>
        </w:rPr>
        <w:t>1. Valituslautakunnassa voidaan hakea muutosta päätöksiin, jotka BEREC on tehnyt 2 artiklan 1 kohdan b alakohdan nojalla.</w:t>
      </w:r>
    </w:p>
    <w:p w:rsidR="0006109C" w:rsidRDefault="00493E42">
      <w:pPr>
        <w:rPr>
          <w:noProof/>
          <w:szCs w:val="24"/>
        </w:rPr>
      </w:pPr>
      <w:r>
        <w:rPr>
          <w:noProof/>
        </w:rPr>
        <w:t xml:space="preserve">Kaikki </w:t>
      </w:r>
      <w:r>
        <w:rPr>
          <w:noProof/>
        </w:rPr>
        <w:t>luonnolliset tai oikeushenkilöt, mukaan lukien kansalliset sääntelyviranomaiset, voivat hakea muutosta tässä kohdassa tarkoitettuun päätökseen, joka on osoitettu kyseiselle henkilölle, tai päätökseen, joka koskee suoraan ja erikseen kyseistä henkilöä siitä</w:t>
      </w:r>
      <w:r>
        <w:rPr>
          <w:noProof/>
        </w:rPr>
        <w:t xml:space="preserve"> huolimatta, että se on osoitettu toiselle henkilölle.</w:t>
      </w:r>
    </w:p>
    <w:p w:rsidR="0006109C" w:rsidRDefault="00493E42">
      <w:pPr>
        <w:rPr>
          <w:noProof/>
          <w:szCs w:val="24"/>
        </w:rPr>
      </w:pPr>
      <w:r>
        <w:rPr>
          <w:noProof/>
        </w:rPr>
        <w:t>2. Edellä olevan 1 kohdan nojalla tehdyllä muutoksenhaulla ei ole lykkäävää vaikutusta. Valituslautakunta voi kuitenkin keskeyttää muutoksenhaun kohteena olevan päätöksen soveltamisen.</w:t>
      </w:r>
    </w:p>
    <w:p w:rsidR="0006109C" w:rsidRDefault="00493E42">
      <w:pPr>
        <w:pStyle w:val="SectionTitle"/>
        <w:autoSpaceDE w:val="0"/>
        <w:autoSpaceDN w:val="0"/>
        <w:rPr>
          <w:rFonts w:eastAsiaTheme="minorEastAsia"/>
          <w:bCs/>
          <w:noProof/>
          <w:szCs w:val="28"/>
        </w:rPr>
      </w:pPr>
      <w:r>
        <w:rPr>
          <w:noProof/>
        </w:rPr>
        <w:t>III luku</w:t>
      </w:r>
    </w:p>
    <w:p w:rsidR="0006109C" w:rsidRDefault="00493E42">
      <w:pPr>
        <w:pStyle w:val="SectionTitle"/>
        <w:autoSpaceDE w:val="0"/>
        <w:autoSpaceDN w:val="0"/>
        <w:rPr>
          <w:rFonts w:eastAsiaTheme="minorEastAsia"/>
          <w:bCs/>
          <w:noProof/>
          <w:szCs w:val="28"/>
        </w:rPr>
      </w:pPr>
      <w:r>
        <w:rPr>
          <w:noProof/>
          <w:sz w:val="22"/>
        </w:rPr>
        <w:t>TALOUSA</w:t>
      </w:r>
      <w:r>
        <w:rPr>
          <w:noProof/>
          <w:sz w:val="22"/>
        </w:rPr>
        <w:t>RVION LAATIMINEN JA RAKENNE</w:t>
      </w:r>
    </w:p>
    <w:p w:rsidR="0006109C" w:rsidRDefault="00493E42">
      <w:pPr>
        <w:pStyle w:val="SectionTitle"/>
        <w:autoSpaceDE w:val="0"/>
        <w:autoSpaceDN w:val="0"/>
        <w:rPr>
          <w:rFonts w:eastAsiaTheme="minorEastAsia"/>
          <w:bCs/>
          <w:noProof/>
          <w:szCs w:val="28"/>
        </w:rPr>
      </w:pPr>
      <w:r>
        <w:rPr>
          <w:noProof/>
        </w:rPr>
        <w:t>1 jakso</w:t>
      </w:r>
    </w:p>
    <w:p w:rsidR="0006109C" w:rsidRDefault="00493E42">
      <w:pPr>
        <w:pStyle w:val="SectionTitle"/>
        <w:autoSpaceDE w:val="0"/>
        <w:autoSpaceDN w:val="0"/>
        <w:rPr>
          <w:noProof/>
          <w:sz w:val="24"/>
          <w:szCs w:val="24"/>
        </w:rPr>
      </w:pPr>
      <w:r>
        <w:rPr>
          <w:noProof/>
          <w:sz w:val="24"/>
        </w:rPr>
        <w:t>YHTENÄINEN OHJELMA-ASIAKIRJA</w:t>
      </w:r>
    </w:p>
    <w:p w:rsidR="0006109C" w:rsidRDefault="00493E42">
      <w:pPr>
        <w:pStyle w:val="Titrearticle"/>
        <w:rPr>
          <w:noProof/>
        </w:rPr>
      </w:pPr>
      <w:r>
        <w:rPr>
          <w:noProof/>
        </w:rPr>
        <w:t>15 artikla</w:t>
      </w:r>
    </w:p>
    <w:p w:rsidR="0006109C" w:rsidRDefault="00493E42">
      <w:pPr>
        <w:pStyle w:val="NormalCentered"/>
        <w:autoSpaceDE w:val="0"/>
        <w:autoSpaceDN w:val="0"/>
        <w:rPr>
          <w:b/>
          <w:bCs/>
          <w:noProof/>
        </w:rPr>
      </w:pPr>
      <w:r>
        <w:rPr>
          <w:b/>
          <w:noProof/>
        </w:rPr>
        <w:t>Vuotuinen ja monivuotinen ohjelmasuunnittelu</w:t>
      </w:r>
    </w:p>
    <w:p w:rsidR="0006109C" w:rsidRDefault="00493E42">
      <w:pPr>
        <w:keepLines/>
        <w:autoSpaceDE w:val="0"/>
        <w:autoSpaceDN w:val="0"/>
        <w:adjustRightInd w:val="0"/>
        <w:rPr>
          <w:noProof/>
        </w:rPr>
      </w:pPr>
      <w:r>
        <w:rPr>
          <w:noProof/>
        </w:rPr>
        <w:t>1. Pääjohtaja laatii vuosittain luonnoksen ohjelma-asiakirjaksi, joka sisältää vuotuisen ja monivuotisen ohjelman suunnitelmat, jäljemp</w:t>
      </w:r>
      <w:r>
        <w:rPr>
          <w:noProof/>
        </w:rPr>
        <w:t>änä ’yhtenäinen ohjelma-asiakirja’, komission delegoidun asetuksen (EU) N:o 1271/2013 32 artiklan mukaisesti ja ottaen huomioon komission esittämät ohjeet</w:t>
      </w:r>
      <w:r>
        <w:rPr>
          <w:rStyle w:val="FootnoteReference"/>
          <w:noProof/>
        </w:rPr>
        <w:footnoteReference w:id="38"/>
      </w:r>
      <w:r>
        <w:rPr>
          <w:noProof/>
        </w:rPr>
        <w:t>.</w:t>
      </w:r>
    </w:p>
    <w:p w:rsidR="0006109C" w:rsidRDefault="00493E42">
      <w:pPr>
        <w:rPr>
          <w:noProof/>
        </w:rPr>
      </w:pPr>
      <w:r>
        <w:rPr>
          <w:noProof/>
        </w:rPr>
        <w:t>Hallintoneuvosto hyväksyy viimeistään 31 päivänä tammikuuta yhtenäisen ohjelma-asiakirjan luonnokse</w:t>
      </w:r>
      <w:r>
        <w:rPr>
          <w:noProof/>
        </w:rPr>
        <w:t>n ja toimittaa sen komissiolle lausuntoa varten. Yhtenäisen ohjelma-asiakirjan luonnos toimitetaan myös Euroopan parlamentille ja neuvostolle.</w:t>
      </w:r>
    </w:p>
    <w:p w:rsidR="0006109C" w:rsidRDefault="00493E42">
      <w:pPr>
        <w:keepLines/>
        <w:autoSpaceDE w:val="0"/>
        <w:autoSpaceDN w:val="0"/>
        <w:adjustRightInd w:val="0"/>
        <w:rPr>
          <w:noProof/>
        </w:rPr>
      </w:pPr>
      <w:r>
        <w:rPr>
          <w:noProof/>
        </w:rPr>
        <w:t>Hallintoneuvosto hyväksyy yhtenäisen ohjelma-asiakirjan ottaen huomioon komission lausunnon. Se toimittaa ohjelma</w:t>
      </w:r>
      <w:r>
        <w:rPr>
          <w:noProof/>
        </w:rPr>
        <w:t>-asiakirjan ja sen mahdolliset myöhemmin päivitetyt versiot Euroopan parlamentille, neuvostolle ja komissiolle.</w:t>
      </w:r>
    </w:p>
    <w:p w:rsidR="0006109C" w:rsidRDefault="00493E42">
      <w:pPr>
        <w:rPr>
          <w:noProof/>
        </w:rPr>
      </w:pPr>
      <w:r>
        <w:rPr>
          <w:noProof/>
        </w:rPr>
        <w:t>Yhtenäisestä ohjelma-asiakirjasta tulee lopullinen, kun yleinen talousarvio on lopullisesti vahvistettu, ja sitä on tarvittaessa mukautettava ta</w:t>
      </w:r>
      <w:r>
        <w:rPr>
          <w:noProof/>
        </w:rPr>
        <w:t>lousarviota vastaavasti.</w:t>
      </w:r>
    </w:p>
    <w:p w:rsidR="0006109C" w:rsidRDefault="00493E42">
      <w:pPr>
        <w:rPr>
          <w:noProof/>
        </w:rPr>
      </w:pPr>
      <w:r>
        <w:rPr>
          <w:noProof/>
        </w:rPr>
        <w:t>2. Vuotuisessa työohjelmassa on esitettävä yksityiskohtaiset tavoitteet ja odotetut tulokset, suoritusindikaattorit mukaan lukien. Siinä on myös esitettävä kuvaus rahoitettavista toimista ja mainittava kuhunkin toimeen osoitetut ta</w:t>
      </w:r>
      <w:r>
        <w:rPr>
          <w:noProof/>
        </w:rPr>
        <w:t>loudelliset ja henkilöstöresurssit toimintoperusteisen budjetoinnin ja hallinnoinnin periaatteiden mukaisesti. Vuotuisen työohjelman on oltava yhdenmukainen 4 kohdassa tarkoitetun monivuotisen työohjelman kanssa. Siinä on selkeästi ilmoitettava, mitä tehtä</w:t>
      </w:r>
      <w:r>
        <w:rPr>
          <w:noProof/>
        </w:rPr>
        <w:t>viä on lisätty, muutettu tai poistettu edelliseen varainhoitovuoteen verrattuna.</w:t>
      </w:r>
    </w:p>
    <w:p w:rsidR="0006109C" w:rsidRDefault="00493E42">
      <w:pPr>
        <w:keepLines/>
        <w:autoSpaceDE w:val="0"/>
        <w:autoSpaceDN w:val="0"/>
        <w:adjustRightInd w:val="0"/>
        <w:rPr>
          <w:noProof/>
        </w:rPr>
      </w:pPr>
      <w:r>
        <w:rPr>
          <w:noProof/>
        </w:rPr>
        <w:t>3. Hallintoneuvosto muuttaa hyväksyttyä vuotuista työohjelmaa tarvittaessa, jos BERECille annetaan uusi tehtävä.</w:t>
      </w:r>
    </w:p>
    <w:p w:rsidR="0006109C" w:rsidRDefault="00493E42">
      <w:pPr>
        <w:rPr>
          <w:noProof/>
        </w:rPr>
      </w:pPr>
      <w:r>
        <w:rPr>
          <w:noProof/>
        </w:rPr>
        <w:t>Vuotuiseen työohjelmaan tehtävät olennaiset muutokset on hyväk</w:t>
      </w:r>
      <w:r>
        <w:rPr>
          <w:noProof/>
        </w:rPr>
        <w:t>syttävä samaa menettelyä noudattaen kuin alkuperäinen vuotuinen työohjelma. Hallintoneuvosto voi siirtää pääjohtajalle valtuudet tehdä vuotuiseen työohjelmaan muita kuin olennaisia muutoksia.</w:t>
      </w:r>
    </w:p>
    <w:p w:rsidR="0006109C" w:rsidRDefault="00493E42">
      <w:pPr>
        <w:keepLines/>
        <w:autoSpaceDE w:val="0"/>
        <w:autoSpaceDN w:val="0"/>
        <w:adjustRightInd w:val="0"/>
        <w:rPr>
          <w:noProof/>
        </w:rPr>
      </w:pPr>
      <w:r>
        <w:rPr>
          <w:noProof/>
        </w:rPr>
        <w:t>4. Monivuotisessa työohjelmassa on esitettävä yleinen strategine</w:t>
      </w:r>
      <w:r>
        <w:rPr>
          <w:noProof/>
        </w:rPr>
        <w:t>n ohjelma, mukaan lukien tavoitteet, odotetut tulokset ja suoritusindikaattorit. Siinä on esitettävä myös resurssien ohjelmointi, mukaan lukien monivuotinen talousarvio ja henkilöstösuunnitelma.</w:t>
      </w:r>
    </w:p>
    <w:p w:rsidR="0006109C" w:rsidRDefault="00493E42">
      <w:pPr>
        <w:rPr>
          <w:noProof/>
        </w:rPr>
      </w:pPr>
      <w:r>
        <w:rPr>
          <w:noProof/>
        </w:rPr>
        <w:t xml:space="preserve">Resursseja koskeva ohjelmasuunnittelu saatetaan ajan tasalle </w:t>
      </w:r>
      <w:r>
        <w:rPr>
          <w:noProof/>
        </w:rPr>
        <w:t>vuosittain. Strategista ohjelmaa on päivitettävä tarvittaessa ja erityisesti 38 artiklassa tarkoitetun arvioinnin tulosten huomioon ottamiseksi.</w:t>
      </w:r>
    </w:p>
    <w:p w:rsidR="0006109C" w:rsidRDefault="00493E42">
      <w:pPr>
        <w:rPr>
          <w:noProof/>
        </w:rPr>
      </w:pPr>
      <w:r>
        <w:rPr>
          <w:noProof/>
        </w:rPr>
        <w:t>5. Vuotuisessa ja/tai monivuotisessa ohjelmassa on esitettävä strategia suhteiden järjestämiseksi toimivaltaisi</w:t>
      </w:r>
      <w:r>
        <w:rPr>
          <w:noProof/>
        </w:rPr>
        <w:t>in unionin elimiin, laitoksiin, virastoihin ja neuvoa-antaviin ryhmiin, kolmansien maiden toimivaltaisiin viranomaisiin ja/tai kansainvälisiin järjestöihin 26 artiklan mukaisesti sekä tähän strategiaan liittyvät toimet samoin kuin eritelmä asiaan liittyvis</w:t>
      </w:r>
      <w:r>
        <w:rPr>
          <w:noProof/>
        </w:rPr>
        <w:t>tä resursseista.</w:t>
      </w:r>
    </w:p>
    <w:p w:rsidR="0006109C" w:rsidRDefault="00493E42">
      <w:pPr>
        <w:pStyle w:val="Titrearticle"/>
        <w:rPr>
          <w:noProof/>
        </w:rPr>
      </w:pPr>
      <w:r>
        <w:rPr>
          <w:noProof/>
        </w:rPr>
        <w:t>16 artikla</w:t>
      </w:r>
    </w:p>
    <w:p w:rsidR="0006109C" w:rsidRDefault="00493E42">
      <w:pPr>
        <w:pStyle w:val="NormalCentered"/>
        <w:autoSpaceDE w:val="0"/>
        <w:autoSpaceDN w:val="0"/>
        <w:rPr>
          <w:b/>
          <w:bCs/>
          <w:noProof/>
        </w:rPr>
      </w:pPr>
      <w:r>
        <w:rPr>
          <w:b/>
          <w:noProof/>
        </w:rPr>
        <w:t>Talousarvion laatiminen</w:t>
      </w:r>
    </w:p>
    <w:p w:rsidR="0006109C" w:rsidRDefault="00493E42">
      <w:pPr>
        <w:rPr>
          <w:noProof/>
        </w:rPr>
      </w:pPr>
      <w:r>
        <w:rPr>
          <w:noProof/>
        </w:rPr>
        <w:t>1. Pääjohtaja laatii vuosittain BERECin seuraavan varainhoitovuoden tuloja ja menoja koskevan alustavan ennakkoarvion, johon sisältyy henkilöstötaulukko, ja toimittaa sen hallintoneuvostolle.</w:t>
      </w:r>
    </w:p>
    <w:p w:rsidR="0006109C" w:rsidRDefault="00493E42">
      <w:pPr>
        <w:rPr>
          <w:noProof/>
        </w:rPr>
      </w:pPr>
      <w:r>
        <w:rPr>
          <w:noProof/>
        </w:rPr>
        <w:t xml:space="preserve">2. </w:t>
      </w:r>
      <w:r>
        <w:rPr>
          <w:noProof/>
        </w:rPr>
        <w:t>Hallintoneuvosto hyväksyy tähän alustavaan esitykseen perustuvan ennakkoarvion BERECin tuloista ja menoista seuraavaa varainhoitovuotta varten.</w:t>
      </w:r>
    </w:p>
    <w:p w:rsidR="0006109C" w:rsidRDefault="00493E42">
      <w:pPr>
        <w:rPr>
          <w:noProof/>
        </w:rPr>
      </w:pPr>
      <w:r>
        <w:rPr>
          <w:noProof/>
        </w:rPr>
        <w:t>3. Pääjohtaja toimittaa ennakkoarvion BERECin tuloista ja menoista komissiolle kunkin vuoden tammikuun 31 päivää</w:t>
      </w:r>
      <w:r>
        <w:rPr>
          <w:noProof/>
        </w:rPr>
        <w:t>n mennessä. BERECin tuloja ja menoja koskevaan ennakkoarvioon ja 15 artiklan 1 kohdassa tarkoitettuun yhtenäisen ohjelma-asiakirjan luonnokseen sisältyvien tietojen on oltava keskenään yhdenmukaisia.</w:t>
      </w:r>
    </w:p>
    <w:p w:rsidR="0006109C" w:rsidRDefault="00493E42">
      <w:pPr>
        <w:rPr>
          <w:noProof/>
        </w:rPr>
      </w:pPr>
      <w:r>
        <w:rPr>
          <w:noProof/>
        </w:rPr>
        <w:t>4. Komissio toimittaa ennakkoarvion budjettivallan käytt</w:t>
      </w:r>
      <w:r>
        <w:rPr>
          <w:noProof/>
        </w:rPr>
        <w:t>äjälle yhdessä unionin yleistä talousarviota koskevan alustavan esityksen kanssa.</w:t>
      </w:r>
    </w:p>
    <w:p w:rsidR="0006109C" w:rsidRDefault="00493E42">
      <w:pPr>
        <w:rPr>
          <w:noProof/>
        </w:rPr>
      </w:pPr>
      <w:r>
        <w:rPr>
          <w:noProof/>
        </w:rPr>
        <w:t xml:space="preserve">5. Tämän ennakkoarvion perusteella komissio sisällyttää unionin alustavaan yleiseen talousarvioon määrärahat, joita se pitää henkilöstötaulukon perusteella välttämättöminä, </w:t>
      </w:r>
      <w:r>
        <w:rPr>
          <w:noProof/>
        </w:rPr>
        <w:t>sekä yleisestä talousarviosta otettavan rahoitusosuuden määrän. Komissio toimittaa alustavan talousarvioesityksen budjettivallan käyttäjälle perussopimuksen 313 ja 314 artiklan mukaisesti.</w:t>
      </w:r>
    </w:p>
    <w:p w:rsidR="0006109C" w:rsidRDefault="00493E42">
      <w:pPr>
        <w:rPr>
          <w:noProof/>
        </w:rPr>
      </w:pPr>
      <w:r>
        <w:rPr>
          <w:noProof/>
        </w:rPr>
        <w:t>6. Budjettivallan käyttäjä hyväksyy BERECille annettavaa rahoitusos</w:t>
      </w:r>
      <w:r>
        <w:rPr>
          <w:noProof/>
        </w:rPr>
        <w:t>uutta koskevat määrärahat.</w:t>
      </w:r>
    </w:p>
    <w:p w:rsidR="0006109C" w:rsidRDefault="00493E42">
      <w:pPr>
        <w:rPr>
          <w:noProof/>
        </w:rPr>
      </w:pPr>
      <w:r>
        <w:rPr>
          <w:noProof/>
        </w:rPr>
        <w:t>7. Budjettivallan käyttäjä vahvistaa BERECin henkilöstötaulukon.</w:t>
      </w:r>
    </w:p>
    <w:p w:rsidR="0006109C" w:rsidRDefault="00493E42">
      <w:pPr>
        <w:rPr>
          <w:noProof/>
        </w:rPr>
      </w:pPr>
      <w:r>
        <w:rPr>
          <w:noProof/>
        </w:rPr>
        <w:t>8. Hallintoneuvosto vahvistaa BERECin talousarvion. Siitä tulee lopullinen, kun unionin yleinen talousarvio on lopullisesti vahvistettu. Sitä mukautetaan tarvittaes</w:t>
      </w:r>
      <w:r>
        <w:rPr>
          <w:noProof/>
        </w:rPr>
        <w:t>sa tätä vastaavasti.</w:t>
      </w:r>
    </w:p>
    <w:p w:rsidR="0006109C" w:rsidRDefault="00493E42">
      <w:pPr>
        <w:rPr>
          <w:noProof/>
        </w:rPr>
      </w:pPr>
      <w:r>
        <w:rPr>
          <w:noProof/>
        </w:rPr>
        <w:t>9. Kaikkiin rakennushankkeisiin, joilla on todennäköisesti huomattava vaikutus BERECin talousarvioon, sovelletaan komission delegoidun asetuksen (EU) N:o 1271/2013 säännöksiä.</w:t>
      </w:r>
    </w:p>
    <w:p w:rsidR="0006109C" w:rsidRDefault="0006109C">
      <w:pPr>
        <w:rPr>
          <w:noProof/>
        </w:rPr>
      </w:pPr>
    </w:p>
    <w:p w:rsidR="0006109C" w:rsidRDefault="00493E42">
      <w:pPr>
        <w:pStyle w:val="SectionTitle"/>
        <w:autoSpaceDE w:val="0"/>
        <w:autoSpaceDN w:val="0"/>
        <w:rPr>
          <w:rFonts w:eastAsiaTheme="minorEastAsia"/>
          <w:bCs/>
          <w:noProof/>
          <w:szCs w:val="28"/>
        </w:rPr>
      </w:pPr>
      <w:r>
        <w:rPr>
          <w:noProof/>
        </w:rPr>
        <w:t>2 jakso</w:t>
      </w:r>
    </w:p>
    <w:p w:rsidR="0006109C" w:rsidRDefault="00493E42">
      <w:pPr>
        <w:pStyle w:val="SectionTitle"/>
        <w:autoSpaceDE w:val="0"/>
        <w:autoSpaceDN w:val="0"/>
        <w:rPr>
          <w:noProof/>
          <w:sz w:val="24"/>
          <w:szCs w:val="24"/>
        </w:rPr>
      </w:pPr>
      <w:r>
        <w:rPr>
          <w:noProof/>
          <w:sz w:val="22"/>
        </w:rPr>
        <w:t>TALOUSARVION TOTEUTTAMINEN, ESITTÄMINEN JA VALVONT</w:t>
      </w:r>
      <w:r>
        <w:rPr>
          <w:noProof/>
          <w:sz w:val="22"/>
        </w:rPr>
        <w:t>A</w:t>
      </w:r>
    </w:p>
    <w:p w:rsidR="0006109C" w:rsidRDefault="00493E42">
      <w:pPr>
        <w:pStyle w:val="Titrearticle"/>
        <w:rPr>
          <w:noProof/>
        </w:rPr>
      </w:pPr>
      <w:r>
        <w:rPr>
          <w:noProof/>
        </w:rPr>
        <w:t>17 artikla</w:t>
      </w:r>
    </w:p>
    <w:p w:rsidR="0006109C" w:rsidRDefault="00493E42">
      <w:pPr>
        <w:pStyle w:val="NormalCentered"/>
        <w:autoSpaceDE w:val="0"/>
        <w:autoSpaceDN w:val="0"/>
        <w:rPr>
          <w:b/>
          <w:bCs/>
          <w:noProof/>
          <w:szCs w:val="24"/>
        </w:rPr>
      </w:pPr>
      <w:r>
        <w:rPr>
          <w:b/>
          <w:noProof/>
        </w:rPr>
        <w:t>Talousarvion rakenne</w:t>
      </w:r>
    </w:p>
    <w:p w:rsidR="0006109C" w:rsidRDefault="00493E42">
      <w:pPr>
        <w:rPr>
          <w:noProof/>
        </w:rPr>
      </w:pPr>
      <w:r>
        <w:rPr>
          <w:noProof/>
        </w:rPr>
        <w:t>1. BERECin kaikista tuloista ja menoista laaditaan kalenterivuotta vastaavaa varainhoitovuotta varten arvio, jonka perusteella tulot ja menot otetaan BERECin talousarvioon.</w:t>
      </w:r>
    </w:p>
    <w:p w:rsidR="0006109C" w:rsidRDefault="00493E42">
      <w:pPr>
        <w:rPr>
          <w:noProof/>
        </w:rPr>
      </w:pPr>
      <w:r>
        <w:rPr>
          <w:noProof/>
        </w:rPr>
        <w:t>2. BERECin talousarvioon otettavien tulojen ja me</w:t>
      </w:r>
      <w:r>
        <w:rPr>
          <w:noProof/>
        </w:rPr>
        <w:t>nojen on oltava tasapainossa.</w:t>
      </w:r>
    </w:p>
    <w:p w:rsidR="0006109C" w:rsidRDefault="00493E42">
      <w:pPr>
        <w:rPr>
          <w:noProof/>
        </w:rPr>
      </w:pPr>
      <w:r>
        <w:rPr>
          <w:noProof/>
        </w:rPr>
        <w:t>3. Sulkematta pois muita tulonlähteitä BERECin tulot koostuvat seuraavista:</w:t>
      </w:r>
    </w:p>
    <w:p w:rsidR="0006109C" w:rsidRDefault="00493E42">
      <w:pPr>
        <w:pStyle w:val="Point0"/>
        <w:rPr>
          <w:noProof/>
        </w:rPr>
      </w:pPr>
      <w:r>
        <w:rPr>
          <w:noProof/>
        </w:rPr>
        <w:t>a)</w:t>
      </w:r>
      <w:r>
        <w:rPr>
          <w:noProof/>
        </w:rPr>
        <w:tab/>
        <w:t>unionin rahoitusosuus;</w:t>
      </w:r>
    </w:p>
    <w:p w:rsidR="0006109C" w:rsidRDefault="00493E42">
      <w:pPr>
        <w:pStyle w:val="Point0"/>
        <w:rPr>
          <w:noProof/>
        </w:rPr>
      </w:pPr>
      <w:r>
        <w:rPr>
          <w:noProof/>
        </w:rPr>
        <w:t>b)</w:t>
      </w:r>
      <w:r>
        <w:rPr>
          <w:noProof/>
        </w:rPr>
        <w:tab/>
        <w:t>jäsenvaltioiden tai kansallisten sääntelyviranomaisten mahdollinen vapaaehtoinen rahoitusosuus;</w:t>
      </w:r>
    </w:p>
    <w:p w:rsidR="0006109C" w:rsidRDefault="00493E42">
      <w:pPr>
        <w:pStyle w:val="Point0"/>
        <w:rPr>
          <w:noProof/>
        </w:rPr>
      </w:pPr>
      <w:r>
        <w:rPr>
          <w:noProof/>
        </w:rPr>
        <w:t>c)</w:t>
      </w:r>
      <w:r>
        <w:rPr>
          <w:noProof/>
        </w:rPr>
        <w:tab/>
        <w:t>BERECin julkaisuista j</w:t>
      </w:r>
      <w:r>
        <w:rPr>
          <w:noProof/>
        </w:rPr>
        <w:t>a muista suoritteista saadut tulot;</w:t>
      </w:r>
    </w:p>
    <w:p w:rsidR="0006109C" w:rsidRDefault="00493E42">
      <w:pPr>
        <w:pStyle w:val="Point0"/>
        <w:rPr>
          <w:noProof/>
        </w:rPr>
      </w:pPr>
      <w:r>
        <w:rPr>
          <w:noProof/>
        </w:rPr>
        <w:t>d)</w:t>
      </w:r>
      <w:r>
        <w:rPr>
          <w:noProof/>
        </w:rPr>
        <w:tab/>
        <w:t>kolmansilta mailta tai sähköisen viestinnän alalla toimivaltaisilta kolmansien maiden sääntelyviranomaisilta, jotka osallistuvat BERECin työhön 26 artiklan mukaisesti, saatu mahdollinen rahoitusosuus.</w:t>
      </w:r>
    </w:p>
    <w:p w:rsidR="0006109C" w:rsidRDefault="00493E42">
      <w:pPr>
        <w:rPr>
          <w:noProof/>
        </w:rPr>
      </w:pPr>
      <w:r>
        <w:rPr>
          <w:noProof/>
        </w:rPr>
        <w:t>4. BERECin menoi</w:t>
      </w:r>
      <w:r>
        <w:rPr>
          <w:noProof/>
        </w:rPr>
        <w:t>hin kuuluvat henkilökunnan palkat, hallinto- ja infrastruktuurimenot sekä toimintamenot.</w:t>
      </w:r>
    </w:p>
    <w:p w:rsidR="0006109C" w:rsidRDefault="00493E42">
      <w:pPr>
        <w:pStyle w:val="Titrearticle"/>
        <w:rPr>
          <w:noProof/>
        </w:rPr>
      </w:pPr>
      <w:r>
        <w:rPr>
          <w:noProof/>
        </w:rPr>
        <w:t>18 artikla</w:t>
      </w:r>
    </w:p>
    <w:p w:rsidR="0006109C" w:rsidRDefault="00493E42">
      <w:pPr>
        <w:pStyle w:val="NormalCentered"/>
        <w:autoSpaceDE w:val="0"/>
        <w:autoSpaceDN w:val="0"/>
        <w:rPr>
          <w:b/>
          <w:bCs/>
          <w:noProof/>
          <w:szCs w:val="24"/>
        </w:rPr>
      </w:pPr>
      <w:r>
        <w:rPr>
          <w:b/>
          <w:noProof/>
        </w:rPr>
        <w:t>Talousarvion toteuttaminen</w:t>
      </w:r>
    </w:p>
    <w:p w:rsidR="0006109C" w:rsidRDefault="00493E42">
      <w:pPr>
        <w:rPr>
          <w:noProof/>
        </w:rPr>
      </w:pPr>
      <w:r>
        <w:rPr>
          <w:noProof/>
        </w:rPr>
        <w:t>1. Pääjohtaja vastaa BERECin talousarvion toteuttamisesta.</w:t>
      </w:r>
    </w:p>
    <w:p w:rsidR="0006109C" w:rsidRDefault="00493E42">
      <w:pPr>
        <w:rPr>
          <w:noProof/>
        </w:rPr>
      </w:pPr>
      <w:r>
        <w:rPr>
          <w:noProof/>
        </w:rPr>
        <w:t>2. Pääjohtaja toimittaa vuosittain budjettivallan käyttäjälle kaikki a</w:t>
      </w:r>
      <w:r>
        <w:rPr>
          <w:noProof/>
        </w:rPr>
        <w:t>rviointimenettelyjen tuloksen kannalta tärkeät tiedot.</w:t>
      </w:r>
    </w:p>
    <w:p w:rsidR="0006109C" w:rsidRDefault="00493E42">
      <w:pPr>
        <w:pStyle w:val="Titrearticle"/>
        <w:rPr>
          <w:noProof/>
        </w:rPr>
      </w:pPr>
      <w:r>
        <w:rPr>
          <w:noProof/>
        </w:rPr>
        <w:t>19 artikla</w:t>
      </w:r>
    </w:p>
    <w:p w:rsidR="0006109C" w:rsidRDefault="00493E42">
      <w:pPr>
        <w:pStyle w:val="NormalCentered"/>
        <w:autoSpaceDE w:val="0"/>
        <w:autoSpaceDN w:val="0"/>
        <w:rPr>
          <w:b/>
          <w:bCs/>
          <w:noProof/>
        </w:rPr>
      </w:pPr>
      <w:r>
        <w:rPr>
          <w:b/>
          <w:noProof/>
        </w:rPr>
        <w:t>Tilinpäätöksen esittäminen ja vastuuvapauden myöntäminen</w:t>
      </w:r>
    </w:p>
    <w:p w:rsidR="0006109C" w:rsidRDefault="00493E42">
      <w:pPr>
        <w:rPr>
          <w:noProof/>
        </w:rPr>
      </w:pPr>
      <w:r>
        <w:rPr>
          <w:noProof/>
        </w:rPr>
        <w:t>1. BERECin tilinpitäjä toimittaa alustavan tilinpäätöksen komission tilinpitäjälle ja tilintarkastustuomioistuimelle viimeistään vara</w:t>
      </w:r>
      <w:r>
        <w:rPr>
          <w:noProof/>
        </w:rPr>
        <w:t>inhoitovuoden päättymistä seuraavan maaliskuun 1 päivänä.</w:t>
      </w:r>
    </w:p>
    <w:p w:rsidR="0006109C" w:rsidRDefault="00493E42">
      <w:pPr>
        <w:rPr>
          <w:noProof/>
        </w:rPr>
      </w:pPr>
      <w:r>
        <w:rPr>
          <w:noProof/>
        </w:rPr>
        <w:t>2. BEREC toimittaa selvityksen varainhoitovuoden talousarvio- ja varainhallinnosta Euroopan parlamentille, neuvostolle ja tilintarkastustuomioistuimelle viimeistään varainhoitovuoden päättymistä seu</w:t>
      </w:r>
      <w:r>
        <w:rPr>
          <w:noProof/>
        </w:rPr>
        <w:t>raavan maaliskuun 31 päivänä.</w:t>
      </w:r>
    </w:p>
    <w:p w:rsidR="0006109C" w:rsidRDefault="00493E42">
      <w:pPr>
        <w:rPr>
          <w:noProof/>
        </w:rPr>
      </w:pPr>
      <w:r>
        <w:rPr>
          <w:noProof/>
        </w:rPr>
        <w:t>3. Saatuaan BERECin alustavaa tilinpäätöstä koskevat tilintarkastustuomioistuimen huomautukset BERECin tilinpitäjä laatii BERECin lopullisen tilinpäätöksen omalla vastuullaan. Pääjohtaja toimittaa lopullisen tilinpäätöksen hal</w:t>
      </w:r>
      <w:r>
        <w:rPr>
          <w:noProof/>
        </w:rPr>
        <w:t>lintoneuvostolle lausuntoa varten.</w:t>
      </w:r>
    </w:p>
    <w:p w:rsidR="0006109C" w:rsidRDefault="00493E42">
      <w:pPr>
        <w:rPr>
          <w:noProof/>
        </w:rPr>
      </w:pPr>
      <w:r>
        <w:rPr>
          <w:noProof/>
        </w:rPr>
        <w:t>4. Hallintoneuvosto antaa lausunnon BERECin lopullisesta tilinpäätöksestä.</w:t>
      </w:r>
    </w:p>
    <w:p w:rsidR="0006109C" w:rsidRDefault="00493E42">
      <w:pPr>
        <w:rPr>
          <w:noProof/>
        </w:rPr>
      </w:pPr>
      <w:r>
        <w:rPr>
          <w:noProof/>
        </w:rPr>
        <w:t xml:space="preserve">5. Pääjohtaja toimittaa lopullisen tilinpäätöksen ja hallintoneuvoston lausunnon Euroopan parlamentille, neuvostolle, komissiolle ja </w:t>
      </w:r>
      <w:r>
        <w:rPr>
          <w:noProof/>
        </w:rPr>
        <w:t>tilintarkastustuomioistuimelle viimeistään varainhoitovuoden päättymistä seuraavan heinäkuun 1 päivänä.</w:t>
      </w:r>
    </w:p>
    <w:p w:rsidR="0006109C" w:rsidRDefault="00493E42">
      <w:pPr>
        <w:rPr>
          <w:noProof/>
        </w:rPr>
      </w:pPr>
      <w:r>
        <w:rPr>
          <w:noProof/>
        </w:rPr>
        <w:t xml:space="preserve">6. BEREC julkaisee lopullisen tilinpäätöksen </w:t>
      </w:r>
      <w:r>
        <w:rPr>
          <w:i/>
          <w:noProof/>
        </w:rPr>
        <w:t>Euroopan unionin virallisessa lehdessä</w:t>
      </w:r>
      <w:r>
        <w:rPr>
          <w:noProof/>
        </w:rPr>
        <w:t xml:space="preserve"> viimeistään seuraavan vuoden marraskuun 15 päivänä.</w:t>
      </w:r>
    </w:p>
    <w:p w:rsidR="0006109C" w:rsidRDefault="00493E42">
      <w:pPr>
        <w:rPr>
          <w:noProof/>
        </w:rPr>
      </w:pPr>
      <w:r>
        <w:rPr>
          <w:noProof/>
        </w:rPr>
        <w:t xml:space="preserve">7. Pääjohtaja </w:t>
      </w:r>
      <w:r>
        <w:rPr>
          <w:noProof/>
        </w:rPr>
        <w:t>toimittaa tilintarkastustuomioistuimelle vastauksen tämän huomautuksiin viimeistään 30 päivänä syyskuuta. Pääjohtaja toimittaa tämän vastauksen myös hallintoneuvostolle.</w:t>
      </w:r>
    </w:p>
    <w:p w:rsidR="0006109C" w:rsidRDefault="00493E42">
      <w:pPr>
        <w:rPr>
          <w:noProof/>
        </w:rPr>
      </w:pPr>
      <w:r>
        <w:rPr>
          <w:noProof/>
        </w:rPr>
        <w:t>8. Pääjohtaja antaa varainhoitoasetuksen</w:t>
      </w:r>
      <w:r>
        <w:rPr>
          <w:rStyle w:val="FootnoteReference"/>
          <w:noProof/>
        </w:rPr>
        <w:footnoteReference w:id="39"/>
      </w:r>
      <w:r>
        <w:rPr>
          <w:noProof/>
        </w:rPr>
        <w:t xml:space="preserve"> 165 artiklan 3 kohdan mukaisesti Euroopan pa</w:t>
      </w:r>
      <w:r>
        <w:rPr>
          <w:noProof/>
        </w:rPr>
        <w:t>rlamentille tämän pyynnöstä kaikki kyseistä varainhoitovuotta koskevan vastuuvapausmenettelyn moitteettoman toteuttamisen edellyttämät tiedot.</w:t>
      </w:r>
    </w:p>
    <w:p w:rsidR="0006109C" w:rsidRDefault="00493E42">
      <w:pPr>
        <w:rPr>
          <w:noProof/>
        </w:rPr>
      </w:pPr>
      <w:r>
        <w:rPr>
          <w:noProof/>
        </w:rPr>
        <w:t>9. Euroopan parlamentti myöntää neuvoston määräenemmistöllä antamasta suosituksesta pääjohtajalle vuoden N talous</w:t>
      </w:r>
      <w:r>
        <w:rPr>
          <w:noProof/>
        </w:rPr>
        <w:t>arvion toteuttamista koskevan vastuuvapauden ennen vuoden N+2 toukokuun 15 päivää.</w:t>
      </w:r>
    </w:p>
    <w:p w:rsidR="0006109C" w:rsidRDefault="00493E42">
      <w:pPr>
        <w:pStyle w:val="Titrearticle"/>
        <w:rPr>
          <w:noProof/>
        </w:rPr>
      </w:pPr>
      <w:r>
        <w:rPr>
          <w:noProof/>
        </w:rPr>
        <w:t>20 artikla</w:t>
      </w:r>
    </w:p>
    <w:p w:rsidR="0006109C" w:rsidRDefault="00493E42">
      <w:pPr>
        <w:pStyle w:val="NormalCentered"/>
        <w:autoSpaceDE w:val="0"/>
        <w:autoSpaceDN w:val="0"/>
        <w:rPr>
          <w:b/>
          <w:bCs/>
          <w:noProof/>
          <w:szCs w:val="24"/>
        </w:rPr>
      </w:pPr>
      <w:r>
        <w:rPr>
          <w:b/>
          <w:noProof/>
        </w:rPr>
        <w:t>Varainhoitosäännöt</w:t>
      </w:r>
    </w:p>
    <w:p w:rsidR="0006109C" w:rsidRDefault="00493E42">
      <w:pPr>
        <w:rPr>
          <w:noProof/>
        </w:rPr>
      </w:pPr>
      <w:r>
        <w:rPr>
          <w:noProof/>
        </w:rPr>
        <w:t>Hallintoneuvosto hyväksyy BERECiin sovellettavat varainhoitoa koskevat säännöt komissiota kuultuaan. Varainhoitosäännöt voivat poiketa asetukse</w:t>
      </w:r>
      <w:r>
        <w:rPr>
          <w:noProof/>
        </w:rPr>
        <w:t>sta (EU) N:o 1271/2013 ainoastaan, jos BERECin toiminta sitä erityisesti edellyttää ja jos komissio on antanut siihen ennalta suostumuksensa.</w:t>
      </w:r>
    </w:p>
    <w:p w:rsidR="0006109C" w:rsidRDefault="00493E42">
      <w:pPr>
        <w:pStyle w:val="SectionTitle"/>
        <w:autoSpaceDE w:val="0"/>
        <w:autoSpaceDN w:val="0"/>
        <w:rPr>
          <w:rFonts w:eastAsiaTheme="minorEastAsia"/>
          <w:bCs/>
          <w:noProof/>
          <w:szCs w:val="28"/>
        </w:rPr>
      </w:pPr>
      <w:r>
        <w:rPr>
          <w:noProof/>
        </w:rPr>
        <w:t>IV luku</w:t>
      </w:r>
    </w:p>
    <w:p w:rsidR="0006109C" w:rsidRDefault="00493E42">
      <w:pPr>
        <w:pStyle w:val="SectionTitle"/>
        <w:autoSpaceDE w:val="0"/>
        <w:autoSpaceDN w:val="0"/>
        <w:rPr>
          <w:noProof/>
          <w:sz w:val="22"/>
        </w:rPr>
      </w:pPr>
      <w:r>
        <w:rPr>
          <w:noProof/>
          <w:sz w:val="22"/>
        </w:rPr>
        <w:t>Henkilöstö</w:t>
      </w:r>
    </w:p>
    <w:p w:rsidR="0006109C" w:rsidRDefault="00493E42">
      <w:pPr>
        <w:pStyle w:val="Titrearticle"/>
        <w:rPr>
          <w:noProof/>
        </w:rPr>
      </w:pPr>
      <w:r>
        <w:rPr>
          <w:noProof/>
        </w:rPr>
        <w:t>21 artikla</w:t>
      </w:r>
    </w:p>
    <w:p w:rsidR="0006109C" w:rsidRDefault="00493E42">
      <w:pPr>
        <w:pStyle w:val="NormalCentered"/>
        <w:autoSpaceDE w:val="0"/>
        <w:autoSpaceDN w:val="0"/>
        <w:rPr>
          <w:b/>
          <w:bCs/>
          <w:noProof/>
          <w:szCs w:val="24"/>
        </w:rPr>
      </w:pPr>
      <w:r>
        <w:rPr>
          <w:b/>
          <w:noProof/>
        </w:rPr>
        <w:t>Yleinen säännös</w:t>
      </w:r>
    </w:p>
    <w:p w:rsidR="0006109C" w:rsidRDefault="00493E42">
      <w:pPr>
        <w:rPr>
          <w:noProof/>
        </w:rPr>
      </w:pPr>
      <w:r>
        <w:rPr>
          <w:noProof/>
        </w:rPr>
        <w:t>BERECin henkilöstöön sovelletaan Euroopan unionin virkamiehiin sovel</w:t>
      </w:r>
      <w:r>
        <w:rPr>
          <w:noProof/>
        </w:rPr>
        <w:t>lettavia henkilöstösääntöjä ja unionin muuta henkilöstöä koskevia palvelussuhteen ehtoja sekä näiden säännösten täytäntöönpanosäännöksiä, jotka on annettu Euroopan unionin toimielinten yhteisellä päätöksellä.</w:t>
      </w:r>
    </w:p>
    <w:p w:rsidR="0006109C" w:rsidRDefault="00493E42">
      <w:pPr>
        <w:pStyle w:val="Titrearticle"/>
        <w:rPr>
          <w:noProof/>
        </w:rPr>
      </w:pPr>
      <w:r>
        <w:rPr>
          <w:noProof/>
        </w:rPr>
        <w:t>22 artikla</w:t>
      </w:r>
    </w:p>
    <w:p w:rsidR="0006109C" w:rsidRDefault="00493E42">
      <w:pPr>
        <w:pStyle w:val="NormalCentered"/>
        <w:autoSpaceDE w:val="0"/>
        <w:autoSpaceDN w:val="0"/>
        <w:rPr>
          <w:b/>
          <w:bCs/>
          <w:noProof/>
          <w:szCs w:val="24"/>
        </w:rPr>
      </w:pPr>
      <w:r>
        <w:rPr>
          <w:b/>
          <w:noProof/>
        </w:rPr>
        <w:t>Pääjohtajan nimittäminen</w:t>
      </w:r>
    </w:p>
    <w:p w:rsidR="0006109C" w:rsidRDefault="00493E42">
      <w:pPr>
        <w:rPr>
          <w:noProof/>
        </w:rPr>
      </w:pPr>
      <w:r>
        <w:rPr>
          <w:noProof/>
        </w:rPr>
        <w:t>1. Pääjohta</w:t>
      </w:r>
      <w:r>
        <w:rPr>
          <w:noProof/>
        </w:rPr>
        <w:t>ja otetaan palvelukseen BERECin väliaikaisena toimihenkilönä muuta henkilöstöä koskevien palvelussuhteen ehtojen 2 artiklan a alakohdan mukaisesti.</w:t>
      </w:r>
    </w:p>
    <w:p w:rsidR="0006109C" w:rsidRDefault="00493E42">
      <w:pPr>
        <w:keepLines/>
        <w:rPr>
          <w:noProof/>
        </w:rPr>
      </w:pPr>
      <w:r>
        <w:rPr>
          <w:noProof/>
        </w:rPr>
        <w:t>2. Hallintoneuvosto nimittää pääjohtajan komission avointa ja läpinäkyvää menettelyä noudattaen laatiman ehd</w:t>
      </w:r>
      <w:r>
        <w:rPr>
          <w:noProof/>
        </w:rPr>
        <w:t>okasluettelon perusteella.</w:t>
      </w:r>
    </w:p>
    <w:p w:rsidR="0006109C" w:rsidRDefault="00493E42">
      <w:pPr>
        <w:keepLines/>
        <w:rPr>
          <w:noProof/>
        </w:rPr>
      </w:pPr>
      <w:r>
        <w:rPr>
          <w:noProof/>
        </w:rPr>
        <w:t>Pääjohtajan työsopimusta tehtäessä BERECia edustaa hallintoneuvoston puheenjohtaja.</w:t>
      </w:r>
    </w:p>
    <w:p w:rsidR="0006109C" w:rsidRDefault="00493E42">
      <w:pPr>
        <w:rPr>
          <w:rFonts w:eastAsia="Calibri"/>
          <w:noProof/>
        </w:rPr>
      </w:pPr>
      <w:r>
        <w:rPr>
          <w:noProof/>
        </w:rPr>
        <w:t>Hallintoneuvoston valitsema ehdokas voidaan ennen nimittämistä kutsua antamaan lausunto Euroopan parlamentin toimivaltaiselle valiokunnalle ja va</w:t>
      </w:r>
      <w:r>
        <w:rPr>
          <w:noProof/>
        </w:rPr>
        <w:t>staamaan sen jäsenten esittämiin kysymyksiin.</w:t>
      </w:r>
    </w:p>
    <w:p w:rsidR="0006109C" w:rsidRDefault="00493E42">
      <w:pPr>
        <w:rPr>
          <w:rFonts w:eastAsia="Calibri"/>
          <w:noProof/>
        </w:rPr>
      </w:pPr>
      <w:r>
        <w:rPr>
          <w:noProof/>
        </w:rPr>
        <w:t>3. Pääjohtajan toimikausi on viisi vuotta. Toimikauden päättyessä komissio laatii arvion, jossa tarkastellaan pääjohtajan suoriutumista tehtävistään sekä BERECin tulevia tehtäviä ja haasteita.</w:t>
      </w:r>
    </w:p>
    <w:p w:rsidR="0006109C" w:rsidRDefault="00493E42">
      <w:pPr>
        <w:rPr>
          <w:rFonts w:eastAsia="Calibri"/>
          <w:noProof/>
        </w:rPr>
      </w:pPr>
      <w:r>
        <w:rPr>
          <w:noProof/>
        </w:rPr>
        <w:t>4. Hallintoneuvos</w:t>
      </w:r>
      <w:r>
        <w:rPr>
          <w:noProof/>
        </w:rPr>
        <w:t>to voi komission ehdotuksesta, jossa otetaan huomioon 3 kohdassa tarkoitettu arvio, jatkaa pääjohtajan toimikautta kerran enintään viideksi vuodeksi.</w:t>
      </w:r>
    </w:p>
    <w:p w:rsidR="0006109C" w:rsidRDefault="00493E42">
      <w:pPr>
        <w:rPr>
          <w:rFonts w:eastAsia="Calibri"/>
          <w:noProof/>
        </w:rPr>
      </w:pPr>
      <w:r>
        <w:rPr>
          <w:noProof/>
        </w:rPr>
        <w:t>5. Hallintoneuvoston on ilmoitettava Euroopan parlamentille aikomuksestaan jatkaa toimitusjohtajan toimika</w:t>
      </w:r>
      <w:r>
        <w:rPr>
          <w:noProof/>
        </w:rPr>
        <w:t>utta. Pääjohtaja voidaan kutsua kuukautta ennen tällaisen määräajan pidentämistä antamaan lausunto Euroopan parlamentin toimivaltaiselle valiokunnalle ja vastaamaan sen jäsenten esittämiin kysymyksiin.</w:t>
      </w:r>
    </w:p>
    <w:p w:rsidR="0006109C" w:rsidRDefault="00493E42">
      <w:pPr>
        <w:rPr>
          <w:rFonts w:eastAsia="Calibri"/>
          <w:noProof/>
        </w:rPr>
      </w:pPr>
      <w:r>
        <w:rPr>
          <w:noProof/>
        </w:rPr>
        <w:t>6. Pääjohtaja, jonka toimikautta on jatkettu, ei voi e</w:t>
      </w:r>
      <w:r>
        <w:rPr>
          <w:noProof/>
        </w:rPr>
        <w:t>nää jatketun toimikautensa lopussa osallistua kyseisen toimen valintamenettelyyn.</w:t>
      </w:r>
    </w:p>
    <w:p w:rsidR="0006109C" w:rsidRDefault="00493E42">
      <w:pPr>
        <w:rPr>
          <w:rFonts w:eastAsia="Calibri"/>
          <w:noProof/>
        </w:rPr>
      </w:pPr>
      <w:r>
        <w:rPr>
          <w:noProof/>
        </w:rPr>
        <w:t>7. Pääjohtaja voidaan erottaa toimestaan ainoastaan hallintoneuvoston päätöksellä, jonka se tekee komission ehdotuksen perusteella.</w:t>
      </w:r>
    </w:p>
    <w:p w:rsidR="0006109C" w:rsidRDefault="00493E42">
      <w:pPr>
        <w:rPr>
          <w:noProof/>
        </w:rPr>
      </w:pPr>
      <w:r>
        <w:rPr>
          <w:noProof/>
        </w:rPr>
        <w:t>8. Hallintoneuvosto tekee päätökset pääjoh</w:t>
      </w:r>
      <w:r>
        <w:rPr>
          <w:noProof/>
        </w:rPr>
        <w:t>tajan nimittämisestä, toimikauden jatkamisesta tai erottamisesta äänivaltaisten jäsentensä kahden kolmasosan enemmistöllä.</w:t>
      </w:r>
    </w:p>
    <w:p w:rsidR="0006109C" w:rsidRDefault="00493E42">
      <w:pPr>
        <w:pStyle w:val="Titrearticle"/>
        <w:rPr>
          <w:noProof/>
        </w:rPr>
      </w:pPr>
      <w:r>
        <w:rPr>
          <w:noProof/>
        </w:rPr>
        <w:t>23 artikla</w:t>
      </w:r>
    </w:p>
    <w:p w:rsidR="0006109C" w:rsidRDefault="00493E42">
      <w:pPr>
        <w:pStyle w:val="NormalCentered"/>
        <w:autoSpaceDE w:val="0"/>
        <w:autoSpaceDN w:val="0"/>
        <w:rPr>
          <w:b/>
          <w:bCs/>
          <w:noProof/>
          <w:szCs w:val="24"/>
        </w:rPr>
      </w:pPr>
      <w:r>
        <w:rPr>
          <w:b/>
          <w:noProof/>
        </w:rPr>
        <w:t>Kansalliset asiantuntijat ja muu henkilöstö</w:t>
      </w:r>
    </w:p>
    <w:p w:rsidR="0006109C" w:rsidRDefault="00493E42">
      <w:pPr>
        <w:rPr>
          <w:rFonts w:eastAsia="Calibri"/>
          <w:noProof/>
        </w:rPr>
      </w:pPr>
      <w:r>
        <w:rPr>
          <w:noProof/>
        </w:rPr>
        <w:t>1. BEREC voi käyttää kansallisia asiantuntijoita ja muuta henkilöstöä, joka ei</w:t>
      </w:r>
      <w:r>
        <w:rPr>
          <w:noProof/>
        </w:rPr>
        <w:t xml:space="preserve"> ole BERECin palveluksessa. Näihin henkilöihin ei sovelleta henkilöstösääntöjä eikä muuta henkilöstöä koskevia palvelussuhteen ehtoja.</w:t>
      </w:r>
    </w:p>
    <w:p w:rsidR="0006109C" w:rsidRDefault="00493E42">
      <w:pPr>
        <w:rPr>
          <w:noProof/>
        </w:rPr>
      </w:pPr>
      <w:r>
        <w:rPr>
          <w:noProof/>
        </w:rPr>
        <w:t>2. Hallintoneuvosto tekee päätöksen, jossa annetaan säännökset kansallisten asiantuntijoiden tilapäisestä siirtämisestä B</w:t>
      </w:r>
      <w:r>
        <w:rPr>
          <w:noProof/>
        </w:rPr>
        <w:t>ERECin palvelukseen.</w:t>
      </w:r>
    </w:p>
    <w:p w:rsidR="0006109C" w:rsidRDefault="00493E42">
      <w:pPr>
        <w:pStyle w:val="SectionTitle"/>
        <w:autoSpaceDE w:val="0"/>
        <w:autoSpaceDN w:val="0"/>
        <w:rPr>
          <w:rFonts w:eastAsiaTheme="minorEastAsia"/>
          <w:bCs/>
          <w:noProof/>
          <w:szCs w:val="28"/>
        </w:rPr>
      </w:pPr>
      <w:r>
        <w:rPr>
          <w:noProof/>
        </w:rPr>
        <w:t>V luku</w:t>
      </w:r>
    </w:p>
    <w:p w:rsidR="0006109C" w:rsidRDefault="00493E42">
      <w:pPr>
        <w:pStyle w:val="SectionTitle"/>
        <w:autoSpaceDE w:val="0"/>
        <w:autoSpaceDN w:val="0"/>
        <w:rPr>
          <w:noProof/>
          <w:sz w:val="22"/>
        </w:rPr>
      </w:pPr>
      <w:r>
        <w:rPr>
          <w:noProof/>
          <w:sz w:val="22"/>
        </w:rPr>
        <w:t>YLEISET SÄÄNNÖKSET</w:t>
      </w:r>
    </w:p>
    <w:p w:rsidR="0006109C" w:rsidRDefault="00493E42">
      <w:pPr>
        <w:pStyle w:val="Titrearticle"/>
        <w:rPr>
          <w:noProof/>
        </w:rPr>
      </w:pPr>
      <w:r>
        <w:rPr>
          <w:noProof/>
        </w:rPr>
        <w:t>24 artikla</w:t>
      </w:r>
    </w:p>
    <w:p w:rsidR="0006109C" w:rsidRDefault="00493E42">
      <w:pPr>
        <w:pStyle w:val="NormalCentered"/>
        <w:autoSpaceDE w:val="0"/>
        <w:autoSpaceDN w:val="0"/>
        <w:rPr>
          <w:b/>
          <w:bCs/>
          <w:noProof/>
          <w:szCs w:val="24"/>
        </w:rPr>
      </w:pPr>
      <w:r>
        <w:rPr>
          <w:b/>
          <w:noProof/>
        </w:rPr>
        <w:t>Oikeudellinen asema</w:t>
      </w:r>
    </w:p>
    <w:p w:rsidR="0006109C" w:rsidRDefault="00493E42">
      <w:pPr>
        <w:rPr>
          <w:rFonts w:eastAsia="Calibri"/>
          <w:noProof/>
        </w:rPr>
      </w:pPr>
      <w:r>
        <w:rPr>
          <w:noProof/>
        </w:rPr>
        <w:t>1. BEREC on unionin elin. Se on oikeushenkilö.</w:t>
      </w:r>
    </w:p>
    <w:p w:rsidR="0006109C" w:rsidRDefault="00493E42">
      <w:pPr>
        <w:rPr>
          <w:rFonts w:eastAsia="Calibri"/>
          <w:noProof/>
        </w:rPr>
      </w:pPr>
      <w:r>
        <w:rPr>
          <w:noProof/>
        </w:rPr>
        <w:t>2. BERECilla on kaikissa jäsenvaltioissa laajin kansallisen lainsäädännön mukaan oikeushenkilöllä oleva oikeuskelpoisuus. Se voi mu</w:t>
      </w:r>
      <w:r>
        <w:rPr>
          <w:noProof/>
        </w:rPr>
        <w:t>un muassa hankkia ja luovuttaa kiinteää ja irtainta omaisuutta sekä olla asianosaisena oikeudenkäynneissä.</w:t>
      </w:r>
    </w:p>
    <w:p w:rsidR="0006109C" w:rsidRDefault="00493E42">
      <w:pPr>
        <w:rPr>
          <w:rFonts w:eastAsia="Calibri"/>
          <w:noProof/>
        </w:rPr>
      </w:pPr>
      <w:r>
        <w:rPr>
          <w:noProof/>
        </w:rPr>
        <w:t>3. BERECia edustaa sen pääjohtaja.</w:t>
      </w:r>
    </w:p>
    <w:p w:rsidR="0006109C" w:rsidRDefault="00493E42">
      <w:pPr>
        <w:rPr>
          <w:rFonts w:eastAsia="Calibri"/>
          <w:noProof/>
        </w:rPr>
      </w:pPr>
      <w:r>
        <w:rPr>
          <w:noProof/>
        </w:rPr>
        <w:t>4. BERECilla on yksinomainen vastuu tehtäviinsä ja toimivaltaansa kuuluvista asioista.</w:t>
      </w:r>
    </w:p>
    <w:p w:rsidR="0006109C" w:rsidRDefault="00493E42">
      <w:pPr>
        <w:pStyle w:val="Titrearticle"/>
        <w:rPr>
          <w:noProof/>
        </w:rPr>
      </w:pPr>
      <w:r>
        <w:rPr>
          <w:noProof/>
        </w:rPr>
        <w:t>25 artikla</w:t>
      </w:r>
    </w:p>
    <w:p w:rsidR="0006109C" w:rsidRDefault="00493E42">
      <w:pPr>
        <w:pStyle w:val="NormalCentered"/>
        <w:autoSpaceDE w:val="0"/>
        <w:autoSpaceDN w:val="0"/>
        <w:rPr>
          <w:b/>
          <w:bCs/>
          <w:noProof/>
        </w:rPr>
      </w:pPr>
      <w:r>
        <w:rPr>
          <w:b/>
          <w:noProof/>
        </w:rPr>
        <w:t xml:space="preserve">Erioikeudet ja </w:t>
      </w:r>
      <w:r>
        <w:rPr>
          <w:b/>
          <w:noProof/>
        </w:rPr>
        <w:t>vapaudet</w:t>
      </w:r>
    </w:p>
    <w:p w:rsidR="0006109C" w:rsidRDefault="00493E42">
      <w:pPr>
        <w:rPr>
          <w:rFonts w:eastAsia="Calibri"/>
          <w:noProof/>
        </w:rPr>
      </w:pPr>
      <w:r>
        <w:rPr>
          <w:noProof/>
        </w:rPr>
        <w:t>BERECiin ja sen henkilöstöön sovelletaan Euroopan unionin erioikeuksia ja vapauksia koskevaa pöytäkirjaa.</w:t>
      </w:r>
    </w:p>
    <w:p w:rsidR="0006109C" w:rsidRDefault="00493E42">
      <w:pPr>
        <w:pStyle w:val="Titrearticle"/>
        <w:rPr>
          <w:noProof/>
        </w:rPr>
      </w:pPr>
      <w:r>
        <w:rPr>
          <w:noProof/>
        </w:rPr>
        <w:t>26 artikla</w:t>
      </w:r>
    </w:p>
    <w:p w:rsidR="0006109C" w:rsidRDefault="00493E42">
      <w:pPr>
        <w:pStyle w:val="NormalCentered"/>
        <w:autoSpaceDE w:val="0"/>
        <w:autoSpaceDN w:val="0"/>
        <w:rPr>
          <w:b/>
          <w:bCs/>
          <w:noProof/>
        </w:rPr>
      </w:pPr>
      <w:r>
        <w:rPr>
          <w:b/>
          <w:noProof/>
        </w:rPr>
        <w:t>Yhteistyö unionin elinten, kolmansien maiden ja kansainvälisten järjestöjen kanssa</w:t>
      </w:r>
    </w:p>
    <w:p w:rsidR="0006109C" w:rsidRDefault="00493E42">
      <w:pPr>
        <w:rPr>
          <w:rFonts w:eastAsia="Calibri"/>
          <w:noProof/>
        </w:rPr>
      </w:pPr>
      <w:r>
        <w:rPr>
          <w:noProof/>
        </w:rPr>
        <w:t>1. Siltä osin kuin on tarpeen tämän asetuksen t</w:t>
      </w:r>
      <w:r>
        <w:rPr>
          <w:noProof/>
        </w:rPr>
        <w:t>avoitteiden saavuttamiseksi ja tehtäviensä suorittamiseksi BEREC voi tehdä yhteistyötä toimivaltaisten unionin elinten, laitosten, virastojen ja neuvoa-antavien ryhmien kanssa, kolmansien maiden toimivaltaisten viranomaisten kanssa ja/tai kansainvälisten j</w:t>
      </w:r>
      <w:r>
        <w:rPr>
          <w:noProof/>
        </w:rPr>
        <w:t>ärjestöjen kanssa, sanotun kuitenkaan rajoittamatta jäsenvaltioiden ja unionin instituutioiden toimivaltaa.</w:t>
      </w:r>
    </w:p>
    <w:p w:rsidR="0006109C" w:rsidRDefault="00493E42">
      <w:pPr>
        <w:rPr>
          <w:rFonts w:eastAsia="Calibri"/>
          <w:noProof/>
        </w:rPr>
      </w:pPr>
      <w:r>
        <w:rPr>
          <w:noProof/>
        </w:rPr>
        <w:t>BEREC voi tätä varten vahvistaa työjärjestelyt, edellyttäen että komissio antaa tähän ennakkohyväksynnän. Näistä järjestelyistä ei seuraa oikeudelli</w:t>
      </w:r>
      <w:r>
        <w:rPr>
          <w:noProof/>
        </w:rPr>
        <w:t>sia velvoitteita unionille ja sen jäsenvaltioille.</w:t>
      </w:r>
    </w:p>
    <w:p w:rsidR="0006109C" w:rsidRDefault="00493E42">
      <w:pPr>
        <w:rPr>
          <w:noProof/>
        </w:rPr>
      </w:pPr>
      <w:r>
        <w:rPr>
          <w:noProof/>
        </w:rPr>
        <w:t>2. BERECin toimintaan voivat osallistua sähköisen viestinnän alalla toimivaltaiset sääntelyviranomaiset niistä kolmansista maista, jotka ovat tehneet unionin kanssa tätä koskevan sopimuksen.</w:t>
      </w:r>
    </w:p>
    <w:p w:rsidR="0006109C" w:rsidRDefault="00493E42">
      <w:pPr>
        <w:rPr>
          <w:noProof/>
        </w:rPr>
      </w:pPr>
      <w:r>
        <w:rPr>
          <w:noProof/>
        </w:rPr>
        <w:t>Näihin sopimuk</w:t>
      </w:r>
      <w:r>
        <w:rPr>
          <w:noProof/>
        </w:rPr>
        <w:t>siin sisältyvien asianomaisten määräysten mukaisesti laaditaan järjestelyjä, joissa määritellään erityisesti kyseisten kolmansien maiden sääntelyviranomaisten BERECin toimintaan osallistumisen luonne, laajuus ja tapa, mukaan lukien BERECin tekemiin aloitte</w:t>
      </w:r>
      <w:r>
        <w:rPr>
          <w:noProof/>
        </w:rPr>
        <w:t>isiin osallistumista, rahoitusosuuksia ja henkilöstöä koskevat säännöt. Henkilöstöasioiden osalta näiden järjestelyjen on kaikilta osin oltava henkilöstösääntöjen mukaiset.</w:t>
      </w:r>
    </w:p>
    <w:p w:rsidR="0006109C" w:rsidRDefault="00493E42">
      <w:pPr>
        <w:rPr>
          <w:noProof/>
        </w:rPr>
      </w:pPr>
      <w:r>
        <w:rPr>
          <w:noProof/>
        </w:rPr>
        <w:t>3. Hallintoneuvosto hyväksyy osana yhtenäistä ohjelma-asiakirjaa strategian, joka k</w:t>
      </w:r>
      <w:r>
        <w:rPr>
          <w:noProof/>
        </w:rPr>
        <w:t>oskee suhteita toimivaltaisten unionin elinten, laitosten, virastojen ja neuvoa-antavien ryhmien, kolmansien maiden toimivaltaisten viranomaisten ja/tai kansainvälisten järjestöjen kanssa asioissa, joissa BEREC on toimivaltainen. Komissio ja virasto sopiva</w:t>
      </w:r>
      <w:r>
        <w:rPr>
          <w:noProof/>
        </w:rPr>
        <w:t>t asianmukaisesta työjärjestelystä varmistaakseen, että BEREC toimii toimeksiantonsa ja olemassa olevien institutionaalisten puitteiden mukaisesti.</w:t>
      </w:r>
    </w:p>
    <w:p w:rsidR="0006109C" w:rsidRDefault="00493E42">
      <w:pPr>
        <w:pStyle w:val="Titrearticle"/>
        <w:rPr>
          <w:noProof/>
        </w:rPr>
      </w:pPr>
      <w:r>
        <w:rPr>
          <w:noProof/>
        </w:rPr>
        <w:t>27 artikla</w:t>
      </w:r>
    </w:p>
    <w:p w:rsidR="0006109C" w:rsidRDefault="00493E42">
      <w:pPr>
        <w:pStyle w:val="NormalCentered"/>
        <w:autoSpaceDE w:val="0"/>
        <w:autoSpaceDN w:val="0"/>
        <w:rPr>
          <w:b/>
          <w:bCs/>
          <w:noProof/>
        </w:rPr>
      </w:pPr>
      <w:r>
        <w:rPr>
          <w:b/>
          <w:noProof/>
        </w:rPr>
        <w:t>Avoimuus ja tiedottaminen</w:t>
      </w:r>
    </w:p>
    <w:p w:rsidR="0006109C" w:rsidRDefault="00493E42">
      <w:pPr>
        <w:rPr>
          <w:noProof/>
        </w:rPr>
      </w:pPr>
      <w:r>
        <w:rPr>
          <w:noProof/>
        </w:rPr>
        <w:t>1. BERECin hallussa oleviin asiakirjoihin sovelletaan Euroopan parlamen</w:t>
      </w:r>
      <w:r>
        <w:rPr>
          <w:noProof/>
        </w:rPr>
        <w:t>tin ja neuvoston asetusta (EY) N:o 1049/2001</w:t>
      </w:r>
      <w:r>
        <w:rPr>
          <w:rStyle w:val="FootnoteReference"/>
          <w:noProof/>
        </w:rPr>
        <w:footnoteReference w:id="40"/>
      </w:r>
      <w:r>
        <w:rPr>
          <w:noProof/>
        </w:rPr>
        <w:t>. Hallintoneuvosto vahvistaa asetuksen (EY) N:o 1049/2001 soveltamista koskevat yksityiskohtaiset säännöt kuuden kuukauden kuluessa ensimmäisestä kokouksestaan.</w:t>
      </w:r>
    </w:p>
    <w:p w:rsidR="0006109C" w:rsidRDefault="00493E42">
      <w:pPr>
        <w:rPr>
          <w:noProof/>
        </w:rPr>
      </w:pPr>
      <w:r>
        <w:rPr>
          <w:noProof/>
        </w:rPr>
        <w:t>2. BERECin toimesta tapahtuvaan henkilötietojen kä</w:t>
      </w:r>
      <w:r>
        <w:rPr>
          <w:noProof/>
        </w:rPr>
        <w:t>sittelyyn sovelletaan Euroopan parlamentin ja neuvoston asetusta (EY) N:o 45/2001</w:t>
      </w:r>
      <w:r>
        <w:rPr>
          <w:rStyle w:val="FootnoteReference"/>
          <w:noProof/>
        </w:rPr>
        <w:footnoteReference w:id="41"/>
      </w:r>
      <w:r>
        <w:rPr>
          <w:noProof/>
        </w:rPr>
        <w:t>. Hallintoneuvosto vahvistaa kuuden kuukauden kuluessa ensimmäisestä kokouksestaan toimenpiteet, joiden mukaisesti BEREC soveltaa asetusta (EY) N:o 45/2001, BERECin tietosuoj</w:t>
      </w:r>
      <w:r>
        <w:rPr>
          <w:noProof/>
        </w:rPr>
        <w:t>avastaavan nimittämistä koskevat toimenpiteet mukaan lukien. Euroopan tietosuojavaltuutettua on kuultava ennen toimenpiteiden vahvistamista.</w:t>
      </w:r>
    </w:p>
    <w:p w:rsidR="0006109C" w:rsidRDefault="00493E42">
      <w:pPr>
        <w:rPr>
          <w:noProof/>
        </w:rPr>
      </w:pPr>
      <w:r>
        <w:rPr>
          <w:noProof/>
        </w:rPr>
        <w:t>3. BEREC voi toteuttaa tiedotustoimia omasta aloitteestaan toimivaltaansa kuuluvilla aloilla. Resurssien osoittamin</w:t>
      </w:r>
      <w:r>
        <w:rPr>
          <w:noProof/>
        </w:rPr>
        <w:t>en tiedotustoimiin ei saa haitata tämän asetuksen 2 artiklan 1 ja 2 kohdassa tarkoitettujen tehtävien tehokasta hoitamista. Tiedotustoimet on toteutettava hallintoneuvoston hyväksymien tiedotusta ja viestintää koskevien suunnitelmien mukaisesti.</w:t>
      </w:r>
    </w:p>
    <w:p w:rsidR="0006109C" w:rsidRDefault="00493E42">
      <w:pPr>
        <w:pStyle w:val="Titrearticle"/>
        <w:rPr>
          <w:noProof/>
        </w:rPr>
      </w:pPr>
      <w:r>
        <w:rPr>
          <w:noProof/>
        </w:rPr>
        <w:t>28 artikla</w:t>
      </w:r>
    </w:p>
    <w:p w:rsidR="0006109C" w:rsidRDefault="00493E42">
      <w:pPr>
        <w:pStyle w:val="NormalCentered"/>
        <w:autoSpaceDE w:val="0"/>
        <w:autoSpaceDN w:val="0"/>
        <w:rPr>
          <w:b/>
          <w:bCs/>
          <w:noProof/>
        </w:rPr>
      </w:pPr>
      <w:r>
        <w:rPr>
          <w:b/>
          <w:noProof/>
        </w:rPr>
        <w:t>Luottamuksellisuus</w:t>
      </w:r>
    </w:p>
    <w:p w:rsidR="0006109C" w:rsidRDefault="00493E42">
      <w:pPr>
        <w:rPr>
          <w:noProof/>
        </w:rPr>
      </w:pPr>
      <w:r>
        <w:rPr>
          <w:noProof/>
        </w:rPr>
        <w:t xml:space="preserve">1. BEREC ei saa paljastaa kolmansille osapuolille käsittelemiään ja saamiaan tietoja, joiden käsittelystä osittain tai kokonaisuudessaan luottamuksellisina on esitetty perusteltu pyyntö, sanotun kuitenkaan rajoittamatta 27 artiklan 1 </w:t>
      </w:r>
      <w:r>
        <w:rPr>
          <w:noProof/>
        </w:rPr>
        <w:t>kohdan soveltamista.</w:t>
      </w:r>
    </w:p>
    <w:p w:rsidR="0006109C" w:rsidRDefault="00493E42">
      <w:pPr>
        <w:rPr>
          <w:noProof/>
        </w:rPr>
      </w:pPr>
      <w:r>
        <w:rPr>
          <w:noProof/>
        </w:rPr>
        <w:t>2. Hallintoneuvoston jäsenten, pääjohtajan, valituslautakunnan jäsenten, kansallisten asiantuntijoiden, muun henkilöstön, joka ei ole BERECin palveluksessa, ja työryhmiin osallistuvien asiantuntijoiden on myös tehtäviensä päätyttyä nou</w:t>
      </w:r>
      <w:r>
        <w:rPr>
          <w:noProof/>
        </w:rPr>
        <w:t>datettava Euroopan unionin toiminnasta tehdyn sopimuksen 339 artiklan mukaista salassapitovelvollisuutta.</w:t>
      </w:r>
    </w:p>
    <w:p w:rsidR="0006109C" w:rsidRDefault="00493E42">
      <w:pPr>
        <w:rPr>
          <w:rFonts w:eastAsia="Calibri"/>
          <w:noProof/>
        </w:rPr>
      </w:pPr>
      <w:r>
        <w:rPr>
          <w:noProof/>
        </w:rPr>
        <w:t>3. Hallintoneuvosto vahvistaa 1 ja 2 kohdassa tarkoitettujen salassapitovelvollisuutta koskevien sääntöjen täytäntöönpanoa koskevat käytännön järjeste</w:t>
      </w:r>
      <w:r>
        <w:rPr>
          <w:noProof/>
        </w:rPr>
        <w:t>lyt.</w:t>
      </w:r>
    </w:p>
    <w:p w:rsidR="0006109C" w:rsidRDefault="00493E42">
      <w:pPr>
        <w:pStyle w:val="Titrearticle"/>
        <w:rPr>
          <w:noProof/>
        </w:rPr>
      </w:pPr>
      <w:r>
        <w:rPr>
          <w:noProof/>
        </w:rPr>
        <w:t>29 artikla</w:t>
      </w:r>
    </w:p>
    <w:p w:rsidR="0006109C" w:rsidRDefault="00493E42">
      <w:pPr>
        <w:pStyle w:val="NormalCentered"/>
        <w:autoSpaceDE w:val="0"/>
        <w:autoSpaceDN w:val="0"/>
        <w:rPr>
          <w:b/>
          <w:bCs/>
          <w:noProof/>
        </w:rPr>
      </w:pPr>
      <w:r>
        <w:rPr>
          <w:b/>
          <w:noProof/>
        </w:rPr>
        <w:t>Turvallisuusluokiteltujen tietojen ja arkaluonteisten turvallisuusluokittelemattomien tietojen suojelemista koskevat turvallisuussäännöt</w:t>
      </w:r>
    </w:p>
    <w:p w:rsidR="0006109C" w:rsidRDefault="00493E42">
      <w:pPr>
        <w:rPr>
          <w:rFonts w:eastAsia="Calibri"/>
          <w:noProof/>
        </w:rPr>
      </w:pPr>
      <w:r>
        <w:rPr>
          <w:noProof/>
        </w:rPr>
        <w:t>BEREC hyväksyy omat turvallisuussääntönsä, jotka vastaavat Euroopan unionin turvallisuusluokiteltujen t</w:t>
      </w:r>
      <w:r>
        <w:rPr>
          <w:noProof/>
        </w:rPr>
        <w:t>ietojen ja arkaluonteisten turvallisuusluokittelemattomien tietojen suojelemista koskevia komission turvallisuussääntöjä, muun muassa tällaisten tietojen vaihtamista, käsittelyä ja tallentamista koskevia sääntöjä, jotka vahvistetaan komission päätöksissä (</w:t>
      </w:r>
      <w:r>
        <w:rPr>
          <w:noProof/>
        </w:rPr>
        <w:t>EU, Euratom) 2015/443</w:t>
      </w:r>
      <w:r>
        <w:rPr>
          <w:rStyle w:val="FootnoteReference"/>
          <w:noProof/>
        </w:rPr>
        <w:footnoteReference w:id="42"/>
      </w:r>
      <w:r>
        <w:rPr>
          <w:noProof/>
        </w:rPr>
        <w:t xml:space="preserve"> ja (EU, Euratom) 2015/444</w:t>
      </w:r>
      <w:r>
        <w:rPr>
          <w:rStyle w:val="FootnoteReference"/>
          <w:noProof/>
        </w:rPr>
        <w:footnoteReference w:id="43"/>
      </w:r>
      <w:r>
        <w:rPr>
          <w:noProof/>
        </w:rPr>
        <w:t>. BEREC voi vaihtoehtoisesti tehdä päätöksen soveltaa komission sääntöjä soveltuvin osin.</w:t>
      </w:r>
    </w:p>
    <w:p w:rsidR="0006109C" w:rsidRDefault="00493E42">
      <w:pPr>
        <w:pStyle w:val="Titrearticle"/>
        <w:rPr>
          <w:noProof/>
        </w:rPr>
      </w:pPr>
      <w:r>
        <w:rPr>
          <w:noProof/>
        </w:rPr>
        <w:t>30 artikla</w:t>
      </w:r>
    </w:p>
    <w:p w:rsidR="0006109C" w:rsidRDefault="00493E42">
      <w:pPr>
        <w:pStyle w:val="NormalCentered"/>
        <w:autoSpaceDE w:val="0"/>
        <w:autoSpaceDN w:val="0"/>
        <w:rPr>
          <w:b/>
          <w:bCs/>
          <w:noProof/>
        </w:rPr>
      </w:pPr>
      <w:r>
        <w:rPr>
          <w:b/>
          <w:noProof/>
        </w:rPr>
        <w:t>Tietojenvaihto</w:t>
      </w:r>
    </w:p>
    <w:p w:rsidR="0006109C" w:rsidRDefault="00493E42">
      <w:pPr>
        <w:rPr>
          <w:rFonts w:eastAsia="PMingLiU"/>
          <w:noProof/>
        </w:rPr>
      </w:pPr>
      <w:r>
        <w:rPr>
          <w:noProof/>
        </w:rPr>
        <w:t>1. Komission ja kansallisten sääntelyviranomaisten on BERECin asianmukaisesti perustellusta</w:t>
      </w:r>
      <w:r>
        <w:rPr>
          <w:noProof/>
        </w:rPr>
        <w:t xml:space="preserve"> pyynnöstä toimitettava sille ajoissa ja täsmällisesti kaikki tiedot, joita se tarvitsee tehtäviensä suorittamiseen, edellyttäen että niillä on laillinen pääsy asiaankuuluviin tietoihin ja että pyyntö on tarpeellinen kyseisen tehtävän luonteeseen nähden.</w:t>
      </w:r>
    </w:p>
    <w:p w:rsidR="0006109C" w:rsidRDefault="00493E42">
      <w:pPr>
        <w:rPr>
          <w:rFonts w:eastAsia="PMingLiU"/>
          <w:noProof/>
        </w:rPr>
      </w:pPr>
      <w:r>
        <w:rPr>
          <w:noProof/>
        </w:rPr>
        <w:t>B</w:t>
      </w:r>
      <w:r>
        <w:rPr>
          <w:noProof/>
        </w:rPr>
        <w:t>EREC voi myös pyytää kansallisia sääntelyviranomaisia toimittamaan tietoja säännöllisin väliajoin ja määritellyissä muodoissa. Tällaisissa pyynnöissä on mahdollisuuksien mukaan käytettävä yhteisiä ilmoitusten muotoja.</w:t>
      </w:r>
    </w:p>
    <w:p w:rsidR="0006109C" w:rsidRDefault="00493E42">
      <w:pPr>
        <w:rPr>
          <w:rFonts w:eastAsia="PMingLiU"/>
          <w:noProof/>
        </w:rPr>
      </w:pPr>
      <w:r>
        <w:rPr>
          <w:noProof/>
        </w:rPr>
        <w:t>2. BERECin on komission tai kansallise</w:t>
      </w:r>
      <w:r>
        <w:rPr>
          <w:noProof/>
        </w:rPr>
        <w:t>n sääntelyviranomaisen asianmukaisesti perustellusta pyynnöstä toimitettava ajoissa ja täsmällisesti vilpittömän yhteistyön periaatteen pohjalta kaikki tiedot, jotka ovat tarpeen komission tai kansallisen sääntelyviranomaisen tehtävien suorittamiseksi.</w:t>
      </w:r>
    </w:p>
    <w:p w:rsidR="0006109C" w:rsidRDefault="00493E42">
      <w:pPr>
        <w:rPr>
          <w:rFonts w:eastAsia="PMingLiU"/>
          <w:noProof/>
        </w:rPr>
      </w:pPr>
      <w:r>
        <w:rPr>
          <w:noProof/>
        </w:rPr>
        <w:t xml:space="preserve">3. </w:t>
      </w:r>
      <w:r>
        <w:rPr>
          <w:noProof/>
        </w:rPr>
        <w:t>Ennen kuin BEREC pyytää tämän artiklan mukaisesti tietoja ja jotta voidaan välttää tiedonantovelvoitteiden päällekkäisyys, sen on otettava huomioon asiaankuuluvat julkisesti saatavilla olevat tiedot.</w:t>
      </w:r>
    </w:p>
    <w:p w:rsidR="0006109C" w:rsidRDefault="00493E42">
      <w:pPr>
        <w:rPr>
          <w:rFonts w:eastAsia="PMingLiU"/>
          <w:noProof/>
        </w:rPr>
      </w:pPr>
      <w:r>
        <w:rPr>
          <w:noProof/>
        </w:rPr>
        <w:t>4. Jos tietoja ei ole saatavilla tai kansalliset sääntel</w:t>
      </w:r>
      <w:r>
        <w:rPr>
          <w:noProof/>
        </w:rPr>
        <w:t>yviranomaiset eivät anna niitä saataville kohtuullisessa ajassa tai jos pyynnön esittäminen suoraan olisi tehokkaampaa ja vähemmän työlästä, BEREC voi osoittaa asianmukaisesti perustellun pyynnön muille viranomaisille tai suoraan asianomaisille sähköisen v</w:t>
      </w:r>
      <w:r>
        <w:rPr>
          <w:noProof/>
        </w:rPr>
        <w:t>iestinnän verkkoja, palveluja ja niihin liittyviä toimintoja tarjoaville yrityksille.</w:t>
      </w:r>
    </w:p>
    <w:p w:rsidR="0006109C" w:rsidRDefault="00493E42">
      <w:pPr>
        <w:rPr>
          <w:rFonts w:eastAsia="PMingLiU"/>
          <w:noProof/>
        </w:rPr>
      </w:pPr>
      <w:r>
        <w:rPr>
          <w:noProof/>
        </w:rPr>
        <w:t>BERECin on ilmoitettava tämän kohdan mukaisesti esitetyistä pyynnöistä asianomaisille kansallisille sääntelyviranomaisille.</w:t>
      </w:r>
    </w:p>
    <w:p w:rsidR="0006109C" w:rsidRDefault="00493E42">
      <w:pPr>
        <w:rPr>
          <w:rFonts w:eastAsia="PMingLiU"/>
          <w:noProof/>
        </w:rPr>
      </w:pPr>
      <w:r>
        <w:rPr>
          <w:noProof/>
        </w:rPr>
        <w:t xml:space="preserve">Kansallisten sääntelyviranomaisten on BERECin </w:t>
      </w:r>
      <w:r>
        <w:rPr>
          <w:noProof/>
        </w:rPr>
        <w:t>pyynnöstä avustettava sitä tietojen keräämisessä.</w:t>
      </w:r>
    </w:p>
    <w:p w:rsidR="0006109C" w:rsidRDefault="00493E42">
      <w:pPr>
        <w:pStyle w:val="Titrearticle"/>
        <w:rPr>
          <w:noProof/>
        </w:rPr>
      </w:pPr>
      <w:r>
        <w:rPr>
          <w:noProof/>
        </w:rPr>
        <w:t>31 artikla</w:t>
      </w:r>
    </w:p>
    <w:p w:rsidR="0006109C" w:rsidRDefault="00493E42">
      <w:pPr>
        <w:pStyle w:val="NormalCentered"/>
        <w:autoSpaceDE w:val="0"/>
        <w:autoSpaceDN w:val="0"/>
        <w:rPr>
          <w:b/>
          <w:bCs/>
          <w:noProof/>
        </w:rPr>
      </w:pPr>
      <w:r>
        <w:rPr>
          <w:b/>
          <w:noProof/>
        </w:rPr>
        <w:t>Ilmoitus sidonnaisuuksista</w:t>
      </w:r>
    </w:p>
    <w:p w:rsidR="0006109C" w:rsidRDefault="00493E42">
      <w:pPr>
        <w:pStyle w:val="LegislativeText"/>
        <w:jc w:val="both"/>
        <w:rPr>
          <w:rFonts w:eastAsia="PMingLiU" w:cs="Times New Roman"/>
          <w:noProof/>
          <w:sz w:val="24"/>
        </w:rPr>
      </w:pPr>
      <w:r>
        <w:rPr>
          <w:noProof/>
          <w:sz w:val="24"/>
        </w:rPr>
        <w:t xml:space="preserve">1. Jokaisen hallintoneuvoston jäsenen, pääjohtajan, kansallisen asiantuntijan ja muun henkilöstön jäsenen, joka ei ole BERECin palveluksessa, on tehtävä ilmoitus </w:t>
      </w:r>
      <w:r>
        <w:rPr>
          <w:noProof/>
          <w:sz w:val="24"/>
        </w:rPr>
        <w:t>sitoumuksistaan sekä siitä, onko olemassa heidän riippumattomuutensa mahdollisesti vaarantavia välittömiä tai välillisiä sidonnaisuuksia.</w:t>
      </w:r>
    </w:p>
    <w:p w:rsidR="0006109C" w:rsidRDefault="00493E42">
      <w:pPr>
        <w:rPr>
          <w:rFonts w:eastAsia="PMingLiU"/>
          <w:noProof/>
        </w:rPr>
      </w:pPr>
      <w:r>
        <w:rPr>
          <w:noProof/>
        </w:rPr>
        <w:t>Ilmoitusten on oltava tarkkoja ja täydellisiä, ne on tehtävä kirjallisesti ja ne on tarvittaessa saatettava ajan tasal</w:t>
      </w:r>
      <w:r>
        <w:rPr>
          <w:noProof/>
        </w:rPr>
        <w:t>le. Hallintoneuvoston jäsenten ja pääjohtajan tekemät ilmoitukset sidonnaisuuksista on julkaistava.</w:t>
      </w:r>
    </w:p>
    <w:p w:rsidR="0006109C" w:rsidRDefault="00493E42">
      <w:pPr>
        <w:rPr>
          <w:rFonts w:eastAsia="PMingLiU"/>
          <w:noProof/>
        </w:rPr>
      </w:pPr>
      <w:r>
        <w:rPr>
          <w:noProof/>
        </w:rPr>
        <w:t>2. Jokaisen hallintoneuvoston jäsenen, pääjohtajan, kansallisen asiantuntijan, muun henkilöstön jäsenen, joka ei ole BERECin palveluksessa, ja työryhmiin os</w:t>
      </w:r>
      <w:r>
        <w:rPr>
          <w:noProof/>
        </w:rPr>
        <w:t xml:space="preserve">allistuvan asiantuntijan on ilmoitettava viimeistään kunkin kokouksen alussa tarkasti ja täydellisesti mahdolliset sidonnaisuudet, jotka saattavat vaarantaa heidän riippumattomuutensa kokouksen esityslistalla olevien asioiden suhteen, sekä pidättäydyttävä </w:t>
      </w:r>
      <w:r>
        <w:rPr>
          <w:noProof/>
        </w:rPr>
        <w:t>osallistumasta kyseisiä kohtia koskevaan keskusteluun ja äänestykseen.</w:t>
      </w:r>
    </w:p>
    <w:p w:rsidR="0006109C" w:rsidRDefault="00493E42">
      <w:pPr>
        <w:rPr>
          <w:rFonts w:eastAsia="PMingLiU"/>
          <w:noProof/>
        </w:rPr>
      </w:pPr>
      <w:r>
        <w:rPr>
          <w:noProof/>
        </w:rPr>
        <w:t>3. Hallintoneuvosto vahvistaa säännöt eturistiriitojen ehkäisemisestä ja hallinnasta ja erityisesti käytännön järjestelyistä 1 ja 2 kohdassa tarkoitettujen säännösten soveltamiseksi.</w:t>
      </w:r>
    </w:p>
    <w:p w:rsidR="0006109C" w:rsidRDefault="00493E42">
      <w:pPr>
        <w:pStyle w:val="Titrearticle"/>
        <w:rPr>
          <w:noProof/>
        </w:rPr>
      </w:pPr>
      <w:r>
        <w:rPr>
          <w:noProof/>
        </w:rPr>
        <w:t>32</w:t>
      </w:r>
      <w:r>
        <w:rPr>
          <w:noProof/>
        </w:rPr>
        <w:t xml:space="preserve"> artikla</w:t>
      </w:r>
    </w:p>
    <w:p w:rsidR="0006109C" w:rsidRDefault="00493E42">
      <w:pPr>
        <w:pStyle w:val="NormalCentered"/>
        <w:autoSpaceDE w:val="0"/>
        <w:autoSpaceDN w:val="0"/>
        <w:rPr>
          <w:b/>
          <w:bCs/>
          <w:noProof/>
        </w:rPr>
      </w:pPr>
      <w:r>
        <w:rPr>
          <w:b/>
          <w:noProof/>
        </w:rPr>
        <w:t>Petostentorjunta</w:t>
      </w:r>
    </w:p>
    <w:p w:rsidR="0006109C" w:rsidRDefault="00493E42">
      <w:pPr>
        <w:rPr>
          <w:rFonts w:eastAsia="PMingLiU"/>
          <w:noProof/>
        </w:rPr>
      </w:pPr>
      <w:r>
        <w:rPr>
          <w:noProof/>
        </w:rPr>
        <w:t>1. Helpottaakseen Euroopan parlamentin ja neuvoston asetuksen (EU, Euratom) N:o 883/2013</w:t>
      </w:r>
      <w:r>
        <w:rPr>
          <w:rStyle w:val="FootnoteReference"/>
          <w:noProof/>
        </w:rPr>
        <w:footnoteReference w:id="44"/>
      </w:r>
      <w:r>
        <w:rPr>
          <w:noProof/>
        </w:rPr>
        <w:t xml:space="preserve"> soveltamisalaan kuuluvien petosten, lahjonnan ja muiden laittomien toimien torjuntaa BEREC liittyy kuuden kuukauden kuluessa tämän asetuksen</w:t>
      </w:r>
      <w:r>
        <w:rPr>
          <w:noProof/>
        </w:rPr>
        <w:t xml:space="preserve"> voimaantulosta 25 päivänä toukokuuta 1999 tehtyyn toimielinten väliseen sopimukseen Euroopan petostentorjuntaviraston (OLAF) sisäisistä tutkimuksista ja vahvistaa mainitun sopimuksen liitteessä olevaa mallia käyttäen asianmukaiset määräykset, joita sovell</w:t>
      </w:r>
      <w:r>
        <w:rPr>
          <w:noProof/>
        </w:rPr>
        <w:t>etaan BERECin kaikkiin työntekijöihin.</w:t>
      </w:r>
    </w:p>
    <w:p w:rsidR="0006109C" w:rsidRDefault="00493E42">
      <w:pPr>
        <w:rPr>
          <w:rFonts w:eastAsia="PMingLiU"/>
          <w:noProof/>
        </w:rPr>
      </w:pPr>
      <w:r>
        <w:rPr>
          <w:noProof/>
        </w:rPr>
        <w:t>2. Tilintarkastustuomioistuimella on valtuudet tehdä kaikkien BERECilta unionin rahoitusta saaneiden avustuksensaajien, toimeksisaajien ja alihankkijoiden osalta asiakirjoihin perustuvia ja paikalla suoritettavia tark</w:t>
      </w:r>
      <w:r>
        <w:rPr>
          <w:noProof/>
        </w:rPr>
        <w:t>astuksia.</w:t>
      </w:r>
    </w:p>
    <w:p w:rsidR="0006109C" w:rsidRDefault="00493E42">
      <w:pPr>
        <w:rPr>
          <w:rFonts w:eastAsia="PMingLiU"/>
          <w:noProof/>
        </w:rPr>
      </w:pPr>
      <w:r>
        <w:rPr>
          <w:noProof/>
        </w:rPr>
        <w:t>3. OLAF voi suorittaa tutkimuksia, mukaan lukien paikalla suoritettavat selvitykset ja tarkastukset, asetuksessa (EU, Euratom) N:o 883/2013 ja neuvoston asetuksessa (Euratom, EY) N:o 2185/96</w:t>
      </w:r>
      <w:r>
        <w:rPr>
          <w:rStyle w:val="FootnoteReference"/>
          <w:noProof/>
        </w:rPr>
        <w:footnoteReference w:id="45"/>
      </w:r>
      <w:r>
        <w:rPr>
          <w:noProof/>
        </w:rPr>
        <w:t xml:space="preserve"> säädettyjä säännöksiä ja menettelyjä noudattaen, jotta</w:t>
      </w:r>
      <w:r>
        <w:rPr>
          <w:noProof/>
        </w:rPr>
        <w:t xml:space="preserve"> voidaan määrittää, liittyykö BERECin rahoittamaan avustukseen tai sopimukseen petos, lahjonta tai muu laiton toiminta, joka vaikuttaa unionin taloudellisiin etuihin.</w:t>
      </w:r>
    </w:p>
    <w:p w:rsidR="0006109C" w:rsidRDefault="00493E42">
      <w:pPr>
        <w:rPr>
          <w:rFonts w:eastAsia="PMingLiU"/>
          <w:noProof/>
        </w:rPr>
      </w:pPr>
      <w:r>
        <w:rPr>
          <w:noProof/>
        </w:rPr>
        <w:t>4. BERECin kolmansien maiden toimivaltaisten viranomaisten ja kansainvälisten järjestöjen</w:t>
      </w:r>
      <w:r>
        <w:rPr>
          <w:noProof/>
        </w:rPr>
        <w:t xml:space="preserve"> kanssa tekemissä yhteistyösopimuksissa sekä sen muissa sopimuksissa, avustussopimuksissa ja avustuspäätöksissä on nimenomaisesti annettava Euroopan tilintarkastustuomioistuimelle ja OLAFille valtuudet tehdä tällaisia tarkastuksia ja tutkimuksia toimivaltu</w:t>
      </w:r>
      <w:r>
        <w:rPr>
          <w:noProof/>
        </w:rPr>
        <w:t>uksiensa mukaisesti, sanotun kuitenkaan rajoittamatta 1, 2 ja 3 kohdan soveltamista.</w:t>
      </w:r>
    </w:p>
    <w:p w:rsidR="0006109C" w:rsidRDefault="00493E42">
      <w:pPr>
        <w:pStyle w:val="Titrearticle"/>
        <w:rPr>
          <w:noProof/>
        </w:rPr>
      </w:pPr>
      <w:r>
        <w:rPr>
          <w:noProof/>
        </w:rPr>
        <w:t>33 artikla</w:t>
      </w:r>
    </w:p>
    <w:p w:rsidR="0006109C" w:rsidRDefault="00493E42">
      <w:pPr>
        <w:pStyle w:val="NormalCentered"/>
        <w:autoSpaceDE w:val="0"/>
        <w:autoSpaceDN w:val="0"/>
        <w:rPr>
          <w:b/>
          <w:bCs/>
          <w:noProof/>
        </w:rPr>
      </w:pPr>
      <w:r>
        <w:rPr>
          <w:b/>
          <w:noProof/>
        </w:rPr>
        <w:t>Vastuu</w:t>
      </w:r>
    </w:p>
    <w:p w:rsidR="0006109C" w:rsidRDefault="00493E42">
      <w:pPr>
        <w:rPr>
          <w:rFonts w:eastAsia="PMingLiU"/>
          <w:noProof/>
        </w:rPr>
      </w:pPr>
      <w:r>
        <w:rPr>
          <w:noProof/>
        </w:rPr>
        <w:t>1. BERECin sopimusperusteinen vastuu määräytyy asianomaiseen sopimukseen sovellettavan lain mukaisesti.</w:t>
      </w:r>
    </w:p>
    <w:p w:rsidR="0006109C" w:rsidRDefault="00493E42">
      <w:pPr>
        <w:rPr>
          <w:rFonts w:eastAsia="PMingLiU"/>
          <w:noProof/>
        </w:rPr>
      </w:pPr>
      <w:r>
        <w:rPr>
          <w:noProof/>
        </w:rPr>
        <w:t xml:space="preserve">2. Euroopan unionin tuomioistuimella on </w:t>
      </w:r>
      <w:r>
        <w:rPr>
          <w:noProof/>
        </w:rPr>
        <w:t>toimivalta antaa ratkaisu BERECin tekemässä sopimuksessa mahdollisesti olevan välityslausekkeen nojalla.</w:t>
      </w:r>
    </w:p>
    <w:p w:rsidR="0006109C" w:rsidRDefault="00493E42">
      <w:pPr>
        <w:rPr>
          <w:rFonts w:eastAsia="PMingLiU"/>
          <w:noProof/>
        </w:rPr>
      </w:pPr>
      <w:r>
        <w:rPr>
          <w:noProof/>
        </w:rPr>
        <w:t>3. Jos kyseessä on sopimukseen perustumaton vastuu, BEREC korvaa jäsenvaltioiden lainsäädäntöön sisältyvien yhteisten perusperiaatteiden mukaisesti vah</w:t>
      </w:r>
      <w:r>
        <w:rPr>
          <w:noProof/>
        </w:rPr>
        <w:t>ingon, jonka sen yksiköt tai henkilöstön jäsenet ovat tehtäviään suorittaessaan aiheuttaneet.</w:t>
      </w:r>
    </w:p>
    <w:p w:rsidR="0006109C" w:rsidRDefault="00493E42">
      <w:pPr>
        <w:rPr>
          <w:rFonts w:eastAsia="PMingLiU"/>
          <w:noProof/>
        </w:rPr>
      </w:pPr>
      <w:r>
        <w:rPr>
          <w:noProof/>
        </w:rPr>
        <w:t>4. Euroopan unionin tuomioistuimella on toimivalta ratkaista riidat, jotka koskevat 3 kohdassa tarkoitettujen vahinkojen korvaamista.</w:t>
      </w:r>
    </w:p>
    <w:p w:rsidR="0006109C" w:rsidRDefault="00493E42">
      <w:pPr>
        <w:rPr>
          <w:rFonts w:eastAsia="PMingLiU"/>
          <w:noProof/>
        </w:rPr>
      </w:pPr>
      <w:r>
        <w:rPr>
          <w:noProof/>
        </w:rPr>
        <w:t>5. BERECin henkilöstöön kuul</w:t>
      </w:r>
      <w:r>
        <w:rPr>
          <w:noProof/>
        </w:rPr>
        <w:t>uvien henkilökohtaisesta korvausvastuusta BERECia kohtaan määrätään heihin sovellettavissa henkilöstösäännöissä tai palvelussuhteen ehdoissa.</w:t>
      </w:r>
    </w:p>
    <w:p w:rsidR="0006109C" w:rsidRDefault="00493E42">
      <w:pPr>
        <w:pStyle w:val="Titrearticle"/>
        <w:rPr>
          <w:noProof/>
        </w:rPr>
      </w:pPr>
      <w:r>
        <w:rPr>
          <w:noProof/>
        </w:rPr>
        <w:t>34 artikla</w:t>
      </w:r>
    </w:p>
    <w:p w:rsidR="0006109C" w:rsidRDefault="00493E42">
      <w:pPr>
        <w:pStyle w:val="NormalCentered"/>
        <w:autoSpaceDE w:val="0"/>
        <w:autoSpaceDN w:val="0"/>
        <w:rPr>
          <w:b/>
          <w:bCs/>
          <w:noProof/>
        </w:rPr>
      </w:pPr>
      <w:r>
        <w:rPr>
          <w:b/>
          <w:noProof/>
        </w:rPr>
        <w:t>Hallinnolliset tutkimukset</w:t>
      </w:r>
    </w:p>
    <w:p w:rsidR="0006109C" w:rsidRDefault="00493E42">
      <w:pPr>
        <w:rPr>
          <w:rFonts w:eastAsia="Calibri"/>
          <w:noProof/>
        </w:rPr>
      </w:pPr>
      <w:r>
        <w:rPr>
          <w:noProof/>
        </w:rPr>
        <w:t>BERECin toiminta kuuluu oikeusasiamiehen valvonnan alaisuuteen Euroopan unio</w:t>
      </w:r>
      <w:r>
        <w:rPr>
          <w:noProof/>
        </w:rPr>
        <w:t>nin toiminnasta tehdyn sopimuksen 228 artiklan määräysten mukaisesti.</w:t>
      </w:r>
    </w:p>
    <w:p w:rsidR="0006109C" w:rsidRDefault="00493E42">
      <w:pPr>
        <w:pStyle w:val="Titrearticle"/>
        <w:rPr>
          <w:noProof/>
        </w:rPr>
      </w:pPr>
      <w:r>
        <w:rPr>
          <w:noProof/>
        </w:rPr>
        <w:t>35 artikla</w:t>
      </w:r>
    </w:p>
    <w:p w:rsidR="0006109C" w:rsidRDefault="00493E42">
      <w:pPr>
        <w:pStyle w:val="NormalCentered"/>
        <w:autoSpaceDE w:val="0"/>
        <w:autoSpaceDN w:val="0"/>
        <w:rPr>
          <w:b/>
          <w:bCs/>
          <w:noProof/>
        </w:rPr>
      </w:pPr>
      <w:r>
        <w:rPr>
          <w:b/>
          <w:noProof/>
        </w:rPr>
        <w:t>Kielijärjestelyt</w:t>
      </w:r>
    </w:p>
    <w:p w:rsidR="0006109C" w:rsidRDefault="00493E42">
      <w:pPr>
        <w:rPr>
          <w:rFonts w:eastAsia="PMingLiU"/>
          <w:noProof/>
        </w:rPr>
      </w:pPr>
      <w:r>
        <w:rPr>
          <w:noProof/>
        </w:rPr>
        <w:t>1. BERECiin sovelletaan asetuksessa N:o 1/58</w:t>
      </w:r>
      <w:r>
        <w:rPr>
          <w:rStyle w:val="FootnoteReference"/>
          <w:noProof/>
        </w:rPr>
        <w:footnoteReference w:id="46"/>
      </w:r>
      <w:r>
        <w:rPr>
          <w:noProof/>
        </w:rPr>
        <w:t xml:space="preserve"> vahvistettuja säännöksiä.</w:t>
      </w:r>
    </w:p>
    <w:p w:rsidR="0006109C" w:rsidRDefault="00493E42">
      <w:pPr>
        <w:rPr>
          <w:rFonts w:eastAsia="PMingLiU"/>
          <w:noProof/>
        </w:rPr>
      </w:pPr>
      <w:r>
        <w:rPr>
          <w:noProof/>
        </w:rPr>
        <w:t xml:space="preserve">2. Euroopan unionin elinten käännöskeskus huolehtii BERECin toiminnassa tarvittavista </w:t>
      </w:r>
      <w:r>
        <w:rPr>
          <w:noProof/>
        </w:rPr>
        <w:t>käännöspalveluista.</w:t>
      </w:r>
    </w:p>
    <w:p w:rsidR="0006109C" w:rsidRDefault="0006109C">
      <w:pPr>
        <w:rPr>
          <w:rFonts w:eastAsia="PMingLiU"/>
          <w:noProof/>
        </w:rPr>
      </w:pPr>
    </w:p>
    <w:p w:rsidR="0006109C" w:rsidRDefault="00493E42">
      <w:pPr>
        <w:pStyle w:val="Titrearticle"/>
        <w:rPr>
          <w:noProof/>
        </w:rPr>
      </w:pPr>
      <w:r>
        <w:rPr>
          <w:noProof/>
        </w:rPr>
        <w:t>36 artikla</w:t>
      </w:r>
    </w:p>
    <w:p w:rsidR="0006109C" w:rsidRDefault="00493E42">
      <w:pPr>
        <w:pStyle w:val="NormalCentered"/>
        <w:autoSpaceDE w:val="0"/>
        <w:autoSpaceDN w:val="0"/>
        <w:rPr>
          <w:b/>
          <w:bCs/>
          <w:noProof/>
        </w:rPr>
      </w:pPr>
      <w:r>
        <w:rPr>
          <w:b/>
          <w:noProof/>
        </w:rPr>
        <w:t>Komitea</w:t>
      </w:r>
    </w:p>
    <w:p w:rsidR="0006109C" w:rsidRDefault="00493E42">
      <w:pPr>
        <w:rPr>
          <w:noProof/>
        </w:rPr>
      </w:pPr>
      <w:r>
        <w:rPr>
          <w:noProof/>
        </w:rPr>
        <w:t>1. Komissiota avustaa komitea, jäljempänä ’viestintäkomitea’. Tämä komitea on asetuksessa (EU) N:o 182/2011 tarkoitettu komitea.</w:t>
      </w:r>
    </w:p>
    <w:p w:rsidR="0006109C" w:rsidRDefault="00493E42">
      <w:pPr>
        <w:rPr>
          <w:noProof/>
        </w:rPr>
      </w:pPr>
      <w:r>
        <w:rPr>
          <w:noProof/>
        </w:rPr>
        <w:t xml:space="preserve">2. Kun viitataan tähän kohtaan, sovelletaan asetuksen (EU) N:o 182/2011 4 artiklaa. </w:t>
      </w:r>
    </w:p>
    <w:p w:rsidR="0006109C" w:rsidRDefault="00493E42">
      <w:pPr>
        <w:rPr>
          <w:noProof/>
        </w:rPr>
      </w:pPr>
      <w:r>
        <w:rPr>
          <w:noProof/>
        </w:rPr>
        <w:t>3.</w:t>
      </w:r>
      <w:r>
        <w:rPr>
          <w:noProof/>
        </w:rPr>
        <w:t xml:space="preserve"> Kun komitean lausunto on tarkoitus hankkia kirjallista menettelyä noudattaen, tämä menettely päätetään tuloksettomana, jos komitean puheenjohtaja lausunnon antamiselle asetetussa määräajassa niin päättää.</w:t>
      </w:r>
    </w:p>
    <w:p w:rsidR="0006109C" w:rsidRDefault="0006109C">
      <w:pPr>
        <w:rPr>
          <w:rFonts w:eastAsia="PMingLiU"/>
          <w:noProof/>
        </w:rPr>
      </w:pPr>
    </w:p>
    <w:p w:rsidR="0006109C" w:rsidRDefault="00493E42">
      <w:pPr>
        <w:pStyle w:val="SectionTitle"/>
        <w:autoSpaceDE w:val="0"/>
        <w:autoSpaceDN w:val="0"/>
        <w:rPr>
          <w:rFonts w:eastAsiaTheme="minorEastAsia"/>
          <w:bCs/>
          <w:noProof/>
          <w:szCs w:val="28"/>
        </w:rPr>
      </w:pPr>
      <w:r>
        <w:rPr>
          <w:noProof/>
        </w:rPr>
        <w:t>VI luku</w:t>
      </w:r>
    </w:p>
    <w:p w:rsidR="0006109C" w:rsidRDefault="00493E42">
      <w:pPr>
        <w:pStyle w:val="SectionTitle"/>
        <w:autoSpaceDE w:val="0"/>
        <w:autoSpaceDN w:val="0"/>
        <w:rPr>
          <w:noProof/>
        </w:rPr>
      </w:pPr>
      <w:r>
        <w:rPr>
          <w:noProof/>
          <w:sz w:val="22"/>
        </w:rPr>
        <w:t>SIIRTYMÄ- JA LOPPUSÄÄNNÖKSET</w:t>
      </w:r>
    </w:p>
    <w:p w:rsidR="0006109C" w:rsidRDefault="00493E42">
      <w:pPr>
        <w:pStyle w:val="Titrearticle"/>
        <w:rPr>
          <w:noProof/>
        </w:rPr>
      </w:pPr>
      <w:r>
        <w:rPr>
          <w:noProof/>
        </w:rPr>
        <w:t>37 artikla</w:t>
      </w:r>
    </w:p>
    <w:p w:rsidR="0006109C" w:rsidRDefault="00493E42">
      <w:pPr>
        <w:pStyle w:val="NormalCentered"/>
        <w:autoSpaceDE w:val="0"/>
        <w:autoSpaceDN w:val="0"/>
        <w:rPr>
          <w:b/>
          <w:bCs/>
          <w:noProof/>
        </w:rPr>
      </w:pPr>
      <w:r>
        <w:rPr>
          <w:b/>
          <w:noProof/>
          <w:sz w:val="22"/>
        </w:rPr>
        <w:t>Toimipaikkaa koskeva sopimus ja toimintaedellytykset</w:t>
      </w:r>
    </w:p>
    <w:p w:rsidR="0006109C" w:rsidRDefault="00493E42">
      <w:pPr>
        <w:rPr>
          <w:rFonts w:eastAsia="PMingLiU"/>
          <w:noProof/>
        </w:rPr>
      </w:pPr>
      <w:r>
        <w:rPr>
          <w:noProof/>
        </w:rPr>
        <w:t>1. Vastaanottavan jäsenvaltion BERECille tarjoamia tiloja ja palveluja koskevat tarvittavat järjestelyt sekä pääjohtajaan, hallintoneuvoston jäseniin, BERECin henkilöstöön ja heidän perheenjäseniinsä vas</w:t>
      </w:r>
      <w:r>
        <w:rPr>
          <w:noProof/>
        </w:rPr>
        <w:t xml:space="preserve">taanottavassa jäsenvaltiossa sovellettavat erityissäännöt vahvistetaan BERECin ja vastaanottavan jäsenvaltion välisessä toimipaikkaa koskevassa sopimuksessa, joka tehdään sen jälkeen kun hallintoneuvosto on sen hyväksynyt ja viimeistään kaksi vuotta tämän </w:t>
      </w:r>
      <w:r>
        <w:rPr>
          <w:noProof/>
        </w:rPr>
        <w:t>asetuksen voimaantulon jälkeen.</w:t>
      </w:r>
    </w:p>
    <w:p w:rsidR="0006109C" w:rsidRDefault="00493E42">
      <w:pPr>
        <w:rPr>
          <w:rFonts w:eastAsia="PMingLiU"/>
          <w:noProof/>
        </w:rPr>
      </w:pPr>
      <w:r>
        <w:rPr>
          <w:noProof/>
        </w:rPr>
        <w:t xml:space="preserve">2. Vastaanottavan jäsenvaltion on varmistettava BERECin moitteettomalle ja tehokkaalle toiminnalle tarvittavat edellytykset, mukaan lukien monikieliset ja Eurooppa-suuntautuneet koulunkäyntimahdollisuudet sekä asianmukaiset </w:t>
      </w:r>
      <w:r>
        <w:rPr>
          <w:noProof/>
        </w:rPr>
        <w:t>liikenneyhteydet.</w:t>
      </w:r>
    </w:p>
    <w:p w:rsidR="0006109C" w:rsidRDefault="00493E42">
      <w:pPr>
        <w:pStyle w:val="Titrearticle"/>
        <w:rPr>
          <w:noProof/>
        </w:rPr>
      </w:pPr>
      <w:r>
        <w:rPr>
          <w:noProof/>
        </w:rPr>
        <w:t>38 artikla</w:t>
      </w:r>
    </w:p>
    <w:p w:rsidR="0006109C" w:rsidRDefault="00493E42">
      <w:pPr>
        <w:pStyle w:val="NormalCentered"/>
        <w:autoSpaceDE w:val="0"/>
        <w:autoSpaceDN w:val="0"/>
        <w:rPr>
          <w:b/>
          <w:bCs/>
          <w:noProof/>
          <w:szCs w:val="24"/>
        </w:rPr>
      </w:pPr>
      <w:r>
        <w:rPr>
          <w:b/>
          <w:noProof/>
        </w:rPr>
        <w:t>Arviointi</w:t>
      </w:r>
    </w:p>
    <w:p w:rsidR="0006109C" w:rsidRDefault="00493E42">
      <w:pPr>
        <w:rPr>
          <w:rFonts w:eastAsia="PMingLiU"/>
          <w:noProof/>
        </w:rPr>
      </w:pPr>
      <w:r>
        <w:rPr>
          <w:noProof/>
        </w:rPr>
        <w:t xml:space="preserve">1. Komissio tekee viimeistään viiden vuoden kuluttua tämän asetuksen voimaantulosta ja sen jälkeen viiden vuoden välein komission suuntaviivojen mukaisen arvioinnin BERECin toiminnasta suhteessa sen tavoitteisiin, </w:t>
      </w:r>
      <w:r>
        <w:rPr>
          <w:noProof/>
        </w:rPr>
        <w:t>toimeksiantoon, tehtäviin ja toimipaikkaan (toimipaikkoihin). Arvioinnissa tarkastellaan erityisesti mahdollista tarvetta muuttaa BERECin toimeksiantoa ja tällaisten muutosten taloudellisia vaikutuksia.</w:t>
      </w:r>
    </w:p>
    <w:p w:rsidR="0006109C" w:rsidRDefault="00493E42">
      <w:pPr>
        <w:rPr>
          <w:rFonts w:eastAsia="PMingLiU"/>
          <w:noProof/>
        </w:rPr>
      </w:pPr>
      <w:r>
        <w:rPr>
          <w:noProof/>
        </w:rPr>
        <w:t>2. Jos komissio toteaa, että BERECin toiminnan jatkam</w:t>
      </w:r>
      <w:r>
        <w:rPr>
          <w:noProof/>
        </w:rPr>
        <w:t>inen ei ole enää perusteltua ottaen huomioon sille asetetut tavoitteet, toimeksianto ja tehtävät, se voi ehdottaa tämän asetuksen muuttamista tai kumoamista.</w:t>
      </w:r>
    </w:p>
    <w:p w:rsidR="0006109C" w:rsidRDefault="00493E42">
      <w:pPr>
        <w:rPr>
          <w:rFonts w:eastAsia="PMingLiU"/>
          <w:noProof/>
        </w:rPr>
      </w:pPr>
      <w:r>
        <w:rPr>
          <w:noProof/>
        </w:rPr>
        <w:t>3. Komissio raportoi Euroopan parlamentille, neuvostolle ja hallintoneuvostolle arvioinnin tuloksi</w:t>
      </w:r>
      <w:r>
        <w:rPr>
          <w:noProof/>
        </w:rPr>
        <w:t>sta. Arvioinnin tulokset julkistetaan.</w:t>
      </w:r>
    </w:p>
    <w:p w:rsidR="0006109C" w:rsidRDefault="00493E42">
      <w:pPr>
        <w:pStyle w:val="Titrearticle"/>
        <w:rPr>
          <w:noProof/>
        </w:rPr>
      </w:pPr>
      <w:r>
        <w:rPr>
          <w:noProof/>
        </w:rPr>
        <w:t>39 artikla</w:t>
      </w:r>
    </w:p>
    <w:p w:rsidR="0006109C" w:rsidRDefault="00493E42">
      <w:pPr>
        <w:pStyle w:val="NormalCentered"/>
        <w:rPr>
          <w:b/>
          <w:bCs/>
          <w:noProof/>
          <w:szCs w:val="24"/>
        </w:rPr>
      </w:pPr>
      <w:r>
        <w:rPr>
          <w:b/>
          <w:noProof/>
        </w:rPr>
        <w:t>Asetuksella (EY) N:o 1211/2009 perustetun viraston korvaaminen</w:t>
      </w:r>
    </w:p>
    <w:p w:rsidR="0006109C" w:rsidRDefault="00493E42">
      <w:pPr>
        <w:rPr>
          <w:rFonts w:eastAsia="PMingLiU"/>
          <w:noProof/>
        </w:rPr>
      </w:pPr>
      <w:r>
        <w:rPr>
          <w:noProof/>
        </w:rPr>
        <w:t>1. BEREC korvaa asetuksella (EY) N:o 1211/2009 perustetun viraston (’BEREC-virasto’) kaikkien omistusten, sopimusten, oikeudellisten velvoittei</w:t>
      </w:r>
      <w:r>
        <w:rPr>
          <w:noProof/>
        </w:rPr>
        <w:t>den, työsopimusten, taloudellisten sitoumusten ja vastuiden osalta, sanotun kuitenkaan rajoittamatta 2 kohdan soveltamista.</w:t>
      </w:r>
    </w:p>
    <w:p w:rsidR="0006109C" w:rsidRDefault="00493E42">
      <w:pPr>
        <w:rPr>
          <w:rFonts w:eastAsia="PMingLiU"/>
          <w:noProof/>
        </w:rPr>
      </w:pPr>
      <w:r>
        <w:rPr>
          <w:noProof/>
        </w:rPr>
        <w:t>Tämä asetus ei vaikuta asetuksella (EY) N:o 1211/2009 perustetun viraston henkilöstön oikeuksiin ja velvoitteisiin. Tämän henkilöstö</w:t>
      </w:r>
      <w:r>
        <w:rPr>
          <w:noProof/>
        </w:rPr>
        <w:t>n työsopimukset voidaan tämän asetuksen nojalla uusia henkilöstösääntöjen ja palvelussuhteen ehtojen mukaisesti sekä BERECin talousarvion puitteissa.</w:t>
      </w:r>
    </w:p>
    <w:p w:rsidR="0006109C" w:rsidRDefault="00493E42">
      <w:pPr>
        <w:rPr>
          <w:rFonts w:eastAsia="PMingLiU"/>
          <w:noProof/>
        </w:rPr>
      </w:pPr>
      <w:r>
        <w:rPr>
          <w:noProof/>
        </w:rPr>
        <w:t>2. Alkaen [</w:t>
      </w:r>
      <w:r>
        <w:rPr>
          <w:i/>
          <w:noProof/>
        </w:rPr>
        <w:t>the date of entry into force of this regulation</w:t>
      </w:r>
      <w:r>
        <w:rPr>
          <w:noProof/>
        </w:rPr>
        <w:t>] ja siihen asti, kunnes hallintoneuvoston 22 ar</w:t>
      </w:r>
      <w:r>
        <w:rPr>
          <w:noProof/>
        </w:rPr>
        <w:t>tiklan mukaisesti nimittämä pääjohtaja ryhtyy hoitamaan tehtäviään, asetuksen (EY) N:o 1211/2009 nojalla nimitetty hallintojohtaja toimii jäljellä olevan toimikautensa väliaikaisena pääjohtajana hoitaen tässä asetuksessa säädettyjä tehtäviä. Muut hallintoj</w:t>
      </w:r>
      <w:r>
        <w:rPr>
          <w:noProof/>
        </w:rPr>
        <w:t>ohtajaa koskevat sopimusehdot säilyvät muuttumattomina.</w:t>
      </w:r>
    </w:p>
    <w:p w:rsidR="0006109C" w:rsidRDefault="00493E42">
      <w:pPr>
        <w:rPr>
          <w:rFonts w:eastAsia="PMingLiU"/>
          <w:noProof/>
        </w:rPr>
      </w:pPr>
      <w:r>
        <w:rPr>
          <w:noProof/>
        </w:rPr>
        <w:t>Väliaikaisena pääjohtajana hallintojohtaja käyttää nimittävän viranomaisen toimivaltaa. Hän voi antaa luvan maksujen suorittamiseen BERECin talousarviomäärärahoista hallintoneuvoston annettua hyväksyn</w:t>
      </w:r>
      <w:r>
        <w:rPr>
          <w:noProof/>
        </w:rPr>
        <w:t>tänsä ja tehdä sopimuksia, myös henkilöstön palvelukseenottoa koskevia sopimuksia, sen jälkeen kun BERECin henkilöstötaulukko on hyväksytty.</w:t>
      </w:r>
    </w:p>
    <w:p w:rsidR="0006109C" w:rsidRDefault="00493E42">
      <w:pPr>
        <w:rPr>
          <w:rFonts w:eastAsia="PMingLiU"/>
          <w:noProof/>
        </w:rPr>
      </w:pPr>
      <w:r>
        <w:rPr>
          <w:noProof/>
        </w:rPr>
        <w:t>3. Asetuksen (EY) N:o 1211/2009 nojalla nimitetyn hallintojohtajan työsopimus päättyy hänen toimikautensa päättyess</w:t>
      </w:r>
      <w:r>
        <w:rPr>
          <w:noProof/>
        </w:rPr>
        <w:t>ä tai päivänä, jona hallintoneuvoston 22 artiklan mukaisesti nimittämä pääjohtaja ryhtyy hoitamaan tehtäviään, sen mukaan, kumpi ajankohta on aikaisempi.</w:t>
      </w:r>
    </w:p>
    <w:p w:rsidR="0006109C" w:rsidRDefault="00493E42">
      <w:pPr>
        <w:rPr>
          <w:rFonts w:eastAsia="PMingLiU"/>
          <w:noProof/>
        </w:rPr>
      </w:pPr>
      <w:r>
        <w:rPr>
          <w:noProof/>
        </w:rPr>
        <w:t>Asetuksen (EY) N:o 1211/2009 nojalla nimitetyn hallintojohtajan, jonka toimikautta on jatkettu, on pid</w:t>
      </w:r>
      <w:r>
        <w:rPr>
          <w:noProof/>
        </w:rPr>
        <w:t>ättäydyttävä osallistumasta 22 artiklassa tarkoitettuun pääjohtajan valintamenettelyyn.</w:t>
      </w:r>
    </w:p>
    <w:p w:rsidR="0006109C" w:rsidRDefault="00493E42">
      <w:pPr>
        <w:rPr>
          <w:rFonts w:eastAsia="PMingLiU"/>
          <w:noProof/>
        </w:rPr>
      </w:pPr>
      <w:r>
        <w:rPr>
          <w:noProof/>
        </w:rPr>
        <w:t>4. Edellä 4 artiklassa tarkoitettu hallintoneuvosto koostuu asetuksen (EY) N:o 1211/2009 7 artiklassa tarkoitetun johtokunnan jäsenistä, kunnes uudet edustajat on nimit</w:t>
      </w:r>
      <w:r>
        <w:rPr>
          <w:noProof/>
        </w:rPr>
        <w:t>etty.</w:t>
      </w:r>
    </w:p>
    <w:p w:rsidR="0006109C" w:rsidRDefault="00493E42">
      <w:pPr>
        <w:rPr>
          <w:rFonts w:eastAsia="PMingLiU"/>
          <w:noProof/>
        </w:rPr>
      </w:pPr>
      <w:r>
        <w:rPr>
          <w:noProof/>
        </w:rPr>
        <w:t>5. Asetuksen (EY) N:o 1211/2009 11 artiklan nojalla hyväksyttyä talousarviota koskeva vastuuvapausmenettely toteutetaan kyseisessä asetuksessa vahvistettujen sääntöjen mukaisesti.</w:t>
      </w:r>
    </w:p>
    <w:p w:rsidR="0006109C" w:rsidRDefault="00493E42">
      <w:pPr>
        <w:pStyle w:val="Titrearticle"/>
        <w:rPr>
          <w:noProof/>
        </w:rPr>
      </w:pPr>
      <w:r>
        <w:rPr>
          <w:noProof/>
        </w:rPr>
        <w:t>40 artikla</w:t>
      </w:r>
    </w:p>
    <w:p w:rsidR="0006109C" w:rsidRDefault="00493E42">
      <w:pPr>
        <w:pStyle w:val="NormalCentered"/>
        <w:rPr>
          <w:b/>
          <w:bCs/>
          <w:noProof/>
          <w:szCs w:val="24"/>
        </w:rPr>
      </w:pPr>
      <w:r>
        <w:rPr>
          <w:b/>
          <w:noProof/>
        </w:rPr>
        <w:t>Voimaantulo</w:t>
      </w:r>
    </w:p>
    <w:p w:rsidR="0006109C" w:rsidRDefault="00493E42">
      <w:pPr>
        <w:rPr>
          <w:rFonts w:eastAsia="PMingLiU"/>
          <w:noProof/>
        </w:rPr>
      </w:pPr>
      <w:r>
        <w:rPr>
          <w:noProof/>
        </w:rPr>
        <w:t xml:space="preserve">Kumotaan asetus (EY) N:o 1211/2009. </w:t>
      </w:r>
    </w:p>
    <w:p w:rsidR="0006109C" w:rsidRDefault="00493E42">
      <w:pPr>
        <w:rPr>
          <w:i/>
          <w:noProof/>
        </w:rPr>
      </w:pPr>
      <w:r>
        <w:rPr>
          <w:noProof/>
        </w:rPr>
        <w:t>Viittaukse</w:t>
      </w:r>
      <w:r>
        <w:rPr>
          <w:noProof/>
        </w:rPr>
        <w:t>t asetukseen (EY) N:o 1211/2009 ja BEREC-virastoon katsotaan viittauksiksi tähän asetukseen ja BERECiin.</w:t>
      </w:r>
    </w:p>
    <w:p w:rsidR="0006109C" w:rsidRDefault="00493E42">
      <w:pPr>
        <w:pStyle w:val="Titrearticle"/>
        <w:rPr>
          <w:noProof/>
        </w:rPr>
      </w:pPr>
      <w:r>
        <w:rPr>
          <w:noProof/>
        </w:rPr>
        <w:t>41 artikla</w:t>
      </w:r>
    </w:p>
    <w:p w:rsidR="0006109C" w:rsidRDefault="00493E42">
      <w:pPr>
        <w:pStyle w:val="NormalCentered"/>
        <w:rPr>
          <w:b/>
          <w:bCs/>
          <w:noProof/>
          <w:szCs w:val="24"/>
        </w:rPr>
      </w:pPr>
      <w:r>
        <w:rPr>
          <w:b/>
          <w:noProof/>
        </w:rPr>
        <w:t>Voimaantulo</w:t>
      </w:r>
    </w:p>
    <w:p w:rsidR="0006109C" w:rsidRDefault="00493E42">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rsidR="0006109C" w:rsidRDefault="00493E42">
      <w:pPr>
        <w:rPr>
          <w:noProof/>
        </w:rPr>
      </w:pPr>
      <w:r>
        <w:rPr>
          <w:noProof/>
        </w:rPr>
        <w:t>Sitä sovelletaan […] päivästä […]kuuta […].</w:t>
      </w:r>
    </w:p>
    <w:p w:rsidR="0006109C" w:rsidRDefault="00493E42">
      <w:pPr>
        <w:pStyle w:val="Applicationdirecte"/>
        <w:rPr>
          <w:noProof/>
        </w:rPr>
      </w:pPr>
      <w:r>
        <w:rPr>
          <w:noProof/>
        </w:rPr>
        <w:t>Tämä asetus on kaikilta osiltaan velvoittava, ja sitä sovelletaan sellaisenaan kaikissa jäsenvaltioissa.</w:t>
      </w:r>
    </w:p>
    <w:p w:rsidR="0006109C" w:rsidRDefault="00493E42" w:rsidP="00493E42">
      <w:pPr>
        <w:pStyle w:val="Fait"/>
        <w:rPr>
          <w:noProof/>
        </w:rPr>
      </w:pPr>
      <w:r w:rsidRPr="00493E42">
        <w:t>Tehty Brysselissä</w:t>
      </w:r>
    </w:p>
    <w:p w:rsidR="0006109C" w:rsidRDefault="00493E42">
      <w:pPr>
        <w:pStyle w:val="Institutionquisigne"/>
        <w:rPr>
          <w:noProof/>
        </w:rPr>
      </w:pPr>
      <w:r>
        <w:rPr>
          <w:noProof/>
        </w:rPr>
        <w:t>Euroopan parlamentin puolesta</w:t>
      </w:r>
      <w:r>
        <w:rPr>
          <w:noProof/>
        </w:rPr>
        <w:tab/>
        <w:t>Neuvoston puolesta</w:t>
      </w:r>
    </w:p>
    <w:p w:rsidR="0006109C" w:rsidRDefault="00493E42">
      <w:pPr>
        <w:pStyle w:val="Personnequisigne"/>
        <w:rPr>
          <w:noProof/>
        </w:rPr>
      </w:pPr>
      <w:r>
        <w:rPr>
          <w:noProof/>
        </w:rPr>
        <w:t>Puhemies</w:t>
      </w:r>
      <w:r>
        <w:rPr>
          <w:noProof/>
        </w:rPr>
        <w:tab/>
        <w:t>Puheenjohtaja</w:t>
      </w:r>
    </w:p>
    <w:p w:rsidR="0006109C" w:rsidRDefault="0006109C">
      <w:pPr>
        <w:rPr>
          <w:noProof/>
        </w:rPr>
        <w:sectPr w:rsidR="0006109C" w:rsidSect="00493E42">
          <w:pgSz w:w="11907" w:h="16839"/>
          <w:pgMar w:top="1134" w:right="1417" w:bottom="1134" w:left="1417" w:header="709" w:footer="709" w:gutter="0"/>
          <w:cols w:space="708"/>
          <w:docGrid w:linePitch="360"/>
        </w:sectPr>
      </w:pPr>
    </w:p>
    <w:p w:rsidR="0006109C" w:rsidRDefault="00493E42">
      <w:pPr>
        <w:pStyle w:val="Fichefinanciretitre"/>
        <w:rPr>
          <w:noProof/>
        </w:rPr>
      </w:pPr>
      <w:r>
        <w:rPr>
          <w:noProof/>
        </w:rPr>
        <w:t>SÄÄDÖSEHDOTUKSEEN LIITTYVÄ RAHOITUSSELVITYS</w:t>
      </w:r>
    </w:p>
    <w:p w:rsidR="0006109C" w:rsidRDefault="00493E42">
      <w:pPr>
        <w:pStyle w:val="ManualHeading1"/>
        <w:rPr>
          <w:noProof/>
        </w:rPr>
      </w:pPr>
      <w:r>
        <w:rPr>
          <w:noProof/>
        </w:rPr>
        <w:t>1.</w:t>
      </w:r>
      <w:r>
        <w:rPr>
          <w:noProof/>
        </w:rPr>
        <w:tab/>
        <w:t>PERUSTIEDOT EHDOTUKSESTA/ALOITTEESTA</w:t>
      </w:r>
    </w:p>
    <w:p w:rsidR="0006109C" w:rsidRDefault="00493E42">
      <w:pPr>
        <w:pStyle w:val="ManualHeading2"/>
        <w:rPr>
          <w:b w:val="0"/>
          <w:noProof/>
        </w:rPr>
      </w:pPr>
      <w:r>
        <w:rPr>
          <w:noProof/>
        </w:rPr>
        <w:tab/>
      </w:r>
      <w:r>
        <w:rPr>
          <w:b w:val="0"/>
          <w:noProof/>
        </w:rPr>
        <w:t>1.1.</w:t>
      </w:r>
      <w:r>
        <w:rPr>
          <w:noProof/>
        </w:rPr>
        <w:tab/>
      </w:r>
      <w:r>
        <w:rPr>
          <w:b w:val="0"/>
          <w:noProof/>
        </w:rPr>
        <w:t>Ehdotuksen/aloitteen nimi</w:t>
      </w:r>
    </w:p>
    <w:p w:rsidR="0006109C" w:rsidRDefault="00493E42">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rsidR="0006109C" w:rsidRDefault="00493E42">
      <w:pPr>
        <w:pStyle w:val="ManualHeading2"/>
        <w:rPr>
          <w:b w:val="0"/>
          <w:noProof/>
        </w:rPr>
      </w:pPr>
      <w:r>
        <w:rPr>
          <w:noProof/>
        </w:rPr>
        <w:tab/>
      </w:r>
      <w:r>
        <w:rPr>
          <w:b w:val="0"/>
          <w:noProof/>
        </w:rPr>
        <w:t>1.3.</w:t>
      </w:r>
      <w:r>
        <w:rPr>
          <w:noProof/>
        </w:rPr>
        <w:tab/>
      </w:r>
      <w:r>
        <w:rPr>
          <w:b w:val="0"/>
          <w:noProof/>
        </w:rPr>
        <w:t xml:space="preserve">Ehdotuksen/aloitteen </w:t>
      </w:r>
      <w:r>
        <w:rPr>
          <w:b w:val="0"/>
          <w:noProof/>
        </w:rPr>
        <w:t>luonne</w:t>
      </w:r>
    </w:p>
    <w:p w:rsidR="0006109C" w:rsidRDefault="00493E42">
      <w:pPr>
        <w:pStyle w:val="ManualHeading2"/>
        <w:rPr>
          <w:b w:val="0"/>
          <w:noProof/>
        </w:rPr>
      </w:pPr>
      <w:r>
        <w:rPr>
          <w:noProof/>
        </w:rPr>
        <w:tab/>
      </w:r>
      <w:r>
        <w:rPr>
          <w:b w:val="0"/>
          <w:noProof/>
        </w:rPr>
        <w:t>1.4.</w:t>
      </w:r>
      <w:r>
        <w:rPr>
          <w:noProof/>
        </w:rPr>
        <w:tab/>
      </w:r>
      <w:r>
        <w:rPr>
          <w:b w:val="0"/>
          <w:noProof/>
        </w:rPr>
        <w:t>Tavoite (Tavoitteet)</w:t>
      </w:r>
    </w:p>
    <w:p w:rsidR="0006109C" w:rsidRDefault="00493E42">
      <w:pPr>
        <w:pStyle w:val="ManualHeading2"/>
        <w:rPr>
          <w:b w:val="0"/>
          <w:noProof/>
        </w:rPr>
      </w:pPr>
      <w:r>
        <w:rPr>
          <w:noProof/>
        </w:rPr>
        <w:tab/>
      </w:r>
      <w:r>
        <w:rPr>
          <w:b w:val="0"/>
          <w:noProof/>
        </w:rPr>
        <w:t>1.5.</w:t>
      </w:r>
      <w:r>
        <w:rPr>
          <w:noProof/>
        </w:rPr>
        <w:tab/>
      </w:r>
      <w:r>
        <w:rPr>
          <w:b w:val="0"/>
          <w:noProof/>
        </w:rPr>
        <w:t>Ehdotuksen/aloitteen perustelut</w:t>
      </w:r>
    </w:p>
    <w:p w:rsidR="0006109C" w:rsidRDefault="00493E42">
      <w:pPr>
        <w:pStyle w:val="ManualHeading2"/>
        <w:rPr>
          <w:b w:val="0"/>
          <w:noProof/>
        </w:rPr>
      </w:pPr>
      <w:r>
        <w:rPr>
          <w:noProof/>
        </w:rPr>
        <w:tab/>
      </w:r>
      <w:r>
        <w:rPr>
          <w:b w:val="0"/>
          <w:noProof/>
        </w:rPr>
        <w:t>1.6.</w:t>
      </w:r>
      <w:r>
        <w:rPr>
          <w:noProof/>
        </w:rPr>
        <w:tab/>
      </w:r>
      <w:r>
        <w:rPr>
          <w:b w:val="0"/>
          <w:noProof/>
        </w:rPr>
        <w:t>Toiminnan ja sen rahoitusvaikutusten kesto</w:t>
      </w:r>
    </w:p>
    <w:p w:rsidR="0006109C" w:rsidRDefault="00493E42">
      <w:pPr>
        <w:pStyle w:val="ManualHeading2"/>
        <w:rPr>
          <w:b w:val="0"/>
          <w:noProof/>
        </w:rPr>
      </w:pPr>
      <w:r>
        <w:rPr>
          <w:noProof/>
        </w:rPr>
        <w:tab/>
      </w:r>
      <w:r>
        <w:rPr>
          <w:b w:val="0"/>
          <w:noProof/>
        </w:rPr>
        <w:t>1.7.</w:t>
      </w:r>
      <w:r>
        <w:rPr>
          <w:noProof/>
        </w:rPr>
        <w:tab/>
      </w:r>
      <w:r>
        <w:rPr>
          <w:b w:val="0"/>
          <w:noProof/>
        </w:rPr>
        <w:t>Hallinnointitapa (Hallinnointitavat)</w:t>
      </w:r>
    </w:p>
    <w:p w:rsidR="0006109C" w:rsidRDefault="00493E42">
      <w:pPr>
        <w:pStyle w:val="ManualHeading1"/>
        <w:rPr>
          <w:noProof/>
        </w:rPr>
      </w:pPr>
      <w:r>
        <w:rPr>
          <w:noProof/>
        </w:rPr>
        <w:t>2.</w:t>
      </w:r>
      <w:r>
        <w:rPr>
          <w:noProof/>
        </w:rPr>
        <w:tab/>
        <w:t>HALLINNOINTI</w:t>
      </w:r>
    </w:p>
    <w:p w:rsidR="0006109C" w:rsidRDefault="00493E42">
      <w:pPr>
        <w:pStyle w:val="ManualHeading2"/>
        <w:rPr>
          <w:b w:val="0"/>
          <w:noProof/>
        </w:rPr>
      </w:pPr>
      <w:r>
        <w:rPr>
          <w:noProof/>
        </w:rPr>
        <w:tab/>
      </w:r>
      <w:r>
        <w:rPr>
          <w:b w:val="0"/>
          <w:noProof/>
        </w:rPr>
        <w:t>2.1.</w:t>
      </w:r>
      <w:r>
        <w:rPr>
          <w:noProof/>
        </w:rPr>
        <w:tab/>
      </w:r>
      <w:r>
        <w:rPr>
          <w:b w:val="0"/>
          <w:noProof/>
        </w:rPr>
        <w:t>Seuranta- ja raportointisäännöt</w:t>
      </w:r>
    </w:p>
    <w:p w:rsidR="0006109C" w:rsidRDefault="00493E42">
      <w:pPr>
        <w:pStyle w:val="ManualHeading2"/>
        <w:rPr>
          <w:b w:val="0"/>
          <w:noProof/>
        </w:rPr>
      </w:pPr>
      <w:r>
        <w:rPr>
          <w:noProof/>
        </w:rPr>
        <w:tab/>
      </w:r>
      <w:r>
        <w:rPr>
          <w:b w:val="0"/>
          <w:noProof/>
        </w:rPr>
        <w:t>2.2.</w:t>
      </w:r>
      <w:r>
        <w:rPr>
          <w:noProof/>
        </w:rPr>
        <w:tab/>
      </w:r>
      <w:r>
        <w:rPr>
          <w:b w:val="0"/>
          <w:noProof/>
        </w:rPr>
        <w:t>Hallinnointi- ja valvontajärjest</w:t>
      </w:r>
      <w:r>
        <w:rPr>
          <w:b w:val="0"/>
          <w:noProof/>
        </w:rPr>
        <w:t>elmä</w:t>
      </w:r>
    </w:p>
    <w:p w:rsidR="0006109C" w:rsidRDefault="00493E42">
      <w:pPr>
        <w:pStyle w:val="ManualHeading2"/>
        <w:rPr>
          <w:b w:val="0"/>
          <w:noProof/>
        </w:rPr>
      </w:pPr>
      <w:r>
        <w:rPr>
          <w:noProof/>
        </w:rPr>
        <w:tab/>
      </w:r>
      <w:r>
        <w:rPr>
          <w:b w:val="0"/>
          <w:noProof/>
        </w:rPr>
        <w:t>2.3.</w:t>
      </w:r>
      <w:r>
        <w:rPr>
          <w:noProof/>
        </w:rPr>
        <w:tab/>
      </w:r>
      <w:r>
        <w:rPr>
          <w:b w:val="0"/>
          <w:noProof/>
        </w:rPr>
        <w:t>Toimenpiteet petosten ja sääntöjenvastaisuuksien ehkäisemiseksi</w:t>
      </w:r>
    </w:p>
    <w:p w:rsidR="0006109C" w:rsidRDefault="00493E42">
      <w:pPr>
        <w:pStyle w:val="ManualHeading1"/>
        <w:rPr>
          <w:noProof/>
        </w:rPr>
      </w:pPr>
      <w:r>
        <w:rPr>
          <w:noProof/>
        </w:rPr>
        <w:t>3.</w:t>
      </w:r>
      <w:r>
        <w:rPr>
          <w:noProof/>
        </w:rPr>
        <w:tab/>
        <w:t>EHDOTUKSEN/ALOITTEEN ARVIOIDUT RAHOITUSVAIKUTUKSET</w:t>
      </w:r>
    </w:p>
    <w:p w:rsidR="0006109C" w:rsidRDefault="00493E42">
      <w:pPr>
        <w:pStyle w:val="ManualHeading2"/>
        <w:rPr>
          <w:b w:val="0"/>
          <w:noProof/>
        </w:rPr>
      </w:pPr>
      <w:r>
        <w:rPr>
          <w:noProof/>
        </w:rPr>
        <w:tab/>
      </w:r>
      <w:r>
        <w:rPr>
          <w:b w:val="0"/>
          <w:noProof/>
        </w:rPr>
        <w:t>3.1.</w:t>
      </w:r>
      <w:r>
        <w:rPr>
          <w:noProof/>
        </w:rPr>
        <w:tab/>
      </w:r>
      <w:r>
        <w:rPr>
          <w:b w:val="0"/>
          <w:noProof/>
        </w:rPr>
        <w:t>Kyseeseen tulevat monivuotisen rahoituskehyksen otsakkeet ja menopuolen budjettikohdat</w:t>
      </w:r>
    </w:p>
    <w:p w:rsidR="0006109C" w:rsidRDefault="00493E42">
      <w:pPr>
        <w:pStyle w:val="ManualHeading2"/>
        <w:rPr>
          <w:noProof/>
        </w:rPr>
      </w:pPr>
      <w:r>
        <w:rPr>
          <w:noProof/>
        </w:rPr>
        <w:tab/>
      </w:r>
      <w:r>
        <w:rPr>
          <w:b w:val="0"/>
          <w:noProof/>
        </w:rPr>
        <w:t>3.2.</w:t>
      </w:r>
      <w:r>
        <w:rPr>
          <w:noProof/>
        </w:rPr>
        <w:tab/>
      </w:r>
      <w:r>
        <w:rPr>
          <w:b w:val="0"/>
          <w:noProof/>
        </w:rPr>
        <w:t>Arvioidut vaikutukset menoih</w:t>
      </w:r>
      <w:r>
        <w:rPr>
          <w:b w:val="0"/>
          <w:noProof/>
        </w:rPr>
        <w:t>in</w:t>
      </w:r>
    </w:p>
    <w:p w:rsidR="0006109C" w:rsidRDefault="00493E42">
      <w:pPr>
        <w:pStyle w:val="ManualHeading3"/>
        <w:rPr>
          <w:noProof/>
        </w:rPr>
      </w:pPr>
      <w:r>
        <w:rPr>
          <w:noProof/>
        </w:rPr>
        <w:tab/>
        <w:t>3.2.1.</w:t>
      </w:r>
      <w:r>
        <w:rPr>
          <w:noProof/>
        </w:rPr>
        <w:tab/>
        <w:t>Yhteenveto arvioiduista vaikutuksista menoihin</w:t>
      </w:r>
    </w:p>
    <w:p w:rsidR="0006109C" w:rsidRDefault="00493E42">
      <w:pPr>
        <w:pStyle w:val="ManualHeading3"/>
        <w:rPr>
          <w:noProof/>
        </w:rPr>
      </w:pPr>
      <w:r>
        <w:rPr>
          <w:noProof/>
        </w:rPr>
        <w:tab/>
        <w:t>3.2.2.</w:t>
      </w:r>
      <w:r>
        <w:rPr>
          <w:noProof/>
        </w:rPr>
        <w:tab/>
        <w:t>Arvioidut vaikutukset toimintamäärärahoihin</w:t>
      </w:r>
    </w:p>
    <w:p w:rsidR="0006109C" w:rsidRDefault="00493E42">
      <w:pPr>
        <w:pStyle w:val="ManualHeading3"/>
        <w:rPr>
          <w:noProof/>
        </w:rPr>
      </w:pPr>
      <w:r>
        <w:rPr>
          <w:noProof/>
        </w:rPr>
        <w:tab/>
        <w:t>3.2.3.</w:t>
      </w:r>
      <w:r>
        <w:rPr>
          <w:noProof/>
        </w:rPr>
        <w:tab/>
        <w:t>Arvioidut vaikutukset hallintomäärärahoihin</w:t>
      </w:r>
    </w:p>
    <w:p w:rsidR="0006109C" w:rsidRDefault="00493E42">
      <w:pPr>
        <w:pStyle w:val="ManualHeading3"/>
        <w:rPr>
          <w:noProof/>
        </w:rPr>
      </w:pPr>
      <w:r>
        <w:rPr>
          <w:noProof/>
        </w:rPr>
        <w:tab/>
        <w:t>3.2.4.</w:t>
      </w:r>
      <w:r>
        <w:rPr>
          <w:noProof/>
        </w:rPr>
        <w:tab/>
        <w:t>Yhteensopivuus nykyisen monivuotisen rahoituskehyksen kanssa</w:t>
      </w:r>
    </w:p>
    <w:p w:rsidR="0006109C" w:rsidRDefault="00493E42">
      <w:pPr>
        <w:pStyle w:val="ManualHeading3"/>
        <w:rPr>
          <w:noProof/>
        </w:rPr>
      </w:pPr>
      <w:r>
        <w:rPr>
          <w:noProof/>
        </w:rPr>
        <w:tab/>
        <w:t>3.2.5.</w:t>
      </w:r>
      <w:r>
        <w:rPr>
          <w:noProof/>
        </w:rPr>
        <w:tab/>
        <w:t>Ulkopuolisten tah</w:t>
      </w:r>
      <w:r>
        <w:rPr>
          <w:noProof/>
        </w:rPr>
        <w:t>ojen rahoitusosuudet</w:t>
      </w:r>
    </w:p>
    <w:p w:rsidR="0006109C" w:rsidRDefault="00493E42">
      <w:pPr>
        <w:pStyle w:val="ManualHeading2"/>
        <w:jc w:val="left"/>
        <w:rPr>
          <w:b w:val="0"/>
          <w:noProof/>
        </w:rPr>
        <w:sectPr w:rsidR="0006109C" w:rsidSect="00493E42">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rsidR="0006109C" w:rsidRDefault="00493E42">
      <w:pPr>
        <w:jc w:val="center"/>
        <w:rPr>
          <w:noProof/>
        </w:rPr>
      </w:pPr>
      <w:r>
        <w:rPr>
          <w:b/>
          <w:noProof/>
          <w:u w:val="single"/>
        </w:rPr>
        <w:t>SÄÄDÖSEHDOTUKSEEN LIITTYVÄ RAHOITUSSELVITYS</w:t>
      </w:r>
    </w:p>
    <w:p w:rsidR="0006109C" w:rsidRDefault="00493E42">
      <w:pPr>
        <w:pStyle w:val="ManualHeading1"/>
        <w:rPr>
          <w:bCs/>
          <w:noProof/>
        </w:rPr>
      </w:pPr>
      <w:r>
        <w:rPr>
          <w:noProof/>
        </w:rPr>
        <w:t>1.</w:t>
      </w:r>
      <w:r>
        <w:rPr>
          <w:noProof/>
        </w:rPr>
        <w:tab/>
        <w:t>PERUSTIEDOT EHDOTUKSESTA/ALOITTEESTA</w:t>
      </w:r>
    </w:p>
    <w:p w:rsidR="0006109C" w:rsidRDefault="00493E42">
      <w:pPr>
        <w:pStyle w:val="ManualHeading2"/>
        <w:rPr>
          <w:bCs/>
          <w:noProof/>
        </w:rPr>
      </w:pPr>
      <w:r>
        <w:rPr>
          <w:noProof/>
        </w:rPr>
        <w:t>1.1.</w:t>
      </w:r>
      <w:r>
        <w:rPr>
          <w:noProof/>
        </w:rPr>
        <w:tab/>
        <w:t>Ehdotuksen/aloitteen nimi</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06109C">
        <w:tc>
          <w:tcPr>
            <w:tcW w:w="10188" w:type="dxa"/>
            <w:shd w:val="clear" w:color="auto" w:fill="auto"/>
          </w:tcPr>
          <w:p w:rsidR="0006109C" w:rsidRDefault="00493E42">
            <w:pPr>
              <w:pStyle w:val="Text1"/>
              <w:rPr>
                <w:noProof/>
              </w:rPr>
            </w:pPr>
            <w:r>
              <w:rPr>
                <w:b/>
                <w:noProof/>
              </w:rPr>
              <w:t xml:space="preserve">Ehdotus Euroopan parlamentin ja neuvoston asetukseksi </w:t>
            </w:r>
            <w:r>
              <w:rPr>
                <w:b/>
                <w:noProof/>
              </w:rPr>
              <w:t>Euroopan sähköisen viestinnän sääntelyviranomaisten yhteistyöelimen (BEREC) perustamisesta ja asetuksen N:o (EY) 1211/2009 kumoamisesta</w:t>
            </w:r>
          </w:p>
        </w:tc>
      </w:tr>
    </w:tbl>
    <w:p w:rsidR="0006109C" w:rsidRDefault="00493E42">
      <w:pPr>
        <w:pStyle w:val="ManualHeading2"/>
        <w:rPr>
          <w:bCs/>
          <w:noProof/>
        </w:rPr>
      </w:pPr>
      <w:r>
        <w:rPr>
          <w:noProof/>
        </w:rPr>
        <w:t>1.2.</w:t>
      </w:r>
      <w:r>
        <w:rPr>
          <w:noProof/>
        </w:rPr>
        <w:tab/>
        <w:t>Toimintalohko(t) toimintoperusteisessa johtamis- ja budjetointijärjestelmässä (ABM/ABB)</w:t>
      </w:r>
      <w:r>
        <w:rPr>
          <w:rStyle w:val="FootnoteReference"/>
          <w:noProof/>
        </w:rPr>
        <w:footnoteReference w:id="47"/>
      </w:r>
    </w:p>
    <w:p w:rsidR="0006109C" w:rsidRDefault="00493E42">
      <w:pPr>
        <w:pStyle w:val="Text1"/>
        <w:pBdr>
          <w:top w:val="single" w:sz="4" w:space="1" w:color="auto"/>
          <w:left w:val="single" w:sz="4" w:space="4" w:color="auto"/>
          <w:bottom w:val="single" w:sz="4" w:space="1" w:color="auto"/>
          <w:right w:val="single" w:sz="4" w:space="4" w:color="auto"/>
        </w:pBdr>
        <w:rPr>
          <w:noProof/>
        </w:rPr>
      </w:pPr>
      <w:r>
        <w:rPr>
          <w:noProof/>
        </w:rPr>
        <w:t xml:space="preserve">Toimintalohko: </w:t>
      </w:r>
      <w:r>
        <w:rPr>
          <w:noProof/>
        </w:rPr>
        <w:t>Viestintäverkot, sisällöt ja teknologia</w:t>
      </w:r>
    </w:p>
    <w:p w:rsidR="0006109C" w:rsidRDefault="00493E42">
      <w:pPr>
        <w:pStyle w:val="Text1"/>
        <w:pBdr>
          <w:top w:val="single" w:sz="4" w:space="1" w:color="auto"/>
          <w:left w:val="single" w:sz="4" w:space="4" w:color="auto"/>
          <w:bottom w:val="single" w:sz="4" w:space="1" w:color="auto"/>
          <w:right w:val="single" w:sz="4" w:space="4" w:color="auto"/>
        </w:pBdr>
        <w:rPr>
          <w:noProof/>
        </w:rPr>
      </w:pPr>
      <w:r>
        <w:rPr>
          <w:noProof/>
        </w:rPr>
        <w:t xml:space="preserve">Toiminto: </w:t>
      </w:r>
      <w:bookmarkStart w:id="107" w:name="_Toc341951246"/>
      <w:r>
        <w:rPr>
          <w:b/>
          <w:noProof/>
        </w:rPr>
        <w:t>Euroopan digitaalistrategian sääntelykehys</w:t>
      </w:r>
      <w:bookmarkEnd w:id="107"/>
    </w:p>
    <w:p w:rsidR="0006109C" w:rsidRDefault="00493E42">
      <w:pPr>
        <w:pStyle w:val="ManualHeading2"/>
        <w:rPr>
          <w:bCs/>
          <w:noProof/>
        </w:rPr>
      </w:pPr>
      <w:r>
        <w:rPr>
          <w:noProof/>
        </w:rPr>
        <w:t>1.3.</w:t>
      </w:r>
      <w:r>
        <w:rPr>
          <w:noProof/>
        </w:rPr>
        <w:tab/>
        <w:t>Ehdotuksen/aloitteen luonne</w:t>
      </w:r>
    </w:p>
    <w:p w:rsidR="0006109C" w:rsidRDefault="00493E42">
      <w:pPr>
        <w:pStyle w:val="Text1"/>
        <w:rPr>
          <w:noProof/>
        </w:rPr>
      </w:pPr>
      <w:r>
        <w:rPr>
          <w:noProof/>
          <w:sz w:val="22"/>
        </w:rPr>
        <w:sym w:font="Wingdings" w:char="F0A8"/>
      </w:r>
      <w:r>
        <w:rPr>
          <w:noProof/>
        </w:rPr>
        <w:t xml:space="preserve"> Ehdotus/aloite liittyy </w:t>
      </w:r>
      <w:r>
        <w:rPr>
          <w:b/>
          <w:noProof/>
        </w:rPr>
        <w:t>uuteen toimeen</w:t>
      </w:r>
      <w:r>
        <w:rPr>
          <w:noProof/>
        </w:rPr>
        <w:t>.</w:t>
      </w:r>
    </w:p>
    <w:p w:rsidR="0006109C" w:rsidRDefault="00493E42">
      <w:pPr>
        <w:pStyle w:val="Text1"/>
        <w:rPr>
          <w:noProof/>
        </w:rPr>
      </w:pPr>
      <w:r>
        <w:rPr>
          <w:noProof/>
        </w:rPr>
        <w:sym w:font="Wingdings" w:char="F0A8"/>
      </w:r>
      <w:r>
        <w:rPr>
          <w:noProof/>
        </w:rPr>
        <w:t xml:space="preserve"> Ehdotus/aloite liittyy </w:t>
      </w:r>
      <w:r>
        <w:rPr>
          <w:b/>
          <w:noProof/>
        </w:rPr>
        <w:t>uuteen toimeen, joka perustuu pilottihankkeeseen tai valmistelut</w:t>
      </w:r>
      <w:r>
        <w:rPr>
          <w:b/>
          <w:noProof/>
        </w:rPr>
        <w:t>oimeen</w:t>
      </w:r>
      <w:r>
        <w:rPr>
          <w:noProof/>
        </w:rPr>
        <w:t>.</w:t>
      </w:r>
      <w:r>
        <w:rPr>
          <w:rStyle w:val="FootnoteReference"/>
          <w:noProof/>
        </w:rPr>
        <w:footnoteReference w:id="48"/>
      </w:r>
    </w:p>
    <w:p w:rsidR="0006109C" w:rsidRDefault="00493E42">
      <w:pPr>
        <w:pStyle w:val="Text1"/>
        <w:rPr>
          <w:noProof/>
        </w:rPr>
      </w:pPr>
      <w:r>
        <w:rPr>
          <w:noProof/>
        </w:rPr>
        <w:sym w:font="Wingdings" w:char="F0A8"/>
      </w:r>
      <w:r>
        <w:rPr>
          <w:noProof/>
        </w:rPr>
        <w:t xml:space="preserve"> Ehdotus/aloite liittyy </w:t>
      </w:r>
      <w:r>
        <w:rPr>
          <w:b/>
          <w:noProof/>
        </w:rPr>
        <w:t>käynnissä olevan toimen jatkamiseen</w:t>
      </w:r>
      <w:r>
        <w:rPr>
          <w:noProof/>
        </w:rPr>
        <w:t>.</w:t>
      </w:r>
    </w:p>
    <w:p w:rsidR="0006109C" w:rsidRDefault="00493E42">
      <w:pPr>
        <w:pStyle w:val="Text1"/>
        <w:rPr>
          <w:noProof/>
        </w:rPr>
      </w:pPr>
      <w:r>
        <w:rPr>
          <w:noProof/>
        </w:rPr>
        <w:sym w:font="Wingdings" w:char="F0FE"/>
      </w:r>
      <w:r>
        <w:rPr>
          <w:noProof/>
        </w:rPr>
        <w:t xml:space="preserve"> Ehdotus/aloite liittyy </w:t>
      </w:r>
      <w:r>
        <w:rPr>
          <w:b/>
          <w:noProof/>
        </w:rPr>
        <w:t>toimeen, joka on suunnattu uudelleen</w:t>
      </w:r>
      <w:r>
        <w:rPr>
          <w:noProof/>
        </w:rPr>
        <w:t>.</w:t>
      </w:r>
    </w:p>
    <w:p w:rsidR="0006109C" w:rsidRDefault="00493E42">
      <w:pPr>
        <w:pStyle w:val="ManualHeading2"/>
        <w:rPr>
          <w:bCs/>
          <w:noProof/>
        </w:rPr>
      </w:pPr>
      <w:r>
        <w:rPr>
          <w:noProof/>
        </w:rPr>
        <w:t>1.4.</w:t>
      </w:r>
      <w:r>
        <w:rPr>
          <w:noProof/>
        </w:rPr>
        <w:tab/>
        <w:t>Tavoite (Tavoitteet)</w:t>
      </w:r>
    </w:p>
    <w:p w:rsidR="0006109C" w:rsidRDefault="00493E42">
      <w:pPr>
        <w:pStyle w:val="ManualHeading3"/>
        <w:rPr>
          <w:bCs/>
          <w:noProof/>
        </w:rPr>
      </w:pPr>
      <w:r>
        <w:rPr>
          <w:noProof/>
        </w:rPr>
        <w:t>1.4.1.</w:t>
      </w:r>
      <w:r>
        <w:rPr>
          <w:noProof/>
        </w:rPr>
        <w:tab/>
        <w:t>Komission monivuotinen strateginen tavoite (monivuotiset strategiset tavoitteet), jonka (</w:t>
      </w:r>
      <w:r>
        <w:rPr>
          <w:noProof/>
        </w:rPr>
        <w:t>joiden) saavuttamista ehdotus/aloite tukee</w:t>
      </w:r>
    </w:p>
    <w:p w:rsidR="0006109C" w:rsidRDefault="00493E42">
      <w:pPr>
        <w:pStyle w:val="Text1"/>
        <w:pBdr>
          <w:top w:val="single" w:sz="4" w:space="1" w:color="auto"/>
          <w:left w:val="single" w:sz="4" w:space="0" w:color="auto"/>
          <w:bottom w:val="single" w:sz="4" w:space="1" w:color="auto"/>
          <w:right w:val="single" w:sz="4" w:space="1" w:color="auto"/>
        </w:pBdr>
        <w:rPr>
          <w:noProof/>
        </w:rPr>
      </w:pPr>
      <w:r>
        <w:rPr>
          <w:noProof/>
        </w:rPr>
        <w:t>Tässä asetusehdotuksessa esitetyt toimenpiteet täydentävät sähköisen viestinnän nykyisen sääntelyjärjestelmän tarkistusta yhtenä osana toukokuussa 2015 käynnistettyä digitaalisten sisämarkkinoiden strategiaa</w:t>
      </w:r>
      <w:r>
        <w:rPr>
          <w:rStyle w:val="FootnoteReference"/>
          <w:noProof/>
        </w:rPr>
        <w:footnoteReference w:id="49"/>
      </w:r>
      <w:r>
        <w:rPr>
          <w:noProof/>
        </w:rPr>
        <w:t>.</w:t>
      </w:r>
    </w:p>
    <w:p w:rsidR="0006109C" w:rsidRDefault="00493E42">
      <w:pPr>
        <w:pStyle w:val="Text1"/>
        <w:pBdr>
          <w:top w:val="single" w:sz="4" w:space="1" w:color="auto"/>
          <w:left w:val="single" w:sz="4" w:space="0" w:color="auto"/>
          <w:bottom w:val="single" w:sz="4" w:space="1" w:color="auto"/>
          <w:right w:val="single" w:sz="4" w:space="1" w:color="auto"/>
        </w:pBdr>
        <w:rPr>
          <w:rFonts w:eastAsia="Calibri"/>
          <w:noProof/>
        </w:rPr>
      </w:pPr>
      <w:r>
        <w:rPr>
          <w:noProof/>
        </w:rPr>
        <w:t>Tarkoituksena on tarkistaa nykyistä sääntelyjärjestelmää, jotta se voidaan saattaa ajan tasalle ja mukauttaa tekniikan ja markkinoiden kehitykseen. Tarkoituksena on myös varmistaa kansallisen ja unionin sääntelyn lähentyminen ja unionin sääntöjen johdonmuk</w:t>
      </w:r>
      <w:r>
        <w:rPr>
          <w:noProof/>
        </w:rPr>
        <w:t>ainen täytäntöönpano sekä erittäin suuren kapasiteetin datayhteyksien laaja saatavuus ja käyttöönotto.</w:t>
      </w:r>
    </w:p>
    <w:p w:rsidR="0006109C" w:rsidRDefault="00493E42">
      <w:pPr>
        <w:pStyle w:val="Text1"/>
        <w:pBdr>
          <w:top w:val="single" w:sz="4" w:space="1" w:color="auto"/>
          <w:left w:val="single" w:sz="4" w:space="0" w:color="auto"/>
          <w:bottom w:val="single" w:sz="4" w:space="1" w:color="auto"/>
          <w:right w:val="single" w:sz="4" w:space="1" w:color="auto"/>
        </w:pBdr>
        <w:rPr>
          <w:rFonts w:eastAsia="Calibri"/>
          <w:noProof/>
        </w:rPr>
      </w:pPr>
      <w:r>
        <w:rPr>
          <w:noProof/>
        </w:rPr>
        <w:t>Sääntelyjärjestelmällä on kaiken kaikkiaan pystytty luomaan kilpailukykyinen ala ja tuomaan merkittäviä etuja loppukäyttäjille. Sisämarkkinatavoitteen to</w:t>
      </w:r>
      <w:r>
        <w:rPr>
          <w:noProof/>
        </w:rPr>
        <w:t>teutuminen on kuitenkin ollut melko vaatimatonta. Johdonmukaiseen sääntelyyn on päästy vain rajallisesti, mikä vaikuttaa rajojen yli toimivien palveluntarjoajien toimintaan ja heikentää ennustettavuutta kaikille toimijoille ja investoijille.</w:t>
      </w:r>
    </w:p>
    <w:p w:rsidR="0006109C" w:rsidRDefault="00493E42">
      <w:pPr>
        <w:pStyle w:val="Text1"/>
        <w:pBdr>
          <w:top w:val="single" w:sz="4" w:space="1" w:color="auto"/>
          <w:left w:val="single" w:sz="4" w:space="0" w:color="auto"/>
          <w:bottom w:val="single" w:sz="4" w:space="1" w:color="auto"/>
          <w:right w:val="single" w:sz="4" w:space="1" w:color="auto"/>
        </w:pBdr>
        <w:rPr>
          <w:rFonts w:eastAsia="Calibri"/>
          <w:noProof/>
        </w:rPr>
      </w:pPr>
      <w:r>
        <w:rPr>
          <w:noProof/>
        </w:rPr>
        <w:t>Ehdotettujen t</w:t>
      </w:r>
      <w:r>
        <w:rPr>
          <w:noProof/>
        </w:rPr>
        <w:t>oimenpiteiden tavoitteena on edistää todellisten sähköisen viestinnän sisämarkkinoiden kehitystä unionissa erityisesti parantamalla korjaavien sääntelytoimien koordinointia ja johdonmukaistamalla käyttöoikeustuotteiden sääntelyä ja suunnittelua. Tämä on ta</w:t>
      </w:r>
      <w:r>
        <w:rPr>
          <w:noProof/>
        </w:rPr>
        <w:t>rpeen, jotta voidaan tukea todellisia yleiseurooppalaisia telemarkkinoita, joilla on suuri merkitys yrityksille ja loppukäyttäjille. Suunnitteilla on myös toimenpiteitä kilpailun edistämiseksi erittäin suuren kapasiteetin datayhteyksiin tehtävissä investoi</w:t>
      </w:r>
      <w:r>
        <w:rPr>
          <w:noProof/>
        </w:rPr>
        <w:t>nneissa unionin laajuudelta ja verkon käyttöönoton varmistamiseksi kaikilla maantieteellisillä alueilla, jotta voidaan poistaa digitaalinen kahtiajako. Kohteena ovat myös perinteisten teleoperaattoreiden ja internet-välitteisten viestintäpalvelujen väliset</w:t>
      </w:r>
      <w:r>
        <w:rPr>
          <w:noProof/>
        </w:rPr>
        <w:t xml:space="preserve"> tasapuoliset toimintaedellytykset, ja ehdotus sisältää uusia säännöksiä, joilla on tarkoitus suojella loppukäyttäjiä tietyiltä viestintäspesifisiltä riskeiltä ja poistaa tarpeettomat tai päällekkäiset kuluttajansuojasäännöt.</w:t>
      </w:r>
    </w:p>
    <w:p w:rsidR="0006109C" w:rsidRDefault="00493E42">
      <w:pPr>
        <w:pStyle w:val="Text1"/>
        <w:pBdr>
          <w:top w:val="single" w:sz="4" w:space="1" w:color="auto"/>
          <w:left w:val="single" w:sz="4" w:space="0" w:color="auto"/>
          <w:bottom w:val="single" w:sz="4" w:space="1" w:color="auto"/>
          <w:right w:val="single" w:sz="4" w:space="1" w:color="auto"/>
        </w:pBdr>
        <w:rPr>
          <w:noProof/>
        </w:rPr>
      </w:pPr>
      <w:r>
        <w:rPr>
          <w:noProof/>
        </w:rPr>
        <w:t>Riittävä ja tehokas institutio</w:t>
      </w:r>
      <w:r>
        <w:rPr>
          <w:noProof/>
        </w:rPr>
        <w:t>naalinen kehys on edellytys sille, että televiestinnän yleisen sääntelyjärjestelmän soveltamisesta saadaan positiivisia ja johdonmukaisia tuloksia. Sillä on olennainen merkitys digitaalisten sisämarkkinoiden kannalta. Kansallisten sääntelyviranomaisten toi</w:t>
      </w:r>
      <w:r>
        <w:rPr>
          <w:noProof/>
        </w:rPr>
        <w:t xml:space="preserve">mivaltaa vahvistetaan ja yhdenmukaistetaan, ja tietyistä tehtävistä huolehditaan paremmin edellytyksin Euroopan tasolla. DSM-strategiassa todettiin, että markkinoiden ja teknologian muuttuva ympäristö edellyttää institutionaalisen kehyksen lujittamista ja </w:t>
      </w:r>
      <w:r>
        <w:rPr>
          <w:noProof/>
        </w:rPr>
        <w:t>että BERECin roolia on tarpeen tehostaa tässä yhteydessä.</w:t>
      </w:r>
    </w:p>
    <w:p w:rsidR="0006109C" w:rsidRDefault="00493E42">
      <w:pPr>
        <w:pStyle w:val="Text1"/>
        <w:pBdr>
          <w:top w:val="single" w:sz="4" w:space="1" w:color="auto"/>
          <w:left w:val="single" w:sz="4" w:space="0" w:color="auto"/>
          <w:bottom w:val="single" w:sz="4" w:space="1" w:color="auto"/>
          <w:right w:val="single" w:sz="4" w:space="1" w:color="auto"/>
        </w:pBdr>
        <w:rPr>
          <w:noProof/>
        </w:rPr>
      </w:pPr>
      <w:r>
        <w:rPr>
          <w:noProof/>
        </w:rPr>
        <w:t>BERECilla tulee olemaan merkittävä, aiempaa laajempi rooli varmistaa ehdotetun lainsäädäntöpaketin tehokas täytäntöönpano. Tähän sisältyy useita lisätehtäviä, joihin kuuluvat esinormatiiviset tehtäv</w:t>
      </w:r>
      <w:r>
        <w:rPr>
          <w:noProof/>
        </w:rPr>
        <w:t>ät ja sitovat toimivaltuudet, suuntaviivojen antaminen, raportointi ja rekisterien ylläpito.</w:t>
      </w:r>
    </w:p>
    <w:p w:rsidR="0006109C" w:rsidRDefault="00493E42">
      <w:pPr>
        <w:pStyle w:val="Text1"/>
        <w:pBdr>
          <w:top w:val="single" w:sz="4" w:space="1" w:color="auto"/>
          <w:left w:val="single" w:sz="4" w:space="0" w:color="auto"/>
          <w:bottom w:val="single" w:sz="4" w:space="1" w:color="auto"/>
          <w:right w:val="single" w:sz="4" w:space="1" w:color="auto"/>
        </w:pBdr>
        <w:rPr>
          <w:noProof/>
        </w:rPr>
      </w:pPr>
      <w:r>
        <w:rPr>
          <w:noProof/>
        </w:rPr>
        <w:t>Täysivaltaiseksi virastoksi kehitetystä BERECista tulisi keskeinen toimija pyrittäessä tavoitteeseen luoda unioniin telepalvelujen sisämarkkinat. BERECin panosta h</w:t>
      </w:r>
      <w:r>
        <w:rPr>
          <w:noProof/>
        </w:rPr>
        <w:t>yödynnetään aiempaa laajemmin teknisten ja poliittisten suuntaviivojen laatimisessa. Siksi ehdotetuilla toimenpiteillä vahvistetaan BERECin rakennetta muun muassa antamalla sille oikeushenkilöllisyys ja lisäämällä sen vakautta strategisessa johtamisessa. B</w:t>
      </w:r>
      <w:r>
        <w:rPr>
          <w:noProof/>
        </w:rPr>
        <w:t>ERECille annetaan myös valtuudet pyytää tietoja suoraan operaattoreilta.</w:t>
      </w:r>
    </w:p>
    <w:p w:rsidR="0006109C" w:rsidRDefault="00493E42">
      <w:pPr>
        <w:pStyle w:val="ManualHeading3"/>
        <w:rPr>
          <w:bCs/>
          <w:noProof/>
        </w:rPr>
      </w:pPr>
      <w:r>
        <w:rPr>
          <w:noProof/>
        </w:rPr>
        <w:t>1.4.2.</w:t>
      </w:r>
      <w:r>
        <w:rPr>
          <w:noProof/>
        </w:rPr>
        <w:tab/>
        <w:t>Erityistavoite (erityistavoitteet) sekä toiminto (toiminnot) toimintoperusteisessa johtamis- ja budjetointijärjestelmässä</w:t>
      </w:r>
    </w:p>
    <w:p w:rsidR="0006109C" w:rsidRDefault="00493E42">
      <w:pPr>
        <w:pStyle w:val="Text1"/>
        <w:keepNext/>
        <w:keepLines/>
        <w:pBdr>
          <w:top w:val="single" w:sz="4" w:space="0" w:color="auto"/>
          <w:left w:val="single" w:sz="4" w:space="1" w:color="auto"/>
          <w:bottom w:val="single" w:sz="4" w:space="0" w:color="auto"/>
          <w:right w:val="single" w:sz="4" w:space="1" w:color="auto"/>
        </w:pBdr>
        <w:ind w:left="851"/>
        <w:rPr>
          <w:noProof/>
          <w:u w:val="single"/>
        </w:rPr>
      </w:pPr>
      <w:r>
        <w:rPr>
          <w:noProof/>
          <w:u w:val="single"/>
        </w:rPr>
        <w:t xml:space="preserve">Erityistavoite nro   </w:t>
      </w:r>
    </w:p>
    <w:p w:rsidR="0006109C" w:rsidRDefault="00493E42">
      <w:pPr>
        <w:pStyle w:val="Text1"/>
        <w:keepLines/>
        <w:pBdr>
          <w:top w:val="single" w:sz="4" w:space="0" w:color="auto"/>
          <w:left w:val="single" w:sz="4" w:space="1" w:color="auto"/>
          <w:bottom w:val="single" w:sz="4" w:space="0" w:color="auto"/>
          <w:right w:val="single" w:sz="4" w:space="1" w:color="auto"/>
        </w:pBdr>
        <w:ind w:left="851"/>
        <w:rPr>
          <w:noProof/>
        </w:rPr>
      </w:pPr>
      <w:r>
        <w:rPr>
          <w:noProof/>
        </w:rPr>
        <w:t>BEREC osaltaan parantaa sisämark</w:t>
      </w:r>
      <w:r>
        <w:rPr>
          <w:noProof/>
        </w:rPr>
        <w:t>kinoiden toimintaa kuluttajien ja elinkeinoelämän hyödyksi. Ehdotettu toimenpide, jonka myötä uusi virasto vastaisi yhteistä lähestymistapaa</w:t>
      </w:r>
      <w:r>
        <w:rPr>
          <w:rStyle w:val="FootnoteReference"/>
          <w:noProof/>
        </w:rPr>
        <w:footnoteReference w:id="50"/>
      </w:r>
      <w:r>
        <w:rPr>
          <w:noProof/>
        </w:rPr>
        <w:t>, lujittaa BERECin rakennetta ja tekee siitä kulmakiven sääntelyviranomaisten muodostamassa tehokkaassa unionin jär</w:t>
      </w:r>
      <w:r>
        <w:rPr>
          <w:noProof/>
        </w:rPr>
        <w:t>jestelmässä. Tämä antaa BERECille koordinoivan roolin kansallisten sääntelyviranomaisten kaikilla toimivaltalohkoilla, mikä vahvistaa sen asemaa sisämarkkinoilla ja varmistaa tehokkaan täytäntöönpanon ja seurannan eri suoritteiden osalta.</w:t>
      </w:r>
    </w:p>
    <w:p w:rsidR="0006109C" w:rsidRDefault="00493E42">
      <w:pPr>
        <w:pStyle w:val="Text1"/>
        <w:pBdr>
          <w:top w:val="single" w:sz="4" w:space="0" w:color="auto"/>
          <w:left w:val="single" w:sz="4" w:space="1" w:color="auto"/>
          <w:bottom w:val="single" w:sz="4" w:space="1" w:color="auto"/>
          <w:right w:val="single" w:sz="4" w:space="1" w:color="auto"/>
        </w:pBdr>
        <w:rPr>
          <w:noProof/>
          <w:u w:val="single"/>
        </w:rPr>
      </w:pPr>
      <w:r>
        <w:rPr>
          <w:noProof/>
          <w:u w:val="single"/>
        </w:rPr>
        <w:t xml:space="preserve">Toiminto </w:t>
      </w:r>
      <w:r>
        <w:rPr>
          <w:noProof/>
          <w:u w:val="single"/>
        </w:rPr>
        <w:t>(toiminnot) toimintoperusteisessa johtamis- ja budjetointijärjestelmässä</w:t>
      </w:r>
    </w:p>
    <w:p w:rsidR="0006109C" w:rsidRDefault="00493E42">
      <w:pPr>
        <w:pStyle w:val="Text1"/>
        <w:pBdr>
          <w:top w:val="single" w:sz="4" w:space="0" w:color="auto"/>
          <w:left w:val="single" w:sz="4" w:space="1" w:color="auto"/>
          <w:bottom w:val="single" w:sz="4" w:space="1" w:color="auto"/>
          <w:right w:val="single" w:sz="4" w:space="1" w:color="auto"/>
        </w:pBdr>
        <w:rPr>
          <w:noProof/>
        </w:rPr>
      </w:pPr>
      <w:r>
        <w:rPr>
          <w:noProof/>
        </w:rPr>
        <w:t>Sähköisen viestinnän sääntelyjärjestelmä</w:t>
      </w:r>
    </w:p>
    <w:p w:rsidR="0006109C" w:rsidRDefault="0006109C">
      <w:pPr>
        <w:pStyle w:val="Text1"/>
        <w:pBdr>
          <w:top w:val="single" w:sz="4" w:space="0" w:color="auto"/>
          <w:left w:val="single" w:sz="4" w:space="1" w:color="auto"/>
          <w:bottom w:val="single" w:sz="4" w:space="1" w:color="auto"/>
          <w:right w:val="single" w:sz="4" w:space="1" w:color="auto"/>
        </w:pBdr>
        <w:rPr>
          <w:noProof/>
        </w:rPr>
      </w:pPr>
    </w:p>
    <w:p w:rsidR="0006109C" w:rsidRDefault="00493E42">
      <w:pPr>
        <w:pStyle w:val="ManualHeading3"/>
        <w:rPr>
          <w:bCs/>
          <w:noProof/>
        </w:rPr>
      </w:pPr>
      <w:r>
        <w:rPr>
          <w:noProof/>
        </w:rPr>
        <w:t>1.4.3.</w:t>
      </w:r>
      <w:r>
        <w:rPr>
          <w:noProof/>
        </w:rPr>
        <w:tab/>
        <w:t>Odotettavissa olevat tulokset ja vaikutukset</w:t>
      </w:r>
    </w:p>
    <w:p w:rsidR="0006109C" w:rsidRDefault="00493E42">
      <w:pPr>
        <w:pStyle w:val="Text1"/>
        <w:rPr>
          <w:i/>
          <w:noProof/>
          <w:sz w:val="20"/>
        </w:rPr>
      </w:pPr>
      <w:r>
        <w:rPr>
          <w:i/>
          <w:noProof/>
          <w:sz w:val="20"/>
        </w:rPr>
        <w:t xml:space="preserve">Selvitys siitä, miten ehdotuksella/aloitteella on tarkoitus vaikuttaa </w:t>
      </w:r>
      <w:r>
        <w:rPr>
          <w:i/>
          <w:noProof/>
          <w:sz w:val="20"/>
        </w:rPr>
        <w:t>edunsaajien/kohderyhmän tilanteeseen</w:t>
      </w:r>
    </w:p>
    <w:p w:rsidR="0006109C" w:rsidRDefault="00493E42">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Aloitteella odotetaan olevan seuraavanlaisia vaikutuksia:</w:t>
      </w:r>
    </w:p>
    <w:p w:rsidR="0006109C" w:rsidRDefault="00493E42">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Tavoitteena on muuttaa BEREC (yhteisen lähestymistavan mukaiseksi) täysivaltaiseksi virastoksi, joka voi edistää sähköisten viestintäverkkojen ja -palvelujen sis</w:t>
      </w:r>
      <w:r>
        <w:rPr>
          <w:noProof/>
        </w:rPr>
        <w:t>ämarkkinoiden toimintaa ja erityisesti rajatylittävien sähköisten viestintäpalvelujen kehitystä suoriutuen tehokkaasti sille annetuista tehtävistä.</w:t>
      </w:r>
    </w:p>
    <w:p w:rsidR="0006109C" w:rsidRDefault="00493E42">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Ks. liitteenä oleva vaikutusten arviointi.</w:t>
      </w:r>
    </w:p>
    <w:p w:rsidR="0006109C" w:rsidRDefault="00493E42">
      <w:pPr>
        <w:pStyle w:val="ManualHeading3"/>
        <w:rPr>
          <w:bCs/>
          <w:noProof/>
        </w:rPr>
      </w:pPr>
      <w:r>
        <w:rPr>
          <w:noProof/>
        </w:rPr>
        <w:t>1.4.4.</w:t>
      </w:r>
      <w:r>
        <w:rPr>
          <w:noProof/>
        </w:rPr>
        <w:tab/>
        <w:t>Tulos- ja vaikutusindikaattorit</w:t>
      </w:r>
    </w:p>
    <w:p w:rsidR="0006109C" w:rsidRDefault="00493E42">
      <w:pPr>
        <w:pStyle w:val="Text1"/>
        <w:rPr>
          <w:i/>
          <w:noProof/>
          <w:sz w:val="20"/>
        </w:rPr>
      </w:pPr>
      <w:r>
        <w:rPr>
          <w:i/>
          <w:noProof/>
          <w:sz w:val="20"/>
        </w:rPr>
        <w:t xml:space="preserve">Selvitys siitä, millaisin </w:t>
      </w:r>
      <w:r>
        <w:rPr>
          <w:i/>
          <w:noProof/>
          <w:sz w:val="20"/>
        </w:rPr>
        <w:t>indikaattorein ehdotuksen/aloitteen toteuttamista seurataan</w:t>
      </w:r>
    </w:p>
    <w:p w:rsidR="0006109C" w:rsidRDefault="0006109C">
      <w:pPr>
        <w:autoSpaceDE w:val="0"/>
        <w:autoSpaceDN w:val="0"/>
        <w:adjustRightInd w:val="0"/>
        <w:spacing w:before="0" w:after="0"/>
        <w:jc w:val="left"/>
        <w:rPr>
          <w:i/>
          <w:noProof/>
          <w:sz w:val="20"/>
        </w:rPr>
      </w:pP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Tavoitekohtaiset seurantaindikaattorit ovat seuraavat:</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se, kuinka monta kertaa BEREC avustaa komissiota pyynnöstä tai omasta aloitteestaan</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se, kuinka monta kertaa BEREC avustaa kansallisia sä</w:t>
      </w:r>
      <w:r>
        <w:rPr>
          <w:noProof/>
        </w:rPr>
        <w:t>äntelyviranomaisia pyynnöstä tai omasta aloitteestaan</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BERECin asianomaisilla aloilla tekemien sitovien päätösten lukumäärä </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BERECin antamien lausuntojen lukumäärä erityisesti sisämarkkinamenettelyissä, jotka liittyvät markkinoiden sääntelyyn ja </w:t>
      </w:r>
      <w:r>
        <w:rPr>
          <w:noProof/>
        </w:rPr>
        <w:t>taajuuksia koskevaan vertaisarviointiin</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se, kuinka monta kertaa BEREC antaa suuntaviivoja asianomaisilla aloilla</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BERECin asianomaisilla aloilla antamien raporttien lukumäärä</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BERECin kansallisille sääntelyviranomaisille osoittamien suositusten ja parh</w:t>
      </w:r>
      <w:r>
        <w:rPr>
          <w:noProof/>
        </w:rPr>
        <w:t>aiden käytäntöjen lukumäärä</w:t>
      </w:r>
    </w:p>
    <w:p w:rsidR="0006109C" w:rsidRDefault="00493E42">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kumppaneiden ja sidosryhmien kanssa toteutettujen toimintojen lukumäärä</w:t>
      </w:r>
    </w:p>
    <w:p w:rsidR="0006109C" w:rsidRDefault="00493E42">
      <w:pPr>
        <w:pStyle w:val="ManualHeading2"/>
        <w:rPr>
          <w:bCs/>
          <w:noProof/>
        </w:rPr>
      </w:pPr>
      <w:r>
        <w:rPr>
          <w:noProof/>
        </w:rPr>
        <w:t>1.5.</w:t>
      </w:r>
      <w:r>
        <w:rPr>
          <w:noProof/>
        </w:rPr>
        <w:tab/>
        <w:t>Ehdotuksen/aloitteen perustelut</w:t>
      </w:r>
    </w:p>
    <w:p w:rsidR="0006109C" w:rsidRDefault="00493E42">
      <w:pPr>
        <w:pStyle w:val="ManualHeading3"/>
        <w:rPr>
          <w:bCs/>
          <w:noProof/>
        </w:rPr>
      </w:pPr>
      <w:r>
        <w:rPr>
          <w:noProof/>
        </w:rPr>
        <w:t>1.5.1.</w:t>
      </w:r>
      <w:r>
        <w:rPr>
          <w:noProof/>
        </w:rPr>
        <w:tab/>
        <w:t>Tarpeet, joihin ehdotuksella/aloitteella vastataan lyhyellä tai pitkällä aikavälillä</w:t>
      </w:r>
    </w:p>
    <w:p w:rsidR="0006109C" w:rsidRDefault="00493E42">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Alan erityisvaatimuksia r</w:t>
      </w:r>
      <w:r>
        <w:rPr>
          <w:noProof/>
        </w:rPr>
        <w:t>ajoittamatta BEREC on tarpeen mukauttaa vastaamaan yhteistä lähestymistapaa. Jotta voidaan täyttää yleinen tavoite kehittää sääntelykäytäntöä yhdenmukaiseksi kaikkialla unionissa, BERECin tehtävien on katettava kaikki osa-alueet, joilla on vaikutusta sisäm</w:t>
      </w:r>
      <w:r>
        <w:rPr>
          <w:noProof/>
        </w:rPr>
        <w:t>arkkinoihin, kuten markkinoita muokkaavat näkökohdat taajuuksien käyttöoikeuksien jakamisessa tai yleisvaltuutuksissa. Sen tehtävien on myös ilmennettävä kansallisille sääntelyviranomaisille annettuja tehtäviä, koska näitä tehtäviä vastedes yhdenmukaistett</w:t>
      </w:r>
      <w:r>
        <w:rPr>
          <w:noProof/>
        </w:rPr>
        <w:t>aisiin. Sen hallinnollisia valmiuksia on tarpeen lisätä sen uusien tehtävien vaatimustasolle.</w:t>
      </w:r>
    </w:p>
    <w:p w:rsidR="0006109C" w:rsidRDefault="00493E42">
      <w:pPr>
        <w:pStyle w:val="ManualHeading3"/>
        <w:rPr>
          <w:bCs/>
          <w:noProof/>
        </w:rPr>
      </w:pPr>
      <w:r>
        <w:rPr>
          <w:noProof/>
        </w:rPr>
        <w:t>1.5.2.</w:t>
      </w:r>
      <w:r>
        <w:rPr>
          <w:noProof/>
        </w:rPr>
        <w:tab/>
        <w:t>EU:n osallistumisesta saatava lisäarvo</w:t>
      </w:r>
    </w:p>
    <w:p w:rsidR="0006109C" w:rsidRDefault="00493E42">
      <w:pPr>
        <w:pStyle w:val="Text1"/>
        <w:pBdr>
          <w:top w:val="single" w:sz="4" w:space="1" w:color="auto"/>
          <w:left w:val="single" w:sz="4" w:space="0" w:color="auto"/>
          <w:bottom w:val="single" w:sz="4" w:space="1" w:color="auto"/>
          <w:right w:val="single" w:sz="4" w:space="1" w:color="auto"/>
        </w:pBdr>
        <w:rPr>
          <w:noProof/>
        </w:rPr>
      </w:pPr>
      <w:r>
        <w:rPr>
          <w:noProof/>
        </w:rPr>
        <w:t xml:space="preserve">BEREC edistää yhtenäisen sääntelykäytännön kehittämistä ja sähköisen viestinnän sääntelyjärjestelmän johdonmukaista </w:t>
      </w:r>
      <w:r>
        <w:rPr>
          <w:noProof/>
        </w:rPr>
        <w:t>täytäntöönpanoa. Tämänhetkisen institutionaalisen rakenteensa vuoksi BEREC usein kuitenkin valitsee suuremman joustavuuden tai pienimmän yhteisen nimittäjän sen sijaan, että pyrkisi yhdenmukaistettuun lähestymistapaan sisämarkkinoilla. Uusien toimenpiteide</w:t>
      </w:r>
      <w:r>
        <w:rPr>
          <w:noProof/>
        </w:rPr>
        <w:t>n myötä BERECin panosta hyödynnetään aiempaa laajemmin teknisten ja poliittisten suuntaviivojen laatimisessa. BERECilla on tulevina vuosina ratkaiseva rooli digitaalisten sisämarkkinoiden edistämisessä. Ehdotetun toimenpiteen tavoitteena on lujittaa sen ra</w:t>
      </w:r>
      <w:r>
        <w:rPr>
          <w:noProof/>
        </w:rPr>
        <w:t>kennetta, tehostaa sen toimivaltaa ja sääntelyvalmiuksia ja varmistaa sen toiminnan jatkuvuus. BERECin työ perustuu kuitenkin edelleen kansallisten sääntelyviranomaisten edustajien asiantuntemukseen eri työryhmissä, ja kansallisten sääntelyviranomaisten jo</w:t>
      </w:r>
      <w:r>
        <w:rPr>
          <w:noProof/>
        </w:rPr>
        <w:t>htajat tekevät edelleen päätökset hallintoneuvoston tasolla. BEREC on tarpeen ankkuroida kansallisten sääntelyviranomaisten työhön, koska sen tehtäväksi tulevat päätökset ovat luonteeltaan teknisiä ja koska virastoihin nykyisellään käytettävissä olevat res</w:t>
      </w:r>
      <w:r>
        <w:rPr>
          <w:noProof/>
        </w:rPr>
        <w:t>urssit ovat rajalliset.</w:t>
      </w:r>
    </w:p>
    <w:p w:rsidR="0006109C" w:rsidRDefault="00493E42">
      <w:pPr>
        <w:pStyle w:val="ManualHeading3"/>
        <w:rPr>
          <w:bCs/>
          <w:noProof/>
        </w:rPr>
      </w:pPr>
      <w:r>
        <w:rPr>
          <w:noProof/>
        </w:rPr>
        <w:t>1.5.3.</w:t>
      </w:r>
      <w:r>
        <w:rPr>
          <w:noProof/>
        </w:rPr>
        <w:tab/>
        <w:t>Vastaavista toimista saadut kokemukset</w:t>
      </w:r>
    </w:p>
    <w:p w:rsidR="0006109C" w:rsidRDefault="00493E42">
      <w:pPr>
        <w:pBdr>
          <w:top w:val="single" w:sz="4" w:space="1" w:color="auto"/>
          <w:left w:val="single" w:sz="4" w:space="0" w:color="auto"/>
          <w:bottom w:val="single" w:sz="4" w:space="1" w:color="auto"/>
          <w:right w:val="single" w:sz="4" w:space="4" w:color="auto"/>
        </w:pBdr>
        <w:ind w:left="851"/>
        <w:rPr>
          <w:noProof/>
        </w:rPr>
      </w:pPr>
      <w:r>
        <w:rPr>
          <w:noProof/>
        </w:rPr>
        <w:t>Nykyinen rakenne muodostuu elimestä, jolla on oikeushenkilöllisyys – BEREC-virastosta, joka on unionin virastoista pienin – ja BERECin sääntelyneuvostosta, joka ei ole oikeushenkilö vaan</w:t>
      </w:r>
      <w:r>
        <w:rPr>
          <w:noProof/>
        </w:rPr>
        <w:t xml:space="preserve"> antaa lausuntoja toimivaltaansa kuuluvilla aloilla. Tämä rakenne on tullut tiensä päähän.</w:t>
      </w:r>
    </w:p>
    <w:p w:rsidR="0006109C" w:rsidRDefault="00493E42">
      <w:pPr>
        <w:pBdr>
          <w:top w:val="single" w:sz="4" w:space="1" w:color="auto"/>
          <w:left w:val="single" w:sz="4" w:space="0" w:color="auto"/>
          <w:bottom w:val="single" w:sz="4" w:space="1" w:color="auto"/>
          <w:right w:val="single" w:sz="4" w:space="4" w:color="auto"/>
        </w:pBdr>
        <w:ind w:left="851"/>
        <w:rPr>
          <w:noProof/>
        </w:rPr>
      </w:pPr>
      <w:r>
        <w:rPr>
          <w:noProof/>
        </w:rPr>
        <w:t>Nykymuodossaan BEREC ei ole kyennyt välttämään epäselvyyttä unionin sääntöjen täytäntöönpanossa eikä optimoimaan hallinnollista taakkaa, joka sille virastona koostaa</w:t>
      </w:r>
      <w:r>
        <w:rPr>
          <w:noProof/>
        </w:rPr>
        <w:t>n huolimatta lankeaa. Se on päinvastoin synnyttänyt tarpeettomia hallinnollisia rasitteita, mistä ovat esimerkkeinä ohjelmasuunnittelun ja raportoinnin päällekkäisyys BERECissa ja BEREC-virastossa ja nimittävän viranomaisen toimivallan antaminen johtokunna</w:t>
      </w:r>
      <w:r>
        <w:rPr>
          <w:noProof/>
        </w:rPr>
        <w:t>n varapuheenjohtajalle vailla mahdollisuutta siirtää tätä toimivaltaa hallintojohtajalle ja edelleenvaltuutetulle. Lisäksi se on pystynyt vain osittain kehittämään tarvittavat sääntelyvalmiudet saavuttaakseen päätavoitteensa.</w:t>
      </w:r>
    </w:p>
    <w:p w:rsidR="0006109C" w:rsidRDefault="00493E42">
      <w:pPr>
        <w:pBdr>
          <w:top w:val="single" w:sz="4" w:space="1" w:color="auto"/>
          <w:left w:val="single" w:sz="4" w:space="0" w:color="auto"/>
          <w:bottom w:val="single" w:sz="4" w:space="1" w:color="auto"/>
          <w:right w:val="single" w:sz="4" w:space="4" w:color="auto"/>
        </w:pBdr>
        <w:ind w:left="851"/>
        <w:rPr>
          <w:noProof/>
        </w:rPr>
      </w:pPr>
      <w:r>
        <w:rPr>
          <w:noProof/>
        </w:rPr>
        <w:t>BEREC ja BEREC-virasto yhdistä</w:t>
      </w:r>
      <w:r>
        <w:rPr>
          <w:noProof/>
        </w:rPr>
        <w:t>mällä voitaisiin toisaalta poistaa edellä mainitut tehottomuudet ja toisaalta antaa uudelle virastolle lisäresursseja toimintaa varten.</w:t>
      </w:r>
    </w:p>
    <w:p w:rsidR="0006109C" w:rsidRDefault="00493E42">
      <w:pPr>
        <w:pStyle w:val="ManualHeading3"/>
        <w:rPr>
          <w:bCs/>
          <w:noProof/>
        </w:rPr>
      </w:pPr>
      <w:r>
        <w:rPr>
          <w:noProof/>
        </w:rPr>
        <w:t>1.5.4.</w:t>
      </w:r>
      <w:r>
        <w:rPr>
          <w:noProof/>
        </w:rPr>
        <w:tab/>
        <w:t>Yhteensopivuus muiden kyseeseen tulevien välineiden kanssa ja mahdolliset synergiaedut</w:t>
      </w:r>
    </w:p>
    <w:p w:rsidR="0006109C" w:rsidRDefault="00493E42">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Ehdotus on osa sähköisen v</w:t>
      </w:r>
      <w:r>
        <w:rPr>
          <w:noProof/>
        </w:rPr>
        <w:t>iestinnän sääntelyjärjestelmän uudelleentarkastelua, joka kuuluu toukokuussa 2015 käynnistetyn DSM-strategian keskeisiin pilareihin. Se on yksi tärkeimmistä osatekijöistä paketissa, joka on keskeinen osa unionin lainsäädäntöä ja jolla pyritään edistämään k</w:t>
      </w:r>
      <w:r>
        <w:rPr>
          <w:noProof/>
        </w:rPr>
        <w:t>ilpailua, sisämarkkinoita, loppukäyttäjien etuja sekä erittäin suuren kapasiteetin datayhteyksien laajaa saatavuutta ja käyttöönottoa. Se on johdonmukainen suhteessa unionin kilpailu- ja sisämarkkinapolitiikkaan.</w:t>
      </w:r>
    </w:p>
    <w:p w:rsidR="0006109C" w:rsidRDefault="00493E42">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Ehdotuksen yhteydessä analysoitiin, saatais</w:t>
      </w:r>
      <w:r>
        <w:rPr>
          <w:noProof/>
        </w:rPr>
        <w:t>iinko muiden unionin virastojen kanssa tehokkuushyötyjä ja synergiaetuja, mutta tämä mahdollisuus hylättiin (lisätietoja on vaikutusten arvioinnissa).</w:t>
      </w:r>
    </w:p>
    <w:p w:rsidR="0006109C" w:rsidRDefault="0006109C">
      <w:pPr>
        <w:spacing w:before="0" w:after="200" w:line="276" w:lineRule="auto"/>
        <w:jc w:val="left"/>
        <w:rPr>
          <w:rFonts w:eastAsiaTheme="majorEastAsia"/>
          <w:b/>
          <w:iCs/>
          <w:noProof/>
          <w:szCs w:val="24"/>
        </w:rPr>
      </w:pPr>
    </w:p>
    <w:p w:rsidR="0006109C" w:rsidRDefault="00493E42">
      <w:pPr>
        <w:pStyle w:val="ManualHeading2"/>
        <w:rPr>
          <w:bCs/>
          <w:noProof/>
        </w:rPr>
      </w:pPr>
      <w:r>
        <w:rPr>
          <w:noProof/>
        </w:rPr>
        <w:t>1.6.</w:t>
      </w:r>
      <w:r>
        <w:rPr>
          <w:noProof/>
        </w:rPr>
        <w:tab/>
        <w:t>Toiminnan ja sen rahoitusvaikutusten kesto</w:t>
      </w:r>
    </w:p>
    <w:p w:rsidR="0006109C" w:rsidRDefault="00493E42">
      <w:pPr>
        <w:pStyle w:val="Text1"/>
        <w:rPr>
          <w:noProof/>
        </w:rPr>
      </w:pPr>
      <w:r>
        <w:rPr>
          <w:noProof/>
        </w:rPr>
        <w:sym w:font="Wingdings" w:char="F0A8"/>
      </w:r>
      <w:r>
        <w:rPr>
          <w:noProof/>
        </w:rPr>
        <w:tab/>
        <w:t xml:space="preserve">Ehdotuksen/aloitteen mukaisen toiminnan </w:t>
      </w:r>
      <w:r>
        <w:rPr>
          <w:b/>
          <w:noProof/>
        </w:rPr>
        <w:t>kesto on rajat</w:t>
      </w:r>
      <w:r>
        <w:rPr>
          <w:b/>
          <w:noProof/>
        </w:rPr>
        <w:t>tu</w:t>
      </w:r>
      <w:r>
        <w:rPr>
          <w:noProof/>
        </w:rPr>
        <w:t>.</w:t>
      </w:r>
    </w:p>
    <w:p w:rsidR="0006109C" w:rsidRDefault="00493E42">
      <w:pPr>
        <w:pStyle w:val="ListDash2"/>
        <w:rPr>
          <w:noProof/>
        </w:rPr>
      </w:pPr>
      <w:r>
        <w:rPr>
          <w:noProof/>
        </w:rPr>
        <w:sym w:font="Wingdings" w:char="F0A8"/>
      </w:r>
      <w:r>
        <w:rPr>
          <w:noProof/>
        </w:rPr>
        <w:tab/>
      </w:r>
      <w:r>
        <w:rPr>
          <w:noProof/>
        </w:rPr>
        <w:sym w:font="Wingdings" w:char="F0A8"/>
      </w:r>
      <w:r>
        <w:rPr>
          <w:noProof/>
        </w:rPr>
        <w:t>Ehdotuksen/aloitteen mukainen toiminta alkaa [PP/KK]VVVV ja päättyy [PP/KK]VVVV.</w:t>
      </w:r>
    </w:p>
    <w:p w:rsidR="0006109C" w:rsidRDefault="00493E42">
      <w:pPr>
        <w:pStyle w:val="ListDash2"/>
        <w:rPr>
          <w:noProof/>
        </w:rPr>
      </w:pPr>
      <w:r>
        <w:rPr>
          <w:noProof/>
        </w:rPr>
        <w:sym w:font="Wingdings" w:char="F0A8"/>
      </w:r>
      <w:r>
        <w:rPr>
          <w:noProof/>
        </w:rPr>
        <w:tab/>
      </w:r>
      <w:r>
        <w:rPr>
          <w:noProof/>
        </w:rPr>
        <w:sym w:font="Wingdings" w:char="F0A8"/>
      </w:r>
      <w:r>
        <w:rPr>
          <w:noProof/>
        </w:rPr>
        <w:t>Rahoitusvaikutukset alkavat vuonna VVVV ja päättyvät vuonna VVVV.</w:t>
      </w:r>
    </w:p>
    <w:p w:rsidR="0006109C" w:rsidRDefault="00493E42">
      <w:pPr>
        <w:pStyle w:val="Text1"/>
        <w:rPr>
          <w:noProof/>
        </w:rPr>
      </w:pPr>
      <w:r>
        <w:rPr>
          <w:noProof/>
        </w:rPr>
        <w:sym w:font="Wingdings" w:char="F0FE"/>
      </w:r>
      <w:r>
        <w:rPr>
          <w:noProof/>
        </w:rPr>
        <w:tab/>
        <w:t xml:space="preserve">Ehdotuksen/aloitteen mukaisen toiminnan </w:t>
      </w:r>
      <w:r>
        <w:rPr>
          <w:b/>
          <w:noProof/>
        </w:rPr>
        <w:t>kestoa ei ole rajattu</w:t>
      </w:r>
      <w:r>
        <w:rPr>
          <w:noProof/>
        </w:rPr>
        <w:t>.</w:t>
      </w:r>
    </w:p>
    <w:p w:rsidR="0006109C" w:rsidRDefault="00493E42">
      <w:pPr>
        <w:pStyle w:val="ListDash1"/>
        <w:rPr>
          <w:noProof/>
        </w:rPr>
      </w:pPr>
      <w:r>
        <w:rPr>
          <w:noProof/>
        </w:rPr>
        <w:t xml:space="preserve">Käynnistysvaihe alkaa vuonna 2019 </w:t>
      </w:r>
      <w:r>
        <w:rPr>
          <w:noProof/>
        </w:rPr>
        <w:t>ja päättyy vuonna 2022</w:t>
      </w:r>
      <w:r>
        <w:rPr>
          <w:rStyle w:val="FootnoteReference"/>
          <w:noProof/>
        </w:rPr>
        <w:footnoteReference w:id="51"/>
      </w:r>
      <w:r>
        <w:rPr>
          <w:noProof/>
        </w:rPr>
        <w:t>.</w:t>
      </w:r>
    </w:p>
    <w:p w:rsidR="0006109C" w:rsidRDefault="00493E42">
      <w:pPr>
        <w:pStyle w:val="ListDash1"/>
        <w:rPr>
          <w:noProof/>
        </w:rPr>
      </w:pPr>
      <w:r>
        <w:rPr>
          <w:noProof/>
        </w:rPr>
        <w:t>Tämän jälkeen toiminta täydessä laajuudessa.</w:t>
      </w:r>
    </w:p>
    <w:p w:rsidR="0006109C" w:rsidRDefault="0006109C">
      <w:pPr>
        <w:rPr>
          <w:noProof/>
        </w:rPr>
      </w:pPr>
    </w:p>
    <w:p w:rsidR="0006109C" w:rsidRDefault="00493E42">
      <w:pPr>
        <w:pStyle w:val="ManualHeading2"/>
        <w:rPr>
          <w:bCs/>
          <w:noProof/>
        </w:rPr>
      </w:pPr>
      <w:r>
        <w:rPr>
          <w:noProof/>
        </w:rPr>
        <w:t>1.7.</w:t>
      </w:r>
      <w:r>
        <w:rPr>
          <w:noProof/>
        </w:rPr>
        <w:tab/>
        <w:t>Hallinnointitapa (Hallinnointitavat)</w:t>
      </w:r>
      <w:r>
        <w:rPr>
          <w:rStyle w:val="FootnoteReference"/>
          <w:noProof/>
        </w:rPr>
        <w:footnoteReference w:id="52"/>
      </w:r>
    </w:p>
    <w:p w:rsidR="0006109C" w:rsidRDefault="00493E42">
      <w:pPr>
        <w:pStyle w:val="Text1"/>
        <w:ind w:left="1570"/>
        <w:rPr>
          <w:noProof/>
        </w:rPr>
      </w:pPr>
      <w:r>
        <w:rPr>
          <w:noProof/>
          <w:szCs w:val="24"/>
        </w:rPr>
        <w:sym w:font="Wingdings" w:char="F0A8"/>
      </w:r>
      <w:r>
        <w:rPr>
          <w:i/>
          <w:noProof/>
        </w:rPr>
        <w:t xml:space="preserve"> </w:t>
      </w:r>
      <w:r>
        <w:rPr>
          <w:b/>
          <w:noProof/>
        </w:rPr>
        <w:t>Suora hallinnointi</w:t>
      </w:r>
      <w:r>
        <w:rPr>
          <w:noProof/>
        </w:rPr>
        <w:t xml:space="preserve">, jonka komissio toteuttaa käyttämällä </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ab/>
      </w:r>
      <w:r>
        <w:rPr>
          <w:noProof/>
        </w:rPr>
        <w:sym w:font="Wingdings" w:char="F0A8"/>
      </w:r>
      <w:r>
        <w:rPr>
          <w:noProof/>
        </w:rPr>
        <w:t xml:space="preserve">osastojaan, myös unionin edustustoissa olevaa henkilöstöään </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ab/>
      </w:r>
      <w:r>
        <w:rPr>
          <w:noProof/>
        </w:rPr>
        <w:sym w:font="Wingdings" w:char="F0A8"/>
      </w:r>
      <w:r>
        <w:rPr>
          <w:noProof/>
        </w:rPr>
        <w:t xml:space="preserve">toimeenpanovirastoja </w:t>
      </w:r>
    </w:p>
    <w:p w:rsidR="0006109C" w:rsidRDefault="00493E42">
      <w:pPr>
        <w:pStyle w:val="Text1"/>
        <w:ind w:left="1570"/>
        <w:rPr>
          <w:noProof/>
        </w:rPr>
      </w:pPr>
      <w:r>
        <w:rPr>
          <w:noProof/>
          <w:szCs w:val="24"/>
        </w:rPr>
        <w:sym w:font="Wingdings" w:char="F0A8"/>
      </w:r>
      <w:r>
        <w:rPr>
          <w:b/>
          <w:i/>
          <w:noProof/>
        </w:rPr>
        <w:t xml:space="preserve"> </w:t>
      </w:r>
      <w:r>
        <w:rPr>
          <w:b/>
          <w:noProof/>
        </w:rPr>
        <w:t>Hallinnointi yhteistyössä</w:t>
      </w:r>
      <w:r>
        <w:rPr>
          <w:noProof/>
        </w:rPr>
        <w:t xml:space="preserve"> jäsenvaltioiden kanssa </w:t>
      </w:r>
    </w:p>
    <w:p w:rsidR="0006109C" w:rsidRDefault="00493E42">
      <w:pPr>
        <w:pStyle w:val="Text1"/>
        <w:ind w:left="1570"/>
        <w:rPr>
          <w:noProof/>
        </w:rPr>
      </w:pPr>
      <w:r>
        <w:rPr>
          <w:noProof/>
          <w:szCs w:val="24"/>
        </w:rPr>
        <w:sym w:font="Wingdings" w:char="F0FE"/>
      </w:r>
      <w:r>
        <w:rPr>
          <w:noProof/>
        </w:rPr>
        <w:t xml:space="preserve"> </w:t>
      </w:r>
      <w:r>
        <w:rPr>
          <w:b/>
          <w:noProof/>
        </w:rPr>
        <w:t>Välillinen hallinnointi</w:t>
      </w:r>
      <w:r>
        <w:rPr>
          <w:noProof/>
        </w:rPr>
        <w:t>, jossa täytäntöönpanotehtäviä on siirretty:</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kolmansille maille tai niiden nimeämille elimille</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kansainvälisille järjestöille ja niiden erityisjärjestöill</w:t>
      </w:r>
      <w:r>
        <w:rPr>
          <w:noProof/>
        </w:rPr>
        <w:t>e (tarkennettava)</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Euroopan investointipankille ja Euroopan investointirahastolle</w:t>
      </w:r>
    </w:p>
    <w:p w:rsidR="0006109C" w:rsidRDefault="00493E42">
      <w:pPr>
        <w:pStyle w:val="ListDash2"/>
        <w:numPr>
          <w:ilvl w:val="0"/>
          <w:numId w:val="20"/>
        </w:numPr>
        <w:tabs>
          <w:tab w:val="clear" w:pos="1134"/>
          <w:tab w:val="num" w:pos="1854"/>
        </w:tabs>
        <w:ind w:left="1854"/>
        <w:rPr>
          <w:noProof/>
        </w:rPr>
      </w:pPr>
      <w:r>
        <w:rPr>
          <w:noProof/>
        </w:rPr>
        <w:sym w:font="Wingdings" w:char="F0FE"/>
      </w:r>
      <w:r>
        <w:rPr>
          <w:noProof/>
        </w:rPr>
        <w:t xml:space="preserve"> varainhoitoasetuksen 208 ja 209 artiklassa tarkoitetuille elimille</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julkisoikeudellisille yhteisöille</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sellaisille julkisen palvelun tehtäviä hoitaville yksityisoikeudel</w:t>
      </w:r>
      <w:r>
        <w:rPr>
          <w:noProof/>
        </w:rPr>
        <w:t>lisille elimille, jotka antavat riittävät rahoitustakuut</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rsidR="0006109C" w:rsidRDefault="00493E42">
      <w:pPr>
        <w:pStyle w:val="ListDash2"/>
        <w:numPr>
          <w:ilvl w:val="0"/>
          <w:numId w:val="20"/>
        </w:numPr>
        <w:tabs>
          <w:tab w:val="clear" w:pos="1134"/>
          <w:tab w:val="num" w:pos="1854"/>
        </w:tabs>
        <w:ind w:left="1854"/>
        <w:rPr>
          <w:noProof/>
        </w:rPr>
      </w:pPr>
      <w:r>
        <w:rPr>
          <w:noProof/>
        </w:rPr>
        <w:sym w:font="Wingdings" w:char="F0A8"/>
      </w:r>
      <w:r>
        <w:rPr>
          <w:noProof/>
        </w:rPr>
        <w:t xml:space="preserve"> h</w:t>
      </w:r>
      <w:r>
        <w:rPr>
          <w:noProof/>
        </w:rPr>
        <w:t>enkilöille, joille on annettu tehtäväksi toteuttaa SEU-sopimuksen V osaston mukaisia yhteisen ulko- ja turvallisuuspolitiikan erityistoimia ja jotka nimetään asiaa koskevassa perussäädöksessä.</w:t>
      </w:r>
    </w:p>
    <w:p w:rsidR="0006109C" w:rsidRDefault="00493E42">
      <w:pPr>
        <w:ind w:left="720"/>
        <w:rPr>
          <w:noProof/>
        </w:rPr>
      </w:pPr>
      <w:r>
        <w:rPr>
          <w:noProof/>
        </w:rPr>
        <w:t xml:space="preserve">Huomautukset </w:t>
      </w:r>
    </w:p>
    <w:p w:rsidR="0006109C" w:rsidRDefault="0006109C">
      <w:pPr>
        <w:rPr>
          <w:noProof/>
        </w:rPr>
      </w:pPr>
    </w:p>
    <w:p w:rsidR="0006109C" w:rsidRDefault="0006109C">
      <w:pPr>
        <w:pBdr>
          <w:top w:val="single" w:sz="4" w:space="1" w:color="auto"/>
          <w:left w:val="single" w:sz="4" w:space="4" w:color="auto"/>
          <w:bottom w:val="single" w:sz="4" w:space="1" w:color="auto"/>
          <w:right w:val="single" w:sz="4" w:space="4" w:color="auto"/>
        </w:pBdr>
        <w:rPr>
          <w:noProof/>
          <w:color w:val="0000FF"/>
        </w:rPr>
      </w:pPr>
    </w:p>
    <w:p w:rsidR="0006109C" w:rsidRDefault="00493E42">
      <w:pPr>
        <w:pStyle w:val="ManualHeading1"/>
        <w:rPr>
          <w:bCs/>
          <w:noProof/>
        </w:rPr>
      </w:pPr>
      <w:r>
        <w:rPr>
          <w:noProof/>
        </w:rPr>
        <w:t>2.</w:t>
      </w:r>
      <w:r>
        <w:rPr>
          <w:noProof/>
        </w:rPr>
        <w:tab/>
        <w:t>HALLINNOINTI</w:t>
      </w:r>
    </w:p>
    <w:p w:rsidR="0006109C" w:rsidRDefault="00493E42">
      <w:pPr>
        <w:pStyle w:val="ManualHeading2"/>
        <w:rPr>
          <w:bCs/>
          <w:noProof/>
        </w:rPr>
      </w:pPr>
      <w:r>
        <w:rPr>
          <w:noProof/>
        </w:rPr>
        <w:t>2.1.</w:t>
      </w:r>
      <w:r>
        <w:rPr>
          <w:noProof/>
        </w:rPr>
        <w:tab/>
        <w:t xml:space="preserve">Seuranta- ja </w:t>
      </w:r>
      <w:r>
        <w:rPr>
          <w:noProof/>
        </w:rPr>
        <w:t>raportointisäännöt</w:t>
      </w:r>
    </w:p>
    <w:p w:rsidR="0006109C" w:rsidRDefault="00493E42">
      <w:pPr>
        <w:pStyle w:val="Text1"/>
        <w:rPr>
          <w:i/>
          <w:noProof/>
          <w:sz w:val="20"/>
        </w:rPr>
      </w:pPr>
      <w:r>
        <w:rPr>
          <w:i/>
          <w:noProof/>
          <w:sz w:val="20"/>
        </w:rPr>
        <w:t>Ilmoitetaan sovellettavat aikavälit ja edellytykset.</w:t>
      </w:r>
    </w:p>
    <w:p w:rsidR="0006109C" w:rsidRDefault="00493E42">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noProof/>
        </w:rPr>
        <w:t>Seurantajärjestelmä</w:t>
      </w:r>
    </w:p>
    <w:p w:rsidR="0006109C" w:rsidRDefault="00493E42">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Perustamisasetuksen N:o 1211/2009 mukaan komissio on velvollinen julkaisemaan kertomuksen kokemuksista, jotka on saatu BERECin ja BEREC-viraston toiminnasta, kolmen</w:t>
      </w:r>
      <w:r>
        <w:rPr>
          <w:b w:val="0"/>
          <w:noProof/>
        </w:rPr>
        <w:t xml:space="preserve"> vuoden kuluessa toiminnan tosiasiallisesta alkamisesta.</w:t>
      </w:r>
    </w:p>
    <w:p w:rsidR="0006109C" w:rsidRDefault="00493E42">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Vuoden 2012 arviointikertomuksessa keskityttiin BERECin yleistavoitteiden ja niistä johtuvien BERECin ja BEREC-viraston roolien ja tehtävien mukaisesti siihen, miten tehokkaasti BEREC on tähän mennes</w:t>
      </w:r>
      <w:r>
        <w:rPr>
          <w:b w:val="0"/>
          <w:noProof/>
        </w:rPr>
        <w:t>sä saatujen kokemusten perusteella onnistunut tehtävässään edistää sähköisen viestinnän sisämarkkinoiden kehitystä. Tavoitteena oli esittää arvio BERECin ja BEREC-viraston työskentelytavoista, organisaatiosta ja toimivallasta sekä antaa tarvittaessa parann</w:t>
      </w:r>
      <w:r>
        <w:rPr>
          <w:b w:val="0"/>
          <w:noProof/>
        </w:rPr>
        <w:t>ussuosituksia. Arviointi valmistui joulukuussa 2012, ja se julkaistiin. Arviointiselvitys toimitettiin myös Euroopan parlamentille ja neuvostolle. Euroopan parlamentti antoi päätöslauselman, joka sisältää parlamentin lausunnon</w:t>
      </w:r>
      <w:r>
        <w:rPr>
          <w:rStyle w:val="FootnoteReference"/>
          <w:b w:val="0"/>
          <w:noProof/>
        </w:rPr>
        <w:footnoteReference w:id="53"/>
      </w:r>
      <w:r>
        <w:rPr>
          <w:b w:val="0"/>
          <w:noProof/>
        </w:rPr>
        <w:t>.</w:t>
      </w:r>
      <w:r>
        <w:rPr>
          <w:noProof/>
        </w:rPr>
        <w:t xml:space="preserve"> </w:t>
      </w:r>
    </w:p>
    <w:p w:rsidR="0006109C" w:rsidRDefault="00493E42">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Sittemmin komissio on uude</w:t>
      </w:r>
      <w:r>
        <w:rPr>
          <w:b w:val="0"/>
          <w:noProof/>
        </w:rPr>
        <w:t xml:space="preserve">lleentarkastelun yhteydessä teettänyt kolme tutkimusta aiheinaan </w:t>
      </w:r>
      <w:r>
        <w:rPr>
          <w:b w:val="0"/>
          <w:i/>
          <w:noProof/>
        </w:rPr>
        <w:t>sääntelyjärjestelmän tarkistukseen liittyvät sisältökysymykset markkinoille pääsyssä, niukkojen resurssien hallinnassa ja yleisissä kuluttaja-asioissa</w:t>
      </w:r>
      <w:r>
        <w:rPr>
          <w:rStyle w:val="FootnoteReference"/>
          <w:b w:val="0"/>
          <w:i/>
          <w:noProof/>
        </w:rPr>
        <w:footnoteReference w:id="54"/>
      </w:r>
      <w:r>
        <w:rPr>
          <w:b w:val="0"/>
          <w:noProof/>
        </w:rPr>
        <w:t xml:space="preserve">; </w:t>
      </w:r>
      <w:r>
        <w:rPr>
          <w:b w:val="0"/>
          <w:i/>
          <w:noProof/>
        </w:rPr>
        <w:t>sääntelymallit, etenkin käyttöoikeuksi</w:t>
      </w:r>
      <w:r>
        <w:rPr>
          <w:b w:val="0"/>
          <w:i/>
          <w:noProof/>
        </w:rPr>
        <w:t>ssa, verkkoinvestointimalleille Euroopassa</w:t>
      </w:r>
      <w:r>
        <w:rPr>
          <w:rStyle w:val="FootnoteReference"/>
          <w:b w:val="0"/>
          <w:i/>
          <w:noProof/>
        </w:rPr>
        <w:footnoteReference w:id="55"/>
      </w:r>
      <w:r>
        <w:rPr>
          <w:b w:val="0"/>
          <w:noProof/>
        </w:rPr>
        <w:t>; ja</w:t>
      </w:r>
      <w:r>
        <w:rPr>
          <w:noProof/>
        </w:rPr>
        <w:t xml:space="preserve"> </w:t>
      </w:r>
      <w:r>
        <w:rPr>
          <w:b w:val="0"/>
          <w:i/>
          <w:noProof/>
        </w:rPr>
        <w:t>valmistelutuki vaikutusten arvioinnille sähköisen viestinnän sääntelyjärjestelmän tarkistuksesta</w:t>
      </w:r>
      <w:r>
        <w:rPr>
          <w:rStyle w:val="FootnoteReference"/>
          <w:noProof/>
        </w:rPr>
        <w:footnoteReference w:id="56"/>
      </w:r>
      <w:r>
        <w:rPr>
          <w:b w:val="0"/>
          <w:i/>
          <w:noProof/>
        </w:rPr>
        <w:t xml:space="preserve">. </w:t>
      </w:r>
      <w:r>
        <w:rPr>
          <w:b w:val="0"/>
          <w:noProof/>
        </w:rPr>
        <w:t>Kahdessa viimeksi mainitussa tutkimuksessa arvioitiin myös BERECin rakennetta ja tapaa, jolla se on tähän ast</w:t>
      </w:r>
      <w:r>
        <w:rPr>
          <w:b w:val="0"/>
          <w:noProof/>
        </w:rPr>
        <w:t>i suorittanut päätehtävänsä.</w:t>
      </w:r>
    </w:p>
    <w:p w:rsidR="0006109C" w:rsidRDefault="00493E42">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Uudesta virastosta tehdään säännölliset tarkastelut ja arvioinnit. Komissio tekee viimeistään viiden vuoden kuluttua tämän asetuksen voimaantulosta ja sen jälkeen viiden vuoden välein komission suuntaviivojen mukaisen arvioinni</w:t>
      </w:r>
      <w:r>
        <w:rPr>
          <w:b w:val="0"/>
          <w:noProof/>
        </w:rPr>
        <w:t>n BERECin toiminnasta suhteessa sen tavoitteisiin, toimeksiantoon, tehtäviin ja toimipaikkaan (toimipaikkoihin). Arvioinnissa tarkastellaan erityisesti mahdollista tarvetta muuttaa BERECin toimeksiantoa ja tällaisten muutosten taloudellisia vaikutuksia. Ko</w:t>
      </w:r>
      <w:r>
        <w:rPr>
          <w:b w:val="0"/>
          <w:noProof/>
        </w:rPr>
        <w:t>missio raportoi Euroopan parlamentille, neuvostolle ja hallintoneuvostolle arvioinnin tuloksista. Arvioinnin tulokset on julkistettava.</w:t>
      </w:r>
    </w:p>
    <w:p w:rsidR="0006109C" w:rsidRDefault="00493E42">
      <w:pPr>
        <w:pStyle w:val="ManualHeading2"/>
        <w:rPr>
          <w:bCs/>
          <w:noProof/>
        </w:rPr>
      </w:pPr>
      <w:r>
        <w:rPr>
          <w:noProof/>
        </w:rPr>
        <w:t>2.2.</w:t>
      </w:r>
      <w:r>
        <w:rPr>
          <w:noProof/>
        </w:rPr>
        <w:tab/>
        <w:t>Hallinnointi- ja valvontajärjestelmä</w:t>
      </w:r>
    </w:p>
    <w:p w:rsidR="0006109C" w:rsidRDefault="00493E42">
      <w:pPr>
        <w:pStyle w:val="ManualHeading3"/>
        <w:rPr>
          <w:bCs/>
          <w:noProof/>
        </w:rPr>
      </w:pPr>
      <w:r>
        <w:rPr>
          <w:noProof/>
        </w:rPr>
        <w:t>2.2.1.</w:t>
      </w:r>
      <w:r>
        <w:rPr>
          <w:noProof/>
        </w:rPr>
        <w:tab/>
        <w:t>Todetut riskit</w:t>
      </w:r>
    </w:p>
    <w:p w:rsidR="0006109C" w:rsidRDefault="00493E42">
      <w:pPr>
        <w:pBdr>
          <w:top w:val="single" w:sz="4" w:space="1" w:color="auto"/>
          <w:left w:val="single" w:sz="4" w:space="4" w:color="auto"/>
          <w:bottom w:val="single" w:sz="4" w:space="1" w:color="auto"/>
          <w:right w:val="single" w:sz="4" w:space="4" w:color="auto"/>
        </w:pBdr>
        <w:ind w:left="851"/>
        <w:rPr>
          <w:noProof/>
        </w:rPr>
      </w:pPr>
      <w:r>
        <w:rPr>
          <w:noProof/>
        </w:rPr>
        <w:t>Todetut riskit ovat vähäiset. Unionin virasto on jo olem</w:t>
      </w:r>
      <w:r>
        <w:rPr>
          <w:noProof/>
        </w:rPr>
        <w:t>assa, mutta se muutetaan yhteisen lähestymistavan mukaiseksi ja se saa uusia toimivaltuuksia ja tehtäviä. Ehdotus näin ollen lujittaisi sen organisaatiota ja toisi tehokkuushyötyjä. Operatiivisten toimivaltuuksien ja tehtävien lisäämiseen ei liity todellis</w:t>
      </w:r>
      <w:r>
        <w:rPr>
          <w:noProof/>
        </w:rPr>
        <w:t>ta riskiä, jos käyttöön annetaan riittävät resurssit. BEREC käyttäisi uusia toimivaltuuksia neuvontaan aloilla, joilla kansallisilla sääntelyviranomaisilla on asiantuntemusta, jota BEREC voi hyödyntää yhteistyöhön perustuvassa rakenteessaan. Päätöksentekoo</w:t>
      </w:r>
      <w:r>
        <w:rPr>
          <w:noProof/>
        </w:rPr>
        <w:t>n liittyvät ja esinormatiiviset toimivaltuudet koskisivat aloja, joilla BERECilla on jo kokemusta neuvoa-antavista tehtävistä, joita ehdotuksella on nyt määrä laajentaa.</w:t>
      </w:r>
    </w:p>
    <w:p w:rsidR="0006109C" w:rsidRDefault="00493E42">
      <w:pPr>
        <w:pBdr>
          <w:top w:val="single" w:sz="4" w:space="1" w:color="auto"/>
          <w:left w:val="single" w:sz="4" w:space="4" w:color="auto"/>
          <w:bottom w:val="single" w:sz="4" w:space="1" w:color="auto"/>
          <w:right w:val="single" w:sz="4" w:space="4" w:color="auto"/>
        </w:pBdr>
        <w:ind w:left="851"/>
        <w:rPr>
          <w:noProof/>
        </w:rPr>
      </w:pPr>
      <w:r>
        <w:rPr>
          <w:noProof/>
        </w:rPr>
        <w:t>Virastolle ehdotetulla rakenteella, hallintotavalla ja toimintamallilla, jotka vastais</w:t>
      </w:r>
      <w:r>
        <w:rPr>
          <w:noProof/>
        </w:rPr>
        <w:t>ivat yhteistä lähestymistapaa, varmistettaisiin riittävä valvonta sen varmistamiseksi, että BEREC työskentelee kohti tavoitteitaan. Ehdotettuihin muutoksiin liittyvät operatiiviset ja rahoitukselliset riskit vaikuttavat vähäisiltä.</w:t>
      </w:r>
    </w:p>
    <w:p w:rsidR="0006109C" w:rsidRDefault="00493E42">
      <w:pPr>
        <w:pStyle w:val="ManualHeading3"/>
        <w:rPr>
          <w:bCs/>
          <w:noProof/>
        </w:rPr>
      </w:pPr>
      <w:r>
        <w:rPr>
          <w:noProof/>
        </w:rPr>
        <w:t>2.2.2.</w:t>
      </w:r>
      <w:r>
        <w:rPr>
          <w:noProof/>
        </w:rPr>
        <w:tab/>
        <w:t>Valvontamenetelmä</w:t>
      </w:r>
      <w:r>
        <w:rPr>
          <w:noProof/>
        </w:rPr>
        <w:t>(t)</w:t>
      </w:r>
    </w:p>
    <w:p w:rsidR="0006109C" w:rsidRDefault="00493E42">
      <w:pPr>
        <w:pBdr>
          <w:top w:val="single" w:sz="4" w:space="1" w:color="auto"/>
          <w:left w:val="single" w:sz="4" w:space="4" w:color="auto"/>
          <w:bottom w:val="single" w:sz="4" w:space="1" w:color="auto"/>
          <w:right w:val="single" w:sz="4" w:space="4" w:color="auto"/>
        </w:pBdr>
        <w:ind w:left="851"/>
        <w:rPr>
          <w:noProof/>
        </w:rPr>
      </w:pPr>
      <w:r>
        <w:rPr>
          <w:noProof/>
        </w:rPr>
        <w:t>Ks. kohdat 2.1 ja 2.2 edellä.</w:t>
      </w:r>
    </w:p>
    <w:p w:rsidR="0006109C" w:rsidRDefault="00493E42">
      <w:pPr>
        <w:pBdr>
          <w:top w:val="single" w:sz="4" w:space="1" w:color="auto"/>
          <w:left w:val="single" w:sz="4" w:space="4" w:color="auto"/>
          <w:bottom w:val="single" w:sz="4" w:space="1" w:color="auto"/>
          <w:right w:val="single" w:sz="4" w:space="4" w:color="auto"/>
        </w:pBdr>
        <w:ind w:left="851"/>
        <w:rPr>
          <w:noProof/>
        </w:rPr>
      </w:pPr>
      <w:r>
        <w:rPr>
          <w:noProof/>
        </w:rPr>
        <w:t xml:space="preserve">Viraston tilit toimitetaan tilintarkastustuomioistuimen tarkastettaviksi, ja niihin sovelletaan vastuuvapausmenettelyä. Tarkastuksiin kuuluvat myös paikalla suoritettavat tarkastukset. </w:t>
      </w:r>
    </w:p>
    <w:p w:rsidR="0006109C" w:rsidRDefault="00493E42">
      <w:pPr>
        <w:pBdr>
          <w:top w:val="single" w:sz="4" w:space="1" w:color="auto"/>
          <w:left w:val="single" w:sz="4" w:space="4" w:color="auto"/>
          <w:bottom w:val="single" w:sz="4" w:space="1" w:color="auto"/>
          <w:right w:val="single" w:sz="4" w:space="4" w:color="auto"/>
        </w:pBdr>
        <w:ind w:left="851"/>
        <w:rPr>
          <w:noProof/>
        </w:rPr>
      </w:pPr>
      <w:r>
        <w:rPr>
          <w:noProof/>
        </w:rPr>
        <w:t>Viraston toiminta kuuluu oikeusasiam</w:t>
      </w:r>
      <w:r>
        <w:rPr>
          <w:noProof/>
        </w:rPr>
        <w:t>iehen valvonnan alaisuuteen perustamissopimuksen 228 artiklan määräysten mukaisesti.</w:t>
      </w:r>
    </w:p>
    <w:p w:rsidR="0006109C" w:rsidRDefault="00493E42">
      <w:pPr>
        <w:pStyle w:val="ManualHeading2"/>
        <w:rPr>
          <w:bCs/>
          <w:noProof/>
        </w:rPr>
      </w:pPr>
      <w:r>
        <w:rPr>
          <w:noProof/>
        </w:rPr>
        <w:t>2.3.</w:t>
      </w:r>
      <w:r>
        <w:rPr>
          <w:noProof/>
        </w:rPr>
        <w:tab/>
        <w:t>Toimenpiteet petosten ja sääntöjenvastaisuuksien ehkäisemiseksi</w:t>
      </w:r>
    </w:p>
    <w:p w:rsidR="0006109C" w:rsidRDefault="00493E42">
      <w:pPr>
        <w:pStyle w:val="Text1"/>
        <w:rPr>
          <w:i/>
          <w:noProof/>
          <w:sz w:val="20"/>
        </w:rPr>
      </w:pPr>
      <w:r>
        <w:rPr>
          <w:i/>
          <w:noProof/>
          <w:sz w:val="20"/>
        </w:rPr>
        <w:t>Ilmoitetaan käytössä olevat ja suunnitellut torjunta- ja suojatoimenpiteet</w:t>
      </w:r>
    </w:p>
    <w:p w:rsidR="0006109C" w:rsidRDefault="00493E42">
      <w:pPr>
        <w:pBdr>
          <w:top w:val="single" w:sz="4" w:space="1" w:color="auto"/>
          <w:left w:val="single" w:sz="4" w:space="5" w:color="auto"/>
          <w:bottom w:val="single" w:sz="4" w:space="1" w:color="auto"/>
          <w:right w:val="single" w:sz="4" w:space="4" w:color="auto"/>
        </w:pBdr>
        <w:ind w:left="851"/>
        <w:rPr>
          <w:noProof/>
        </w:rPr>
      </w:pPr>
      <w:r>
        <w:rPr>
          <w:noProof/>
        </w:rPr>
        <w:t xml:space="preserve">BERECin torjunta- ja </w:t>
      </w:r>
      <w:r>
        <w:rPr>
          <w:noProof/>
        </w:rPr>
        <w:t>suojatoimenpiteisiin kuuluvat erityisesti seuraavat:</w:t>
      </w:r>
    </w:p>
    <w:p w:rsidR="0006109C" w:rsidRDefault="00493E42">
      <w:pPr>
        <w:pBdr>
          <w:top w:val="single" w:sz="4" w:space="1" w:color="auto"/>
          <w:left w:val="single" w:sz="4" w:space="5" w:color="auto"/>
          <w:bottom w:val="single" w:sz="4" w:space="1" w:color="auto"/>
          <w:right w:val="single" w:sz="4" w:space="4" w:color="auto"/>
        </w:pBdr>
        <w:ind w:left="851"/>
        <w:rPr>
          <w:noProof/>
        </w:rPr>
      </w:pPr>
      <w:r>
        <w:rPr>
          <w:noProof/>
        </w:rPr>
        <w:t>– Viraston henkilöstö tarkastaa kaikista palveluista tai pyydetyistä tutkimuksista suoritettavat maksut ennen niiden maksamista ottaen huomioon mahdolliset sopimusvelvoitteet, taloudenpidon periaatteet s</w:t>
      </w:r>
      <w:r>
        <w:rPr>
          <w:noProof/>
        </w:rPr>
        <w:t>ekä moitteettoman varainhoidon tai hallinnon periaatteet. Kaikkiin viraston ja maksujen vastaanottajien välisiin sopimuksiin sisällytetään petosten torjuntaa koskevia määräyksiä (valvonta, selontekovaatimukset jne.).</w:t>
      </w:r>
    </w:p>
    <w:p w:rsidR="0006109C" w:rsidRDefault="00493E42">
      <w:pPr>
        <w:pBdr>
          <w:top w:val="single" w:sz="4" w:space="1" w:color="auto"/>
          <w:left w:val="single" w:sz="4" w:space="5" w:color="auto"/>
          <w:bottom w:val="single" w:sz="4" w:space="1" w:color="auto"/>
          <w:right w:val="single" w:sz="4" w:space="4" w:color="auto"/>
        </w:pBdr>
        <w:ind w:left="851"/>
        <w:rPr>
          <w:noProof/>
        </w:rPr>
      </w:pPr>
      <w:r>
        <w:rPr>
          <w:noProof/>
        </w:rPr>
        <w:t>– Petosten, lahjonnan ja muiden säännön</w:t>
      </w:r>
      <w:r>
        <w:rPr>
          <w:noProof/>
        </w:rPr>
        <w:t>vastaisuuksien torjumiseksi sovelletaan rajoituksetta Euroopan petostentorjuntaviraston (OLAF) tutkimuksista 11 päivänä syyskuuta 2013 annetun Euroopan parlamentin ja neuvoston asetuksen (EU, Euratom) N:o 883/2013 säännöksiä.</w:t>
      </w:r>
    </w:p>
    <w:p w:rsidR="0006109C" w:rsidRDefault="00493E42">
      <w:pPr>
        <w:pBdr>
          <w:top w:val="single" w:sz="4" w:space="1" w:color="auto"/>
          <w:left w:val="single" w:sz="4" w:space="5" w:color="auto"/>
          <w:bottom w:val="single" w:sz="4" w:space="1" w:color="auto"/>
          <w:right w:val="single" w:sz="4" w:space="4" w:color="auto"/>
        </w:pBdr>
        <w:ind w:left="851"/>
        <w:rPr>
          <w:noProof/>
        </w:rPr>
      </w:pPr>
      <w:r>
        <w:rPr>
          <w:noProof/>
        </w:rPr>
        <w:t>– Virasto liittyy kuuden kuuka</w:t>
      </w:r>
      <w:r>
        <w:rPr>
          <w:noProof/>
        </w:rPr>
        <w:t>uden kuluessa tämän asetuksen voimaantulosta 25 päivänä toukokuuta 1999 tehtyyn Euroopan parlamentin, Euroopan unionin neuvoston ja Euroopan yhteisöjen komission tekemään toimielinten väliseen sopimukseen Euroopan petostentorjuntaviraston (OLAF) sisäisistä</w:t>
      </w:r>
      <w:r>
        <w:rPr>
          <w:noProof/>
        </w:rPr>
        <w:t xml:space="preserve"> tutkimuksista ja vahvistaa viipymättä asianmukaiset määräykset, joita sovelletaan viraston kaikkiin työntekijöihin.</w:t>
      </w:r>
    </w:p>
    <w:p w:rsidR="0006109C" w:rsidRDefault="00493E42">
      <w:pPr>
        <w:spacing w:before="0" w:after="200" w:line="276" w:lineRule="auto"/>
        <w:jc w:val="left"/>
        <w:rPr>
          <w:rFonts w:eastAsiaTheme="majorEastAsia"/>
          <w:b/>
          <w:smallCaps/>
          <w:noProof/>
          <w:szCs w:val="24"/>
        </w:rPr>
      </w:pPr>
      <w:r>
        <w:rPr>
          <w:noProof/>
        </w:rPr>
        <w:br w:type="page"/>
      </w:r>
    </w:p>
    <w:p w:rsidR="0006109C" w:rsidRDefault="00493E42">
      <w:pPr>
        <w:pStyle w:val="ManualHeading1"/>
        <w:rPr>
          <w:bCs/>
          <w:noProof/>
        </w:rPr>
      </w:pPr>
      <w:r>
        <w:rPr>
          <w:noProof/>
        </w:rPr>
        <w:t>3.</w:t>
      </w:r>
      <w:r>
        <w:rPr>
          <w:noProof/>
        </w:rPr>
        <w:tab/>
        <w:t>EHDOTUKSEN/ALOITTEEN ARVIOIDUT RAHOITUSVAIKUTUKSET</w:t>
      </w:r>
    </w:p>
    <w:p w:rsidR="0006109C" w:rsidRDefault="00493E42">
      <w:pPr>
        <w:pStyle w:val="ManualHeading2"/>
        <w:rPr>
          <w:bCs/>
          <w:noProof/>
        </w:rPr>
      </w:pPr>
      <w:r>
        <w:rPr>
          <w:noProof/>
        </w:rPr>
        <w:t>3.1.</w:t>
      </w:r>
      <w:r>
        <w:rPr>
          <w:noProof/>
        </w:rPr>
        <w:tab/>
        <w:t xml:space="preserve">Kyseeseen tulevat monivuotisen rahoituskehyksen otsakkeet ja menopuolen </w:t>
      </w:r>
      <w:r>
        <w:rPr>
          <w:noProof/>
        </w:rPr>
        <w:t>budjettikohdat</w:t>
      </w:r>
    </w:p>
    <w:p w:rsidR="0006109C" w:rsidRDefault="00493E42">
      <w:pPr>
        <w:pStyle w:val="ListBullet1"/>
        <w:rPr>
          <w:noProof/>
        </w:rPr>
      </w:pPr>
      <w:r>
        <w:rPr>
          <w:noProof/>
        </w:rPr>
        <w:t>Talousarviossa jo olevat budjettikohdat</w:t>
      </w:r>
    </w:p>
    <w:p w:rsidR="0006109C" w:rsidRDefault="00493E42">
      <w:pPr>
        <w:pStyle w:val="Text1"/>
        <w:rPr>
          <w:noProof/>
        </w:rPr>
      </w:pPr>
      <w:r>
        <w:rPr>
          <w:noProof/>
        </w:rPr>
        <w:t xml:space="preserve">Monivuotisen rahoituskehyksen otsakkeiden ja budjettikohtien mukaisessa </w:t>
      </w:r>
      <w:r>
        <w:rPr>
          <w:noProof/>
          <w:u w:val="single"/>
        </w:rPr>
        <w:t>järjestyksessä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163"/>
        <w:gridCol w:w="756"/>
        <w:gridCol w:w="1030"/>
        <w:gridCol w:w="1376"/>
        <w:gridCol w:w="1056"/>
        <w:gridCol w:w="1230"/>
      </w:tblGrid>
      <w:tr w:rsidR="0006109C">
        <w:tc>
          <w:tcPr>
            <w:tcW w:w="482" w:type="pct"/>
            <w:vMerge w:val="restart"/>
            <w:vAlign w:val="center"/>
          </w:tcPr>
          <w:p w:rsidR="0006109C" w:rsidRDefault="00493E42">
            <w:pPr>
              <w:spacing w:before="60" w:after="60"/>
              <w:jc w:val="center"/>
              <w:rPr>
                <w:noProof/>
              </w:rPr>
            </w:pPr>
            <w:r>
              <w:rPr>
                <w:noProof/>
                <w:sz w:val="18"/>
              </w:rPr>
              <w:t>Monivuotisen rahoituskehyksen otsake</w:t>
            </w:r>
          </w:p>
        </w:tc>
        <w:tc>
          <w:tcPr>
            <w:tcW w:w="1858" w:type="pct"/>
            <w:vAlign w:val="center"/>
          </w:tcPr>
          <w:p w:rsidR="0006109C" w:rsidRDefault="00493E42">
            <w:pPr>
              <w:spacing w:before="60" w:after="60"/>
              <w:jc w:val="center"/>
              <w:rPr>
                <w:noProof/>
              </w:rPr>
            </w:pPr>
            <w:r>
              <w:rPr>
                <w:noProof/>
                <w:sz w:val="20"/>
              </w:rPr>
              <w:t>Budjettikohta</w:t>
            </w:r>
          </w:p>
        </w:tc>
        <w:tc>
          <w:tcPr>
            <w:tcW w:w="544" w:type="pct"/>
            <w:vAlign w:val="center"/>
          </w:tcPr>
          <w:p w:rsidR="0006109C" w:rsidRDefault="00493E42">
            <w:pPr>
              <w:spacing w:before="60" w:after="60"/>
              <w:jc w:val="center"/>
              <w:rPr>
                <w:noProof/>
              </w:rPr>
            </w:pPr>
            <w:r>
              <w:rPr>
                <w:noProof/>
                <w:sz w:val="18"/>
              </w:rPr>
              <w:t xml:space="preserve">Määrä- </w:t>
            </w:r>
            <w:r>
              <w:rPr>
                <w:noProof/>
                <w:sz w:val="18"/>
              </w:rPr>
              <w:br/>
              <w:t>rahalaji</w:t>
            </w:r>
          </w:p>
        </w:tc>
        <w:tc>
          <w:tcPr>
            <w:tcW w:w="2116" w:type="pct"/>
            <w:gridSpan w:val="4"/>
            <w:vAlign w:val="center"/>
          </w:tcPr>
          <w:p w:rsidR="0006109C" w:rsidRDefault="00493E42">
            <w:pPr>
              <w:spacing w:before="60" w:after="60"/>
              <w:jc w:val="center"/>
              <w:rPr>
                <w:noProof/>
              </w:rPr>
            </w:pPr>
            <w:r>
              <w:rPr>
                <w:noProof/>
                <w:sz w:val="20"/>
              </w:rPr>
              <w:t xml:space="preserve">Rahoitusosuudet </w:t>
            </w:r>
          </w:p>
        </w:tc>
      </w:tr>
      <w:tr w:rsidR="0006109C">
        <w:tc>
          <w:tcPr>
            <w:tcW w:w="482" w:type="pct"/>
            <w:vMerge/>
            <w:vAlign w:val="center"/>
          </w:tcPr>
          <w:p w:rsidR="0006109C" w:rsidRDefault="0006109C">
            <w:pPr>
              <w:rPr>
                <w:noProof/>
                <w:sz w:val="18"/>
              </w:rPr>
            </w:pPr>
          </w:p>
        </w:tc>
        <w:tc>
          <w:tcPr>
            <w:tcW w:w="1858" w:type="pct"/>
            <w:vAlign w:val="center"/>
          </w:tcPr>
          <w:p w:rsidR="0006109C" w:rsidRDefault="00493E42">
            <w:pPr>
              <w:jc w:val="center"/>
              <w:rPr>
                <w:noProof/>
              </w:rPr>
            </w:pPr>
            <w:r>
              <w:rPr>
                <w:noProof/>
                <w:sz w:val="20"/>
              </w:rPr>
              <w:t>Numero/kuvaus</w:t>
            </w:r>
          </w:p>
        </w:tc>
        <w:tc>
          <w:tcPr>
            <w:tcW w:w="544" w:type="pct"/>
            <w:vAlign w:val="center"/>
          </w:tcPr>
          <w:p w:rsidR="0006109C" w:rsidRDefault="00493E42">
            <w:pPr>
              <w:jc w:val="center"/>
              <w:rPr>
                <w:noProof/>
              </w:rPr>
            </w:pPr>
            <w:r>
              <w:rPr>
                <w:noProof/>
                <w:sz w:val="18"/>
              </w:rPr>
              <w:t>JM/EI-JM</w:t>
            </w:r>
            <w:r>
              <w:rPr>
                <w:noProof/>
                <w:sz w:val="18"/>
              </w:rPr>
              <w:br/>
            </w:r>
            <w:r>
              <w:rPr>
                <w:noProof/>
                <w:sz w:val="18"/>
                <w:vertAlign w:val="superscript"/>
              </w:rPr>
              <w:t>(</w:t>
            </w:r>
            <w:r>
              <w:rPr>
                <w:rStyle w:val="FootnoteReference"/>
                <w:noProof/>
                <w:sz w:val="18"/>
              </w:rPr>
              <w:footnoteReference w:id="57"/>
            </w:r>
            <w:r>
              <w:rPr>
                <w:noProof/>
                <w:sz w:val="18"/>
                <w:vertAlign w:val="superscript"/>
              </w:rPr>
              <w:t>)</w:t>
            </w:r>
          </w:p>
          <w:p w:rsidR="0006109C" w:rsidRDefault="0006109C">
            <w:pPr>
              <w:jc w:val="center"/>
              <w:rPr>
                <w:noProof/>
              </w:rPr>
            </w:pPr>
          </w:p>
        </w:tc>
        <w:tc>
          <w:tcPr>
            <w:tcW w:w="482" w:type="pct"/>
            <w:vAlign w:val="center"/>
          </w:tcPr>
          <w:p w:rsidR="0006109C" w:rsidRDefault="00493E42">
            <w:pPr>
              <w:jc w:val="center"/>
              <w:rPr>
                <w:noProof/>
              </w:rPr>
            </w:pPr>
            <w:r>
              <w:rPr>
                <w:noProof/>
                <w:sz w:val="18"/>
              </w:rPr>
              <w:t>EFTA-mailta</w:t>
            </w:r>
            <w:r>
              <w:rPr>
                <w:rStyle w:val="FootnoteReference"/>
                <w:noProof/>
                <w:sz w:val="18"/>
              </w:rPr>
              <w:footnoteReference w:id="58"/>
            </w:r>
          </w:p>
          <w:p w:rsidR="0006109C" w:rsidRDefault="0006109C">
            <w:pPr>
              <w:jc w:val="center"/>
              <w:rPr>
                <w:noProof/>
              </w:rPr>
            </w:pPr>
          </w:p>
        </w:tc>
        <w:tc>
          <w:tcPr>
            <w:tcW w:w="544" w:type="pct"/>
            <w:vAlign w:val="center"/>
          </w:tcPr>
          <w:p w:rsidR="0006109C" w:rsidRDefault="00493E42">
            <w:pPr>
              <w:jc w:val="center"/>
              <w:rPr>
                <w:noProof/>
              </w:rPr>
            </w:pPr>
            <w:r>
              <w:rPr>
                <w:noProof/>
                <w:sz w:val="18"/>
              </w:rPr>
              <w:t>ehdokasmailta</w:t>
            </w:r>
            <w:r>
              <w:rPr>
                <w:rStyle w:val="FootnoteReference"/>
                <w:noProof/>
                <w:sz w:val="18"/>
              </w:rPr>
              <w:footnoteReference w:id="59"/>
            </w:r>
          </w:p>
          <w:p w:rsidR="0006109C" w:rsidRDefault="0006109C">
            <w:pPr>
              <w:jc w:val="center"/>
              <w:rPr>
                <w:noProof/>
                <w:sz w:val="18"/>
              </w:rPr>
            </w:pPr>
          </w:p>
        </w:tc>
        <w:tc>
          <w:tcPr>
            <w:tcW w:w="482" w:type="pct"/>
            <w:vAlign w:val="center"/>
          </w:tcPr>
          <w:p w:rsidR="0006109C" w:rsidRDefault="00493E42">
            <w:pPr>
              <w:jc w:val="center"/>
              <w:rPr>
                <w:noProof/>
              </w:rPr>
            </w:pPr>
            <w:r>
              <w:rPr>
                <w:noProof/>
                <w:sz w:val="18"/>
              </w:rPr>
              <w:t>kolmansilta mailta</w:t>
            </w:r>
          </w:p>
        </w:tc>
        <w:tc>
          <w:tcPr>
            <w:tcW w:w="608" w:type="pct"/>
            <w:vAlign w:val="center"/>
          </w:tcPr>
          <w:p w:rsidR="0006109C" w:rsidRDefault="00493E42">
            <w:pPr>
              <w:jc w:val="center"/>
              <w:rPr>
                <w:noProof/>
              </w:rPr>
            </w:pPr>
            <w:r>
              <w:rPr>
                <w:noProof/>
                <w:sz w:val="16"/>
              </w:rPr>
              <w:t>varainhoito</w:t>
            </w:r>
            <w:r>
              <w:rPr>
                <w:noProof/>
              </w:rPr>
              <w:softHyphen/>
            </w:r>
            <w:r>
              <w:rPr>
                <w:noProof/>
                <w:sz w:val="16"/>
              </w:rPr>
              <w:t xml:space="preserve">asetuksen 18 artiklan 1 kohdan aa alakohdassa tarkoitetut rahoitusosuudet </w:t>
            </w:r>
          </w:p>
        </w:tc>
      </w:tr>
      <w:tr w:rsidR="0006109C">
        <w:tc>
          <w:tcPr>
            <w:tcW w:w="482" w:type="pct"/>
            <w:vAlign w:val="center"/>
          </w:tcPr>
          <w:p w:rsidR="0006109C" w:rsidRDefault="00493E42">
            <w:pPr>
              <w:jc w:val="center"/>
              <w:rPr>
                <w:noProof/>
                <w:sz w:val="18"/>
              </w:rPr>
            </w:pPr>
            <w:r>
              <w:rPr>
                <w:noProof/>
                <w:sz w:val="16"/>
              </w:rPr>
              <w:t>1 a Kasvua ja työllisyyttä edistävä kilpailukyky</w:t>
            </w:r>
          </w:p>
        </w:tc>
        <w:tc>
          <w:tcPr>
            <w:tcW w:w="1858" w:type="pct"/>
            <w:vAlign w:val="center"/>
          </w:tcPr>
          <w:p w:rsidR="0006109C" w:rsidRDefault="00493E42">
            <w:pPr>
              <w:pStyle w:val="Text1"/>
              <w:spacing w:after="0"/>
              <w:ind w:left="165"/>
              <w:rPr>
                <w:noProof/>
              </w:rPr>
            </w:pPr>
            <w:hyperlink r:id="rId22" w:anchor="N60620935552-6">
              <w:r>
                <w:rPr>
                  <w:b/>
                  <w:noProof/>
                  <w:sz w:val="18"/>
                </w:rPr>
                <w:t>09 02 04</w:t>
              </w:r>
            </w:hyperlink>
            <w:r>
              <w:rPr>
                <w:b/>
                <w:noProof/>
                <w:sz w:val="18"/>
              </w:rPr>
              <w:t xml:space="preserve"> </w:t>
            </w:r>
            <w:r>
              <w:rPr>
                <w:b/>
                <w:noProof/>
                <w:sz w:val="18"/>
                <w:u w:val="single"/>
              </w:rPr>
              <w:t>Euroopan sähköisen viestinnän sääntelyviranomaisten yhteistyöelin (BEREC) – Virasto – Avustus</w:t>
            </w:r>
          </w:p>
        </w:tc>
        <w:tc>
          <w:tcPr>
            <w:tcW w:w="544" w:type="pct"/>
            <w:vAlign w:val="center"/>
          </w:tcPr>
          <w:p w:rsidR="0006109C" w:rsidRDefault="00493E42">
            <w:pPr>
              <w:jc w:val="center"/>
              <w:rPr>
                <w:noProof/>
              </w:rPr>
            </w:pPr>
            <w:r>
              <w:rPr>
                <w:noProof/>
                <w:sz w:val="18"/>
              </w:rPr>
              <w:t>JM</w:t>
            </w:r>
          </w:p>
        </w:tc>
        <w:tc>
          <w:tcPr>
            <w:tcW w:w="482" w:type="pct"/>
            <w:vAlign w:val="center"/>
          </w:tcPr>
          <w:p w:rsidR="0006109C" w:rsidRDefault="00493E42">
            <w:pPr>
              <w:jc w:val="center"/>
              <w:rPr>
                <w:noProof/>
              </w:rPr>
            </w:pPr>
            <w:r>
              <w:rPr>
                <w:noProof/>
              </w:rPr>
              <w:t>KYLLÄ</w:t>
            </w:r>
          </w:p>
        </w:tc>
        <w:tc>
          <w:tcPr>
            <w:tcW w:w="544" w:type="pct"/>
            <w:vAlign w:val="center"/>
          </w:tcPr>
          <w:p w:rsidR="0006109C" w:rsidRDefault="00493E42">
            <w:pPr>
              <w:jc w:val="center"/>
              <w:rPr>
                <w:noProof/>
              </w:rPr>
            </w:pPr>
            <w:r>
              <w:rPr>
                <w:noProof/>
              </w:rPr>
              <w:t>EI</w:t>
            </w:r>
          </w:p>
        </w:tc>
        <w:tc>
          <w:tcPr>
            <w:tcW w:w="482" w:type="pct"/>
            <w:vAlign w:val="center"/>
          </w:tcPr>
          <w:p w:rsidR="0006109C" w:rsidRDefault="00493E42">
            <w:pPr>
              <w:jc w:val="center"/>
              <w:rPr>
                <w:noProof/>
              </w:rPr>
            </w:pPr>
            <w:r>
              <w:rPr>
                <w:noProof/>
              </w:rPr>
              <w:t>EI</w:t>
            </w:r>
          </w:p>
        </w:tc>
        <w:tc>
          <w:tcPr>
            <w:tcW w:w="608" w:type="pct"/>
            <w:vAlign w:val="center"/>
          </w:tcPr>
          <w:p w:rsidR="0006109C" w:rsidRDefault="00493E42">
            <w:pPr>
              <w:jc w:val="center"/>
              <w:rPr>
                <w:noProof/>
              </w:rPr>
            </w:pPr>
            <w:r>
              <w:rPr>
                <w:noProof/>
              </w:rPr>
              <w:t>EI</w:t>
            </w:r>
          </w:p>
        </w:tc>
      </w:tr>
      <w:tr w:rsidR="0006109C">
        <w:tc>
          <w:tcPr>
            <w:tcW w:w="482" w:type="pct"/>
            <w:vAlign w:val="center"/>
          </w:tcPr>
          <w:p w:rsidR="0006109C" w:rsidRDefault="00493E42">
            <w:pPr>
              <w:jc w:val="center"/>
              <w:rPr>
                <w:noProof/>
                <w:sz w:val="16"/>
                <w:szCs w:val="16"/>
              </w:rPr>
            </w:pPr>
            <w:r>
              <w:rPr>
                <w:noProof/>
                <w:sz w:val="16"/>
              </w:rPr>
              <w:t>5. Hallintomenot</w:t>
            </w:r>
          </w:p>
        </w:tc>
        <w:tc>
          <w:tcPr>
            <w:tcW w:w="1858" w:type="pct"/>
            <w:vAlign w:val="center"/>
          </w:tcPr>
          <w:p w:rsidR="0006109C" w:rsidRDefault="00493E42">
            <w:pPr>
              <w:pStyle w:val="Text1"/>
              <w:spacing w:after="0"/>
              <w:ind w:left="175"/>
              <w:rPr>
                <w:b/>
                <w:noProof/>
                <w:sz w:val="18"/>
                <w:szCs w:val="18"/>
              </w:rPr>
            </w:pPr>
            <w:r>
              <w:rPr>
                <w:b/>
                <w:noProof/>
                <w:sz w:val="18"/>
              </w:rPr>
              <w:t>09 01 01 Menot viestintäverkkojen, sisältöjen ja teknologian toimintalohkon palveluksessa olevasta henkilöstöstä</w:t>
            </w:r>
          </w:p>
          <w:p w:rsidR="0006109C" w:rsidRDefault="00493E42">
            <w:pPr>
              <w:pStyle w:val="Text1"/>
              <w:spacing w:after="0"/>
              <w:ind w:left="175"/>
              <w:rPr>
                <w:b/>
                <w:noProof/>
                <w:sz w:val="18"/>
                <w:szCs w:val="18"/>
              </w:rPr>
            </w:pPr>
            <w:r>
              <w:rPr>
                <w:b/>
                <w:noProof/>
                <w:sz w:val="18"/>
              </w:rPr>
              <w:t xml:space="preserve">09 01 02 Menot viestintäverkkojen, sisältöjen ja teknologian toimintalohkon palveluksessa olevasta ulkopuolisesta </w:t>
            </w:r>
            <w:r>
              <w:rPr>
                <w:b/>
                <w:noProof/>
                <w:sz w:val="18"/>
              </w:rPr>
              <w:t>henkilöstöstä</w:t>
            </w:r>
          </w:p>
          <w:p w:rsidR="0006109C" w:rsidRDefault="00493E42">
            <w:pPr>
              <w:pStyle w:val="Text1"/>
              <w:spacing w:after="0"/>
              <w:ind w:left="175"/>
              <w:rPr>
                <w:b/>
                <w:noProof/>
                <w:sz w:val="18"/>
                <w:szCs w:val="18"/>
              </w:rPr>
            </w:pPr>
            <w:r>
              <w:rPr>
                <w:b/>
                <w:noProof/>
                <w:sz w:val="18"/>
              </w:rPr>
              <w:t>09 01 02 11 Muut hallintomenot</w:t>
            </w:r>
          </w:p>
          <w:p w:rsidR="0006109C" w:rsidRDefault="0006109C">
            <w:pPr>
              <w:pStyle w:val="Text1"/>
              <w:spacing w:after="0"/>
              <w:ind w:left="175"/>
              <w:rPr>
                <w:b/>
                <w:noProof/>
                <w:sz w:val="18"/>
                <w:szCs w:val="18"/>
              </w:rPr>
            </w:pPr>
          </w:p>
        </w:tc>
        <w:tc>
          <w:tcPr>
            <w:tcW w:w="544" w:type="pct"/>
            <w:vAlign w:val="center"/>
          </w:tcPr>
          <w:p w:rsidR="0006109C" w:rsidRDefault="00493E42">
            <w:pPr>
              <w:jc w:val="center"/>
              <w:rPr>
                <w:noProof/>
                <w:sz w:val="18"/>
              </w:rPr>
            </w:pPr>
            <w:r>
              <w:rPr>
                <w:noProof/>
                <w:sz w:val="18"/>
              </w:rPr>
              <w:t>EI-JM</w:t>
            </w:r>
          </w:p>
          <w:p w:rsidR="0006109C" w:rsidRDefault="0006109C">
            <w:pPr>
              <w:jc w:val="center"/>
              <w:rPr>
                <w:noProof/>
                <w:sz w:val="18"/>
              </w:rPr>
            </w:pPr>
          </w:p>
          <w:p w:rsidR="0006109C" w:rsidRDefault="00493E42">
            <w:pPr>
              <w:jc w:val="center"/>
              <w:rPr>
                <w:noProof/>
                <w:sz w:val="18"/>
              </w:rPr>
            </w:pPr>
            <w:r>
              <w:rPr>
                <w:noProof/>
                <w:sz w:val="18"/>
              </w:rPr>
              <w:t>EI-JM</w:t>
            </w:r>
          </w:p>
          <w:p w:rsidR="0006109C" w:rsidRDefault="0006109C">
            <w:pPr>
              <w:rPr>
                <w:noProof/>
                <w:sz w:val="18"/>
              </w:rPr>
            </w:pPr>
          </w:p>
          <w:p w:rsidR="0006109C" w:rsidRDefault="00493E42">
            <w:pPr>
              <w:rPr>
                <w:noProof/>
                <w:sz w:val="18"/>
              </w:rPr>
            </w:pPr>
            <w:r>
              <w:rPr>
                <w:noProof/>
                <w:sz w:val="18"/>
              </w:rPr>
              <w:t>EI-JM</w:t>
            </w:r>
          </w:p>
        </w:tc>
        <w:tc>
          <w:tcPr>
            <w:tcW w:w="482" w:type="pct"/>
            <w:vAlign w:val="center"/>
          </w:tcPr>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tc>
        <w:tc>
          <w:tcPr>
            <w:tcW w:w="544" w:type="pct"/>
            <w:vAlign w:val="center"/>
          </w:tcPr>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tc>
        <w:tc>
          <w:tcPr>
            <w:tcW w:w="482" w:type="pct"/>
            <w:vAlign w:val="center"/>
          </w:tcPr>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tc>
        <w:tc>
          <w:tcPr>
            <w:tcW w:w="608" w:type="pct"/>
            <w:vAlign w:val="center"/>
          </w:tcPr>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p w:rsidR="0006109C" w:rsidRDefault="0006109C">
            <w:pPr>
              <w:jc w:val="center"/>
              <w:rPr>
                <w:noProof/>
              </w:rPr>
            </w:pPr>
          </w:p>
          <w:p w:rsidR="0006109C" w:rsidRDefault="00493E42">
            <w:pPr>
              <w:jc w:val="center"/>
              <w:rPr>
                <w:noProof/>
              </w:rPr>
            </w:pPr>
            <w:r>
              <w:rPr>
                <w:noProof/>
              </w:rPr>
              <w:t>EI</w:t>
            </w:r>
          </w:p>
        </w:tc>
      </w:tr>
    </w:tbl>
    <w:p w:rsidR="0006109C" w:rsidRDefault="0006109C">
      <w:pPr>
        <w:rPr>
          <w:noProof/>
          <w:szCs w:val="24"/>
        </w:rPr>
        <w:sectPr w:rsidR="0006109C" w:rsidSect="00493E42">
          <w:pgSz w:w="11907" w:h="16839" w:code="9"/>
          <w:pgMar w:top="1077" w:right="902" w:bottom="1247" w:left="1134" w:header="709" w:footer="510" w:gutter="0"/>
          <w:cols w:space="720"/>
          <w:rtlGutter/>
          <w:docGrid w:linePitch="326"/>
        </w:sectPr>
      </w:pPr>
    </w:p>
    <w:p w:rsidR="0006109C" w:rsidRDefault="00493E42">
      <w:pPr>
        <w:pStyle w:val="ManualHeading2"/>
        <w:rPr>
          <w:bCs/>
          <w:noProof/>
        </w:rPr>
      </w:pPr>
      <w:r>
        <w:rPr>
          <w:noProof/>
        </w:rPr>
        <w:t>3.2.</w:t>
      </w:r>
      <w:r>
        <w:rPr>
          <w:noProof/>
        </w:rPr>
        <w:tab/>
        <w:t>Arvioidut vaikutukset menoihin</w:t>
      </w:r>
    </w:p>
    <w:p w:rsidR="0006109C" w:rsidRDefault="00493E42">
      <w:pPr>
        <w:pStyle w:val="ManualHeading3"/>
        <w:rPr>
          <w:bCs/>
          <w:noProof/>
        </w:rPr>
      </w:pPr>
      <w:r>
        <w:rPr>
          <w:noProof/>
        </w:rPr>
        <w:t>3.2.1.</w:t>
      </w:r>
      <w:r>
        <w:rPr>
          <w:noProof/>
        </w:rPr>
        <w:tab/>
        <w:t>Yhteenveto arvioiduista vaikutuksista menoihin (milj. euroa)</w:t>
      </w:r>
    </w:p>
    <w:p w:rsidR="0006109C" w:rsidRDefault="0006109C">
      <w:pPr>
        <w:rPr>
          <w:noProof/>
        </w:rPr>
      </w:pPr>
    </w:p>
    <w:p w:rsidR="0006109C" w:rsidRDefault="00493E42">
      <w:pPr>
        <w:keepNext/>
        <w:keepLines/>
        <w:jc w:val="right"/>
        <w:rPr>
          <w:noProof/>
          <w:sz w:val="16"/>
        </w:rPr>
      </w:pPr>
      <w:r>
        <w:rPr>
          <w:noProof/>
          <w:sz w:val="20"/>
        </w:rPr>
        <w:t xml:space="preserve">milj. euroa </w:t>
      </w:r>
      <w:r>
        <w:rPr>
          <w:noProof/>
          <w:sz w:val="20"/>
        </w:rPr>
        <w:t>(kolmen desimaalin tarkkuudella)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1080"/>
        <w:gridCol w:w="5624"/>
      </w:tblGrid>
      <w:tr w:rsidR="0006109C">
        <w:tc>
          <w:tcPr>
            <w:tcW w:w="4636" w:type="dxa"/>
            <w:shd w:val="clear" w:color="C0C0C0" w:fill="auto"/>
            <w:vAlign w:val="center"/>
          </w:tcPr>
          <w:p w:rsidR="0006109C" w:rsidRDefault="00493E42">
            <w:pPr>
              <w:keepNext/>
              <w:keepLines/>
              <w:spacing w:before="60" w:after="60"/>
              <w:jc w:val="center"/>
              <w:rPr>
                <w:noProof/>
              </w:rPr>
            </w:pPr>
            <w:r>
              <w:rPr>
                <w:b/>
                <w:noProof/>
              </w:rPr>
              <w:t xml:space="preserve">Monivuotisen rahoituskehyksen </w:t>
            </w:r>
            <w:r>
              <w:rPr>
                <w:b/>
                <w:noProof/>
              </w:rPr>
              <w:br/>
              <w:t xml:space="preserve">otsake </w:t>
            </w:r>
          </w:p>
        </w:tc>
        <w:tc>
          <w:tcPr>
            <w:tcW w:w="1080" w:type="dxa"/>
            <w:vAlign w:val="center"/>
          </w:tcPr>
          <w:p w:rsidR="0006109C" w:rsidRDefault="00493E42">
            <w:pPr>
              <w:keepNext/>
              <w:keepLines/>
              <w:spacing w:before="60" w:after="60"/>
              <w:rPr>
                <w:noProof/>
              </w:rPr>
            </w:pPr>
            <w:r>
              <w:rPr>
                <w:noProof/>
              </w:rPr>
              <w:t>1 a</w:t>
            </w:r>
          </w:p>
        </w:tc>
        <w:tc>
          <w:tcPr>
            <w:tcW w:w="5624" w:type="dxa"/>
            <w:vAlign w:val="center"/>
          </w:tcPr>
          <w:p w:rsidR="0006109C" w:rsidRDefault="00493E42">
            <w:pPr>
              <w:keepNext/>
              <w:keepLines/>
              <w:spacing w:before="60" w:after="60"/>
              <w:rPr>
                <w:noProof/>
              </w:rPr>
            </w:pPr>
            <w:r>
              <w:rPr>
                <w:noProof/>
              </w:rPr>
              <w:t>Kasvua ja työllisyyttä tukeva kilpailukyky.</w:t>
            </w:r>
          </w:p>
        </w:tc>
      </w:tr>
    </w:tbl>
    <w:p w:rsidR="0006109C" w:rsidRDefault="0006109C">
      <w:pPr>
        <w:rPr>
          <w:noProof/>
        </w:rPr>
      </w:pPr>
    </w:p>
    <w:tbl>
      <w:tblPr>
        <w:tblW w:w="3908" w:type="pct"/>
        <w:tblLook w:val="04A0" w:firstRow="1" w:lastRow="0" w:firstColumn="1" w:lastColumn="0" w:noHBand="0" w:noVBand="1"/>
      </w:tblPr>
      <w:tblGrid>
        <w:gridCol w:w="2605"/>
        <w:gridCol w:w="1770"/>
        <w:gridCol w:w="1212"/>
        <w:gridCol w:w="1524"/>
        <w:gridCol w:w="235"/>
        <w:gridCol w:w="1522"/>
        <w:gridCol w:w="1200"/>
        <w:gridCol w:w="1446"/>
      </w:tblGrid>
      <w:tr w:rsidR="0006109C">
        <w:trPr>
          <w:trHeight w:val="300"/>
        </w:trPr>
        <w:tc>
          <w:tcPr>
            <w:tcW w:w="11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09C" w:rsidRDefault="00493E42">
            <w:pPr>
              <w:keepNext/>
              <w:keepLines/>
              <w:jc w:val="center"/>
              <w:rPr>
                <w:b/>
                <w:noProof/>
                <w:color w:val="000000"/>
              </w:rPr>
            </w:pPr>
            <w:r>
              <w:rPr>
                <w:b/>
                <w:noProof/>
                <w:color w:val="000000"/>
                <w:sz w:val="22"/>
              </w:rPr>
              <w:t xml:space="preserve">BEREC </w:t>
            </w:r>
          </w:p>
        </w:tc>
        <w:tc>
          <w:tcPr>
            <w:tcW w:w="768" w:type="pct"/>
            <w:tcBorders>
              <w:top w:val="single" w:sz="8" w:space="0" w:color="auto"/>
              <w:left w:val="nil"/>
              <w:bottom w:val="nil"/>
              <w:right w:val="nil"/>
            </w:tcBorders>
            <w:shd w:val="clear" w:color="auto" w:fill="auto"/>
            <w:vAlign w:val="center"/>
            <w:hideMark/>
          </w:tcPr>
          <w:p w:rsidR="0006109C" w:rsidRDefault="00493E42">
            <w:pPr>
              <w:keepNext/>
              <w:keepLines/>
              <w:rPr>
                <w:noProof/>
                <w:color w:val="000000"/>
                <w:sz w:val="20"/>
                <w:szCs w:val="20"/>
              </w:rPr>
            </w:pPr>
            <w:r>
              <w:rPr>
                <w:noProof/>
                <w:color w:val="000000"/>
                <w:sz w:val="20"/>
              </w:rPr>
              <w:t> </w:t>
            </w:r>
          </w:p>
        </w:tc>
        <w:tc>
          <w:tcPr>
            <w:tcW w:w="526" w:type="pct"/>
            <w:tcBorders>
              <w:top w:val="single" w:sz="8" w:space="0" w:color="auto"/>
              <w:left w:val="single" w:sz="8" w:space="0" w:color="auto"/>
              <w:bottom w:val="nil"/>
              <w:right w:val="single" w:sz="8" w:space="0" w:color="auto"/>
            </w:tcBorders>
            <w:shd w:val="clear" w:color="auto" w:fill="auto"/>
            <w:vAlign w:val="center"/>
            <w:hideMark/>
          </w:tcPr>
          <w:p w:rsidR="0006109C" w:rsidRDefault="00493E42">
            <w:pPr>
              <w:keepNext/>
              <w:keepLines/>
              <w:jc w:val="center"/>
              <w:rPr>
                <w:noProof/>
                <w:color w:val="000000"/>
                <w:sz w:val="20"/>
                <w:szCs w:val="20"/>
              </w:rPr>
            </w:pPr>
            <w:r>
              <w:rPr>
                <w:noProof/>
                <w:color w:val="000000"/>
                <w:sz w:val="20"/>
              </w:rPr>
              <w:t> </w:t>
            </w:r>
          </w:p>
        </w:tc>
        <w:tc>
          <w:tcPr>
            <w:tcW w:w="662" w:type="pct"/>
            <w:tcBorders>
              <w:top w:val="single" w:sz="8" w:space="0" w:color="auto"/>
              <w:left w:val="nil"/>
              <w:bottom w:val="nil"/>
              <w:right w:val="single" w:sz="4" w:space="0" w:color="auto"/>
            </w:tcBorders>
          </w:tcPr>
          <w:p w:rsidR="0006109C" w:rsidRDefault="00493E42">
            <w:pPr>
              <w:keepNext/>
              <w:keepLines/>
              <w:jc w:val="center"/>
              <w:rPr>
                <w:b/>
                <w:noProof/>
                <w:color w:val="000000"/>
                <w:sz w:val="20"/>
                <w:szCs w:val="20"/>
              </w:rPr>
            </w:pPr>
            <w:r>
              <w:rPr>
                <w:b/>
                <w:noProof/>
                <w:color w:val="000000"/>
                <w:sz w:val="20"/>
              </w:rPr>
              <w:t>Lähtötilanne</w:t>
            </w:r>
          </w:p>
        </w:tc>
        <w:tc>
          <w:tcPr>
            <w:tcW w:w="102" w:type="pct"/>
            <w:tcBorders>
              <w:top w:val="single" w:sz="8" w:space="0" w:color="auto"/>
              <w:left w:val="single" w:sz="4" w:space="0" w:color="auto"/>
              <w:bottom w:val="nil"/>
              <w:right w:val="single" w:sz="4" w:space="0" w:color="auto"/>
            </w:tcBorders>
          </w:tcPr>
          <w:p w:rsidR="0006109C" w:rsidRDefault="0006109C">
            <w:pPr>
              <w:keepNext/>
              <w:keepLines/>
              <w:jc w:val="center"/>
              <w:rPr>
                <w:b/>
                <w:noProof/>
                <w:color w:val="000000"/>
                <w:sz w:val="20"/>
                <w:szCs w:val="20"/>
              </w:rPr>
            </w:pPr>
          </w:p>
        </w:tc>
        <w:tc>
          <w:tcPr>
            <w:tcW w:w="661" w:type="pct"/>
            <w:tcBorders>
              <w:top w:val="single" w:sz="8" w:space="0" w:color="auto"/>
              <w:left w:val="single" w:sz="4" w:space="0" w:color="auto"/>
              <w:bottom w:val="nil"/>
              <w:right w:val="single" w:sz="8" w:space="0" w:color="auto"/>
            </w:tcBorders>
            <w:shd w:val="clear" w:color="auto" w:fill="auto"/>
            <w:vAlign w:val="center"/>
            <w:hideMark/>
          </w:tcPr>
          <w:p w:rsidR="0006109C" w:rsidRDefault="00493E42">
            <w:pPr>
              <w:keepNext/>
              <w:keepLines/>
              <w:jc w:val="center"/>
              <w:rPr>
                <w:b/>
                <w:noProof/>
                <w:color w:val="000000"/>
                <w:sz w:val="20"/>
                <w:szCs w:val="20"/>
              </w:rPr>
            </w:pPr>
            <w:r>
              <w:rPr>
                <w:b/>
                <w:noProof/>
                <w:color w:val="000000"/>
                <w:sz w:val="20"/>
              </w:rPr>
              <w:t>Vuosi</w:t>
            </w:r>
          </w:p>
        </w:tc>
        <w:tc>
          <w:tcPr>
            <w:tcW w:w="521" w:type="pct"/>
            <w:tcBorders>
              <w:top w:val="single" w:sz="8" w:space="0" w:color="auto"/>
              <w:left w:val="nil"/>
              <w:bottom w:val="nil"/>
              <w:right w:val="single" w:sz="8" w:space="0" w:color="auto"/>
            </w:tcBorders>
            <w:shd w:val="clear" w:color="auto" w:fill="auto"/>
            <w:vAlign w:val="center"/>
            <w:hideMark/>
          </w:tcPr>
          <w:p w:rsidR="0006109C" w:rsidRDefault="00493E42">
            <w:pPr>
              <w:keepNext/>
              <w:keepLines/>
              <w:jc w:val="center"/>
              <w:rPr>
                <w:b/>
                <w:noProof/>
                <w:color w:val="000000"/>
                <w:sz w:val="20"/>
                <w:szCs w:val="20"/>
              </w:rPr>
            </w:pPr>
            <w:r>
              <w:rPr>
                <w:b/>
                <w:noProof/>
                <w:color w:val="000000"/>
                <w:sz w:val="20"/>
              </w:rPr>
              <w:t>Vuosi</w:t>
            </w:r>
          </w:p>
        </w:tc>
        <w:tc>
          <w:tcPr>
            <w:tcW w:w="628" w:type="pct"/>
            <w:tcBorders>
              <w:top w:val="single" w:sz="8" w:space="0" w:color="auto"/>
              <w:left w:val="nil"/>
              <w:bottom w:val="nil"/>
              <w:right w:val="single" w:sz="8" w:space="0" w:color="auto"/>
            </w:tcBorders>
            <w:shd w:val="clear" w:color="auto" w:fill="auto"/>
            <w:vAlign w:val="center"/>
            <w:hideMark/>
          </w:tcPr>
          <w:p w:rsidR="0006109C" w:rsidRDefault="00493E42">
            <w:pPr>
              <w:keepNext/>
              <w:keepLines/>
              <w:jc w:val="center"/>
              <w:rPr>
                <w:b/>
                <w:bCs/>
                <w:noProof/>
                <w:color w:val="000000"/>
                <w:sz w:val="20"/>
                <w:szCs w:val="20"/>
              </w:rPr>
            </w:pPr>
            <w:r>
              <w:rPr>
                <w:b/>
                <w:noProof/>
                <w:color w:val="000000"/>
                <w:sz w:val="20"/>
              </w:rPr>
              <w:t>YHTEENSÄ</w:t>
            </w:r>
          </w:p>
          <w:p w:rsidR="0006109C" w:rsidRDefault="00493E42">
            <w:pPr>
              <w:keepNext/>
              <w:keepLines/>
              <w:jc w:val="center"/>
              <w:rPr>
                <w:b/>
                <w:bCs/>
                <w:noProof/>
                <w:color w:val="000000"/>
                <w:sz w:val="20"/>
                <w:szCs w:val="20"/>
              </w:rPr>
            </w:pPr>
            <w:r>
              <w:rPr>
                <w:b/>
                <w:noProof/>
                <w:sz w:val="20"/>
              </w:rPr>
              <w:t>2019-2020</w:t>
            </w:r>
          </w:p>
        </w:tc>
      </w:tr>
      <w:tr w:rsidR="0006109C">
        <w:trPr>
          <w:trHeight w:val="300"/>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06109C" w:rsidRDefault="0006109C">
            <w:pPr>
              <w:keepNext/>
              <w:keepLines/>
              <w:rPr>
                <w:noProof/>
                <w:color w:val="000000"/>
              </w:rPr>
            </w:pPr>
          </w:p>
        </w:tc>
        <w:tc>
          <w:tcPr>
            <w:tcW w:w="768" w:type="pct"/>
            <w:tcBorders>
              <w:top w:val="nil"/>
              <w:left w:val="nil"/>
              <w:bottom w:val="nil"/>
              <w:right w:val="nil"/>
            </w:tcBorders>
            <w:shd w:val="clear" w:color="auto" w:fill="auto"/>
            <w:vAlign w:val="center"/>
            <w:hideMark/>
          </w:tcPr>
          <w:p w:rsidR="0006109C" w:rsidRDefault="00493E42">
            <w:pPr>
              <w:keepNext/>
              <w:keepLines/>
              <w:rPr>
                <w:noProof/>
                <w:color w:val="000000"/>
                <w:sz w:val="20"/>
                <w:szCs w:val="20"/>
              </w:rPr>
            </w:pPr>
            <w:r>
              <w:rPr>
                <w:noProof/>
                <w:color w:val="000000"/>
                <w:sz w:val="20"/>
              </w:rPr>
              <w:t> </w:t>
            </w:r>
          </w:p>
        </w:tc>
        <w:tc>
          <w:tcPr>
            <w:tcW w:w="526" w:type="pct"/>
            <w:tcBorders>
              <w:top w:val="nil"/>
              <w:left w:val="single" w:sz="8" w:space="0" w:color="auto"/>
              <w:bottom w:val="nil"/>
              <w:right w:val="single" w:sz="8" w:space="0" w:color="auto"/>
            </w:tcBorders>
            <w:shd w:val="clear" w:color="auto" w:fill="auto"/>
            <w:vAlign w:val="center"/>
            <w:hideMark/>
          </w:tcPr>
          <w:p w:rsidR="0006109C" w:rsidRDefault="00493E42">
            <w:pPr>
              <w:keepNext/>
              <w:keepLines/>
              <w:jc w:val="center"/>
              <w:rPr>
                <w:noProof/>
                <w:color w:val="000000"/>
                <w:sz w:val="20"/>
                <w:szCs w:val="20"/>
              </w:rPr>
            </w:pPr>
            <w:r>
              <w:rPr>
                <w:noProof/>
                <w:color w:val="000000"/>
                <w:sz w:val="20"/>
              </w:rPr>
              <w:t> </w:t>
            </w:r>
          </w:p>
        </w:tc>
        <w:tc>
          <w:tcPr>
            <w:tcW w:w="662" w:type="pct"/>
            <w:tcBorders>
              <w:top w:val="nil"/>
              <w:left w:val="nil"/>
              <w:bottom w:val="nil"/>
              <w:right w:val="single" w:sz="4" w:space="0" w:color="auto"/>
            </w:tcBorders>
          </w:tcPr>
          <w:p w:rsidR="0006109C" w:rsidRDefault="00493E42">
            <w:pPr>
              <w:keepNext/>
              <w:keepLines/>
              <w:jc w:val="center"/>
              <w:rPr>
                <w:b/>
                <w:bCs/>
                <w:noProof/>
                <w:color w:val="000000"/>
                <w:sz w:val="20"/>
                <w:szCs w:val="20"/>
              </w:rPr>
            </w:pPr>
            <w:r>
              <w:rPr>
                <w:b/>
                <w:noProof/>
                <w:color w:val="000000"/>
                <w:sz w:val="20"/>
              </w:rPr>
              <w:t>2017</w:t>
            </w:r>
            <w:r>
              <w:rPr>
                <w:rStyle w:val="FootnoteReference"/>
                <w:b/>
                <w:noProof/>
                <w:color w:val="000000"/>
                <w:sz w:val="20"/>
              </w:rPr>
              <w:footnoteReference w:id="60"/>
            </w:r>
          </w:p>
        </w:tc>
        <w:tc>
          <w:tcPr>
            <w:tcW w:w="102" w:type="pct"/>
            <w:tcBorders>
              <w:top w:val="nil"/>
              <w:left w:val="single" w:sz="4" w:space="0" w:color="auto"/>
              <w:bottom w:val="nil"/>
              <w:right w:val="single" w:sz="4" w:space="0" w:color="auto"/>
            </w:tcBorders>
          </w:tcPr>
          <w:p w:rsidR="0006109C" w:rsidRDefault="0006109C">
            <w:pPr>
              <w:keepNext/>
              <w:keepLines/>
              <w:jc w:val="center"/>
              <w:rPr>
                <w:b/>
                <w:bCs/>
                <w:noProof/>
                <w:color w:val="000000"/>
                <w:sz w:val="20"/>
                <w:szCs w:val="20"/>
              </w:rPr>
            </w:pPr>
          </w:p>
        </w:tc>
        <w:tc>
          <w:tcPr>
            <w:tcW w:w="661" w:type="pct"/>
            <w:tcBorders>
              <w:top w:val="nil"/>
              <w:left w:val="single" w:sz="4" w:space="0" w:color="auto"/>
              <w:bottom w:val="nil"/>
              <w:right w:val="single" w:sz="8" w:space="0" w:color="auto"/>
            </w:tcBorders>
            <w:shd w:val="clear" w:color="auto" w:fill="auto"/>
            <w:vAlign w:val="center"/>
            <w:hideMark/>
          </w:tcPr>
          <w:p w:rsidR="0006109C" w:rsidRDefault="00493E42">
            <w:pPr>
              <w:keepNext/>
              <w:keepLines/>
              <w:jc w:val="center"/>
              <w:rPr>
                <w:b/>
                <w:bCs/>
                <w:noProof/>
                <w:color w:val="000000"/>
                <w:sz w:val="20"/>
                <w:szCs w:val="20"/>
              </w:rPr>
            </w:pPr>
            <w:r>
              <w:rPr>
                <w:b/>
                <w:noProof/>
                <w:color w:val="000000"/>
                <w:sz w:val="20"/>
              </w:rPr>
              <w:t>2019</w:t>
            </w:r>
          </w:p>
        </w:tc>
        <w:tc>
          <w:tcPr>
            <w:tcW w:w="521" w:type="pct"/>
            <w:tcBorders>
              <w:top w:val="nil"/>
              <w:left w:val="nil"/>
              <w:bottom w:val="nil"/>
              <w:right w:val="single" w:sz="8" w:space="0" w:color="auto"/>
            </w:tcBorders>
            <w:shd w:val="clear" w:color="auto" w:fill="auto"/>
            <w:vAlign w:val="center"/>
            <w:hideMark/>
          </w:tcPr>
          <w:p w:rsidR="0006109C" w:rsidRDefault="00493E42">
            <w:pPr>
              <w:keepNext/>
              <w:keepLines/>
              <w:jc w:val="center"/>
              <w:rPr>
                <w:b/>
                <w:bCs/>
                <w:noProof/>
                <w:color w:val="000000"/>
                <w:sz w:val="20"/>
                <w:szCs w:val="20"/>
              </w:rPr>
            </w:pPr>
            <w:r>
              <w:rPr>
                <w:b/>
                <w:noProof/>
                <w:color w:val="000000"/>
                <w:sz w:val="20"/>
              </w:rPr>
              <w:t>2020</w:t>
            </w:r>
          </w:p>
        </w:tc>
        <w:tc>
          <w:tcPr>
            <w:tcW w:w="628" w:type="pct"/>
            <w:tcBorders>
              <w:top w:val="nil"/>
              <w:left w:val="nil"/>
              <w:bottom w:val="nil"/>
              <w:right w:val="single" w:sz="8" w:space="0" w:color="auto"/>
            </w:tcBorders>
            <w:shd w:val="clear" w:color="auto" w:fill="auto"/>
            <w:vAlign w:val="center"/>
            <w:hideMark/>
          </w:tcPr>
          <w:p w:rsidR="0006109C" w:rsidRDefault="0006109C">
            <w:pPr>
              <w:keepNext/>
              <w:keepLines/>
              <w:jc w:val="center"/>
              <w:rPr>
                <w:b/>
                <w:bCs/>
                <w:noProof/>
                <w:color w:val="000000"/>
                <w:sz w:val="20"/>
                <w:szCs w:val="20"/>
              </w:rPr>
            </w:pPr>
          </w:p>
        </w:tc>
      </w:tr>
      <w:tr w:rsidR="0006109C">
        <w:trPr>
          <w:trHeight w:val="315"/>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06109C" w:rsidRDefault="0006109C">
            <w:pPr>
              <w:keepNext/>
              <w:keepLines/>
              <w:rPr>
                <w:noProof/>
                <w:color w:val="000000"/>
              </w:rPr>
            </w:pPr>
          </w:p>
        </w:tc>
        <w:tc>
          <w:tcPr>
            <w:tcW w:w="768" w:type="pct"/>
            <w:tcBorders>
              <w:top w:val="nil"/>
              <w:left w:val="nil"/>
              <w:bottom w:val="single" w:sz="8" w:space="0" w:color="auto"/>
              <w:right w:val="nil"/>
            </w:tcBorders>
            <w:shd w:val="clear" w:color="auto" w:fill="auto"/>
            <w:vAlign w:val="center"/>
            <w:hideMark/>
          </w:tcPr>
          <w:p w:rsidR="0006109C" w:rsidRDefault="00493E42">
            <w:pPr>
              <w:keepNext/>
              <w:keepLines/>
              <w:rPr>
                <w:noProof/>
                <w:color w:val="000000"/>
                <w:sz w:val="20"/>
                <w:szCs w:val="20"/>
              </w:rPr>
            </w:pPr>
            <w:r>
              <w:rPr>
                <w:noProof/>
                <w:color w:val="000000"/>
                <w:sz w:val="20"/>
              </w:rPr>
              <w:t>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06109C" w:rsidRDefault="00493E42">
            <w:pPr>
              <w:keepNext/>
              <w:keepLines/>
              <w:jc w:val="center"/>
              <w:rPr>
                <w:noProof/>
                <w:color w:val="000000"/>
                <w:sz w:val="20"/>
                <w:szCs w:val="20"/>
              </w:rPr>
            </w:pPr>
            <w:r>
              <w:rPr>
                <w:noProof/>
                <w:color w:val="000000"/>
                <w:sz w:val="20"/>
              </w:rPr>
              <w:t> </w:t>
            </w:r>
          </w:p>
        </w:tc>
        <w:tc>
          <w:tcPr>
            <w:tcW w:w="662" w:type="pct"/>
            <w:tcBorders>
              <w:top w:val="nil"/>
              <w:left w:val="nil"/>
              <w:bottom w:val="single" w:sz="4" w:space="0" w:color="auto"/>
              <w:right w:val="single" w:sz="4" w:space="0" w:color="auto"/>
            </w:tcBorders>
          </w:tcPr>
          <w:p w:rsidR="0006109C" w:rsidRDefault="0006109C">
            <w:pPr>
              <w:keepNext/>
              <w:keepLines/>
              <w:jc w:val="center"/>
              <w:rPr>
                <w:rFonts w:ascii="Calibri" w:hAnsi="Calibri" w:cs="Calibri"/>
                <w:noProof/>
                <w:color w:val="000000"/>
                <w:highlight w:val="yellow"/>
              </w:rPr>
            </w:pPr>
          </w:p>
        </w:tc>
        <w:tc>
          <w:tcPr>
            <w:tcW w:w="102" w:type="pct"/>
            <w:tcBorders>
              <w:top w:val="nil"/>
              <w:left w:val="single" w:sz="4" w:space="0" w:color="auto"/>
              <w:bottom w:val="single" w:sz="4" w:space="0" w:color="auto"/>
              <w:right w:val="single" w:sz="4" w:space="0" w:color="auto"/>
            </w:tcBorders>
          </w:tcPr>
          <w:p w:rsidR="0006109C" w:rsidRDefault="0006109C">
            <w:pPr>
              <w:keepNext/>
              <w:keepLines/>
              <w:jc w:val="center"/>
              <w:rPr>
                <w:rFonts w:ascii="Calibri" w:hAnsi="Calibri" w:cs="Calibri"/>
                <w:noProof/>
                <w:color w:val="000000"/>
              </w:rPr>
            </w:pPr>
          </w:p>
        </w:tc>
        <w:tc>
          <w:tcPr>
            <w:tcW w:w="661" w:type="pct"/>
            <w:tcBorders>
              <w:top w:val="nil"/>
              <w:left w:val="single" w:sz="4" w:space="0" w:color="auto"/>
              <w:bottom w:val="single" w:sz="4" w:space="0" w:color="auto"/>
              <w:right w:val="single" w:sz="8" w:space="0" w:color="auto"/>
            </w:tcBorders>
            <w:shd w:val="clear" w:color="auto" w:fill="auto"/>
            <w:vAlign w:val="center"/>
          </w:tcPr>
          <w:p w:rsidR="0006109C" w:rsidRDefault="0006109C">
            <w:pPr>
              <w:keepNext/>
              <w:keepLines/>
              <w:jc w:val="center"/>
              <w:rPr>
                <w:rFonts w:ascii="Calibri" w:hAnsi="Calibri" w:cs="Calibri"/>
                <w:noProof/>
                <w:color w:val="000000"/>
              </w:rPr>
            </w:pPr>
          </w:p>
        </w:tc>
        <w:tc>
          <w:tcPr>
            <w:tcW w:w="521" w:type="pct"/>
            <w:tcBorders>
              <w:top w:val="nil"/>
              <w:left w:val="nil"/>
              <w:bottom w:val="single" w:sz="8" w:space="0" w:color="auto"/>
              <w:right w:val="single" w:sz="8" w:space="0" w:color="auto"/>
            </w:tcBorders>
            <w:shd w:val="clear" w:color="auto" w:fill="auto"/>
            <w:vAlign w:val="center"/>
          </w:tcPr>
          <w:p w:rsidR="0006109C" w:rsidRDefault="0006109C">
            <w:pPr>
              <w:keepNext/>
              <w:keepLines/>
              <w:jc w:val="center"/>
              <w:rPr>
                <w:rFonts w:ascii="Calibri" w:hAnsi="Calibri" w:cs="Calibri"/>
                <w:noProof/>
                <w:color w:val="000000"/>
                <w:highlight w:val="yellow"/>
              </w:rPr>
            </w:pPr>
          </w:p>
        </w:tc>
        <w:tc>
          <w:tcPr>
            <w:tcW w:w="628" w:type="pct"/>
            <w:tcBorders>
              <w:top w:val="nil"/>
              <w:left w:val="nil"/>
              <w:bottom w:val="single" w:sz="8" w:space="0" w:color="auto"/>
              <w:right w:val="single" w:sz="8" w:space="0" w:color="auto"/>
            </w:tcBorders>
            <w:shd w:val="clear" w:color="auto" w:fill="auto"/>
            <w:vAlign w:val="center"/>
            <w:hideMark/>
          </w:tcPr>
          <w:p w:rsidR="0006109C" w:rsidRDefault="0006109C">
            <w:pPr>
              <w:keepNext/>
              <w:keepLines/>
              <w:jc w:val="center"/>
              <w:rPr>
                <w:b/>
                <w:bCs/>
                <w:noProof/>
                <w:color w:val="000000"/>
                <w:sz w:val="20"/>
                <w:szCs w:val="20"/>
                <w:highlight w:val="yellow"/>
              </w:rPr>
            </w:pPr>
          </w:p>
        </w:tc>
      </w:tr>
      <w:tr w:rsidR="0006109C">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06109C" w:rsidRDefault="00493E42">
            <w:pPr>
              <w:keepNext/>
              <w:keepLines/>
              <w:rPr>
                <w:noProof/>
                <w:color w:val="000000"/>
                <w:sz w:val="20"/>
                <w:szCs w:val="20"/>
              </w:rPr>
            </w:pPr>
            <w:r>
              <w:rPr>
                <w:noProof/>
                <w:color w:val="000000"/>
                <w:sz w:val="20"/>
              </w:rPr>
              <w:t>Henkilöstömenot (osasto 1)</w:t>
            </w:r>
            <w:r>
              <w:rPr>
                <w:noProof/>
                <w:color w:val="000000"/>
                <w:sz w:val="20"/>
                <w:vertAlign w:val="superscript"/>
              </w:rPr>
              <w:t xml:space="preserve"> </w:t>
            </w: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keepNext/>
              <w:keepLines/>
              <w:rPr>
                <w:noProof/>
                <w:color w:val="000000"/>
                <w:sz w:val="18"/>
                <w:szCs w:val="18"/>
              </w:rPr>
            </w:pPr>
            <w:r>
              <w:rPr>
                <w:noProof/>
                <w:color w:val="000000"/>
                <w:sz w:val="18"/>
              </w:rPr>
              <w:t>Sitoumukset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keepNext/>
              <w:keepLines/>
              <w:jc w:val="center"/>
              <w:rPr>
                <w:noProof/>
                <w:color w:val="000000"/>
                <w:sz w:val="14"/>
                <w:szCs w:val="14"/>
              </w:rPr>
            </w:pPr>
            <w:r>
              <w:rPr>
                <w:noProof/>
                <w:color w:val="000000"/>
                <w:sz w:val="14"/>
              </w:rPr>
              <w:t>-1</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keepNext/>
              <w:keepLines/>
              <w:jc w:val="center"/>
              <w:rPr>
                <w:noProof/>
                <w:color w:val="000000"/>
                <w:sz w:val="20"/>
                <w:szCs w:val="20"/>
              </w:rPr>
            </w:pPr>
            <w:r>
              <w:rPr>
                <w:noProof/>
                <w:color w:val="000000"/>
                <w:sz w:val="20"/>
              </w:rPr>
              <w:t>2,302</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4,064</w:t>
            </w:r>
          </w:p>
        </w:tc>
        <w:tc>
          <w:tcPr>
            <w:tcW w:w="628" w:type="pct"/>
            <w:tcBorders>
              <w:top w:val="nil"/>
              <w:left w:val="nil"/>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7,474</w:t>
            </w:r>
          </w:p>
        </w:tc>
      </w:tr>
      <w:tr w:rsidR="0006109C">
        <w:trPr>
          <w:trHeight w:val="315"/>
        </w:trPr>
        <w:tc>
          <w:tcPr>
            <w:tcW w:w="1131" w:type="pct"/>
            <w:vMerge/>
            <w:tcBorders>
              <w:top w:val="nil"/>
              <w:left w:val="single" w:sz="8" w:space="0" w:color="auto"/>
              <w:bottom w:val="single" w:sz="8" w:space="0" w:color="000000"/>
              <w:right w:val="single" w:sz="8" w:space="0" w:color="auto"/>
            </w:tcBorders>
            <w:vAlign w:val="center"/>
            <w:hideMark/>
          </w:tcPr>
          <w:p w:rsidR="0006109C" w:rsidRDefault="0006109C">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keepNext/>
              <w:keepLines/>
              <w:rPr>
                <w:noProof/>
                <w:color w:val="000000"/>
                <w:sz w:val="18"/>
                <w:szCs w:val="18"/>
              </w:rPr>
            </w:pPr>
            <w:r>
              <w:rPr>
                <w:noProof/>
                <w:color w:val="000000"/>
                <w:sz w:val="18"/>
              </w:rPr>
              <w:t>Maksut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keepNext/>
              <w:keepLines/>
              <w:jc w:val="center"/>
              <w:rPr>
                <w:noProof/>
                <w:color w:val="000000"/>
                <w:sz w:val="14"/>
                <w:szCs w:val="14"/>
              </w:rPr>
            </w:pPr>
            <w:r>
              <w:rPr>
                <w:noProof/>
                <w:color w:val="000000"/>
                <w:sz w:val="14"/>
              </w:rPr>
              <w:t>-2</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keepNext/>
              <w:keepLines/>
              <w:jc w:val="center"/>
              <w:rPr>
                <w:noProof/>
                <w:color w:val="000000"/>
                <w:sz w:val="20"/>
                <w:szCs w:val="20"/>
              </w:rPr>
            </w:pPr>
            <w:r>
              <w:rPr>
                <w:noProof/>
                <w:color w:val="000000"/>
                <w:sz w:val="20"/>
              </w:rPr>
              <w:t>2,302</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4,064</w:t>
            </w:r>
          </w:p>
        </w:tc>
        <w:tc>
          <w:tcPr>
            <w:tcW w:w="628" w:type="pct"/>
            <w:tcBorders>
              <w:top w:val="nil"/>
              <w:left w:val="nil"/>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7,474</w:t>
            </w:r>
          </w:p>
        </w:tc>
      </w:tr>
      <w:tr w:rsidR="0006109C">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06109C" w:rsidRDefault="00493E42">
            <w:pPr>
              <w:keepNext/>
              <w:keepLines/>
              <w:rPr>
                <w:noProof/>
                <w:color w:val="000000"/>
                <w:sz w:val="20"/>
                <w:szCs w:val="20"/>
              </w:rPr>
            </w:pPr>
            <w:r>
              <w:rPr>
                <w:noProof/>
                <w:color w:val="000000"/>
                <w:sz w:val="20"/>
              </w:rPr>
              <w:t>Infrastruktuuri- ja hallintomenot (osasto 2)</w:t>
            </w: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keepNext/>
              <w:keepLines/>
              <w:rPr>
                <w:noProof/>
                <w:color w:val="000000"/>
                <w:sz w:val="18"/>
                <w:szCs w:val="18"/>
              </w:rPr>
            </w:pPr>
            <w:r>
              <w:rPr>
                <w:noProof/>
                <w:color w:val="000000"/>
                <w:sz w:val="18"/>
              </w:rPr>
              <w:t>Sitoumukset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keepNext/>
              <w:keepLines/>
              <w:jc w:val="center"/>
              <w:rPr>
                <w:noProof/>
                <w:color w:val="000000"/>
                <w:sz w:val="14"/>
                <w:szCs w:val="14"/>
              </w:rPr>
            </w:pPr>
            <w:r>
              <w:rPr>
                <w:noProof/>
                <w:color w:val="000000"/>
                <w:sz w:val="14"/>
              </w:rPr>
              <w:t>(1a)</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keepNext/>
              <w:keepLines/>
              <w:jc w:val="center"/>
              <w:rPr>
                <w:noProof/>
                <w:color w:val="000000"/>
                <w:sz w:val="20"/>
                <w:szCs w:val="20"/>
              </w:rPr>
            </w:pPr>
            <w:r>
              <w:rPr>
                <w:noProof/>
                <w:color w:val="000000"/>
                <w:sz w:val="20"/>
              </w:rPr>
              <w:t>0,359</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0,444</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1,023</w:t>
            </w:r>
          </w:p>
        </w:tc>
      </w:tr>
      <w:tr w:rsidR="0006109C">
        <w:trPr>
          <w:trHeight w:val="315"/>
        </w:trPr>
        <w:tc>
          <w:tcPr>
            <w:tcW w:w="1131" w:type="pct"/>
            <w:vMerge/>
            <w:tcBorders>
              <w:top w:val="nil"/>
              <w:left w:val="single" w:sz="8" w:space="0" w:color="auto"/>
              <w:bottom w:val="single" w:sz="8" w:space="0" w:color="000000"/>
              <w:right w:val="single" w:sz="8" w:space="0" w:color="auto"/>
            </w:tcBorders>
            <w:vAlign w:val="center"/>
            <w:hideMark/>
          </w:tcPr>
          <w:p w:rsidR="0006109C" w:rsidRDefault="0006109C">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keepNext/>
              <w:keepLines/>
              <w:rPr>
                <w:noProof/>
                <w:color w:val="000000"/>
                <w:sz w:val="18"/>
                <w:szCs w:val="18"/>
              </w:rPr>
            </w:pPr>
            <w:r>
              <w:rPr>
                <w:noProof/>
                <w:color w:val="000000"/>
                <w:sz w:val="18"/>
              </w:rPr>
              <w:t>Maksut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keepNext/>
              <w:keepLines/>
              <w:jc w:val="center"/>
              <w:rPr>
                <w:noProof/>
                <w:color w:val="000000"/>
                <w:sz w:val="14"/>
                <w:szCs w:val="14"/>
              </w:rPr>
            </w:pPr>
            <w:r>
              <w:rPr>
                <w:noProof/>
                <w:color w:val="000000"/>
                <w:sz w:val="14"/>
              </w:rPr>
              <w:t>(2 a)</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keepNext/>
              <w:keepLines/>
              <w:jc w:val="center"/>
              <w:rPr>
                <w:noProof/>
                <w:color w:val="000000"/>
                <w:sz w:val="20"/>
                <w:szCs w:val="20"/>
              </w:rPr>
            </w:pPr>
            <w:r>
              <w:rPr>
                <w:noProof/>
                <w:color w:val="000000"/>
                <w:sz w:val="20"/>
              </w:rPr>
              <w:t>0,359</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6109C" w:rsidRDefault="00493E42">
            <w:pPr>
              <w:keepNext/>
              <w:keepLines/>
              <w:jc w:val="center"/>
              <w:rPr>
                <w:noProof/>
                <w:color w:val="000000"/>
                <w:sz w:val="20"/>
                <w:szCs w:val="20"/>
              </w:rPr>
            </w:pPr>
            <w:r>
              <w:rPr>
                <w:noProof/>
                <w:color w:val="000000"/>
                <w:sz w:val="20"/>
              </w:rPr>
              <w:t>0,444</w:t>
            </w:r>
          </w:p>
        </w:tc>
        <w:tc>
          <w:tcPr>
            <w:tcW w:w="521" w:type="pct"/>
            <w:tcBorders>
              <w:top w:val="nil"/>
              <w:left w:val="single" w:sz="4" w:space="0" w:color="auto"/>
              <w:bottom w:val="single" w:sz="8" w:space="0" w:color="auto"/>
              <w:right w:val="single" w:sz="8" w:space="0" w:color="auto"/>
            </w:tcBorders>
            <w:shd w:val="clear" w:color="auto" w:fill="auto"/>
          </w:tcPr>
          <w:p w:rsidR="0006109C" w:rsidRDefault="00493E42">
            <w:pPr>
              <w:jc w:val="center"/>
              <w:rPr>
                <w:noProof/>
              </w:rPr>
            </w:pPr>
            <w:r>
              <w:rPr>
                <w:noProof/>
                <w:color w:val="000000"/>
                <w:sz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1,023</w:t>
            </w:r>
          </w:p>
        </w:tc>
      </w:tr>
      <w:tr w:rsidR="0006109C">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06109C" w:rsidRDefault="00493E42">
            <w:pPr>
              <w:keepNext/>
              <w:keepLines/>
              <w:rPr>
                <w:noProof/>
                <w:color w:val="000000"/>
                <w:sz w:val="20"/>
                <w:szCs w:val="20"/>
              </w:rPr>
            </w:pPr>
            <w:r>
              <w:rPr>
                <w:noProof/>
                <w:color w:val="000000"/>
                <w:sz w:val="20"/>
              </w:rPr>
              <w:t>Toimintamenot (osasto 3)</w:t>
            </w: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keepNext/>
              <w:keepLines/>
              <w:rPr>
                <w:noProof/>
                <w:color w:val="000000"/>
                <w:sz w:val="18"/>
                <w:szCs w:val="18"/>
              </w:rPr>
            </w:pPr>
            <w:r>
              <w:rPr>
                <w:noProof/>
                <w:color w:val="000000"/>
                <w:sz w:val="18"/>
              </w:rPr>
              <w:t>Sitoumukset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keepNext/>
              <w:keepLines/>
              <w:jc w:val="center"/>
              <w:rPr>
                <w:noProof/>
                <w:color w:val="000000"/>
                <w:sz w:val="14"/>
                <w:szCs w:val="14"/>
              </w:rPr>
            </w:pPr>
            <w:r>
              <w:rPr>
                <w:noProof/>
                <w:color w:val="000000"/>
                <w:sz w:val="14"/>
              </w:rPr>
              <w:t>(1b)</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keepNext/>
              <w:keepLines/>
              <w:jc w:val="center"/>
              <w:rPr>
                <w:noProof/>
                <w:color w:val="000000"/>
                <w:sz w:val="20"/>
                <w:szCs w:val="20"/>
              </w:rPr>
            </w:pPr>
            <w:r>
              <w:rPr>
                <w:noProof/>
                <w:color w:val="000000"/>
                <w:sz w:val="20"/>
              </w:rPr>
              <w:t>1,585</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noProof/>
                <w:color w:val="000000"/>
                <w:sz w:val="20"/>
                <w:szCs w:val="20"/>
              </w:rPr>
            </w:pPr>
            <w:r>
              <w:rPr>
                <w:noProof/>
                <w:color w:val="000000"/>
                <w:sz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4,866</w:t>
            </w:r>
          </w:p>
        </w:tc>
      </w:tr>
      <w:tr w:rsidR="0006109C">
        <w:trPr>
          <w:trHeight w:val="315"/>
        </w:trPr>
        <w:tc>
          <w:tcPr>
            <w:tcW w:w="1131" w:type="pct"/>
            <w:vMerge/>
            <w:tcBorders>
              <w:top w:val="nil"/>
              <w:left w:val="single" w:sz="8" w:space="0" w:color="auto"/>
              <w:bottom w:val="single" w:sz="8" w:space="0" w:color="000000"/>
              <w:right w:val="single" w:sz="8" w:space="0" w:color="auto"/>
            </w:tcBorders>
            <w:vAlign w:val="center"/>
            <w:hideMark/>
          </w:tcPr>
          <w:p w:rsidR="0006109C" w:rsidRDefault="0006109C">
            <w:pPr>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rPr>
                <w:noProof/>
                <w:color w:val="000000"/>
                <w:sz w:val="18"/>
                <w:szCs w:val="18"/>
              </w:rPr>
            </w:pPr>
            <w:r>
              <w:rPr>
                <w:noProof/>
                <w:color w:val="000000"/>
                <w:sz w:val="18"/>
              </w:rPr>
              <w:t>Maksut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jc w:val="center"/>
              <w:rPr>
                <w:noProof/>
                <w:color w:val="000000"/>
                <w:sz w:val="14"/>
                <w:szCs w:val="14"/>
              </w:rPr>
            </w:pPr>
            <w:r>
              <w:rPr>
                <w:noProof/>
                <w:color w:val="000000"/>
                <w:sz w:val="14"/>
              </w:rPr>
              <w:t>(2b)</w:t>
            </w:r>
          </w:p>
        </w:tc>
        <w:tc>
          <w:tcPr>
            <w:tcW w:w="662" w:type="pct"/>
            <w:tcBorders>
              <w:top w:val="single" w:sz="4" w:space="0" w:color="auto"/>
              <w:left w:val="single" w:sz="4" w:space="0" w:color="auto"/>
              <w:bottom w:val="single" w:sz="4" w:space="0" w:color="auto"/>
              <w:right w:val="single" w:sz="4" w:space="0" w:color="auto"/>
            </w:tcBorders>
            <w:vAlign w:val="center"/>
          </w:tcPr>
          <w:p w:rsidR="0006109C" w:rsidRDefault="00493E42">
            <w:pPr>
              <w:jc w:val="center"/>
              <w:rPr>
                <w:noProof/>
                <w:color w:val="000000"/>
                <w:sz w:val="20"/>
                <w:szCs w:val="20"/>
              </w:rPr>
            </w:pPr>
            <w:r>
              <w:rPr>
                <w:noProof/>
                <w:color w:val="000000"/>
                <w:sz w:val="20"/>
              </w:rPr>
              <w:t>1,585</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jc w:val="center"/>
              <w:rPr>
                <w:noProof/>
                <w:color w:val="000000"/>
                <w:sz w:val="20"/>
                <w:szCs w:val="20"/>
              </w:rPr>
            </w:pPr>
            <w:r>
              <w:rPr>
                <w:noProof/>
                <w:color w:val="000000"/>
                <w:sz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jc w:val="center"/>
              <w:rPr>
                <w:noProof/>
                <w:color w:val="000000"/>
                <w:sz w:val="20"/>
                <w:szCs w:val="20"/>
              </w:rPr>
            </w:pPr>
            <w:r>
              <w:rPr>
                <w:noProof/>
                <w:color w:val="000000"/>
                <w:sz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4,866</w:t>
            </w:r>
          </w:p>
        </w:tc>
      </w:tr>
      <w:tr w:rsidR="0006109C">
        <w:trPr>
          <w:trHeight w:val="315"/>
        </w:trPr>
        <w:tc>
          <w:tcPr>
            <w:tcW w:w="1131" w:type="pct"/>
            <w:tcBorders>
              <w:top w:val="nil"/>
              <w:left w:val="single" w:sz="8" w:space="0" w:color="auto"/>
              <w:bottom w:val="nil"/>
              <w:right w:val="single" w:sz="8" w:space="0" w:color="auto"/>
            </w:tcBorders>
            <w:shd w:val="clear" w:color="auto" w:fill="auto"/>
            <w:vAlign w:val="center"/>
            <w:hideMark/>
          </w:tcPr>
          <w:p w:rsidR="0006109C" w:rsidRDefault="00493E42">
            <w:pPr>
              <w:jc w:val="center"/>
              <w:rPr>
                <w:b/>
                <w:bCs/>
                <w:noProof/>
                <w:color w:val="000000"/>
              </w:rPr>
            </w:pPr>
            <w:r>
              <w:rPr>
                <w:b/>
                <w:noProof/>
                <w:color w:val="000000"/>
                <w:sz w:val="22"/>
              </w:rPr>
              <w:t>Määrärahat yhteensä</w:t>
            </w: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rPr>
                <w:noProof/>
                <w:color w:val="000000"/>
                <w:sz w:val="18"/>
                <w:szCs w:val="18"/>
              </w:rPr>
            </w:pPr>
            <w:r>
              <w:rPr>
                <w:noProof/>
                <w:color w:val="000000"/>
                <w:sz w:val="18"/>
              </w:rPr>
              <w:t>Sitoumukset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jc w:val="center"/>
              <w:rPr>
                <w:noProof/>
                <w:color w:val="000000"/>
                <w:sz w:val="14"/>
                <w:szCs w:val="14"/>
              </w:rPr>
            </w:pPr>
            <w:r>
              <w:rPr>
                <w:noProof/>
                <w:color w:val="000000"/>
                <w:sz w:val="14"/>
              </w:rPr>
              <w:t>=1+1a+1b</w:t>
            </w:r>
          </w:p>
        </w:tc>
        <w:tc>
          <w:tcPr>
            <w:tcW w:w="662" w:type="pct"/>
            <w:tcBorders>
              <w:top w:val="single" w:sz="4" w:space="0" w:color="auto"/>
              <w:left w:val="single" w:sz="4" w:space="0" w:color="auto"/>
              <w:bottom w:val="single" w:sz="4" w:space="0" w:color="auto"/>
              <w:right w:val="single" w:sz="4" w:space="0" w:color="auto"/>
            </w:tcBorders>
          </w:tcPr>
          <w:p w:rsidR="0006109C" w:rsidRDefault="00493E42">
            <w:pPr>
              <w:jc w:val="center"/>
              <w:rPr>
                <w:noProof/>
                <w:color w:val="000000"/>
                <w:sz w:val="20"/>
                <w:szCs w:val="20"/>
              </w:rPr>
            </w:pPr>
            <w:r>
              <w:rPr>
                <w:b/>
                <w:noProof/>
                <w:color w:val="000000"/>
                <w:sz w:val="20"/>
              </w:rPr>
              <w:t>4,246</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jc w:val="center"/>
              <w:rPr>
                <w:b/>
                <w:noProof/>
                <w:color w:val="000000"/>
                <w:sz w:val="20"/>
                <w:szCs w:val="20"/>
              </w:rPr>
            </w:pPr>
            <w:r>
              <w:rPr>
                <w:b/>
                <w:noProof/>
                <w:color w:val="000000"/>
                <w:sz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7,455</w:t>
            </w:r>
          </w:p>
        </w:tc>
        <w:tc>
          <w:tcPr>
            <w:tcW w:w="628" w:type="pct"/>
            <w:tcBorders>
              <w:top w:val="nil"/>
              <w:left w:val="nil"/>
              <w:bottom w:val="single" w:sz="8" w:space="0" w:color="auto"/>
              <w:right w:val="single" w:sz="8" w:space="0" w:color="auto"/>
            </w:tcBorders>
            <w:shd w:val="clear" w:color="auto" w:fill="auto"/>
            <w:vAlign w:val="center"/>
          </w:tcPr>
          <w:p w:rsidR="0006109C" w:rsidRDefault="00493E42">
            <w:pPr>
              <w:jc w:val="center"/>
              <w:rPr>
                <w:b/>
                <w:noProof/>
                <w:color w:val="000000"/>
                <w:sz w:val="20"/>
                <w:szCs w:val="20"/>
              </w:rPr>
            </w:pPr>
            <w:r>
              <w:rPr>
                <w:b/>
                <w:noProof/>
                <w:color w:val="000000"/>
                <w:sz w:val="20"/>
              </w:rPr>
              <w:t>13,363</w:t>
            </w:r>
          </w:p>
        </w:tc>
      </w:tr>
      <w:tr w:rsidR="0006109C">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rsidR="0006109C" w:rsidRDefault="00493E42">
            <w:pPr>
              <w:jc w:val="center"/>
              <w:rPr>
                <w:b/>
                <w:bCs/>
                <w:noProof/>
                <w:color w:val="000000"/>
              </w:rPr>
            </w:pPr>
            <w:r>
              <w:rPr>
                <w:b/>
                <w:noProof/>
                <w:color w:val="000000"/>
                <w:sz w:val="22"/>
              </w:rPr>
              <w:t xml:space="preserve">BERECille </w:t>
            </w:r>
          </w:p>
        </w:tc>
        <w:tc>
          <w:tcPr>
            <w:tcW w:w="768" w:type="pct"/>
            <w:tcBorders>
              <w:top w:val="nil"/>
              <w:left w:val="nil"/>
              <w:bottom w:val="single" w:sz="8" w:space="0" w:color="auto"/>
              <w:right w:val="single" w:sz="8" w:space="0" w:color="auto"/>
            </w:tcBorders>
            <w:shd w:val="clear" w:color="auto" w:fill="auto"/>
            <w:vAlign w:val="center"/>
            <w:hideMark/>
          </w:tcPr>
          <w:p w:rsidR="0006109C" w:rsidRDefault="00493E42">
            <w:pPr>
              <w:rPr>
                <w:noProof/>
                <w:color w:val="000000"/>
                <w:sz w:val="18"/>
                <w:szCs w:val="18"/>
              </w:rPr>
            </w:pPr>
            <w:r>
              <w:rPr>
                <w:noProof/>
                <w:color w:val="000000"/>
                <w:sz w:val="18"/>
              </w:rPr>
              <w:t>Maksut</w:t>
            </w:r>
          </w:p>
        </w:tc>
        <w:tc>
          <w:tcPr>
            <w:tcW w:w="526" w:type="pct"/>
            <w:tcBorders>
              <w:top w:val="nil"/>
              <w:left w:val="nil"/>
              <w:bottom w:val="single" w:sz="8" w:space="0" w:color="auto"/>
              <w:right w:val="single" w:sz="4" w:space="0" w:color="auto"/>
            </w:tcBorders>
            <w:shd w:val="clear" w:color="auto" w:fill="auto"/>
            <w:vAlign w:val="center"/>
            <w:hideMark/>
          </w:tcPr>
          <w:p w:rsidR="0006109C" w:rsidRDefault="00493E42">
            <w:pPr>
              <w:jc w:val="center"/>
              <w:rPr>
                <w:noProof/>
                <w:color w:val="000000"/>
                <w:sz w:val="14"/>
                <w:szCs w:val="14"/>
              </w:rPr>
            </w:pPr>
            <w:r>
              <w:rPr>
                <w:noProof/>
                <w:color w:val="000000"/>
                <w:sz w:val="14"/>
              </w:rPr>
              <w:t>=2+2a+2b</w:t>
            </w:r>
          </w:p>
        </w:tc>
        <w:tc>
          <w:tcPr>
            <w:tcW w:w="662" w:type="pct"/>
            <w:tcBorders>
              <w:top w:val="single" w:sz="4" w:space="0" w:color="auto"/>
              <w:left w:val="single" w:sz="4" w:space="0" w:color="auto"/>
              <w:bottom w:val="single" w:sz="4" w:space="0" w:color="auto"/>
              <w:right w:val="single" w:sz="4" w:space="0" w:color="auto"/>
            </w:tcBorders>
          </w:tcPr>
          <w:p w:rsidR="0006109C" w:rsidRDefault="00493E42">
            <w:pPr>
              <w:jc w:val="center"/>
              <w:rPr>
                <w:noProof/>
                <w:color w:val="000000"/>
                <w:sz w:val="20"/>
                <w:szCs w:val="20"/>
              </w:rPr>
            </w:pPr>
            <w:r>
              <w:rPr>
                <w:b/>
                <w:noProof/>
                <w:color w:val="000000"/>
                <w:sz w:val="20"/>
              </w:rPr>
              <w:t>4,246</w:t>
            </w:r>
          </w:p>
        </w:tc>
        <w:tc>
          <w:tcPr>
            <w:tcW w:w="102" w:type="pct"/>
            <w:tcBorders>
              <w:top w:val="single" w:sz="4" w:space="0" w:color="auto"/>
              <w:left w:val="single" w:sz="4" w:space="0" w:color="auto"/>
              <w:bottom w:val="single" w:sz="4" w:space="0" w:color="auto"/>
              <w:right w:val="single" w:sz="4" w:space="0" w:color="auto"/>
            </w:tcBorders>
          </w:tcPr>
          <w:p w:rsidR="0006109C" w:rsidRDefault="0006109C">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6109C" w:rsidRDefault="00493E42">
            <w:pPr>
              <w:jc w:val="center"/>
              <w:rPr>
                <w:b/>
                <w:noProof/>
                <w:color w:val="000000"/>
                <w:sz w:val="20"/>
                <w:szCs w:val="20"/>
              </w:rPr>
            </w:pPr>
            <w:r>
              <w:rPr>
                <w:b/>
                <w:noProof/>
                <w:color w:val="000000"/>
                <w:sz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06109C" w:rsidRDefault="00493E42">
            <w:pPr>
              <w:keepNext/>
              <w:keepLines/>
              <w:jc w:val="center"/>
              <w:rPr>
                <w:b/>
                <w:noProof/>
                <w:color w:val="000000"/>
                <w:sz w:val="20"/>
                <w:szCs w:val="20"/>
              </w:rPr>
            </w:pPr>
            <w:r>
              <w:rPr>
                <w:b/>
                <w:noProof/>
                <w:color w:val="000000"/>
                <w:sz w:val="20"/>
              </w:rPr>
              <w:t>7,455</w:t>
            </w:r>
          </w:p>
        </w:tc>
        <w:tc>
          <w:tcPr>
            <w:tcW w:w="628" w:type="pct"/>
            <w:tcBorders>
              <w:top w:val="nil"/>
              <w:left w:val="nil"/>
              <w:bottom w:val="single" w:sz="8" w:space="0" w:color="auto"/>
              <w:right w:val="single" w:sz="8" w:space="0" w:color="auto"/>
            </w:tcBorders>
            <w:shd w:val="clear" w:color="auto" w:fill="auto"/>
            <w:vAlign w:val="center"/>
          </w:tcPr>
          <w:p w:rsidR="0006109C" w:rsidRDefault="00493E42">
            <w:pPr>
              <w:jc w:val="center"/>
              <w:rPr>
                <w:b/>
                <w:noProof/>
                <w:color w:val="000000"/>
                <w:sz w:val="20"/>
                <w:szCs w:val="20"/>
              </w:rPr>
            </w:pPr>
            <w:r>
              <w:rPr>
                <w:b/>
                <w:noProof/>
                <w:color w:val="000000"/>
                <w:sz w:val="20"/>
              </w:rPr>
              <w:t>13,363</w:t>
            </w:r>
            <w:r>
              <w:rPr>
                <w:rStyle w:val="FootnoteReference"/>
                <w:b/>
                <w:noProof/>
                <w:color w:val="000000"/>
                <w:sz w:val="20"/>
              </w:rPr>
              <w:footnoteReference w:id="61"/>
            </w:r>
          </w:p>
        </w:tc>
      </w:tr>
    </w:tbl>
    <w:p w:rsidR="0006109C" w:rsidRDefault="0006109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5624"/>
      </w:tblGrid>
      <w:tr w:rsidR="0006109C">
        <w:tc>
          <w:tcPr>
            <w:tcW w:w="4744" w:type="dxa"/>
            <w:shd w:val="clear" w:color="C0C0C0" w:fill="auto"/>
            <w:vAlign w:val="center"/>
          </w:tcPr>
          <w:p w:rsidR="0006109C" w:rsidRDefault="00493E42">
            <w:pPr>
              <w:pageBreakBefore/>
              <w:spacing w:before="60" w:after="60"/>
              <w:rPr>
                <w:b/>
                <w:noProof/>
                <w:sz w:val="20"/>
              </w:rPr>
            </w:pPr>
            <w:r>
              <w:rPr>
                <w:noProof/>
              </w:rPr>
              <w:br w:type="page"/>
            </w:r>
            <w:r>
              <w:rPr>
                <w:b/>
                <w:noProof/>
                <w:sz w:val="20"/>
              </w:rPr>
              <w:t xml:space="preserve">Monivuotisen rahoituskehyksen </w:t>
            </w:r>
            <w:r>
              <w:rPr>
                <w:b/>
                <w:noProof/>
                <w:sz w:val="20"/>
              </w:rPr>
              <w:br/>
              <w:t xml:space="preserve">otsake </w:t>
            </w:r>
          </w:p>
        </w:tc>
        <w:tc>
          <w:tcPr>
            <w:tcW w:w="1080" w:type="dxa"/>
            <w:shd w:val="clear" w:color="C0C0C0" w:fill="auto"/>
            <w:vAlign w:val="center"/>
          </w:tcPr>
          <w:p w:rsidR="0006109C" w:rsidRDefault="00493E42">
            <w:pPr>
              <w:spacing w:before="60" w:after="60"/>
              <w:rPr>
                <w:b/>
                <w:noProof/>
                <w:sz w:val="20"/>
              </w:rPr>
            </w:pPr>
            <w:r>
              <w:rPr>
                <w:b/>
                <w:noProof/>
                <w:sz w:val="20"/>
              </w:rPr>
              <w:t>5</w:t>
            </w:r>
          </w:p>
        </w:tc>
        <w:tc>
          <w:tcPr>
            <w:tcW w:w="5624" w:type="dxa"/>
            <w:vAlign w:val="center"/>
          </w:tcPr>
          <w:p w:rsidR="0006109C" w:rsidRDefault="00493E42">
            <w:pPr>
              <w:spacing w:before="60" w:after="60"/>
              <w:rPr>
                <w:noProof/>
                <w:sz w:val="20"/>
              </w:rPr>
            </w:pPr>
            <w:r>
              <w:rPr>
                <w:noProof/>
                <w:sz w:val="20"/>
              </w:rPr>
              <w:t>”Hallintomenot”</w:t>
            </w:r>
          </w:p>
        </w:tc>
      </w:tr>
    </w:tbl>
    <w:p w:rsidR="0006109C" w:rsidRDefault="00493E42">
      <w:pPr>
        <w:spacing w:before="60" w:after="60"/>
        <w:jc w:val="right"/>
        <w:rPr>
          <w:noProof/>
          <w:sz w:val="20"/>
        </w:rPr>
      </w:pPr>
      <w:r>
        <w:rPr>
          <w:noProof/>
          <w:sz w:val="20"/>
        </w:rPr>
        <w:t xml:space="preserve">milj. euroa (kolmen </w:t>
      </w:r>
      <w:r>
        <w:rPr>
          <w:noProof/>
          <w:sz w:val="20"/>
        </w:rPr>
        <w:t>desimaalin tarkkuudella)</w:t>
      </w:r>
    </w:p>
    <w:p w:rsidR="0006109C" w:rsidRDefault="0006109C">
      <w:pPr>
        <w:spacing w:before="60" w:after="60"/>
        <w:rPr>
          <w:noProof/>
          <w:sz w:val="20"/>
        </w:rPr>
      </w:pPr>
    </w:p>
    <w:tbl>
      <w:tblPr>
        <w:tblW w:w="4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489"/>
        <w:gridCol w:w="108"/>
        <w:gridCol w:w="2306"/>
        <w:gridCol w:w="1489"/>
        <w:gridCol w:w="254"/>
        <w:gridCol w:w="1323"/>
        <w:gridCol w:w="1680"/>
        <w:gridCol w:w="1678"/>
      </w:tblGrid>
      <w:tr w:rsidR="0006109C">
        <w:tc>
          <w:tcPr>
            <w:tcW w:w="1430" w:type="pct"/>
            <w:gridSpan w:val="3"/>
            <w:tcBorders>
              <w:top w:val="nil"/>
              <w:left w:val="nil"/>
              <w:right w:val="nil"/>
            </w:tcBorders>
            <w:vAlign w:val="center"/>
          </w:tcPr>
          <w:p w:rsidR="0006109C" w:rsidRDefault="0006109C">
            <w:pPr>
              <w:spacing w:before="60" w:after="60"/>
              <w:rPr>
                <w:noProof/>
                <w:sz w:val="20"/>
              </w:rPr>
            </w:pPr>
          </w:p>
        </w:tc>
        <w:tc>
          <w:tcPr>
            <w:tcW w:w="943" w:type="pct"/>
            <w:tcBorders>
              <w:top w:val="nil"/>
              <w:left w:val="nil"/>
              <w:bottom w:val="single" w:sz="4" w:space="0" w:color="auto"/>
            </w:tcBorders>
          </w:tcPr>
          <w:p w:rsidR="0006109C" w:rsidRDefault="0006109C">
            <w:pPr>
              <w:spacing w:before="60" w:after="60"/>
              <w:rPr>
                <w:noProof/>
                <w:sz w:val="20"/>
              </w:rPr>
            </w:pPr>
          </w:p>
        </w:tc>
        <w:tc>
          <w:tcPr>
            <w:tcW w:w="609" w:type="pct"/>
            <w:tcBorders>
              <w:bottom w:val="single" w:sz="4" w:space="0" w:color="auto"/>
            </w:tcBorders>
          </w:tcPr>
          <w:p w:rsidR="0006109C" w:rsidRDefault="00493E42">
            <w:pPr>
              <w:spacing w:before="60" w:after="60"/>
              <w:jc w:val="center"/>
              <w:rPr>
                <w:noProof/>
                <w:sz w:val="20"/>
              </w:rPr>
            </w:pPr>
            <w:r>
              <w:rPr>
                <w:noProof/>
                <w:sz w:val="20"/>
              </w:rPr>
              <w:t>Lähtötilanne</w:t>
            </w:r>
            <w:r>
              <w:rPr>
                <w:noProof/>
                <w:sz w:val="20"/>
              </w:rPr>
              <w:br/>
              <w:t>2017</w:t>
            </w:r>
            <w:r>
              <w:rPr>
                <w:rStyle w:val="FootnoteReference"/>
                <w:noProof/>
                <w:sz w:val="20"/>
              </w:rPr>
              <w:footnoteReference w:id="62"/>
            </w:r>
          </w:p>
          <w:p w:rsidR="0006109C" w:rsidRDefault="00493E42">
            <w:pPr>
              <w:spacing w:before="60" w:after="60"/>
              <w:jc w:val="center"/>
              <w:rPr>
                <w:noProof/>
                <w:sz w:val="20"/>
              </w:rPr>
            </w:pPr>
            <w:r>
              <w:rPr>
                <w:noProof/>
                <w:sz w:val="20"/>
              </w:rPr>
              <w:t>3</w:t>
            </w:r>
          </w:p>
        </w:tc>
        <w:tc>
          <w:tcPr>
            <w:tcW w:w="104" w:type="pct"/>
          </w:tcPr>
          <w:p w:rsidR="0006109C" w:rsidRDefault="0006109C">
            <w:pPr>
              <w:spacing w:before="60" w:after="60"/>
              <w:jc w:val="center"/>
              <w:rPr>
                <w:noProof/>
                <w:sz w:val="20"/>
              </w:rPr>
            </w:pPr>
          </w:p>
        </w:tc>
        <w:tc>
          <w:tcPr>
            <w:tcW w:w="541" w:type="pct"/>
            <w:vAlign w:val="center"/>
          </w:tcPr>
          <w:p w:rsidR="0006109C" w:rsidRDefault="00493E42">
            <w:pPr>
              <w:spacing w:before="60" w:after="60"/>
              <w:jc w:val="center"/>
              <w:rPr>
                <w:noProof/>
                <w:sz w:val="20"/>
              </w:rPr>
            </w:pPr>
            <w:r>
              <w:rPr>
                <w:noProof/>
                <w:sz w:val="20"/>
              </w:rPr>
              <w:t>Vuosi</w:t>
            </w:r>
            <w:r>
              <w:rPr>
                <w:noProof/>
                <w:sz w:val="20"/>
              </w:rPr>
              <w:br/>
              <w:t>2019</w:t>
            </w:r>
          </w:p>
          <w:p w:rsidR="0006109C" w:rsidRDefault="00493E42">
            <w:pPr>
              <w:spacing w:before="60" w:after="60"/>
              <w:jc w:val="center"/>
              <w:rPr>
                <w:noProof/>
                <w:sz w:val="20"/>
              </w:rPr>
            </w:pPr>
            <w:r>
              <w:rPr>
                <w:noProof/>
                <w:sz w:val="20"/>
              </w:rPr>
              <w:t>3</w:t>
            </w:r>
          </w:p>
        </w:tc>
        <w:tc>
          <w:tcPr>
            <w:tcW w:w="687" w:type="pct"/>
            <w:vAlign w:val="center"/>
          </w:tcPr>
          <w:p w:rsidR="0006109C" w:rsidRDefault="00493E42">
            <w:pPr>
              <w:spacing w:before="60" w:after="60"/>
              <w:jc w:val="center"/>
              <w:rPr>
                <w:noProof/>
                <w:sz w:val="20"/>
              </w:rPr>
            </w:pPr>
            <w:r>
              <w:rPr>
                <w:noProof/>
                <w:sz w:val="20"/>
              </w:rPr>
              <w:t>Vuosi</w:t>
            </w:r>
            <w:r>
              <w:rPr>
                <w:noProof/>
                <w:sz w:val="20"/>
              </w:rPr>
              <w:br/>
              <w:t>2020</w:t>
            </w:r>
          </w:p>
          <w:p w:rsidR="0006109C" w:rsidRDefault="00493E42">
            <w:pPr>
              <w:spacing w:before="60" w:after="60"/>
              <w:jc w:val="center"/>
              <w:rPr>
                <w:noProof/>
                <w:sz w:val="20"/>
              </w:rPr>
            </w:pPr>
            <w:r>
              <w:rPr>
                <w:noProof/>
                <w:sz w:val="20"/>
              </w:rPr>
              <w:t>3</w:t>
            </w:r>
          </w:p>
        </w:tc>
        <w:tc>
          <w:tcPr>
            <w:tcW w:w="687" w:type="pct"/>
            <w:vAlign w:val="center"/>
          </w:tcPr>
          <w:p w:rsidR="0006109C" w:rsidRDefault="00493E42">
            <w:pPr>
              <w:spacing w:before="60" w:after="60"/>
              <w:jc w:val="center"/>
              <w:rPr>
                <w:noProof/>
                <w:sz w:val="20"/>
              </w:rPr>
            </w:pPr>
            <w:r>
              <w:rPr>
                <w:noProof/>
                <w:sz w:val="20"/>
              </w:rPr>
              <w:t>YHTEENSÄ</w:t>
            </w:r>
          </w:p>
          <w:p w:rsidR="0006109C" w:rsidRDefault="00493E42">
            <w:pPr>
              <w:spacing w:before="60" w:after="60"/>
              <w:jc w:val="center"/>
              <w:rPr>
                <w:noProof/>
                <w:sz w:val="20"/>
              </w:rPr>
            </w:pPr>
            <w:r>
              <w:rPr>
                <w:noProof/>
                <w:sz w:val="20"/>
              </w:rPr>
              <w:t>2019-2020</w:t>
            </w:r>
            <w:r>
              <w:rPr>
                <w:rStyle w:val="FootnoteReference"/>
                <w:noProof/>
                <w:sz w:val="20"/>
              </w:rPr>
              <w:footnoteReference w:id="63"/>
            </w:r>
          </w:p>
        </w:tc>
      </w:tr>
      <w:tr w:rsidR="0006109C">
        <w:trPr>
          <w:trHeight w:val="432"/>
        </w:trPr>
        <w:tc>
          <w:tcPr>
            <w:tcW w:w="1430" w:type="pct"/>
            <w:gridSpan w:val="3"/>
            <w:tcBorders>
              <w:right w:val="nil"/>
            </w:tcBorders>
            <w:vAlign w:val="center"/>
          </w:tcPr>
          <w:p w:rsidR="0006109C" w:rsidRDefault="00493E42">
            <w:pPr>
              <w:spacing w:before="60" w:after="60"/>
              <w:rPr>
                <w:b/>
                <w:noProof/>
                <w:sz w:val="20"/>
              </w:rPr>
            </w:pPr>
            <w:r>
              <w:rPr>
                <w:b/>
                <w:noProof/>
                <w:sz w:val="20"/>
              </w:rPr>
              <w:t>DG CONNECT</w:t>
            </w:r>
          </w:p>
        </w:tc>
        <w:tc>
          <w:tcPr>
            <w:tcW w:w="943" w:type="pct"/>
            <w:tcBorders>
              <w:top w:val="single" w:sz="4" w:space="0" w:color="auto"/>
              <w:left w:val="nil"/>
              <w:bottom w:val="nil"/>
              <w:right w:val="nil"/>
            </w:tcBorders>
          </w:tcPr>
          <w:p w:rsidR="0006109C" w:rsidRDefault="0006109C">
            <w:pPr>
              <w:spacing w:before="60" w:after="60"/>
              <w:rPr>
                <w:noProof/>
                <w:sz w:val="20"/>
              </w:rPr>
            </w:pPr>
          </w:p>
        </w:tc>
        <w:tc>
          <w:tcPr>
            <w:tcW w:w="609" w:type="pct"/>
            <w:tcBorders>
              <w:top w:val="single" w:sz="4" w:space="0" w:color="auto"/>
              <w:left w:val="nil"/>
              <w:bottom w:val="nil"/>
              <w:right w:val="nil"/>
            </w:tcBorders>
          </w:tcPr>
          <w:p w:rsidR="0006109C" w:rsidRDefault="0006109C">
            <w:pPr>
              <w:spacing w:before="60" w:after="60"/>
              <w:rPr>
                <w:noProof/>
                <w:sz w:val="20"/>
              </w:rPr>
            </w:pPr>
          </w:p>
        </w:tc>
        <w:tc>
          <w:tcPr>
            <w:tcW w:w="104" w:type="pct"/>
            <w:tcBorders>
              <w:top w:val="single" w:sz="4" w:space="0" w:color="auto"/>
              <w:left w:val="nil"/>
              <w:bottom w:val="single" w:sz="4" w:space="0" w:color="auto"/>
              <w:right w:val="nil"/>
            </w:tcBorders>
          </w:tcPr>
          <w:p w:rsidR="0006109C" w:rsidRDefault="0006109C">
            <w:pPr>
              <w:spacing w:before="60" w:after="60"/>
              <w:rPr>
                <w:noProof/>
                <w:sz w:val="20"/>
              </w:rPr>
            </w:pPr>
          </w:p>
        </w:tc>
        <w:tc>
          <w:tcPr>
            <w:tcW w:w="541" w:type="pct"/>
            <w:tcBorders>
              <w:top w:val="single" w:sz="4" w:space="0" w:color="auto"/>
              <w:left w:val="nil"/>
              <w:bottom w:val="single" w:sz="4" w:space="0" w:color="auto"/>
              <w:right w:val="nil"/>
            </w:tcBorders>
          </w:tcPr>
          <w:p w:rsidR="0006109C" w:rsidRDefault="0006109C">
            <w:pPr>
              <w:spacing w:before="60" w:after="60"/>
              <w:rPr>
                <w:noProof/>
                <w:sz w:val="20"/>
              </w:rPr>
            </w:pPr>
          </w:p>
        </w:tc>
        <w:tc>
          <w:tcPr>
            <w:tcW w:w="687" w:type="pct"/>
            <w:tcBorders>
              <w:top w:val="single" w:sz="4" w:space="0" w:color="auto"/>
              <w:left w:val="nil"/>
              <w:bottom w:val="single" w:sz="4" w:space="0" w:color="auto"/>
              <w:right w:val="nil"/>
            </w:tcBorders>
          </w:tcPr>
          <w:p w:rsidR="0006109C" w:rsidRDefault="0006109C">
            <w:pPr>
              <w:spacing w:before="60" w:after="60"/>
              <w:rPr>
                <w:noProof/>
                <w:sz w:val="20"/>
              </w:rPr>
            </w:pPr>
          </w:p>
        </w:tc>
        <w:tc>
          <w:tcPr>
            <w:tcW w:w="687" w:type="pct"/>
            <w:tcBorders>
              <w:top w:val="single" w:sz="4" w:space="0" w:color="auto"/>
              <w:left w:val="nil"/>
              <w:bottom w:val="single" w:sz="4" w:space="0" w:color="auto"/>
              <w:right w:val="single" w:sz="4" w:space="0" w:color="auto"/>
            </w:tcBorders>
          </w:tcPr>
          <w:p w:rsidR="0006109C" w:rsidRDefault="0006109C">
            <w:pPr>
              <w:spacing w:before="60" w:after="60"/>
              <w:rPr>
                <w:noProof/>
                <w:sz w:val="20"/>
              </w:rPr>
            </w:pPr>
          </w:p>
        </w:tc>
      </w:tr>
      <w:tr w:rsidR="0006109C">
        <w:trPr>
          <w:trHeight w:val="313"/>
        </w:trPr>
        <w:tc>
          <w:tcPr>
            <w:tcW w:w="2373" w:type="pct"/>
            <w:gridSpan w:val="4"/>
            <w:vAlign w:val="center"/>
          </w:tcPr>
          <w:p w:rsidR="0006109C" w:rsidRDefault="00493E42">
            <w:pPr>
              <w:spacing w:before="60" w:after="60"/>
              <w:rPr>
                <w:noProof/>
                <w:sz w:val="20"/>
              </w:rPr>
            </w:pPr>
            <w:r>
              <w:rPr>
                <w:noProof/>
                <w:sz w:val="20"/>
              </w:rPr>
              <w:sym w:font="Wingdings" w:char="F09F"/>
            </w:r>
            <w:r>
              <w:rPr>
                <w:noProof/>
              </w:rPr>
              <w:t xml:space="preserve"> Henkilöresurssit</w:t>
            </w:r>
          </w:p>
        </w:tc>
        <w:tc>
          <w:tcPr>
            <w:tcW w:w="609" w:type="pct"/>
            <w:vAlign w:val="center"/>
          </w:tcPr>
          <w:p w:rsidR="0006109C" w:rsidRDefault="00493E42">
            <w:pPr>
              <w:keepNext/>
              <w:keepLines/>
              <w:jc w:val="center"/>
              <w:rPr>
                <w:noProof/>
                <w:color w:val="000000"/>
                <w:sz w:val="20"/>
                <w:szCs w:val="20"/>
              </w:rPr>
            </w:pPr>
            <w:r>
              <w:rPr>
                <w:noProof/>
                <w:color w:val="000000"/>
                <w:sz w:val="20"/>
              </w:rPr>
              <w:t>0,356</w:t>
            </w:r>
          </w:p>
        </w:tc>
        <w:tc>
          <w:tcPr>
            <w:tcW w:w="104" w:type="pct"/>
          </w:tcPr>
          <w:p w:rsidR="0006109C" w:rsidRDefault="0006109C">
            <w:pPr>
              <w:keepNext/>
              <w:keepLines/>
              <w:jc w:val="center"/>
              <w:rPr>
                <w:noProof/>
                <w:color w:val="000000"/>
                <w:sz w:val="20"/>
                <w:szCs w:val="20"/>
              </w:rPr>
            </w:pPr>
          </w:p>
        </w:tc>
        <w:tc>
          <w:tcPr>
            <w:tcW w:w="541" w:type="pct"/>
            <w:tcBorders>
              <w:top w:val="single" w:sz="4" w:space="0" w:color="auto"/>
            </w:tcBorders>
            <w:vAlign w:val="center"/>
          </w:tcPr>
          <w:p w:rsidR="0006109C" w:rsidRDefault="00493E42">
            <w:pPr>
              <w:keepNext/>
              <w:keepLines/>
              <w:jc w:val="center"/>
              <w:rPr>
                <w:noProof/>
                <w:color w:val="000000"/>
                <w:sz w:val="20"/>
                <w:szCs w:val="20"/>
              </w:rPr>
            </w:pPr>
            <w:r>
              <w:rPr>
                <w:noProof/>
                <w:color w:val="000000"/>
                <w:sz w:val="20"/>
              </w:rPr>
              <w:t>0,356</w:t>
            </w:r>
          </w:p>
        </w:tc>
        <w:tc>
          <w:tcPr>
            <w:tcW w:w="687" w:type="pct"/>
            <w:tcBorders>
              <w:top w:val="single" w:sz="4" w:space="0" w:color="auto"/>
            </w:tcBorders>
            <w:vAlign w:val="center"/>
          </w:tcPr>
          <w:p w:rsidR="0006109C" w:rsidRDefault="00493E42">
            <w:pPr>
              <w:keepNext/>
              <w:keepLines/>
              <w:jc w:val="center"/>
              <w:rPr>
                <w:noProof/>
                <w:color w:val="000000"/>
                <w:sz w:val="20"/>
                <w:szCs w:val="20"/>
              </w:rPr>
            </w:pPr>
            <w:r>
              <w:rPr>
                <w:noProof/>
                <w:color w:val="000000"/>
                <w:sz w:val="20"/>
              </w:rPr>
              <w:t>0,356</w:t>
            </w:r>
          </w:p>
        </w:tc>
        <w:tc>
          <w:tcPr>
            <w:tcW w:w="687" w:type="pct"/>
            <w:tcBorders>
              <w:top w:val="single" w:sz="4" w:space="0" w:color="auto"/>
            </w:tcBorders>
            <w:vAlign w:val="center"/>
          </w:tcPr>
          <w:p w:rsidR="0006109C" w:rsidRDefault="00493E42">
            <w:pPr>
              <w:keepNext/>
              <w:keepLines/>
              <w:jc w:val="center"/>
              <w:rPr>
                <w:b/>
                <w:noProof/>
                <w:color w:val="000000"/>
                <w:sz w:val="20"/>
                <w:szCs w:val="20"/>
              </w:rPr>
            </w:pPr>
            <w:r>
              <w:rPr>
                <w:b/>
                <w:noProof/>
                <w:color w:val="000000"/>
                <w:sz w:val="20"/>
              </w:rPr>
              <w:t>0,712</w:t>
            </w:r>
          </w:p>
        </w:tc>
      </w:tr>
      <w:tr w:rsidR="0006109C">
        <w:trPr>
          <w:trHeight w:val="351"/>
        </w:trPr>
        <w:tc>
          <w:tcPr>
            <w:tcW w:w="2373" w:type="pct"/>
            <w:gridSpan w:val="4"/>
            <w:tcBorders>
              <w:bottom w:val="single" w:sz="4" w:space="0" w:color="auto"/>
            </w:tcBorders>
            <w:vAlign w:val="center"/>
          </w:tcPr>
          <w:p w:rsidR="0006109C" w:rsidRDefault="00493E42">
            <w:pPr>
              <w:spacing w:before="60" w:after="60"/>
              <w:rPr>
                <w:noProof/>
                <w:sz w:val="20"/>
              </w:rPr>
            </w:pPr>
            <w:r>
              <w:rPr>
                <w:noProof/>
                <w:sz w:val="20"/>
              </w:rPr>
              <w:sym w:font="Wingdings" w:char="F09F"/>
            </w:r>
            <w:r>
              <w:rPr>
                <w:noProof/>
              </w:rPr>
              <w:t xml:space="preserve"> Muut hallintomenot</w:t>
            </w:r>
          </w:p>
        </w:tc>
        <w:tc>
          <w:tcPr>
            <w:tcW w:w="609"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0,030</w:t>
            </w:r>
          </w:p>
        </w:tc>
        <w:tc>
          <w:tcPr>
            <w:tcW w:w="104" w:type="pct"/>
            <w:tcBorders>
              <w:bottom w:val="single" w:sz="4" w:space="0" w:color="auto"/>
            </w:tcBorders>
          </w:tcPr>
          <w:p w:rsidR="0006109C" w:rsidRDefault="0006109C">
            <w:pPr>
              <w:keepNext/>
              <w:keepLines/>
              <w:jc w:val="center"/>
              <w:rPr>
                <w:noProof/>
                <w:color w:val="000000"/>
                <w:sz w:val="20"/>
                <w:szCs w:val="20"/>
              </w:rPr>
            </w:pPr>
          </w:p>
        </w:tc>
        <w:tc>
          <w:tcPr>
            <w:tcW w:w="541"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0,030</w:t>
            </w:r>
          </w:p>
        </w:tc>
        <w:tc>
          <w:tcPr>
            <w:tcW w:w="687"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0,030</w:t>
            </w:r>
          </w:p>
        </w:tc>
        <w:tc>
          <w:tcPr>
            <w:tcW w:w="687" w:type="pct"/>
            <w:tcBorders>
              <w:bottom w:val="single" w:sz="4" w:space="0" w:color="auto"/>
            </w:tcBorders>
            <w:vAlign w:val="center"/>
          </w:tcPr>
          <w:p w:rsidR="0006109C" w:rsidRDefault="00493E42">
            <w:pPr>
              <w:keepNext/>
              <w:keepLines/>
              <w:jc w:val="center"/>
              <w:rPr>
                <w:b/>
                <w:noProof/>
                <w:color w:val="000000"/>
                <w:sz w:val="20"/>
                <w:szCs w:val="20"/>
              </w:rPr>
            </w:pPr>
            <w:r>
              <w:rPr>
                <w:b/>
                <w:noProof/>
                <w:color w:val="000000"/>
                <w:sz w:val="20"/>
              </w:rPr>
              <w:t>0,060</w:t>
            </w:r>
          </w:p>
        </w:tc>
      </w:tr>
      <w:tr w:rsidR="0006109C">
        <w:tc>
          <w:tcPr>
            <w:tcW w:w="1430" w:type="pct"/>
            <w:gridSpan w:val="3"/>
            <w:tcBorders>
              <w:bottom w:val="single" w:sz="4" w:space="0" w:color="auto"/>
            </w:tcBorders>
            <w:vAlign w:val="center"/>
          </w:tcPr>
          <w:p w:rsidR="0006109C" w:rsidRDefault="00493E42">
            <w:pPr>
              <w:spacing w:before="60" w:after="60"/>
              <w:rPr>
                <w:b/>
                <w:noProof/>
                <w:sz w:val="20"/>
              </w:rPr>
            </w:pPr>
            <w:r>
              <w:rPr>
                <w:b/>
                <w:noProof/>
                <w:sz w:val="20"/>
              </w:rPr>
              <w:t>DG CONNECT YHTEENSÄ</w:t>
            </w:r>
          </w:p>
        </w:tc>
        <w:tc>
          <w:tcPr>
            <w:tcW w:w="943" w:type="pct"/>
            <w:tcBorders>
              <w:bottom w:val="single" w:sz="4" w:space="0" w:color="auto"/>
            </w:tcBorders>
            <w:vAlign w:val="center"/>
          </w:tcPr>
          <w:p w:rsidR="0006109C" w:rsidRDefault="0006109C">
            <w:pPr>
              <w:spacing w:before="60" w:after="60"/>
              <w:rPr>
                <w:b/>
                <w:noProof/>
                <w:sz w:val="16"/>
                <w:szCs w:val="16"/>
              </w:rPr>
            </w:pPr>
          </w:p>
        </w:tc>
        <w:tc>
          <w:tcPr>
            <w:tcW w:w="609" w:type="pct"/>
            <w:tcBorders>
              <w:bottom w:val="single" w:sz="4" w:space="0" w:color="auto"/>
            </w:tcBorders>
          </w:tcPr>
          <w:p w:rsidR="0006109C" w:rsidRDefault="00493E42">
            <w:pPr>
              <w:keepNext/>
              <w:keepLines/>
              <w:jc w:val="center"/>
              <w:rPr>
                <w:noProof/>
                <w:color w:val="000000"/>
                <w:sz w:val="20"/>
                <w:szCs w:val="20"/>
              </w:rPr>
            </w:pPr>
            <w:r>
              <w:rPr>
                <w:noProof/>
                <w:color w:val="000000"/>
                <w:sz w:val="20"/>
              </w:rPr>
              <w:t>0,386</w:t>
            </w:r>
          </w:p>
        </w:tc>
        <w:tc>
          <w:tcPr>
            <w:tcW w:w="104" w:type="pct"/>
            <w:tcBorders>
              <w:bottom w:val="single" w:sz="4" w:space="0" w:color="auto"/>
            </w:tcBorders>
          </w:tcPr>
          <w:p w:rsidR="0006109C" w:rsidRDefault="0006109C">
            <w:pPr>
              <w:keepNext/>
              <w:keepLines/>
              <w:jc w:val="center"/>
              <w:rPr>
                <w:noProof/>
                <w:color w:val="000000"/>
                <w:sz w:val="20"/>
                <w:szCs w:val="20"/>
              </w:rPr>
            </w:pPr>
          </w:p>
        </w:tc>
        <w:tc>
          <w:tcPr>
            <w:tcW w:w="541"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06109C" w:rsidRDefault="00493E42">
            <w:pPr>
              <w:keepNext/>
              <w:keepLines/>
              <w:jc w:val="center"/>
              <w:rPr>
                <w:b/>
                <w:noProof/>
                <w:color w:val="000000"/>
                <w:sz w:val="20"/>
                <w:szCs w:val="20"/>
              </w:rPr>
            </w:pPr>
            <w:r>
              <w:rPr>
                <w:b/>
                <w:noProof/>
                <w:color w:val="000000"/>
                <w:sz w:val="20"/>
              </w:rPr>
              <w:t>0,772</w:t>
            </w:r>
          </w:p>
        </w:tc>
      </w:tr>
      <w:tr w:rsidR="0006109C">
        <w:tc>
          <w:tcPr>
            <w:tcW w:w="1430" w:type="pct"/>
            <w:gridSpan w:val="3"/>
            <w:tcBorders>
              <w:top w:val="single" w:sz="4" w:space="0" w:color="auto"/>
              <w:left w:val="nil"/>
              <w:bottom w:val="single" w:sz="4" w:space="0" w:color="auto"/>
              <w:right w:val="nil"/>
            </w:tcBorders>
            <w:shd w:val="clear" w:color="C0C0C0" w:fill="auto"/>
            <w:vAlign w:val="center"/>
          </w:tcPr>
          <w:p w:rsidR="0006109C" w:rsidRDefault="0006109C">
            <w:pPr>
              <w:spacing w:before="60" w:after="60"/>
              <w:rPr>
                <w:b/>
                <w:noProof/>
                <w:sz w:val="20"/>
              </w:rPr>
            </w:pPr>
          </w:p>
        </w:tc>
        <w:tc>
          <w:tcPr>
            <w:tcW w:w="943" w:type="pct"/>
            <w:tcBorders>
              <w:top w:val="single" w:sz="4" w:space="0" w:color="auto"/>
              <w:left w:val="nil"/>
              <w:bottom w:val="single" w:sz="4" w:space="0" w:color="auto"/>
              <w:right w:val="nil"/>
            </w:tcBorders>
            <w:vAlign w:val="center"/>
          </w:tcPr>
          <w:p w:rsidR="0006109C" w:rsidRDefault="0006109C">
            <w:pPr>
              <w:spacing w:before="60" w:after="60"/>
              <w:rPr>
                <w:noProof/>
                <w:sz w:val="20"/>
              </w:rPr>
            </w:pPr>
          </w:p>
        </w:tc>
        <w:tc>
          <w:tcPr>
            <w:tcW w:w="609" w:type="pct"/>
            <w:tcBorders>
              <w:top w:val="single" w:sz="4" w:space="0" w:color="auto"/>
              <w:left w:val="nil"/>
              <w:bottom w:val="single" w:sz="4" w:space="0" w:color="auto"/>
              <w:right w:val="nil"/>
            </w:tcBorders>
          </w:tcPr>
          <w:p w:rsidR="0006109C" w:rsidRDefault="0006109C">
            <w:pPr>
              <w:spacing w:before="60" w:after="60"/>
              <w:jc w:val="center"/>
              <w:rPr>
                <w:b/>
                <w:noProof/>
                <w:sz w:val="16"/>
                <w:szCs w:val="16"/>
              </w:rPr>
            </w:pPr>
          </w:p>
        </w:tc>
        <w:tc>
          <w:tcPr>
            <w:tcW w:w="104" w:type="pct"/>
            <w:tcBorders>
              <w:top w:val="single" w:sz="4" w:space="0" w:color="auto"/>
              <w:left w:val="nil"/>
              <w:bottom w:val="single" w:sz="4" w:space="0" w:color="auto"/>
              <w:right w:val="nil"/>
            </w:tcBorders>
          </w:tcPr>
          <w:p w:rsidR="0006109C" w:rsidRDefault="0006109C">
            <w:pPr>
              <w:spacing w:before="60" w:after="60"/>
              <w:jc w:val="center"/>
              <w:rPr>
                <w:b/>
                <w:noProof/>
                <w:sz w:val="16"/>
                <w:szCs w:val="16"/>
              </w:rPr>
            </w:pPr>
          </w:p>
        </w:tc>
        <w:tc>
          <w:tcPr>
            <w:tcW w:w="541" w:type="pct"/>
            <w:tcBorders>
              <w:top w:val="single" w:sz="4" w:space="0" w:color="auto"/>
              <w:left w:val="nil"/>
              <w:bottom w:val="single" w:sz="4" w:space="0" w:color="auto"/>
              <w:right w:val="nil"/>
            </w:tcBorders>
            <w:vAlign w:val="center"/>
          </w:tcPr>
          <w:p w:rsidR="0006109C" w:rsidRDefault="0006109C">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06109C" w:rsidRDefault="0006109C">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06109C" w:rsidRDefault="0006109C">
            <w:pPr>
              <w:spacing w:before="60" w:after="60"/>
              <w:jc w:val="center"/>
              <w:rPr>
                <w:b/>
                <w:noProof/>
                <w:sz w:val="16"/>
                <w:szCs w:val="16"/>
              </w:rPr>
            </w:pPr>
          </w:p>
        </w:tc>
      </w:tr>
      <w:tr w:rsidR="0006109C">
        <w:tc>
          <w:tcPr>
            <w:tcW w:w="1430" w:type="pct"/>
            <w:gridSpan w:val="3"/>
            <w:tcBorders>
              <w:bottom w:val="single" w:sz="4" w:space="0" w:color="auto"/>
            </w:tcBorders>
            <w:shd w:val="clear" w:color="C0C0C0" w:fill="auto"/>
            <w:vAlign w:val="center"/>
          </w:tcPr>
          <w:p w:rsidR="0006109C" w:rsidRDefault="00493E42">
            <w:pPr>
              <w:spacing w:before="60" w:after="60"/>
              <w:rPr>
                <w:noProof/>
                <w:sz w:val="20"/>
              </w:rPr>
            </w:pPr>
            <w:r>
              <w:rPr>
                <w:noProof/>
                <w:sz w:val="20"/>
              </w:rPr>
              <w:t>Monivuotisen rahoituskehyksen</w:t>
            </w:r>
            <w:r>
              <w:rPr>
                <w:b/>
                <w:noProof/>
                <w:sz w:val="20"/>
              </w:rPr>
              <w:br/>
              <w:t>OTSAKEESEEN 5 kuuluvat</w:t>
            </w:r>
            <w:r>
              <w:rPr>
                <w:b/>
                <w:noProof/>
                <w:sz w:val="20"/>
              </w:rPr>
              <w:br/>
              <w:t>määrärahat YHTEENSÄ</w:t>
            </w:r>
            <w:r>
              <w:rPr>
                <w:noProof/>
                <w:sz w:val="20"/>
              </w:rPr>
              <w:t xml:space="preserve"> </w:t>
            </w:r>
          </w:p>
        </w:tc>
        <w:tc>
          <w:tcPr>
            <w:tcW w:w="943" w:type="pct"/>
            <w:tcBorders>
              <w:bottom w:val="single" w:sz="4" w:space="0" w:color="auto"/>
            </w:tcBorders>
            <w:vAlign w:val="center"/>
          </w:tcPr>
          <w:p w:rsidR="0006109C" w:rsidRDefault="00493E42">
            <w:pPr>
              <w:spacing w:before="60" w:after="60"/>
              <w:rPr>
                <w:noProof/>
                <w:sz w:val="20"/>
              </w:rPr>
            </w:pPr>
            <w:r>
              <w:rPr>
                <w:noProof/>
                <w:sz w:val="20"/>
              </w:rPr>
              <w:t>(Sitoumukset yhteensä = maksut yhteensä)</w:t>
            </w:r>
          </w:p>
        </w:tc>
        <w:tc>
          <w:tcPr>
            <w:tcW w:w="609"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0,386</w:t>
            </w:r>
          </w:p>
        </w:tc>
        <w:tc>
          <w:tcPr>
            <w:tcW w:w="104" w:type="pct"/>
            <w:tcBorders>
              <w:bottom w:val="single" w:sz="4" w:space="0" w:color="auto"/>
            </w:tcBorders>
          </w:tcPr>
          <w:p w:rsidR="0006109C" w:rsidRDefault="0006109C">
            <w:pPr>
              <w:keepNext/>
              <w:keepLines/>
              <w:jc w:val="center"/>
              <w:rPr>
                <w:noProof/>
                <w:color w:val="000000"/>
                <w:sz w:val="20"/>
                <w:szCs w:val="20"/>
              </w:rPr>
            </w:pPr>
          </w:p>
        </w:tc>
        <w:tc>
          <w:tcPr>
            <w:tcW w:w="541"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06109C" w:rsidRDefault="00493E42">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06109C" w:rsidRDefault="00493E42">
            <w:pPr>
              <w:keepNext/>
              <w:keepLines/>
              <w:jc w:val="center"/>
              <w:rPr>
                <w:b/>
                <w:noProof/>
                <w:sz w:val="16"/>
                <w:szCs w:val="16"/>
              </w:rPr>
            </w:pPr>
            <w:r>
              <w:rPr>
                <w:b/>
                <w:noProof/>
                <w:color w:val="000000"/>
                <w:sz w:val="20"/>
              </w:rPr>
              <w:t>0,772</w:t>
            </w:r>
          </w:p>
        </w:tc>
      </w:tr>
      <w:tr w:rsidR="0006109C">
        <w:trPr>
          <w:gridAfter w:val="7"/>
          <w:wAfter w:w="3614" w:type="pct"/>
        </w:trPr>
        <w:tc>
          <w:tcPr>
            <w:tcW w:w="777" w:type="pct"/>
            <w:tcBorders>
              <w:top w:val="single" w:sz="4" w:space="0" w:color="auto"/>
              <w:left w:val="nil"/>
              <w:bottom w:val="nil"/>
              <w:right w:val="nil"/>
            </w:tcBorders>
            <w:shd w:val="clear" w:color="C0C0C0" w:fill="auto"/>
          </w:tcPr>
          <w:p w:rsidR="0006109C" w:rsidRDefault="0006109C">
            <w:pPr>
              <w:spacing w:before="60" w:after="60"/>
              <w:jc w:val="right"/>
              <w:rPr>
                <w:noProof/>
                <w:sz w:val="20"/>
              </w:rPr>
            </w:pPr>
          </w:p>
        </w:tc>
        <w:tc>
          <w:tcPr>
            <w:tcW w:w="609" w:type="pct"/>
            <w:tcBorders>
              <w:top w:val="single" w:sz="4" w:space="0" w:color="auto"/>
              <w:left w:val="nil"/>
              <w:bottom w:val="nil"/>
              <w:right w:val="nil"/>
            </w:tcBorders>
            <w:shd w:val="clear" w:color="C0C0C0" w:fill="auto"/>
          </w:tcPr>
          <w:p w:rsidR="0006109C" w:rsidRDefault="0006109C">
            <w:pPr>
              <w:spacing w:before="60" w:after="60"/>
              <w:jc w:val="right"/>
              <w:rPr>
                <w:noProof/>
                <w:sz w:val="20"/>
              </w:rPr>
            </w:pPr>
          </w:p>
        </w:tc>
      </w:tr>
      <w:tr w:rsidR="0006109C">
        <w:tc>
          <w:tcPr>
            <w:tcW w:w="1430" w:type="pct"/>
            <w:gridSpan w:val="3"/>
            <w:tcBorders>
              <w:top w:val="nil"/>
              <w:left w:val="nil"/>
              <w:right w:val="nil"/>
            </w:tcBorders>
            <w:vAlign w:val="center"/>
          </w:tcPr>
          <w:p w:rsidR="0006109C" w:rsidRDefault="0006109C">
            <w:pPr>
              <w:spacing w:before="60" w:after="60"/>
              <w:rPr>
                <w:noProof/>
                <w:sz w:val="20"/>
              </w:rPr>
            </w:pPr>
          </w:p>
        </w:tc>
        <w:tc>
          <w:tcPr>
            <w:tcW w:w="943" w:type="pct"/>
            <w:tcBorders>
              <w:top w:val="nil"/>
              <w:left w:val="nil"/>
            </w:tcBorders>
          </w:tcPr>
          <w:p w:rsidR="0006109C" w:rsidRDefault="0006109C">
            <w:pPr>
              <w:spacing w:before="60" w:after="60"/>
              <w:rPr>
                <w:noProof/>
                <w:sz w:val="20"/>
              </w:rPr>
            </w:pPr>
          </w:p>
        </w:tc>
        <w:tc>
          <w:tcPr>
            <w:tcW w:w="609" w:type="pct"/>
          </w:tcPr>
          <w:p w:rsidR="0006109C" w:rsidRDefault="00493E42">
            <w:pPr>
              <w:spacing w:before="60" w:after="60"/>
              <w:jc w:val="center"/>
              <w:rPr>
                <w:noProof/>
                <w:sz w:val="20"/>
              </w:rPr>
            </w:pPr>
            <w:r>
              <w:rPr>
                <w:noProof/>
                <w:sz w:val="20"/>
              </w:rPr>
              <w:t>Lähtötilanne</w:t>
            </w:r>
            <w:r>
              <w:rPr>
                <w:noProof/>
                <w:sz w:val="20"/>
              </w:rPr>
              <w:br/>
              <w:t>2017</w:t>
            </w:r>
            <w:r>
              <w:rPr>
                <w:rStyle w:val="FootnoteReference"/>
                <w:noProof/>
                <w:sz w:val="20"/>
              </w:rPr>
              <w:footnoteReference w:id="64"/>
            </w:r>
          </w:p>
        </w:tc>
        <w:tc>
          <w:tcPr>
            <w:tcW w:w="104" w:type="pct"/>
          </w:tcPr>
          <w:p w:rsidR="0006109C" w:rsidRDefault="0006109C">
            <w:pPr>
              <w:spacing w:before="60" w:after="60"/>
              <w:jc w:val="center"/>
              <w:rPr>
                <w:noProof/>
                <w:sz w:val="20"/>
              </w:rPr>
            </w:pPr>
          </w:p>
        </w:tc>
        <w:tc>
          <w:tcPr>
            <w:tcW w:w="541" w:type="pct"/>
            <w:vAlign w:val="center"/>
          </w:tcPr>
          <w:p w:rsidR="0006109C" w:rsidRDefault="00493E42">
            <w:pPr>
              <w:spacing w:before="60" w:after="60"/>
              <w:jc w:val="center"/>
              <w:rPr>
                <w:noProof/>
                <w:sz w:val="20"/>
              </w:rPr>
            </w:pPr>
            <w:r>
              <w:rPr>
                <w:noProof/>
                <w:sz w:val="20"/>
              </w:rPr>
              <w:t>Vuosi</w:t>
            </w:r>
            <w:r>
              <w:rPr>
                <w:noProof/>
                <w:sz w:val="20"/>
              </w:rPr>
              <w:br/>
              <w:t>2019</w:t>
            </w:r>
          </w:p>
        </w:tc>
        <w:tc>
          <w:tcPr>
            <w:tcW w:w="687" w:type="pct"/>
            <w:vAlign w:val="center"/>
          </w:tcPr>
          <w:p w:rsidR="0006109C" w:rsidRDefault="00493E42">
            <w:pPr>
              <w:spacing w:before="60" w:after="60"/>
              <w:jc w:val="center"/>
              <w:rPr>
                <w:noProof/>
                <w:sz w:val="20"/>
              </w:rPr>
            </w:pPr>
            <w:r>
              <w:rPr>
                <w:noProof/>
                <w:sz w:val="20"/>
              </w:rPr>
              <w:t>Vuosi</w:t>
            </w:r>
            <w:r>
              <w:rPr>
                <w:noProof/>
                <w:sz w:val="20"/>
              </w:rPr>
              <w:br/>
              <w:t>2020</w:t>
            </w:r>
          </w:p>
        </w:tc>
        <w:tc>
          <w:tcPr>
            <w:tcW w:w="687" w:type="pct"/>
            <w:vAlign w:val="center"/>
          </w:tcPr>
          <w:p w:rsidR="0006109C" w:rsidRDefault="00493E42">
            <w:pPr>
              <w:spacing w:before="60" w:after="60"/>
              <w:jc w:val="center"/>
              <w:rPr>
                <w:noProof/>
                <w:sz w:val="20"/>
              </w:rPr>
            </w:pPr>
            <w:r>
              <w:rPr>
                <w:noProof/>
                <w:sz w:val="20"/>
              </w:rPr>
              <w:t>YHTEENSÄ</w:t>
            </w:r>
          </w:p>
          <w:p w:rsidR="0006109C" w:rsidRDefault="00493E42">
            <w:pPr>
              <w:spacing w:before="60" w:after="60"/>
              <w:jc w:val="center"/>
              <w:rPr>
                <w:noProof/>
                <w:sz w:val="20"/>
              </w:rPr>
            </w:pPr>
            <w:r>
              <w:rPr>
                <w:noProof/>
                <w:sz w:val="20"/>
              </w:rPr>
              <w:t>2019-2020</w:t>
            </w:r>
          </w:p>
        </w:tc>
      </w:tr>
      <w:tr w:rsidR="0006109C">
        <w:tc>
          <w:tcPr>
            <w:tcW w:w="1430" w:type="pct"/>
            <w:gridSpan w:val="3"/>
            <w:vMerge w:val="restart"/>
            <w:shd w:val="clear" w:color="auto" w:fill="C0C0C0"/>
            <w:vAlign w:val="center"/>
          </w:tcPr>
          <w:p w:rsidR="0006109C" w:rsidRDefault="00493E42">
            <w:pPr>
              <w:spacing w:before="60" w:after="60"/>
              <w:rPr>
                <w:noProof/>
                <w:sz w:val="20"/>
              </w:rPr>
            </w:pPr>
            <w:r>
              <w:rPr>
                <w:noProof/>
                <w:sz w:val="20"/>
              </w:rPr>
              <w:t xml:space="preserve">Monivuotisen rahoituskehyksen </w:t>
            </w:r>
            <w:r>
              <w:rPr>
                <w:noProof/>
                <w:sz w:val="20"/>
              </w:rPr>
              <w:br/>
            </w:r>
            <w:r>
              <w:rPr>
                <w:noProof/>
                <w:sz w:val="20"/>
              </w:rPr>
              <w:t>OTSAKKEISIIN 1–5 kuuluvat</w:t>
            </w:r>
            <w:r>
              <w:rPr>
                <w:noProof/>
                <w:sz w:val="20"/>
              </w:rPr>
              <w:br/>
              <w:t xml:space="preserve">määrärahat YHTEENSÄ </w:t>
            </w:r>
          </w:p>
        </w:tc>
        <w:tc>
          <w:tcPr>
            <w:tcW w:w="943" w:type="pct"/>
            <w:vAlign w:val="center"/>
          </w:tcPr>
          <w:p w:rsidR="0006109C" w:rsidRDefault="00493E42">
            <w:pPr>
              <w:spacing w:before="60" w:after="60"/>
              <w:rPr>
                <w:noProof/>
                <w:sz w:val="20"/>
              </w:rPr>
            </w:pPr>
            <w:r>
              <w:rPr>
                <w:noProof/>
                <w:sz w:val="20"/>
              </w:rPr>
              <w:t>Sitoumukset</w:t>
            </w:r>
          </w:p>
        </w:tc>
        <w:tc>
          <w:tcPr>
            <w:tcW w:w="609" w:type="pct"/>
          </w:tcPr>
          <w:p w:rsidR="0006109C" w:rsidRDefault="00493E42">
            <w:pPr>
              <w:spacing w:before="60" w:after="60"/>
              <w:jc w:val="center"/>
              <w:rPr>
                <w:noProof/>
                <w:sz w:val="20"/>
              </w:rPr>
            </w:pPr>
            <w:r>
              <w:rPr>
                <w:noProof/>
                <w:sz w:val="20"/>
              </w:rPr>
              <w:t>4,632</w:t>
            </w:r>
          </w:p>
        </w:tc>
        <w:tc>
          <w:tcPr>
            <w:tcW w:w="104" w:type="pct"/>
          </w:tcPr>
          <w:p w:rsidR="0006109C" w:rsidRDefault="0006109C">
            <w:pPr>
              <w:jc w:val="center"/>
              <w:rPr>
                <w:noProof/>
                <w:color w:val="000000"/>
                <w:sz w:val="20"/>
                <w:szCs w:val="20"/>
              </w:rPr>
            </w:pPr>
          </w:p>
        </w:tc>
        <w:tc>
          <w:tcPr>
            <w:tcW w:w="541" w:type="pct"/>
            <w:vAlign w:val="center"/>
          </w:tcPr>
          <w:p w:rsidR="0006109C" w:rsidRDefault="00493E42">
            <w:pPr>
              <w:jc w:val="center"/>
              <w:rPr>
                <w:noProof/>
                <w:color w:val="000000"/>
                <w:sz w:val="20"/>
                <w:szCs w:val="20"/>
              </w:rPr>
            </w:pPr>
            <w:r>
              <w:rPr>
                <w:noProof/>
                <w:color w:val="000000"/>
                <w:sz w:val="20"/>
              </w:rPr>
              <w:t>6,294</w:t>
            </w:r>
          </w:p>
        </w:tc>
        <w:tc>
          <w:tcPr>
            <w:tcW w:w="687" w:type="pct"/>
            <w:vAlign w:val="center"/>
          </w:tcPr>
          <w:p w:rsidR="0006109C" w:rsidRDefault="00493E42">
            <w:pPr>
              <w:keepNext/>
              <w:keepLines/>
              <w:jc w:val="center"/>
              <w:rPr>
                <w:noProof/>
                <w:color w:val="000000"/>
                <w:sz w:val="20"/>
                <w:szCs w:val="20"/>
              </w:rPr>
            </w:pPr>
            <w:r>
              <w:rPr>
                <w:noProof/>
                <w:color w:val="000000"/>
                <w:sz w:val="20"/>
              </w:rPr>
              <w:t>7,841</w:t>
            </w:r>
          </w:p>
        </w:tc>
        <w:tc>
          <w:tcPr>
            <w:tcW w:w="687" w:type="pct"/>
            <w:vAlign w:val="center"/>
          </w:tcPr>
          <w:p w:rsidR="0006109C" w:rsidRDefault="00493E42">
            <w:pPr>
              <w:spacing w:before="60" w:after="60"/>
              <w:jc w:val="center"/>
              <w:rPr>
                <w:b/>
                <w:noProof/>
                <w:sz w:val="20"/>
              </w:rPr>
            </w:pPr>
            <w:r>
              <w:rPr>
                <w:b/>
                <w:noProof/>
                <w:sz w:val="20"/>
              </w:rPr>
              <w:t>14,135</w:t>
            </w:r>
          </w:p>
        </w:tc>
      </w:tr>
      <w:tr w:rsidR="0006109C">
        <w:tc>
          <w:tcPr>
            <w:tcW w:w="1430" w:type="pct"/>
            <w:gridSpan w:val="3"/>
            <w:vMerge/>
            <w:vAlign w:val="center"/>
          </w:tcPr>
          <w:p w:rsidR="0006109C" w:rsidRDefault="0006109C">
            <w:pPr>
              <w:spacing w:before="60" w:after="60"/>
              <w:rPr>
                <w:noProof/>
                <w:sz w:val="20"/>
              </w:rPr>
            </w:pPr>
          </w:p>
        </w:tc>
        <w:tc>
          <w:tcPr>
            <w:tcW w:w="943" w:type="pct"/>
            <w:vAlign w:val="center"/>
          </w:tcPr>
          <w:p w:rsidR="0006109C" w:rsidRDefault="00493E42">
            <w:pPr>
              <w:spacing w:before="60" w:after="60"/>
              <w:rPr>
                <w:noProof/>
                <w:sz w:val="20"/>
              </w:rPr>
            </w:pPr>
            <w:r>
              <w:rPr>
                <w:noProof/>
                <w:sz w:val="20"/>
              </w:rPr>
              <w:t>Maksut</w:t>
            </w:r>
          </w:p>
        </w:tc>
        <w:tc>
          <w:tcPr>
            <w:tcW w:w="609" w:type="pct"/>
          </w:tcPr>
          <w:p w:rsidR="0006109C" w:rsidRDefault="00493E42">
            <w:pPr>
              <w:spacing w:before="60" w:after="60"/>
              <w:jc w:val="center"/>
              <w:rPr>
                <w:noProof/>
                <w:sz w:val="20"/>
              </w:rPr>
            </w:pPr>
            <w:r>
              <w:rPr>
                <w:noProof/>
                <w:sz w:val="20"/>
              </w:rPr>
              <w:t>4,632</w:t>
            </w:r>
          </w:p>
        </w:tc>
        <w:tc>
          <w:tcPr>
            <w:tcW w:w="104" w:type="pct"/>
          </w:tcPr>
          <w:p w:rsidR="0006109C" w:rsidRDefault="0006109C">
            <w:pPr>
              <w:jc w:val="center"/>
              <w:rPr>
                <w:noProof/>
                <w:color w:val="000000"/>
                <w:sz w:val="20"/>
                <w:szCs w:val="20"/>
              </w:rPr>
            </w:pPr>
          </w:p>
        </w:tc>
        <w:tc>
          <w:tcPr>
            <w:tcW w:w="541" w:type="pct"/>
            <w:vAlign w:val="center"/>
          </w:tcPr>
          <w:p w:rsidR="0006109C" w:rsidRDefault="00493E42">
            <w:pPr>
              <w:jc w:val="center"/>
              <w:rPr>
                <w:noProof/>
                <w:color w:val="000000"/>
                <w:sz w:val="20"/>
                <w:szCs w:val="20"/>
              </w:rPr>
            </w:pPr>
            <w:r>
              <w:rPr>
                <w:noProof/>
                <w:color w:val="000000"/>
                <w:sz w:val="20"/>
              </w:rPr>
              <w:t>6,294</w:t>
            </w:r>
          </w:p>
        </w:tc>
        <w:tc>
          <w:tcPr>
            <w:tcW w:w="687" w:type="pct"/>
            <w:vAlign w:val="center"/>
          </w:tcPr>
          <w:p w:rsidR="0006109C" w:rsidRDefault="00493E42">
            <w:pPr>
              <w:keepNext/>
              <w:keepLines/>
              <w:jc w:val="center"/>
              <w:rPr>
                <w:noProof/>
                <w:color w:val="000000"/>
                <w:sz w:val="20"/>
                <w:szCs w:val="20"/>
              </w:rPr>
            </w:pPr>
            <w:r>
              <w:rPr>
                <w:noProof/>
                <w:color w:val="000000"/>
                <w:sz w:val="20"/>
              </w:rPr>
              <w:t>7,841</w:t>
            </w:r>
          </w:p>
        </w:tc>
        <w:tc>
          <w:tcPr>
            <w:tcW w:w="687" w:type="pct"/>
            <w:vAlign w:val="center"/>
          </w:tcPr>
          <w:p w:rsidR="0006109C" w:rsidRDefault="00493E42">
            <w:pPr>
              <w:jc w:val="center"/>
              <w:rPr>
                <w:b/>
                <w:noProof/>
                <w:color w:val="000000"/>
                <w:sz w:val="20"/>
                <w:szCs w:val="20"/>
              </w:rPr>
            </w:pPr>
            <w:r>
              <w:rPr>
                <w:b/>
                <w:noProof/>
                <w:color w:val="000000"/>
                <w:sz w:val="20"/>
              </w:rPr>
              <w:t>14,135</w:t>
            </w:r>
          </w:p>
        </w:tc>
      </w:tr>
    </w:tbl>
    <w:p w:rsidR="0006109C" w:rsidRDefault="00493E42">
      <w:pPr>
        <w:spacing w:before="60" w:after="60"/>
        <w:rPr>
          <w:noProof/>
          <w:sz w:val="20"/>
        </w:rPr>
      </w:pPr>
      <w:r>
        <w:rPr>
          <w:noProof/>
        </w:rPr>
        <w:tab/>
      </w:r>
    </w:p>
    <w:p w:rsidR="0006109C" w:rsidRDefault="0006109C">
      <w:pPr>
        <w:spacing w:before="60" w:after="60"/>
        <w:rPr>
          <w:noProof/>
          <w:sz w:val="20"/>
        </w:rPr>
        <w:sectPr w:rsidR="0006109C" w:rsidSect="00493E42">
          <w:pgSz w:w="16839" w:h="11907" w:orient="landscape" w:code="9"/>
          <w:pgMar w:top="902" w:right="1247" w:bottom="1134" w:left="1077" w:header="709" w:footer="510" w:gutter="0"/>
          <w:cols w:space="720"/>
          <w:rtlGutter/>
          <w:docGrid w:linePitch="326"/>
        </w:sectPr>
      </w:pPr>
    </w:p>
    <w:p w:rsidR="0006109C" w:rsidRDefault="0006109C">
      <w:pPr>
        <w:spacing w:before="60" w:after="60"/>
        <w:rPr>
          <w:i/>
          <w:noProof/>
        </w:rPr>
      </w:pPr>
    </w:p>
    <w:p w:rsidR="0006109C" w:rsidRDefault="0006109C">
      <w:pPr>
        <w:spacing w:before="60" w:after="60"/>
        <w:rPr>
          <w:i/>
          <w:noProof/>
        </w:rPr>
      </w:pPr>
    </w:p>
    <w:p w:rsidR="0006109C" w:rsidRDefault="00493E42">
      <w:pPr>
        <w:pStyle w:val="ManualHeading3"/>
        <w:rPr>
          <w:bCs/>
          <w:noProof/>
        </w:rPr>
      </w:pPr>
      <w:r>
        <w:rPr>
          <w:noProof/>
        </w:rPr>
        <w:t>3.2.2.</w:t>
      </w:r>
      <w:r>
        <w:rPr>
          <w:noProof/>
        </w:rPr>
        <w:tab/>
      </w:r>
      <w:r>
        <w:rPr>
          <w:noProof/>
        </w:rPr>
        <w:t xml:space="preserve">Arvioidut vaikutukset viraston määrärahoihin  </w:t>
      </w:r>
    </w:p>
    <w:p w:rsidR="0006109C" w:rsidRDefault="00493E42">
      <w:pPr>
        <w:spacing w:before="60" w:after="60"/>
        <w:ind w:left="3958" w:firstLine="720"/>
        <w:rPr>
          <w:noProof/>
        </w:rPr>
      </w:pPr>
      <w:r>
        <w:rPr>
          <w:noProof/>
        </w:rPr>
        <w:sym w:font="Wingdings" w:char="F0A8"/>
      </w:r>
      <w:r>
        <w:rPr>
          <w:noProof/>
        </w:rPr>
        <w:tab/>
      </w:r>
      <w:r>
        <w:rPr>
          <w:noProof/>
        </w:rPr>
        <w:sym w:font="Wingdings" w:char="F0A8"/>
      </w:r>
      <w:r>
        <w:rPr>
          <w:noProof/>
        </w:rPr>
        <w:t>Ehdotus/aloite ei edellytä toimintamäärärahoja.</w:t>
      </w:r>
    </w:p>
    <w:p w:rsidR="0006109C" w:rsidRDefault="00493E42">
      <w:pPr>
        <w:pStyle w:val="ListDash1"/>
        <w:jc w:val="left"/>
        <w:rPr>
          <w:noProof/>
        </w:rPr>
      </w:pPr>
      <w:r>
        <w:rPr>
          <w:noProof/>
        </w:rPr>
        <w:sym w:font="Wingdings" w:char="F078"/>
      </w:r>
      <w:r>
        <w:rPr>
          <w:noProof/>
        </w:rPr>
        <w:tab/>
      </w:r>
      <w:r>
        <w:rPr>
          <w:noProof/>
        </w:rPr>
        <w:sym w:font="Wingdings" w:char="F078"/>
      </w:r>
      <w:r>
        <w:rPr>
          <w:noProof/>
        </w:rPr>
        <w:t>Ehdotus/aloite edellyttää toimintamäärärahoja seuraavasti:</w:t>
      </w:r>
    </w:p>
    <w:p w:rsidR="0006109C" w:rsidRDefault="00493E42">
      <w:pPr>
        <w:jc w:val="right"/>
        <w:rPr>
          <w:noProof/>
          <w:sz w:val="20"/>
        </w:rPr>
      </w:pPr>
      <w:r>
        <w:rPr>
          <w:noProof/>
          <w:sz w:val="20"/>
        </w:rPr>
        <w:t>Maksusitoumusmäärärahat, milj. euroa (kolmen desimaalin tarkkuudella)</w:t>
      </w:r>
    </w:p>
    <w:p w:rsidR="0006109C" w:rsidRDefault="0006109C">
      <w:pPr>
        <w:jc w:val="right"/>
        <w:rPr>
          <w:noProof/>
          <w:sz w:val="20"/>
        </w:rPr>
      </w:pPr>
    </w:p>
    <w:p w:rsidR="0006109C" w:rsidRDefault="0006109C">
      <w:pPr>
        <w:jc w:val="right"/>
        <w:rPr>
          <w:noProof/>
          <w:sz w:val="20"/>
        </w:rPr>
      </w:pPr>
    </w:p>
    <w:p w:rsidR="0006109C" w:rsidRDefault="0006109C">
      <w:pPr>
        <w:jc w:val="right"/>
        <w:rPr>
          <w:noProof/>
          <w:sz w:val="20"/>
        </w:rPr>
      </w:pPr>
    </w:p>
    <w:tbl>
      <w:tblPr>
        <w:tblW w:w="3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1511"/>
        <w:gridCol w:w="1511"/>
        <w:gridCol w:w="1509"/>
      </w:tblGrid>
      <w:tr w:rsidR="0006109C">
        <w:trPr>
          <w:cantSplit/>
          <w:jc w:val="center"/>
        </w:trPr>
        <w:tc>
          <w:tcPr>
            <w:tcW w:w="2975" w:type="pct"/>
            <w:vAlign w:val="center"/>
          </w:tcPr>
          <w:p w:rsidR="0006109C" w:rsidRDefault="00493E42">
            <w:pPr>
              <w:keepNext/>
              <w:keepLines/>
              <w:widowControl w:val="0"/>
              <w:ind w:right="-29"/>
              <w:jc w:val="center"/>
              <w:rPr>
                <w:noProof/>
                <w:sz w:val="20"/>
                <w:szCs w:val="20"/>
              </w:rPr>
            </w:pPr>
            <w:r>
              <w:rPr>
                <w:b/>
                <w:noProof/>
                <w:sz w:val="20"/>
              </w:rPr>
              <w:t>Tavoitteet ja tuotokset</w:t>
            </w:r>
            <w:r>
              <w:rPr>
                <w:rStyle w:val="FootnoteReference"/>
                <w:b/>
                <w:noProof/>
                <w:sz w:val="20"/>
              </w:rPr>
              <w:footnoteReference w:id="65"/>
            </w:r>
          </w:p>
          <w:p w:rsidR="0006109C" w:rsidRDefault="00493E42">
            <w:pPr>
              <w:keepNext/>
              <w:keepLines/>
              <w:widowControl w:val="0"/>
              <w:ind w:right="-29"/>
              <w:jc w:val="center"/>
              <w:rPr>
                <w:noProof/>
                <w:sz w:val="20"/>
                <w:szCs w:val="20"/>
              </w:rPr>
            </w:pPr>
            <w:r>
              <w:rPr>
                <w:noProof/>
                <w:sz w:val="20"/>
                <w:szCs w:val="20"/>
              </w:rPr>
              <w:sym w:font="Wingdings" w:char="F0F2"/>
            </w:r>
          </w:p>
        </w:tc>
        <w:tc>
          <w:tcPr>
            <w:tcW w:w="675" w:type="pct"/>
            <w:vAlign w:val="center"/>
          </w:tcPr>
          <w:p w:rsidR="0006109C" w:rsidRDefault="00493E42">
            <w:pPr>
              <w:keepNext/>
              <w:keepLines/>
              <w:widowControl w:val="0"/>
              <w:ind w:right="-29"/>
              <w:jc w:val="center"/>
              <w:rPr>
                <w:noProof/>
                <w:sz w:val="20"/>
                <w:szCs w:val="20"/>
              </w:rPr>
            </w:pPr>
            <w:r>
              <w:rPr>
                <w:noProof/>
                <w:sz w:val="20"/>
              </w:rPr>
              <w:t>Vuosi</w:t>
            </w:r>
            <w:r>
              <w:rPr>
                <w:noProof/>
                <w:sz w:val="20"/>
                <w:szCs w:val="20"/>
              </w:rPr>
              <w:br/>
            </w:r>
            <w:r>
              <w:rPr>
                <w:b/>
                <w:noProof/>
                <w:sz w:val="20"/>
              </w:rPr>
              <w:t>2019</w:t>
            </w:r>
          </w:p>
        </w:tc>
        <w:tc>
          <w:tcPr>
            <w:tcW w:w="675" w:type="pct"/>
            <w:vAlign w:val="center"/>
          </w:tcPr>
          <w:p w:rsidR="0006109C" w:rsidRDefault="00493E42">
            <w:pPr>
              <w:keepNext/>
              <w:keepLines/>
              <w:widowControl w:val="0"/>
              <w:ind w:right="-29"/>
              <w:jc w:val="center"/>
              <w:rPr>
                <w:noProof/>
                <w:sz w:val="20"/>
                <w:szCs w:val="20"/>
              </w:rPr>
            </w:pPr>
            <w:r>
              <w:rPr>
                <w:noProof/>
                <w:sz w:val="20"/>
              </w:rPr>
              <w:t>Vuosi</w:t>
            </w:r>
            <w:r>
              <w:rPr>
                <w:noProof/>
                <w:sz w:val="20"/>
                <w:szCs w:val="20"/>
              </w:rPr>
              <w:br/>
            </w:r>
            <w:r>
              <w:rPr>
                <w:b/>
                <w:noProof/>
                <w:sz w:val="20"/>
              </w:rPr>
              <w:t>2020</w:t>
            </w:r>
          </w:p>
        </w:tc>
        <w:tc>
          <w:tcPr>
            <w:tcW w:w="674" w:type="pct"/>
            <w:tcBorders>
              <w:left w:val="single" w:sz="4" w:space="0" w:color="auto"/>
              <w:bottom w:val="nil"/>
            </w:tcBorders>
            <w:vAlign w:val="center"/>
          </w:tcPr>
          <w:p w:rsidR="0006109C" w:rsidRDefault="00493E42">
            <w:pPr>
              <w:keepNext/>
              <w:keepLines/>
              <w:widowControl w:val="0"/>
              <w:ind w:right="-29"/>
              <w:jc w:val="center"/>
              <w:rPr>
                <w:b/>
                <w:noProof/>
                <w:sz w:val="20"/>
                <w:szCs w:val="20"/>
              </w:rPr>
            </w:pPr>
            <w:r>
              <w:rPr>
                <w:b/>
                <w:noProof/>
                <w:sz w:val="20"/>
              </w:rPr>
              <w:t>YHTEENSÄ</w:t>
            </w:r>
          </w:p>
          <w:p w:rsidR="0006109C" w:rsidRDefault="00493E42">
            <w:pPr>
              <w:keepNext/>
              <w:keepLines/>
              <w:widowControl w:val="0"/>
              <w:ind w:right="-29"/>
              <w:jc w:val="center"/>
              <w:rPr>
                <w:noProof/>
                <w:sz w:val="20"/>
                <w:szCs w:val="20"/>
              </w:rPr>
            </w:pPr>
            <w:r>
              <w:rPr>
                <w:b/>
                <w:noProof/>
                <w:sz w:val="20"/>
              </w:rPr>
              <w:t>2019-2020</w:t>
            </w:r>
          </w:p>
        </w:tc>
      </w:tr>
      <w:tr w:rsidR="0006109C">
        <w:trPr>
          <w:trHeight w:val="425"/>
          <w:jc w:val="center"/>
        </w:trPr>
        <w:tc>
          <w:tcPr>
            <w:tcW w:w="2975" w:type="pct"/>
            <w:vAlign w:val="bottom"/>
          </w:tcPr>
          <w:p w:rsidR="0006109C" w:rsidRDefault="00493E42">
            <w:pPr>
              <w:keepNext/>
              <w:keepLines/>
              <w:widowControl w:val="0"/>
              <w:rPr>
                <w:b/>
                <w:bCs/>
                <w:noProof/>
                <w:sz w:val="20"/>
                <w:szCs w:val="20"/>
              </w:rPr>
            </w:pPr>
            <w:r>
              <w:rPr>
                <w:b/>
                <w:noProof/>
                <w:sz w:val="20"/>
              </w:rPr>
              <w:t xml:space="preserve">Erityistoiminnot </w:t>
            </w:r>
          </w:p>
        </w:tc>
        <w:tc>
          <w:tcPr>
            <w:tcW w:w="675" w:type="pct"/>
            <w:vAlign w:val="center"/>
          </w:tcPr>
          <w:p w:rsidR="0006109C" w:rsidRDefault="0006109C">
            <w:pPr>
              <w:keepNext/>
              <w:keepLines/>
              <w:widowControl w:val="0"/>
              <w:jc w:val="right"/>
              <w:rPr>
                <w:noProof/>
                <w:sz w:val="20"/>
                <w:szCs w:val="20"/>
              </w:rPr>
            </w:pPr>
          </w:p>
        </w:tc>
        <w:tc>
          <w:tcPr>
            <w:tcW w:w="675" w:type="pct"/>
            <w:vAlign w:val="center"/>
          </w:tcPr>
          <w:p w:rsidR="0006109C" w:rsidRDefault="0006109C">
            <w:pPr>
              <w:keepNext/>
              <w:keepLines/>
              <w:widowControl w:val="0"/>
              <w:jc w:val="right"/>
              <w:rPr>
                <w:noProof/>
                <w:sz w:val="20"/>
                <w:szCs w:val="20"/>
              </w:rPr>
            </w:pPr>
          </w:p>
        </w:tc>
        <w:tc>
          <w:tcPr>
            <w:tcW w:w="674" w:type="pct"/>
            <w:tcBorders>
              <w:left w:val="single" w:sz="4" w:space="0" w:color="auto"/>
              <w:bottom w:val="nil"/>
            </w:tcBorders>
            <w:vAlign w:val="center"/>
          </w:tcPr>
          <w:p w:rsidR="0006109C" w:rsidRDefault="0006109C">
            <w:pPr>
              <w:keepNext/>
              <w:keepLines/>
              <w:widowControl w:val="0"/>
              <w:jc w:val="right"/>
              <w:rPr>
                <w:noProof/>
                <w:sz w:val="20"/>
                <w:szCs w:val="20"/>
              </w:rPr>
            </w:pP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Esinormatiiviset tehtävät ja sitovat toimivaltuudet </w:t>
            </w:r>
          </w:p>
        </w:tc>
        <w:tc>
          <w:tcPr>
            <w:tcW w:w="675" w:type="pct"/>
            <w:vAlign w:val="bottom"/>
          </w:tcPr>
          <w:p w:rsidR="0006109C" w:rsidRDefault="00493E42">
            <w:pPr>
              <w:jc w:val="center"/>
              <w:rPr>
                <w:noProof/>
                <w:sz w:val="20"/>
                <w:szCs w:val="20"/>
              </w:rPr>
            </w:pPr>
            <w:r>
              <w:rPr>
                <w:noProof/>
                <w:sz w:val="20"/>
              </w:rPr>
              <w:t>0,226</w:t>
            </w:r>
          </w:p>
        </w:tc>
        <w:tc>
          <w:tcPr>
            <w:tcW w:w="675" w:type="pct"/>
            <w:vAlign w:val="bottom"/>
          </w:tcPr>
          <w:p w:rsidR="0006109C" w:rsidRDefault="00493E42">
            <w:pPr>
              <w:jc w:val="center"/>
              <w:rPr>
                <w:noProof/>
                <w:sz w:val="20"/>
                <w:szCs w:val="20"/>
              </w:rPr>
            </w:pPr>
            <w:r>
              <w:rPr>
                <w:noProof/>
                <w:sz w:val="20"/>
              </w:rPr>
              <w:t>0,309</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0,535</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Sääntelyyn liittyvä ohjeistus </w:t>
            </w:r>
          </w:p>
        </w:tc>
        <w:tc>
          <w:tcPr>
            <w:tcW w:w="675" w:type="pct"/>
            <w:vAlign w:val="bottom"/>
          </w:tcPr>
          <w:p w:rsidR="0006109C" w:rsidRDefault="00493E42">
            <w:pPr>
              <w:jc w:val="center"/>
              <w:rPr>
                <w:noProof/>
                <w:sz w:val="20"/>
                <w:szCs w:val="20"/>
              </w:rPr>
            </w:pPr>
            <w:r>
              <w:rPr>
                <w:noProof/>
                <w:sz w:val="20"/>
              </w:rPr>
              <w:t>0,698</w:t>
            </w:r>
          </w:p>
        </w:tc>
        <w:tc>
          <w:tcPr>
            <w:tcW w:w="675" w:type="pct"/>
            <w:vAlign w:val="bottom"/>
          </w:tcPr>
          <w:p w:rsidR="0006109C" w:rsidRDefault="00493E42">
            <w:pPr>
              <w:jc w:val="center"/>
              <w:rPr>
                <w:noProof/>
                <w:sz w:val="20"/>
                <w:szCs w:val="20"/>
              </w:rPr>
            </w:pPr>
            <w:r>
              <w:rPr>
                <w:noProof/>
                <w:sz w:val="20"/>
              </w:rPr>
              <w:t>0,956</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1,654</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Markkina-analyysi </w:t>
            </w:r>
          </w:p>
        </w:tc>
        <w:tc>
          <w:tcPr>
            <w:tcW w:w="675" w:type="pct"/>
            <w:vAlign w:val="bottom"/>
          </w:tcPr>
          <w:p w:rsidR="0006109C" w:rsidRDefault="00493E42">
            <w:pPr>
              <w:jc w:val="center"/>
              <w:rPr>
                <w:noProof/>
                <w:sz w:val="20"/>
                <w:szCs w:val="20"/>
              </w:rPr>
            </w:pPr>
            <w:r>
              <w:rPr>
                <w:noProof/>
                <w:sz w:val="20"/>
              </w:rPr>
              <w:t>0,103</w:t>
            </w:r>
          </w:p>
        </w:tc>
        <w:tc>
          <w:tcPr>
            <w:tcW w:w="675" w:type="pct"/>
            <w:vAlign w:val="bottom"/>
          </w:tcPr>
          <w:p w:rsidR="0006109C" w:rsidRDefault="00493E42">
            <w:pPr>
              <w:jc w:val="center"/>
              <w:rPr>
                <w:noProof/>
                <w:sz w:val="20"/>
                <w:szCs w:val="20"/>
              </w:rPr>
            </w:pPr>
            <w:r>
              <w:rPr>
                <w:noProof/>
                <w:sz w:val="20"/>
              </w:rPr>
              <w:t>0,141</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0,244</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Taajuuksia koskeva vertaisarviointi </w:t>
            </w:r>
          </w:p>
        </w:tc>
        <w:tc>
          <w:tcPr>
            <w:tcW w:w="675" w:type="pct"/>
            <w:vAlign w:val="bottom"/>
          </w:tcPr>
          <w:p w:rsidR="0006109C" w:rsidRDefault="00493E42">
            <w:pPr>
              <w:jc w:val="center"/>
              <w:rPr>
                <w:noProof/>
                <w:sz w:val="20"/>
                <w:szCs w:val="20"/>
              </w:rPr>
            </w:pPr>
            <w:r>
              <w:rPr>
                <w:noProof/>
                <w:sz w:val="20"/>
              </w:rPr>
              <w:t>0,041</w:t>
            </w:r>
          </w:p>
        </w:tc>
        <w:tc>
          <w:tcPr>
            <w:tcW w:w="675" w:type="pct"/>
            <w:vAlign w:val="bottom"/>
          </w:tcPr>
          <w:p w:rsidR="0006109C" w:rsidRDefault="00493E42">
            <w:pPr>
              <w:jc w:val="center"/>
              <w:rPr>
                <w:noProof/>
                <w:sz w:val="20"/>
                <w:szCs w:val="20"/>
              </w:rPr>
            </w:pPr>
            <w:r>
              <w:rPr>
                <w:noProof/>
                <w:sz w:val="20"/>
              </w:rPr>
              <w:t>0,056</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0,097</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Rekisteritoiminnot </w:t>
            </w:r>
          </w:p>
        </w:tc>
        <w:tc>
          <w:tcPr>
            <w:tcW w:w="675" w:type="pct"/>
            <w:vAlign w:val="bottom"/>
          </w:tcPr>
          <w:p w:rsidR="0006109C" w:rsidRDefault="00493E42">
            <w:pPr>
              <w:jc w:val="center"/>
              <w:rPr>
                <w:noProof/>
                <w:sz w:val="20"/>
                <w:szCs w:val="20"/>
              </w:rPr>
            </w:pPr>
            <w:r>
              <w:rPr>
                <w:noProof/>
                <w:sz w:val="20"/>
              </w:rPr>
              <w:t>0,021</w:t>
            </w:r>
          </w:p>
        </w:tc>
        <w:tc>
          <w:tcPr>
            <w:tcW w:w="675" w:type="pct"/>
            <w:vAlign w:val="bottom"/>
          </w:tcPr>
          <w:p w:rsidR="0006109C" w:rsidRDefault="00493E42">
            <w:pPr>
              <w:jc w:val="center"/>
              <w:rPr>
                <w:noProof/>
                <w:sz w:val="20"/>
                <w:szCs w:val="20"/>
              </w:rPr>
            </w:pPr>
            <w:r>
              <w:rPr>
                <w:noProof/>
                <w:sz w:val="20"/>
              </w:rPr>
              <w:t>0,028</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0,049</w:t>
            </w:r>
          </w:p>
        </w:tc>
      </w:tr>
      <w:tr w:rsidR="0006109C">
        <w:trPr>
          <w:jc w:val="center"/>
        </w:trPr>
        <w:tc>
          <w:tcPr>
            <w:tcW w:w="2975" w:type="pct"/>
            <w:vAlign w:val="bottom"/>
          </w:tcPr>
          <w:p w:rsidR="0006109C" w:rsidRDefault="00493E42">
            <w:pPr>
              <w:keepNext/>
              <w:keepLines/>
              <w:widowControl w:val="0"/>
              <w:rPr>
                <w:b/>
                <w:bCs/>
                <w:noProof/>
                <w:sz w:val="20"/>
                <w:szCs w:val="20"/>
              </w:rPr>
            </w:pPr>
            <w:r>
              <w:rPr>
                <w:b/>
                <w:noProof/>
                <w:sz w:val="20"/>
              </w:rPr>
              <w:t xml:space="preserve">Horisontaaliset toimet </w:t>
            </w:r>
          </w:p>
        </w:tc>
        <w:tc>
          <w:tcPr>
            <w:tcW w:w="675" w:type="pct"/>
            <w:vAlign w:val="bottom"/>
          </w:tcPr>
          <w:p w:rsidR="0006109C" w:rsidRDefault="0006109C">
            <w:pPr>
              <w:jc w:val="center"/>
              <w:rPr>
                <w:noProof/>
                <w:sz w:val="20"/>
                <w:szCs w:val="20"/>
              </w:rPr>
            </w:pPr>
          </w:p>
        </w:tc>
        <w:tc>
          <w:tcPr>
            <w:tcW w:w="675" w:type="pct"/>
            <w:vAlign w:val="center"/>
          </w:tcPr>
          <w:p w:rsidR="0006109C" w:rsidRDefault="0006109C">
            <w:pPr>
              <w:keepNext/>
              <w:keepLines/>
              <w:widowControl w:val="0"/>
              <w:jc w:val="right"/>
              <w:rPr>
                <w:noProof/>
                <w:sz w:val="20"/>
                <w:szCs w:val="20"/>
              </w:rPr>
            </w:pPr>
          </w:p>
        </w:tc>
        <w:tc>
          <w:tcPr>
            <w:tcW w:w="674" w:type="pct"/>
            <w:tcBorders>
              <w:left w:val="single" w:sz="4" w:space="0" w:color="auto"/>
              <w:bottom w:val="nil"/>
            </w:tcBorders>
            <w:shd w:val="clear" w:color="auto" w:fill="auto"/>
            <w:vAlign w:val="center"/>
          </w:tcPr>
          <w:p w:rsidR="0006109C" w:rsidRDefault="0006109C">
            <w:pPr>
              <w:keepNext/>
              <w:keepLines/>
              <w:widowControl w:val="0"/>
              <w:jc w:val="right"/>
              <w:rPr>
                <w:b/>
                <w:noProof/>
                <w:sz w:val="20"/>
                <w:szCs w:val="20"/>
              </w:rPr>
            </w:pP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Hallintoneuvoston tehtävät </w:t>
            </w:r>
          </w:p>
        </w:tc>
        <w:tc>
          <w:tcPr>
            <w:tcW w:w="675" w:type="pct"/>
            <w:vAlign w:val="bottom"/>
          </w:tcPr>
          <w:p w:rsidR="0006109C" w:rsidRDefault="00493E42">
            <w:pPr>
              <w:jc w:val="center"/>
              <w:rPr>
                <w:noProof/>
                <w:sz w:val="20"/>
                <w:szCs w:val="20"/>
              </w:rPr>
            </w:pPr>
            <w:r>
              <w:rPr>
                <w:noProof/>
                <w:sz w:val="20"/>
              </w:rPr>
              <w:t>0,308</w:t>
            </w:r>
          </w:p>
        </w:tc>
        <w:tc>
          <w:tcPr>
            <w:tcW w:w="675" w:type="pct"/>
            <w:vAlign w:val="bottom"/>
          </w:tcPr>
          <w:p w:rsidR="0006109C" w:rsidRDefault="00493E42">
            <w:pPr>
              <w:jc w:val="center"/>
              <w:rPr>
                <w:noProof/>
                <w:sz w:val="20"/>
                <w:szCs w:val="20"/>
              </w:rPr>
            </w:pPr>
            <w:r>
              <w:rPr>
                <w:noProof/>
                <w:sz w:val="20"/>
              </w:rPr>
              <w:t>0,422</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0,730</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Komission ja muiden EU:n toimielinten avustaminen ja neuvonta </w:t>
            </w:r>
          </w:p>
        </w:tc>
        <w:tc>
          <w:tcPr>
            <w:tcW w:w="675" w:type="pct"/>
            <w:vAlign w:val="bottom"/>
          </w:tcPr>
          <w:p w:rsidR="0006109C" w:rsidRDefault="00493E42">
            <w:pPr>
              <w:jc w:val="center"/>
              <w:rPr>
                <w:noProof/>
                <w:sz w:val="20"/>
                <w:szCs w:val="20"/>
              </w:rPr>
            </w:pPr>
            <w:r>
              <w:rPr>
                <w:noProof/>
                <w:sz w:val="20"/>
              </w:rPr>
              <w:t>0,410</w:t>
            </w:r>
          </w:p>
        </w:tc>
        <w:tc>
          <w:tcPr>
            <w:tcW w:w="675" w:type="pct"/>
            <w:vAlign w:val="bottom"/>
          </w:tcPr>
          <w:p w:rsidR="0006109C" w:rsidRDefault="00493E42">
            <w:pPr>
              <w:jc w:val="center"/>
              <w:rPr>
                <w:noProof/>
                <w:sz w:val="20"/>
                <w:szCs w:val="20"/>
              </w:rPr>
            </w:pPr>
            <w:r>
              <w:rPr>
                <w:noProof/>
                <w:sz w:val="20"/>
              </w:rPr>
              <w:t>0,563</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0,973</w:t>
            </w:r>
          </w:p>
        </w:tc>
      </w:tr>
      <w:tr w:rsidR="0006109C">
        <w:trPr>
          <w:jc w:val="center"/>
        </w:trPr>
        <w:tc>
          <w:tcPr>
            <w:tcW w:w="2975" w:type="pct"/>
            <w:vAlign w:val="bottom"/>
          </w:tcPr>
          <w:p w:rsidR="0006109C" w:rsidRDefault="00493E42">
            <w:pPr>
              <w:keepNext/>
              <w:keepLines/>
              <w:widowControl w:val="0"/>
              <w:rPr>
                <w:noProof/>
                <w:sz w:val="20"/>
                <w:szCs w:val="20"/>
              </w:rPr>
            </w:pPr>
            <w:r>
              <w:rPr>
                <w:noProof/>
                <w:sz w:val="20"/>
              </w:rPr>
              <w:t xml:space="preserve">Kansallisten sääntelyviranomaisten tukeminen ja avustaminen </w:t>
            </w:r>
          </w:p>
        </w:tc>
        <w:tc>
          <w:tcPr>
            <w:tcW w:w="675" w:type="pct"/>
            <w:vAlign w:val="bottom"/>
          </w:tcPr>
          <w:p w:rsidR="0006109C" w:rsidRDefault="00493E42">
            <w:pPr>
              <w:jc w:val="center"/>
              <w:rPr>
                <w:noProof/>
                <w:sz w:val="20"/>
                <w:szCs w:val="20"/>
              </w:rPr>
            </w:pPr>
            <w:r>
              <w:rPr>
                <w:noProof/>
                <w:sz w:val="20"/>
              </w:rPr>
              <w:t>0,041</w:t>
            </w:r>
          </w:p>
        </w:tc>
        <w:tc>
          <w:tcPr>
            <w:tcW w:w="675" w:type="pct"/>
            <w:vAlign w:val="bottom"/>
          </w:tcPr>
          <w:p w:rsidR="0006109C" w:rsidRDefault="00493E42">
            <w:pPr>
              <w:jc w:val="center"/>
              <w:rPr>
                <w:noProof/>
                <w:sz w:val="20"/>
                <w:szCs w:val="20"/>
              </w:rPr>
            </w:pPr>
            <w:r>
              <w:rPr>
                <w:noProof/>
                <w:sz w:val="20"/>
              </w:rPr>
              <w:t>0,056</w:t>
            </w:r>
          </w:p>
        </w:tc>
        <w:tc>
          <w:tcPr>
            <w:tcW w:w="674" w:type="pct"/>
            <w:tcBorders>
              <w:left w:val="single" w:sz="4" w:space="0" w:color="auto"/>
              <w:bottom w:val="nil"/>
            </w:tcBorders>
            <w:shd w:val="clear" w:color="auto" w:fill="auto"/>
            <w:vAlign w:val="bottom"/>
          </w:tcPr>
          <w:p w:rsidR="0006109C" w:rsidRDefault="00493E42">
            <w:pPr>
              <w:jc w:val="center"/>
              <w:rPr>
                <w:b/>
                <w:noProof/>
                <w:sz w:val="20"/>
                <w:szCs w:val="20"/>
              </w:rPr>
            </w:pPr>
            <w:r>
              <w:rPr>
                <w:b/>
                <w:noProof/>
                <w:sz w:val="20"/>
              </w:rPr>
              <w:t>0,097</w:t>
            </w:r>
          </w:p>
        </w:tc>
      </w:tr>
      <w:tr w:rsidR="0006109C">
        <w:trPr>
          <w:jc w:val="center"/>
        </w:trPr>
        <w:tc>
          <w:tcPr>
            <w:tcW w:w="2975" w:type="pct"/>
            <w:vAlign w:val="center"/>
          </w:tcPr>
          <w:p w:rsidR="0006109C" w:rsidRDefault="00493E42">
            <w:pPr>
              <w:keepNext/>
              <w:keepLines/>
              <w:widowControl w:val="0"/>
              <w:ind w:right="-29"/>
              <w:rPr>
                <w:noProof/>
                <w:sz w:val="20"/>
                <w:szCs w:val="20"/>
              </w:rPr>
            </w:pPr>
            <w:r>
              <w:rPr>
                <w:noProof/>
                <w:sz w:val="20"/>
              </w:rPr>
              <w:t xml:space="preserve">Kansainvälinen yhteistyö </w:t>
            </w:r>
          </w:p>
        </w:tc>
        <w:tc>
          <w:tcPr>
            <w:tcW w:w="675" w:type="pct"/>
            <w:vAlign w:val="bottom"/>
          </w:tcPr>
          <w:p w:rsidR="0006109C" w:rsidRDefault="00493E42">
            <w:pPr>
              <w:jc w:val="center"/>
              <w:rPr>
                <w:noProof/>
                <w:sz w:val="20"/>
                <w:szCs w:val="20"/>
              </w:rPr>
            </w:pPr>
            <w:r>
              <w:rPr>
                <w:noProof/>
                <w:sz w:val="20"/>
              </w:rPr>
              <w:t>0,144</w:t>
            </w:r>
          </w:p>
        </w:tc>
        <w:tc>
          <w:tcPr>
            <w:tcW w:w="675" w:type="pct"/>
            <w:vAlign w:val="bottom"/>
          </w:tcPr>
          <w:p w:rsidR="0006109C" w:rsidRDefault="00493E42">
            <w:pPr>
              <w:jc w:val="center"/>
              <w:rPr>
                <w:noProof/>
                <w:sz w:val="20"/>
                <w:szCs w:val="20"/>
              </w:rPr>
            </w:pPr>
            <w:r>
              <w:rPr>
                <w:noProof/>
                <w:sz w:val="20"/>
              </w:rPr>
              <w:t>0,197</w:t>
            </w:r>
          </w:p>
        </w:tc>
        <w:tc>
          <w:tcPr>
            <w:tcW w:w="674" w:type="pct"/>
            <w:tcBorders>
              <w:left w:val="single" w:sz="4" w:space="0" w:color="auto"/>
              <w:bottom w:val="single" w:sz="4" w:space="0" w:color="auto"/>
            </w:tcBorders>
            <w:shd w:val="clear" w:color="auto" w:fill="auto"/>
            <w:vAlign w:val="bottom"/>
          </w:tcPr>
          <w:p w:rsidR="0006109C" w:rsidRDefault="00493E42">
            <w:pPr>
              <w:jc w:val="center"/>
              <w:rPr>
                <w:b/>
                <w:noProof/>
                <w:sz w:val="20"/>
                <w:szCs w:val="20"/>
              </w:rPr>
            </w:pPr>
            <w:r>
              <w:rPr>
                <w:b/>
                <w:noProof/>
                <w:sz w:val="20"/>
              </w:rPr>
              <w:t>0,341</w:t>
            </w:r>
          </w:p>
        </w:tc>
      </w:tr>
      <w:tr w:rsidR="0006109C">
        <w:trPr>
          <w:jc w:val="center"/>
        </w:trPr>
        <w:tc>
          <w:tcPr>
            <w:tcW w:w="2975" w:type="pct"/>
            <w:vAlign w:val="center"/>
          </w:tcPr>
          <w:p w:rsidR="0006109C" w:rsidRDefault="00493E42">
            <w:pPr>
              <w:keepNext/>
              <w:keepLines/>
              <w:widowControl w:val="0"/>
              <w:ind w:right="-29"/>
              <w:rPr>
                <w:noProof/>
                <w:sz w:val="20"/>
                <w:szCs w:val="20"/>
              </w:rPr>
            </w:pPr>
            <w:r>
              <w:rPr>
                <w:noProof/>
                <w:sz w:val="20"/>
              </w:rPr>
              <w:t xml:space="preserve">Sääntelytehtäviin liittyvän / ammatillisen koulutuksen tarjoaminen kansallisille sääntelyviranomaisille </w:t>
            </w:r>
          </w:p>
        </w:tc>
        <w:tc>
          <w:tcPr>
            <w:tcW w:w="675" w:type="pct"/>
            <w:vAlign w:val="bottom"/>
          </w:tcPr>
          <w:p w:rsidR="0006109C" w:rsidRDefault="00493E42">
            <w:pPr>
              <w:jc w:val="center"/>
              <w:rPr>
                <w:noProof/>
                <w:sz w:val="20"/>
                <w:szCs w:val="20"/>
              </w:rPr>
            </w:pPr>
            <w:r>
              <w:rPr>
                <w:noProof/>
                <w:sz w:val="20"/>
              </w:rPr>
              <w:t>0,062</w:t>
            </w:r>
          </w:p>
        </w:tc>
        <w:tc>
          <w:tcPr>
            <w:tcW w:w="675" w:type="pct"/>
            <w:vAlign w:val="bottom"/>
          </w:tcPr>
          <w:p w:rsidR="0006109C" w:rsidRDefault="00493E42">
            <w:pPr>
              <w:jc w:val="center"/>
              <w:rPr>
                <w:noProof/>
                <w:sz w:val="20"/>
                <w:szCs w:val="20"/>
              </w:rPr>
            </w:pPr>
            <w:r>
              <w:rPr>
                <w:noProof/>
                <w:sz w:val="20"/>
              </w:rPr>
              <w:t>0,084</w:t>
            </w:r>
          </w:p>
        </w:tc>
        <w:tc>
          <w:tcPr>
            <w:tcW w:w="674" w:type="pct"/>
            <w:tcBorders>
              <w:left w:val="single" w:sz="4" w:space="0" w:color="auto"/>
              <w:bottom w:val="single" w:sz="4" w:space="0" w:color="auto"/>
            </w:tcBorders>
            <w:shd w:val="clear" w:color="auto" w:fill="auto"/>
            <w:vAlign w:val="bottom"/>
          </w:tcPr>
          <w:p w:rsidR="0006109C" w:rsidRDefault="00493E42">
            <w:pPr>
              <w:jc w:val="center"/>
              <w:rPr>
                <w:b/>
                <w:noProof/>
                <w:sz w:val="20"/>
                <w:szCs w:val="20"/>
              </w:rPr>
            </w:pPr>
            <w:r>
              <w:rPr>
                <w:b/>
                <w:noProof/>
                <w:sz w:val="20"/>
              </w:rPr>
              <w:t>0,146</w:t>
            </w:r>
          </w:p>
        </w:tc>
      </w:tr>
      <w:tr w:rsidR="0006109C">
        <w:trPr>
          <w:jc w:val="center"/>
        </w:trPr>
        <w:tc>
          <w:tcPr>
            <w:tcW w:w="2975" w:type="pct"/>
            <w:vAlign w:val="center"/>
          </w:tcPr>
          <w:p w:rsidR="0006109C" w:rsidRDefault="00493E42">
            <w:pPr>
              <w:keepNext/>
              <w:keepLines/>
              <w:widowControl w:val="0"/>
              <w:ind w:right="-29"/>
              <w:rPr>
                <w:b/>
                <w:noProof/>
                <w:sz w:val="20"/>
                <w:szCs w:val="20"/>
              </w:rPr>
            </w:pPr>
            <w:r>
              <w:rPr>
                <w:b/>
                <w:noProof/>
                <w:sz w:val="20"/>
              </w:rPr>
              <w:t>KUSTANNUKSET YHTEENSÄ</w:t>
            </w:r>
          </w:p>
        </w:tc>
        <w:tc>
          <w:tcPr>
            <w:tcW w:w="675" w:type="pct"/>
            <w:vAlign w:val="bottom"/>
          </w:tcPr>
          <w:p w:rsidR="0006109C" w:rsidRDefault="00493E42">
            <w:pPr>
              <w:jc w:val="center"/>
              <w:rPr>
                <w:b/>
                <w:noProof/>
                <w:sz w:val="20"/>
                <w:szCs w:val="20"/>
              </w:rPr>
            </w:pPr>
            <w:r>
              <w:rPr>
                <w:b/>
                <w:noProof/>
                <w:sz w:val="20"/>
              </w:rPr>
              <w:t>2,054</w:t>
            </w:r>
          </w:p>
        </w:tc>
        <w:tc>
          <w:tcPr>
            <w:tcW w:w="675" w:type="pct"/>
            <w:vAlign w:val="bottom"/>
          </w:tcPr>
          <w:p w:rsidR="0006109C" w:rsidRDefault="00493E42">
            <w:pPr>
              <w:jc w:val="center"/>
              <w:rPr>
                <w:b/>
                <w:noProof/>
                <w:sz w:val="20"/>
                <w:szCs w:val="20"/>
              </w:rPr>
            </w:pPr>
            <w:r>
              <w:rPr>
                <w:b/>
                <w:noProof/>
                <w:sz w:val="20"/>
              </w:rPr>
              <w:t>2,812</w:t>
            </w:r>
          </w:p>
        </w:tc>
        <w:tc>
          <w:tcPr>
            <w:tcW w:w="674" w:type="pct"/>
            <w:tcBorders>
              <w:left w:val="single" w:sz="4" w:space="0" w:color="auto"/>
              <w:bottom w:val="single" w:sz="4" w:space="0" w:color="auto"/>
            </w:tcBorders>
            <w:shd w:val="clear" w:color="auto" w:fill="auto"/>
            <w:vAlign w:val="center"/>
          </w:tcPr>
          <w:p w:rsidR="0006109C" w:rsidRDefault="00493E42">
            <w:pPr>
              <w:jc w:val="center"/>
              <w:rPr>
                <w:b/>
                <w:noProof/>
                <w:sz w:val="20"/>
                <w:szCs w:val="20"/>
              </w:rPr>
            </w:pPr>
            <w:r>
              <w:rPr>
                <w:b/>
                <w:noProof/>
                <w:sz w:val="20"/>
              </w:rPr>
              <w:t>4,866</w:t>
            </w:r>
          </w:p>
        </w:tc>
      </w:tr>
    </w:tbl>
    <w:p w:rsidR="0006109C" w:rsidRDefault="0006109C">
      <w:pPr>
        <w:rPr>
          <w:noProof/>
        </w:rPr>
      </w:pPr>
    </w:p>
    <w:p w:rsidR="0006109C" w:rsidRDefault="0006109C">
      <w:pPr>
        <w:rPr>
          <w:noProof/>
          <w:sz w:val="20"/>
          <w:szCs w:val="20"/>
        </w:rPr>
      </w:pPr>
    </w:p>
    <w:p w:rsidR="0006109C" w:rsidRDefault="0006109C">
      <w:pPr>
        <w:keepLines/>
        <w:autoSpaceDE w:val="0"/>
        <w:autoSpaceDN w:val="0"/>
        <w:adjustRightInd w:val="0"/>
        <w:rPr>
          <w:noProof/>
        </w:rPr>
        <w:sectPr w:rsidR="0006109C" w:rsidSect="00493E42">
          <w:pgSz w:w="16839" w:h="11907" w:orient="landscape" w:code="9"/>
          <w:pgMar w:top="1417" w:right="1417" w:bottom="1417" w:left="1417" w:header="708" w:footer="708" w:gutter="0"/>
          <w:cols w:space="708"/>
          <w:rtlGutter/>
          <w:docGrid w:linePitch="360"/>
        </w:sectPr>
      </w:pPr>
    </w:p>
    <w:p w:rsidR="0006109C" w:rsidRDefault="00493E42">
      <w:pPr>
        <w:keepLines/>
        <w:autoSpaceDE w:val="0"/>
        <w:autoSpaceDN w:val="0"/>
        <w:adjustRightInd w:val="0"/>
        <w:rPr>
          <w:noProof/>
        </w:rPr>
      </w:pPr>
      <w:r>
        <w:rPr>
          <w:noProof/>
        </w:rPr>
        <w:t xml:space="preserve">BERECilla on tärkeä ja aiempaa laajempi rooli ehdotetun lainsäädäntöpaketin tehokkaan täytäntöönpanon varmistamisessa, mihin sisältyy useita lisätehtäviä. Nämä tehtävät ovat luonteeltaan </w:t>
      </w:r>
      <w:r>
        <w:rPr>
          <w:noProof/>
        </w:rPr>
        <w:t>teknisiä ja keskittyvät aloihin, joihin liittyy rajatylittävä ulottuvuus tai joilla BERECin ohjeistus voisi auttaa kansallisia sääntelyviranomaisia varmistamaan sähköisen viestinnän sääntelyjärjestelmän johdonmukaisen täytäntöönpanon.</w:t>
      </w:r>
    </w:p>
    <w:p w:rsidR="0006109C" w:rsidRDefault="00493E42">
      <w:pPr>
        <w:keepLines/>
        <w:autoSpaceDE w:val="0"/>
        <w:autoSpaceDN w:val="0"/>
        <w:adjustRightInd w:val="0"/>
        <w:rPr>
          <w:noProof/>
        </w:rPr>
      </w:pPr>
      <w:r>
        <w:rPr>
          <w:noProof/>
        </w:rPr>
        <w:t>BERECilla tulee olema</w:t>
      </w:r>
      <w:r>
        <w:rPr>
          <w:noProof/>
        </w:rPr>
        <w:t>an joitakin esinormatiivisia tehtäviä (erityisesti terminointimaksujen enimmäishintojen laskennassa) sekä tiettyjä sitovia toimivaltuuksia, koska se antaa päätöksiä valtioiden rajat ylittävien markkinoiden määrittelystä ja sopimustiivistelmän mallista (näm</w:t>
      </w:r>
      <w:r>
        <w:rPr>
          <w:noProof/>
        </w:rPr>
        <w:t>ä uudet tehtävät sisältyvät edellisessä taulukossa mainittuihin ”Esinormatiivisiin tehtäviin ja sitoviin toimivaltuuksiin”).</w:t>
      </w:r>
    </w:p>
    <w:p w:rsidR="0006109C" w:rsidRDefault="00493E42">
      <w:pPr>
        <w:keepLines/>
        <w:autoSpaceDE w:val="0"/>
        <w:autoSpaceDN w:val="0"/>
        <w:adjustRightInd w:val="0"/>
        <w:rPr>
          <w:noProof/>
        </w:rPr>
      </w:pPr>
      <w:r>
        <w:rPr>
          <w:noProof/>
        </w:rPr>
        <w:t>Se antaa myös suuntaviivat kansallisten sääntelyviranomaisten velvoitteiden täytäntöönpanosta infrastruktuuria/investointeja koskev</w:t>
      </w:r>
      <w:r>
        <w:rPr>
          <w:noProof/>
        </w:rPr>
        <w:t>issa maantieteellisissä kartoituksissa sekä yhteisistä lähestymistavoista vastata valtioiden rajat ylittävään loppukäyttäjäkysyntään. Se hyväksyy suuntaviivat myös viitetarjouksen vähimmäisvaatimuksista, terminointimaksujen kustannusmalleista, numerovaroje</w:t>
      </w:r>
      <w:r>
        <w:rPr>
          <w:noProof/>
        </w:rPr>
        <w:t>n hallinnointivaatimuksista sekä asiaankuuluvista palvelun laatua koskevista parametreista ja sovellettavista mittausmenetelmistä. Lisäksi BEREC raportoi mahdollisista loppukäyttäjien väliseen päästä päähän -liitettävyyteen tai hätäpalvelujen tosiasiallise</w:t>
      </w:r>
      <w:r>
        <w:rPr>
          <w:noProof/>
        </w:rPr>
        <w:t>en saantiin kohdistuvista uhista standardien tarpeen määrittelyn yhteydessä (nämä uudet tehtävät ovat osa ”Sääntelyyn liittyvää ohjeistusta”).</w:t>
      </w:r>
    </w:p>
    <w:p w:rsidR="0006109C" w:rsidRDefault="00493E42">
      <w:pPr>
        <w:keepLines/>
        <w:autoSpaceDE w:val="0"/>
        <w:autoSpaceDN w:val="0"/>
        <w:adjustRightInd w:val="0"/>
        <w:rPr>
          <w:noProof/>
        </w:rPr>
      </w:pPr>
      <w:r>
        <w:rPr>
          <w:noProof/>
        </w:rPr>
        <w:t>BERECin roolia vahvistetaan markkinoiden sääntelyyn liittyvissä sisämarkkinamenettelyissä. Vastedes BERECin lausu</w:t>
      </w:r>
      <w:r>
        <w:rPr>
          <w:noProof/>
        </w:rPr>
        <w:t>nto velvoittaisi komissiota sen päättäessä, olisiko asianomaisen kansallisen sääntelyviranomaisen peruutettava toimenpide-ehdotus. Ehdotuksen mukaan vain silloin, jos BEREC yhtyy komission esittämiin vakaviin epäilyihin, komissio voisi tehdä päätöksen, jol</w:t>
      </w:r>
      <w:r>
        <w:rPr>
          <w:noProof/>
        </w:rPr>
        <w:t>la kansallista sääntelyviranomaista vaaditaan peruuttamaan ilmoitetut toimenpiteet (nämä uudet tehtävät sisältyvät ”Markkina-analyysiin”).</w:t>
      </w:r>
    </w:p>
    <w:p w:rsidR="0006109C" w:rsidRDefault="00493E42">
      <w:pPr>
        <w:keepLines/>
        <w:autoSpaceDE w:val="0"/>
        <w:autoSpaceDN w:val="0"/>
        <w:adjustRightInd w:val="0"/>
        <w:rPr>
          <w:rFonts w:eastAsia="Calibri"/>
          <w:iCs/>
          <w:noProof/>
        </w:rPr>
      </w:pPr>
      <w:r>
        <w:rPr>
          <w:noProof/>
        </w:rPr>
        <w:t>BEREC vastaa myös uudesta radiotaajuuksien käyttöoikeuksien jakamiseen liittyvästä vertaisarviointimenettelystä. Tämä</w:t>
      </w:r>
      <w:r>
        <w:rPr>
          <w:noProof/>
        </w:rPr>
        <w:t xml:space="preserve"> koskee ensisijaisesti radiotaajuuksien käyttöoikeuksien jakamisen yhteydessä tarkasteltavia kansallisia toimenpiteitä, jotka voivat vaikuttaa langattomien verkkojen markkinoiden toimintaan tai joilla on muulla tavoin merkittäviä seurauksia radiotaajuusres</w:t>
      </w:r>
      <w:r>
        <w:rPr>
          <w:noProof/>
        </w:rPr>
        <w:t>urssien arvottamisen kannalta. BEREC antaa (ei-sitovia) lausuntoja näistä toimenpide-ehdotuksista teknisen ja taloudellisen arvioinnin perusteella (nämä uudet tehtävät sisältyvät ”Taajuuksia koskevaan vertaisarviointiin”).</w:t>
      </w:r>
    </w:p>
    <w:p w:rsidR="0006109C" w:rsidRDefault="00493E42">
      <w:pPr>
        <w:keepLines/>
        <w:autoSpaceDE w:val="0"/>
        <w:autoSpaceDN w:val="0"/>
        <w:adjustRightInd w:val="0"/>
        <w:rPr>
          <w:noProof/>
        </w:rPr>
      </w:pPr>
      <w:r>
        <w:rPr>
          <w:noProof/>
        </w:rPr>
        <w:t>BERECille annetaan myös tehtäväks</w:t>
      </w:r>
      <w:r>
        <w:rPr>
          <w:noProof/>
        </w:rPr>
        <w:t>i pitää yllä rekisteriä sähköisen viestinnän verkkoja ja palveluja tarjoavista yrityksistä ja toista rekisteriä oman alueen ulkopuolisesti käytettävistä numeroista (nämä uudet tehtävät sisältyvät ”Rekisteritoimintoihin”).</w:t>
      </w:r>
    </w:p>
    <w:p w:rsidR="0006109C" w:rsidRDefault="00493E42">
      <w:pPr>
        <w:keepLines/>
        <w:autoSpaceDE w:val="0"/>
        <w:autoSpaceDN w:val="0"/>
        <w:adjustRightInd w:val="0"/>
        <w:rPr>
          <w:noProof/>
          <w:szCs w:val="24"/>
        </w:rPr>
      </w:pPr>
      <w:r>
        <w:rPr>
          <w:noProof/>
        </w:rPr>
        <w:t>Tietyistä tehtävistä, jotka BERECi</w:t>
      </w:r>
      <w:r>
        <w:rPr>
          <w:noProof/>
        </w:rPr>
        <w:t>lle annettiin asetuksella N:o 531/2012 (verkkovierailuja koskeva asetus) ja asetuksella N:o 2015/2120 (televiestinnän sisämarkkinoita koskeva asetus) (esim. suuntaviivojen antaminen verkon neutraliteetista ja osallistuminen luonnosten valmisteluun verkkovi</w:t>
      </w:r>
      <w:r>
        <w:rPr>
          <w:noProof/>
        </w:rPr>
        <w:t>erailua koskeviksi komission täytäntöönpanosäädöksiksi), huolehdittaisiin nyt uuden viraston puitteissa ja ne edellyttäisivät tiettyjä lisäresursseja</w:t>
      </w:r>
      <w:r>
        <w:rPr>
          <w:rStyle w:val="FootnoteReference"/>
          <w:noProof/>
        </w:rPr>
        <w:footnoteReference w:id="66"/>
      </w:r>
      <w:r>
        <w:rPr>
          <w:noProof/>
        </w:rPr>
        <w:t xml:space="preserve"> (ks. ”Sääntelyyn liittyvä ohjeistus” ja ”Komission ja muiden EU:n toimielinten avustaminen ja neuvonta”).</w:t>
      </w:r>
    </w:p>
    <w:p w:rsidR="0006109C" w:rsidRDefault="00493E42">
      <w:pPr>
        <w:keepLines/>
        <w:autoSpaceDE w:val="0"/>
        <w:autoSpaceDN w:val="0"/>
        <w:adjustRightInd w:val="0"/>
        <w:rPr>
          <w:noProof/>
        </w:rPr>
      </w:pPr>
      <w:r>
        <w:rPr>
          <w:noProof/>
        </w:rPr>
        <w:t>Perustamalla täysivaltainen virasto voidaan myös eräät horisontaaliset toimet, joista tällä hetkellä huolehtii pääosin kansallisten sääntelyviranomaisten henkilöstö, tietyssä laajuudessa ottaa hoidettaviksi uuteen virastoon. Tällaisia tehtäviä ovat esimer</w:t>
      </w:r>
      <w:r>
        <w:rPr>
          <w:noProof/>
        </w:rPr>
        <w:t>kiksi BERECin työohjelman valmistelu (ml. sääntelytoimet), josta tällä hetkellä huolehtii tulevana puheenjohtajana toimivan kansallisen sääntelyviranomaisen henkilöstö, ja työjärjestelyjen valmistelu kolmansien maiden viranomaisten kanssa tehtävää yhteisty</w:t>
      </w:r>
      <w:r>
        <w:rPr>
          <w:noProof/>
        </w:rPr>
        <w:t>ötä varten.</w:t>
      </w:r>
    </w:p>
    <w:p w:rsidR="0006109C" w:rsidRDefault="00493E42">
      <w:pPr>
        <w:keepLines/>
        <w:autoSpaceDE w:val="0"/>
        <w:autoSpaceDN w:val="0"/>
        <w:adjustRightInd w:val="0"/>
        <w:rPr>
          <w:noProof/>
        </w:rPr>
      </w:pPr>
      <w:r>
        <w:rPr>
          <w:noProof/>
        </w:rPr>
        <w:t>Tehtävämäärän merkittävä kasvu merkitsee lisäresurssien (myös lisähenkilöstön) tarvetta, jotta BEREC voisi huolehtia asianmukaisesti toiminnastaan ja täyttää tehtävänsä.</w:t>
      </w:r>
    </w:p>
    <w:p w:rsidR="0006109C" w:rsidRDefault="00493E42">
      <w:pPr>
        <w:pStyle w:val="ManualHeading3"/>
        <w:rPr>
          <w:rStyle w:val="Heading3Char"/>
          <w:noProof/>
        </w:rPr>
      </w:pPr>
      <w:r>
        <w:rPr>
          <w:rStyle w:val="Heading3Char"/>
          <w:noProof/>
        </w:rPr>
        <w:t>3.2.3.</w:t>
      </w:r>
      <w:r>
        <w:rPr>
          <w:noProof/>
        </w:rPr>
        <w:tab/>
        <w:t>Arvioidut vaikutukset viraston henkilöresursseihin</w:t>
      </w:r>
    </w:p>
    <w:p w:rsidR="0006109C" w:rsidRDefault="00493E42">
      <w:pPr>
        <w:pStyle w:val="ManualHeading4"/>
        <w:rPr>
          <w:noProof/>
        </w:rPr>
      </w:pPr>
      <w:r>
        <w:rPr>
          <w:noProof/>
        </w:rPr>
        <w:t>3.2.3.1.</w:t>
      </w:r>
      <w:r>
        <w:rPr>
          <w:noProof/>
        </w:rPr>
        <w:tab/>
      </w:r>
      <w:r>
        <w:rPr>
          <w:noProof/>
        </w:rPr>
        <w:t>Yhteenveto</w:t>
      </w:r>
    </w:p>
    <w:p w:rsidR="0006109C" w:rsidRDefault="00493E42">
      <w:pPr>
        <w:pStyle w:val="ListDash1"/>
        <w:rPr>
          <w:noProof/>
        </w:rPr>
      </w:pPr>
      <w:r>
        <w:rPr>
          <w:noProof/>
        </w:rPr>
        <w:sym w:font="Wingdings" w:char="F0A8"/>
      </w:r>
      <w:r>
        <w:rPr>
          <w:noProof/>
        </w:rPr>
        <w:tab/>
      </w:r>
      <w:r>
        <w:rPr>
          <w:noProof/>
        </w:rPr>
        <w:sym w:font="Wingdings" w:char="F0A8"/>
      </w:r>
      <w:r>
        <w:rPr>
          <w:noProof/>
        </w:rPr>
        <w:t>Ehdotus/aloite ei edellytä hallintomäärärahoja.</w:t>
      </w:r>
    </w:p>
    <w:p w:rsidR="0006109C" w:rsidRDefault="00493E42">
      <w:pPr>
        <w:pStyle w:val="ListDash1"/>
        <w:rPr>
          <w:noProof/>
        </w:rPr>
      </w:pPr>
      <w:r>
        <w:rPr>
          <w:noProof/>
        </w:rPr>
        <w:sym w:font="Wingdings" w:char="F078"/>
      </w:r>
      <w:r>
        <w:rPr>
          <w:noProof/>
        </w:rPr>
        <w:tab/>
      </w:r>
      <w:r>
        <w:rPr>
          <w:noProof/>
        </w:rPr>
        <w:sym w:font="Wingdings" w:char="F078"/>
      </w:r>
      <w:r>
        <w:rPr>
          <w:noProof/>
        </w:rPr>
        <w:t>Ehdotus/aloite edellyttää hallintomäärärahoja seuraavasti:</w:t>
      </w:r>
    </w:p>
    <w:p w:rsidR="0006109C" w:rsidRDefault="00493E42">
      <w:pPr>
        <w:pStyle w:val="ListDash1"/>
        <w:spacing w:after="60"/>
        <w:jc w:val="right"/>
        <w:rPr>
          <w:i/>
          <w:noProof/>
          <w:sz w:val="20"/>
        </w:rPr>
      </w:pPr>
      <w:r>
        <w:rPr>
          <w:i/>
          <w:noProof/>
          <w:sz w:val="20"/>
        </w:rPr>
        <w:t>Arvio kokoaikaiseksi henkilöstöksi muutettuna</w:t>
      </w:r>
    </w:p>
    <w:p w:rsidR="0006109C" w:rsidRDefault="0006109C">
      <w:pPr>
        <w:rPr>
          <w:noProof/>
          <w:sz w:val="20"/>
        </w:rPr>
      </w:pPr>
    </w:p>
    <w:tbl>
      <w:tblPr>
        <w:tblW w:w="354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89"/>
        <w:gridCol w:w="1412"/>
        <w:gridCol w:w="222"/>
        <w:gridCol w:w="1261"/>
        <w:gridCol w:w="1505"/>
      </w:tblGrid>
      <w:tr w:rsidR="0006109C">
        <w:tc>
          <w:tcPr>
            <w:tcW w:w="1496" w:type="pct"/>
            <w:tcBorders>
              <w:bottom w:val="single" w:sz="2" w:space="0" w:color="auto"/>
            </w:tcBorders>
          </w:tcPr>
          <w:p w:rsidR="0006109C" w:rsidRDefault="00493E42">
            <w:pPr>
              <w:spacing w:before="60" w:after="60"/>
              <w:jc w:val="center"/>
              <w:rPr>
                <w:b/>
                <w:noProof/>
                <w:sz w:val="20"/>
              </w:rPr>
            </w:pPr>
            <w:r>
              <w:rPr>
                <w:b/>
                <w:noProof/>
                <w:sz w:val="20"/>
              </w:rPr>
              <w:t xml:space="preserve">Henkilöresurssit </w:t>
            </w:r>
          </w:p>
        </w:tc>
        <w:tc>
          <w:tcPr>
            <w:tcW w:w="1113" w:type="pct"/>
          </w:tcPr>
          <w:p w:rsidR="0006109C" w:rsidRDefault="00493E42">
            <w:pPr>
              <w:spacing w:before="60" w:after="60"/>
              <w:jc w:val="center"/>
              <w:rPr>
                <w:noProof/>
                <w:sz w:val="20"/>
              </w:rPr>
            </w:pPr>
            <w:r>
              <w:rPr>
                <w:noProof/>
                <w:sz w:val="20"/>
              </w:rPr>
              <w:t>Lähtötilanne</w:t>
            </w:r>
            <w:r>
              <w:rPr>
                <w:noProof/>
                <w:sz w:val="20"/>
              </w:rPr>
              <w:br/>
            </w:r>
            <w:r>
              <w:rPr>
                <w:b/>
                <w:noProof/>
                <w:sz w:val="20"/>
              </w:rPr>
              <w:t>2017</w:t>
            </w:r>
            <w:r>
              <w:rPr>
                <w:rStyle w:val="FootnoteReference"/>
                <w:b/>
                <w:noProof/>
                <w:sz w:val="20"/>
              </w:rPr>
              <w:footnoteReference w:id="67"/>
            </w:r>
          </w:p>
        </w:tc>
        <w:tc>
          <w:tcPr>
            <w:tcW w:w="208" w:type="pct"/>
          </w:tcPr>
          <w:p w:rsidR="0006109C" w:rsidRDefault="0006109C">
            <w:pPr>
              <w:spacing w:before="60" w:after="60"/>
              <w:jc w:val="center"/>
              <w:rPr>
                <w:noProof/>
                <w:sz w:val="20"/>
              </w:rPr>
            </w:pPr>
          </w:p>
        </w:tc>
        <w:tc>
          <w:tcPr>
            <w:tcW w:w="1000" w:type="pct"/>
            <w:vAlign w:val="center"/>
          </w:tcPr>
          <w:p w:rsidR="0006109C" w:rsidRDefault="00493E42">
            <w:pPr>
              <w:spacing w:before="60" w:after="60"/>
              <w:jc w:val="center"/>
              <w:rPr>
                <w:noProof/>
                <w:sz w:val="20"/>
              </w:rPr>
            </w:pPr>
            <w:r>
              <w:rPr>
                <w:noProof/>
                <w:sz w:val="20"/>
              </w:rPr>
              <w:t>Vuosi</w:t>
            </w:r>
            <w:r>
              <w:rPr>
                <w:noProof/>
                <w:sz w:val="20"/>
              </w:rPr>
              <w:br/>
            </w:r>
            <w:r>
              <w:rPr>
                <w:b/>
                <w:noProof/>
                <w:sz w:val="20"/>
              </w:rPr>
              <w:t>2019</w:t>
            </w:r>
          </w:p>
        </w:tc>
        <w:tc>
          <w:tcPr>
            <w:tcW w:w="1183" w:type="pct"/>
            <w:vAlign w:val="center"/>
          </w:tcPr>
          <w:p w:rsidR="0006109C" w:rsidRDefault="00493E42">
            <w:pPr>
              <w:spacing w:before="60" w:after="60"/>
              <w:jc w:val="center"/>
              <w:rPr>
                <w:noProof/>
              </w:rPr>
            </w:pPr>
            <w:r>
              <w:rPr>
                <w:noProof/>
                <w:sz w:val="20"/>
              </w:rPr>
              <w:t>Vuosi</w:t>
            </w:r>
            <w:r>
              <w:rPr>
                <w:noProof/>
                <w:sz w:val="20"/>
              </w:rPr>
              <w:br/>
            </w:r>
            <w:r>
              <w:rPr>
                <w:b/>
                <w:noProof/>
                <w:sz w:val="20"/>
              </w:rPr>
              <w:t>2020</w:t>
            </w:r>
          </w:p>
        </w:tc>
      </w:tr>
      <w:tr w:rsidR="0006109C">
        <w:tc>
          <w:tcPr>
            <w:tcW w:w="1496" w:type="pct"/>
            <w:tcBorders>
              <w:bottom w:val="single" w:sz="4" w:space="0" w:color="auto"/>
            </w:tcBorders>
            <w:vAlign w:val="center"/>
          </w:tcPr>
          <w:p w:rsidR="0006109C" w:rsidRDefault="00493E42">
            <w:pPr>
              <w:shd w:val="clear" w:color="auto" w:fill="FFFFFF"/>
              <w:spacing w:before="60" w:after="60"/>
              <w:ind w:left="72"/>
              <w:rPr>
                <w:noProof/>
                <w:sz w:val="20"/>
              </w:rPr>
            </w:pPr>
            <w:r>
              <w:rPr>
                <w:noProof/>
                <w:sz w:val="20"/>
              </w:rPr>
              <w:t xml:space="preserve">Lähtötilanne </w:t>
            </w:r>
          </w:p>
        </w:tc>
        <w:tc>
          <w:tcPr>
            <w:tcW w:w="1113" w:type="pct"/>
            <w:vAlign w:val="center"/>
          </w:tcPr>
          <w:p w:rsidR="0006109C" w:rsidRDefault="00493E42">
            <w:pPr>
              <w:shd w:val="clear" w:color="auto" w:fill="FFFFFF"/>
              <w:spacing w:before="60" w:after="60"/>
              <w:jc w:val="center"/>
              <w:rPr>
                <w:noProof/>
                <w:sz w:val="20"/>
              </w:rPr>
            </w:pPr>
            <w:r>
              <w:rPr>
                <w:noProof/>
                <w:sz w:val="20"/>
              </w:rPr>
              <w:t>26</w:t>
            </w:r>
          </w:p>
        </w:tc>
        <w:tc>
          <w:tcPr>
            <w:tcW w:w="208" w:type="pct"/>
          </w:tcPr>
          <w:p w:rsidR="0006109C" w:rsidRDefault="0006109C">
            <w:pPr>
              <w:shd w:val="clear" w:color="auto" w:fill="FFFFFF"/>
              <w:spacing w:before="60" w:after="60"/>
              <w:jc w:val="center"/>
              <w:rPr>
                <w:noProof/>
                <w:sz w:val="20"/>
              </w:rPr>
            </w:pPr>
          </w:p>
        </w:tc>
        <w:tc>
          <w:tcPr>
            <w:tcW w:w="1000" w:type="pct"/>
            <w:vAlign w:val="center"/>
          </w:tcPr>
          <w:p w:rsidR="0006109C" w:rsidRDefault="00493E42">
            <w:pPr>
              <w:shd w:val="clear" w:color="auto" w:fill="FFFFFF"/>
              <w:spacing w:before="60" w:after="60"/>
              <w:jc w:val="center"/>
              <w:rPr>
                <w:noProof/>
                <w:sz w:val="20"/>
              </w:rPr>
            </w:pPr>
            <w:r>
              <w:rPr>
                <w:noProof/>
                <w:sz w:val="20"/>
              </w:rPr>
              <w:t>26</w:t>
            </w:r>
          </w:p>
        </w:tc>
        <w:tc>
          <w:tcPr>
            <w:tcW w:w="1183" w:type="pct"/>
            <w:vAlign w:val="center"/>
          </w:tcPr>
          <w:p w:rsidR="0006109C" w:rsidRDefault="00493E42">
            <w:pPr>
              <w:shd w:val="clear" w:color="auto" w:fill="FFFFFF"/>
              <w:spacing w:before="60" w:after="60"/>
              <w:jc w:val="center"/>
              <w:rPr>
                <w:noProof/>
                <w:sz w:val="20"/>
              </w:rPr>
            </w:pPr>
            <w:r>
              <w:rPr>
                <w:noProof/>
                <w:sz w:val="20"/>
              </w:rPr>
              <w:t>26</w:t>
            </w:r>
          </w:p>
        </w:tc>
      </w:tr>
      <w:tr w:rsidR="0006109C">
        <w:tc>
          <w:tcPr>
            <w:tcW w:w="1496" w:type="pct"/>
            <w:tcBorders>
              <w:top w:val="single" w:sz="4" w:space="0" w:color="auto"/>
            </w:tcBorders>
            <w:shd w:val="clear" w:color="auto" w:fill="FFFFFF"/>
            <w:vAlign w:val="center"/>
          </w:tcPr>
          <w:p w:rsidR="0006109C" w:rsidRDefault="00493E42">
            <w:pPr>
              <w:shd w:val="clear" w:color="auto" w:fill="FFFFFF"/>
              <w:spacing w:before="60" w:after="60"/>
              <w:ind w:left="72"/>
              <w:rPr>
                <w:noProof/>
                <w:sz w:val="20"/>
              </w:rPr>
            </w:pPr>
            <w:r>
              <w:rPr>
                <w:noProof/>
                <w:sz w:val="20"/>
              </w:rPr>
              <w:t xml:space="preserve">Muutokset </w:t>
            </w:r>
          </w:p>
        </w:tc>
        <w:tc>
          <w:tcPr>
            <w:tcW w:w="1113" w:type="pct"/>
            <w:shd w:val="clear" w:color="auto" w:fill="FFFFFF"/>
            <w:vAlign w:val="center"/>
          </w:tcPr>
          <w:p w:rsidR="0006109C" w:rsidRDefault="00493E42">
            <w:pPr>
              <w:shd w:val="clear" w:color="auto" w:fill="FFFFFF"/>
              <w:spacing w:before="60" w:after="60"/>
              <w:jc w:val="center"/>
              <w:rPr>
                <w:noProof/>
                <w:sz w:val="20"/>
              </w:rPr>
            </w:pPr>
            <w:r>
              <w:rPr>
                <w:noProof/>
                <w:sz w:val="20"/>
              </w:rPr>
              <w:t>0</w:t>
            </w:r>
          </w:p>
        </w:tc>
        <w:tc>
          <w:tcPr>
            <w:tcW w:w="208" w:type="pct"/>
            <w:shd w:val="clear" w:color="auto" w:fill="FFFFFF"/>
          </w:tcPr>
          <w:p w:rsidR="0006109C" w:rsidRDefault="0006109C">
            <w:pPr>
              <w:shd w:val="clear" w:color="auto" w:fill="FFFFFF"/>
              <w:spacing w:before="60" w:after="60"/>
              <w:jc w:val="center"/>
              <w:rPr>
                <w:noProof/>
                <w:sz w:val="20"/>
              </w:rPr>
            </w:pPr>
          </w:p>
        </w:tc>
        <w:tc>
          <w:tcPr>
            <w:tcW w:w="1000" w:type="pct"/>
            <w:shd w:val="clear" w:color="auto" w:fill="FFFFFF"/>
            <w:vAlign w:val="center"/>
          </w:tcPr>
          <w:p w:rsidR="0006109C" w:rsidRDefault="00493E42">
            <w:pPr>
              <w:shd w:val="clear" w:color="auto" w:fill="FFFFFF"/>
              <w:spacing w:before="60" w:after="60"/>
              <w:jc w:val="center"/>
              <w:rPr>
                <w:noProof/>
                <w:sz w:val="20"/>
              </w:rPr>
            </w:pPr>
            <w:r>
              <w:rPr>
                <w:noProof/>
                <w:sz w:val="20"/>
              </w:rPr>
              <w:t>9</w:t>
            </w:r>
          </w:p>
        </w:tc>
        <w:tc>
          <w:tcPr>
            <w:tcW w:w="1183" w:type="pct"/>
            <w:vAlign w:val="center"/>
          </w:tcPr>
          <w:p w:rsidR="0006109C" w:rsidRDefault="00493E42">
            <w:pPr>
              <w:shd w:val="clear" w:color="auto" w:fill="FFFFFF"/>
              <w:spacing w:before="60" w:after="60"/>
              <w:jc w:val="center"/>
              <w:rPr>
                <w:noProof/>
                <w:sz w:val="20"/>
              </w:rPr>
            </w:pPr>
            <w:r>
              <w:rPr>
                <w:noProof/>
                <w:sz w:val="20"/>
              </w:rPr>
              <w:t>18</w:t>
            </w:r>
          </w:p>
        </w:tc>
      </w:tr>
      <w:tr w:rsidR="0006109C">
        <w:tc>
          <w:tcPr>
            <w:tcW w:w="1496" w:type="pct"/>
            <w:shd w:val="clear" w:color="auto" w:fill="FFFFFF"/>
            <w:vAlign w:val="center"/>
          </w:tcPr>
          <w:p w:rsidR="0006109C" w:rsidRDefault="00493E42">
            <w:pPr>
              <w:spacing w:before="60" w:after="60"/>
              <w:rPr>
                <w:b/>
                <w:noProof/>
                <w:sz w:val="20"/>
              </w:rPr>
            </w:pPr>
            <w:r>
              <w:rPr>
                <w:b/>
                <w:noProof/>
                <w:sz w:val="20"/>
              </w:rPr>
              <w:t>Tarkistettu lähtötilanne</w:t>
            </w:r>
          </w:p>
        </w:tc>
        <w:tc>
          <w:tcPr>
            <w:tcW w:w="1113" w:type="pct"/>
            <w:shd w:val="clear" w:color="auto" w:fill="FFFFFF"/>
            <w:vAlign w:val="center"/>
          </w:tcPr>
          <w:p w:rsidR="0006109C" w:rsidRDefault="00493E42">
            <w:pPr>
              <w:shd w:val="clear" w:color="auto" w:fill="FFFFFF"/>
              <w:spacing w:before="60" w:after="60"/>
              <w:jc w:val="center"/>
              <w:rPr>
                <w:b/>
                <w:noProof/>
                <w:sz w:val="20"/>
              </w:rPr>
            </w:pPr>
            <w:r>
              <w:rPr>
                <w:b/>
                <w:noProof/>
                <w:sz w:val="20"/>
              </w:rPr>
              <w:t>26</w:t>
            </w:r>
          </w:p>
        </w:tc>
        <w:tc>
          <w:tcPr>
            <w:tcW w:w="208" w:type="pct"/>
            <w:shd w:val="clear" w:color="auto" w:fill="FFFFFF"/>
          </w:tcPr>
          <w:p w:rsidR="0006109C" w:rsidRDefault="0006109C">
            <w:pPr>
              <w:shd w:val="clear" w:color="auto" w:fill="FFFFFF"/>
              <w:spacing w:before="60" w:after="60"/>
              <w:jc w:val="center"/>
              <w:rPr>
                <w:b/>
                <w:noProof/>
                <w:sz w:val="20"/>
              </w:rPr>
            </w:pPr>
          </w:p>
        </w:tc>
        <w:tc>
          <w:tcPr>
            <w:tcW w:w="1000" w:type="pct"/>
            <w:shd w:val="clear" w:color="auto" w:fill="FFFFFF"/>
            <w:vAlign w:val="center"/>
          </w:tcPr>
          <w:p w:rsidR="0006109C" w:rsidRDefault="00493E42">
            <w:pPr>
              <w:shd w:val="clear" w:color="auto" w:fill="FFFFFF"/>
              <w:spacing w:before="60" w:after="60"/>
              <w:jc w:val="center"/>
              <w:rPr>
                <w:b/>
                <w:noProof/>
                <w:sz w:val="20"/>
              </w:rPr>
            </w:pPr>
            <w:r>
              <w:rPr>
                <w:b/>
                <w:noProof/>
                <w:sz w:val="20"/>
              </w:rPr>
              <w:t>35</w:t>
            </w:r>
          </w:p>
        </w:tc>
        <w:tc>
          <w:tcPr>
            <w:tcW w:w="1183" w:type="pct"/>
            <w:vAlign w:val="center"/>
          </w:tcPr>
          <w:p w:rsidR="0006109C" w:rsidRDefault="00493E42">
            <w:pPr>
              <w:shd w:val="clear" w:color="auto" w:fill="FFFFFF"/>
              <w:spacing w:before="60" w:after="60"/>
              <w:jc w:val="center"/>
              <w:rPr>
                <w:b/>
                <w:noProof/>
                <w:sz w:val="20"/>
              </w:rPr>
            </w:pPr>
            <w:r>
              <w:rPr>
                <w:b/>
                <w:noProof/>
                <w:sz w:val="20"/>
              </w:rPr>
              <w:t>44</w:t>
            </w:r>
          </w:p>
        </w:tc>
      </w:tr>
      <w:tr w:rsidR="0006109C">
        <w:tc>
          <w:tcPr>
            <w:tcW w:w="1496" w:type="pct"/>
            <w:vAlign w:val="center"/>
          </w:tcPr>
          <w:p w:rsidR="0006109C" w:rsidRDefault="00493E42">
            <w:pPr>
              <w:shd w:val="clear" w:color="auto" w:fill="FFFFFF"/>
              <w:spacing w:before="60" w:after="60"/>
              <w:ind w:left="72"/>
              <w:rPr>
                <w:b/>
                <w:noProof/>
                <w:sz w:val="20"/>
              </w:rPr>
            </w:pPr>
            <w:r>
              <w:rPr>
                <w:b/>
                <w:noProof/>
                <w:sz w:val="20"/>
              </w:rPr>
              <w:t xml:space="preserve">Henkilöstötaulukkoon sisältyvät virat/toimet (lukumäärä) </w:t>
            </w:r>
          </w:p>
        </w:tc>
        <w:tc>
          <w:tcPr>
            <w:tcW w:w="1113" w:type="pct"/>
            <w:vAlign w:val="center"/>
          </w:tcPr>
          <w:p w:rsidR="0006109C" w:rsidRDefault="00493E42">
            <w:pPr>
              <w:shd w:val="clear" w:color="auto" w:fill="FFFFFF"/>
              <w:spacing w:before="60" w:after="60"/>
              <w:jc w:val="center"/>
              <w:rPr>
                <w:b/>
                <w:noProof/>
                <w:sz w:val="20"/>
              </w:rPr>
            </w:pPr>
            <w:r>
              <w:rPr>
                <w:b/>
                <w:noProof/>
                <w:sz w:val="20"/>
              </w:rPr>
              <w:t>14</w:t>
            </w:r>
          </w:p>
        </w:tc>
        <w:tc>
          <w:tcPr>
            <w:tcW w:w="208" w:type="pct"/>
          </w:tcPr>
          <w:p w:rsidR="0006109C" w:rsidRDefault="0006109C">
            <w:pPr>
              <w:shd w:val="clear" w:color="auto" w:fill="FFFFFF"/>
              <w:spacing w:before="60" w:after="60"/>
              <w:jc w:val="center"/>
              <w:rPr>
                <w:b/>
                <w:noProof/>
                <w:sz w:val="20"/>
              </w:rPr>
            </w:pPr>
          </w:p>
        </w:tc>
        <w:tc>
          <w:tcPr>
            <w:tcW w:w="1000" w:type="pct"/>
            <w:vAlign w:val="center"/>
          </w:tcPr>
          <w:p w:rsidR="0006109C" w:rsidRDefault="00493E42">
            <w:pPr>
              <w:shd w:val="clear" w:color="auto" w:fill="FFFFFF"/>
              <w:spacing w:before="60" w:after="60"/>
              <w:jc w:val="center"/>
              <w:rPr>
                <w:b/>
                <w:noProof/>
                <w:sz w:val="20"/>
              </w:rPr>
            </w:pPr>
            <w:r>
              <w:rPr>
                <w:b/>
                <w:noProof/>
                <w:sz w:val="20"/>
              </w:rPr>
              <w:t>14</w:t>
            </w:r>
          </w:p>
        </w:tc>
        <w:tc>
          <w:tcPr>
            <w:tcW w:w="1183" w:type="pct"/>
            <w:vAlign w:val="center"/>
          </w:tcPr>
          <w:p w:rsidR="0006109C" w:rsidRDefault="00493E42">
            <w:pPr>
              <w:shd w:val="clear" w:color="auto" w:fill="FFFFFF"/>
              <w:spacing w:before="60" w:after="60"/>
              <w:jc w:val="center"/>
              <w:rPr>
                <w:b/>
                <w:noProof/>
                <w:sz w:val="20"/>
              </w:rPr>
            </w:pPr>
            <w:r>
              <w:rPr>
                <w:b/>
                <w:noProof/>
                <w:sz w:val="20"/>
              </w:rPr>
              <w:t>14</w:t>
            </w:r>
          </w:p>
        </w:tc>
      </w:tr>
      <w:tr w:rsidR="0006109C">
        <w:tc>
          <w:tcPr>
            <w:tcW w:w="1496" w:type="pct"/>
            <w:vAlign w:val="center"/>
          </w:tcPr>
          <w:p w:rsidR="0006109C" w:rsidRDefault="00493E42">
            <w:pPr>
              <w:shd w:val="clear" w:color="auto" w:fill="FFFFFF"/>
              <w:spacing w:before="60" w:after="60"/>
              <w:ind w:left="72"/>
              <w:rPr>
                <w:b/>
                <w:noProof/>
                <w:sz w:val="20"/>
              </w:rPr>
            </w:pPr>
            <w:r>
              <w:rPr>
                <w:b/>
                <w:noProof/>
                <w:sz w:val="20"/>
              </w:rPr>
              <w:t xml:space="preserve">Ulkopuolinen henkilöstö (kokoaikaiseksi muutettuna) </w:t>
            </w:r>
          </w:p>
        </w:tc>
        <w:tc>
          <w:tcPr>
            <w:tcW w:w="1113" w:type="pct"/>
            <w:vAlign w:val="center"/>
          </w:tcPr>
          <w:p w:rsidR="0006109C" w:rsidRDefault="00493E42">
            <w:pPr>
              <w:shd w:val="clear" w:color="auto" w:fill="FFFFFF"/>
              <w:spacing w:before="60" w:after="60"/>
              <w:jc w:val="center"/>
              <w:rPr>
                <w:b/>
                <w:noProof/>
                <w:sz w:val="20"/>
              </w:rPr>
            </w:pPr>
            <w:r>
              <w:rPr>
                <w:b/>
                <w:noProof/>
                <w:sz w:val="20"/>
              </w:rPr>
              <w:t>12</w:t>
            </w:r>
          </w:p>
        </w:tc>
        <w:tc>
          <w:tcPr>
            <w:tcW w:w="208" w:type="pct"/>
          </w:tcPr>
          <w:p w:rsidR="0006109C" w:rsidRDefault="0006109C">
            <w:pPr>
              <w:shd w:val="clear" w:color="auto" w:fill="FFFFFF"/>
              <w:spacing w:before="60" w:after="60"/>
              <w:jc w:val="center"/>
              <w:rPr>
                <w:b/>
                <w:noProof/>
                <w:sz w:val="20"/>
              </w:rPr>
            </w:pPr>
          </w:p>
        </w:tc>
        <w:tc>
          <w:tcPr>
            <w:tcW w:w="1000" w:type="pct"/>
            <w:vAlign w:val="center"/>
          </w:tcPr>
          <w:p w:rsidR="0006109C" w:rsidRDefault="00493E42">
            <w:pPr>
              <w:shd w:val="clear" w:color="auto" w:fill="FFFFFF"/>
              <w:spacing w:before="60" w:after="60"/>
              <w:jc w:val="center"/>
              <w:rPr>
                <w:b/>
                <w:noProof/>
                <w:sz w:val="20"/>
              </w:rPr>
            </w:pPr>
            <w:r>
              <w:rPr>
                <w:b/>
                <w:noProof/>
                <w:sz w:val="20"/>
              </w:rPr>
              <w:t>21</w:t>
            </w:r>
          </w:p>
        </w:tc>
        <w:tc>
          <w:tcPr>
            <w:tcW w:w="1183" w:type="pct"/>
            <w:vAlign w:val="center"/>
          </w:tcPr>
          <w:p w:rsidR="0006109C" w:rsidRDefault="00493E42">
            <w:pPr>
              <w:shd w:val="clear" w:color="auto" w:fill="FFFFFF"/>
              <w:spacing w:before="60" w:after="60"/>
              <w:jc w:val="center"/>
              <w:rPr>
                <w:b/>
                <w:noProof/>
                <w:sz w:val="20"/>
              </w:rPr>
            </w:pPr>
            <w:r>
              <w:rPr>
                <w:b/>
                <w:noProof/>
                <w:sz w:val="20"/>
              </w:rPr>
              <w:t>30</w:t>
            </w:r>
          </w:p>
        </w:tc>
      </w:tr>
      <w:tr w:rsidR="0006109C">
        <w:tc>
          <w:tcPr>
            <w:tcW w:w="1496" w:type="pct"/>
            <w:shd w:val="clear" w:color="auto" w:fill="FFFFFF"/>
            <w:vAlign w:val="center"/>
          </w:tcPr>
          <w:p w:rsidR="0006109C" w:rsidRDefault="00493E42">
            <w:pPr>
              <w:shd w:val="clear" w:color="auto" w:fill="FFFFFF"/>
              <w:spacing w:before="60" w:after="60"/>
              <w:ind w:left="72"/>
              <w:rPr>
                <w:i/>
                <w:noProof/>
                <w:sz w:val="20"/>
              </w:rPr>
            </w:pPr>
            <w:r>
              <w:rPr>
                <w:i/>
                <w:noProof/>
                <w:sz w:val="20"/>
              </w:rPr>
              <w:t xml:space="preserve">joista sopimussuhteisia toimihenkilöitä </w:t>
            </w:r>
          </w:p>
        </w:tc>
        <w:tc>
          <w:tcPr>
            <w:tcW w:w="1113" w:type="pct"/>
            <w:shd w:val="clear" w:color="auto" w:fill="FFFFFF"/>
            <w:vAlign w:val="center"/>
          </w:tcPr>
          <w:p w:rsidR="0006109C" w:rsidRDefault="00493E42">
            <w:pPr>
              <w:shd w:val="clear" w:color="auto" w:fill="FFFFFF"/>
              <w:spacing w:before="60" w:after="60"/>
              <w:jc w:val="center"/>
              <w:rPr>
                <w:noProof/>
                <w:sz w:val="20"/>
              </w:rPr>
            </w:pPr>
            <w:r>
              <w:rPr>
                <w:noProof/>
                <w:sz w:val="20"/>
              </w:rPr>
              <w:t>8</w:t>
            </w:r>
          </w:p>
        </w:tc>
        <w:tc>
          <w:tcPr>
            <w:tcW w:w="208" w:type="pct"/>
            <w:shd w:val="clear" w:color="auto" w:fill="FFFFFF"/>
          </w:tcPr>
          <w:p w:rsidR="0006109C" w:rsidRDefault="0006109C">
            <w:pPr>
              <w:shd w:val="clear" w:color="auto" w:fill="FFFFFF"/>
              <w:spacing w:before="60" w:after="60"/>
              <w:jc w:val="center"/>
              <w:rPr>
                <w:noProof/>
                <w:sz w:val="20"/>
              </w:rPr>
            </w:pPr>
          </w:p>
        </w:tc>
        <w:tc>
          <w:tcPr>
            <w:tcW w:w="1000" w:type="pct"/>
            <w:shd w:val="clear" w:color="auto" w:fill="FFFFFF"/>
            <w:vAlign w:val="center"/>
          </w:tcPr>
          <w:p w:rsidR="0006109C" w:rsidRDefault="00493E42">
            <w:pPr>
              <w:shd w:val="clear" w:color="auto" w:fill="FFFFFF"/>
              <w:spacing w:before="60" w:after="60"/>
              <w:jc w:val="center"/>
              <w:rPr>
                <w:noProof/>
                <w:sz w:val="20"/>
              </w:rPr>
            </w:pPr>
            <w:r>
              <w:rPr>
                <w:noProof/>
                <w:sz w:val="20"/>
              </w:rPr>
              <w:t>13</w:t>
            </w:r>
          </w:p>
        </w:tc>
        <w:tc>
          <w:tcPr>
            <w:tcW w:w="1183" w:type="pct"/>
            <w:vAlign w:val="center"/>
          </w:tcPr>
          <w:p w:rsidR="0006109C" w:rsidRDefault="00493E42">
            <w:pPr>
              <w:shd w:val="clear" w:color="auto" w:fill="FFFFFF"/>
              <w:spacing w:before="60" w:after="60"/>
              <w:jc w:val="center"/>
              <w:rPr>
                <w:noProof/>
                <w:sz w:val="20"/>
              </w:rPr>
            </w:pPr>
            <w:r>
              <w:rPr>
                <w:noProof/>
                <w:sz w:val="20"/>
              </w:rPr>
              <w:t>19</w:t>
            </w:r>
          </w:p>
        </w:tc>
      </w:tr>
      <w:tr w:rsidR="0006109C">
        <w:tc>
          <w:tcPr>
            <w:tcW w:w="1496" w:type="pct"/>
            <w:shd w:val="clear" w:color="auto" w:fill="FFFFFF"/>
            <w:vAlign w:val="center"/>
          </w:tcPr>
          <w:p w:rsidR="0006109C" w:rsidRDefault="00493E42">
            <w:pPr>
              <w:shd w:val="clear" w:color="auto" w:fill="FFFFFF"/>
              <w:spacing w:before="60" w:after="60"/>
              <w:jc w:val="center"/>
              <w:rPr>
                <w:noProof/>
                <w:sz w:val="20"/>
              </w:rPr>
            </w:pPr>
            <w:r>
              <w:rPr>
                <w:i/>
                <w:noProof/>
                <w:sz w:val="20"/>
              </w:rPr>
              <w:t xml:space="preserve">joista </w:t>
            </w:r>
            <w:r>
              <w:rPr>
                <w:i/>
                <w:noProof/>
                <w:sz w:val="20"/>
              </w:rPr>
              <w:t>kansallisia asiantuntijoita</w:t>
            </w:r>
            <w:r>
              <w:rPr>
                <w:noProof/>
                <w:sz w:val="20"/>
              </w:rPr>
              <w:t xml:space="preserve"> </w:t>
            </w:r>
          </w:p>
        </w:tc>
        <w:tc>
          <w:tcPr>
            <w:tcW w:w="1113" w:type="pct"/>
            <w:vAlign w:val="center"/>
          </w:tcPr>
          <w:p w:rsidR="0006109C" w:rsidRDefault="00493E42">
            <w:pPr>
              <w:shd w:val="clear" w:color="auto" w:fill="FFFFFF"/>
              <w:spacing w:before="60" w:after="60"/>
              <w:jc w:val="center"/>
              <w:rPr>
                <w:noProof/>
                <w:sz w:val="20"/>
              </w:rPr>
            </w:pPr>
            <w:r>
              <w:rPr>
                <w:noProof/>
                <w:sz w:val="20"/>
              </w:rPr>
              <w:t>4</w:t>
            </w:r>
          </w:p>
        </w:tc>
        <w:tc>
          <w:tcPr>
            <w:tcW w:w="208" w:type="pct"/>
          </w:tcPr>
          <w:p w:rsidR="0006109C" w:rsidRDefault="0006109C">
            <w:pPr>
              <w:shd w:val="clear" w:color="auto" w:fill="FFFFFF"/>
              <w:spacing w:before="60" w:after="60"/>
              <w:jc w:val="center"/>
              <w:rPr>
                <w:noProof/>
                <w:sz w:val="20"/>
              </w:rPr>
            </w:pPr>
          </w:p>
        </w:tc>
        <w:tc>
          <w:tcPr>
            <w:tcW w:w="1000" w:type="pct"/>
            <w:vAlign w:val="center"/>
          </w:tcPr>
          <w:p w:rsidR="0006109C" w:rsidRDefault="00493E42">
            <w:pPr>
              <w:shd w:val="clear" w:color="auto" w:fill="FFFFFF"/>
              <w:spacing w:before="60" w:after="60"/>
              <w:jc w:val="center"/>
              <w:rPr>
                <w:noProof/>
                <w:sz w:val="20"/>
              </w:rPr>
            </w:pPr>
            <w:r>
              <w:rPr>
                <w:noProof/>
                <w:sz w:val="20"/>
              </w:rPr>
              <w:t>8</w:t>
            </w:r>
          </w:p>
        </w:tc>
        <w:tc>
          <w:tcPr>
            <w:tcW w:w="1183" w:type="pct"/>
            <w:vAlign w:val="center"/>
          </w:tcPr>
          <w:p w:rsidR="0006109C" w:rsidRDefault="00493E42">
            <w:pPr>
              <w:shd w:val="clear" w:color="auto" w:fill="FFFFFF"/>
              <w:spacing w:before="60" w:after="60"/>
              <w:jc w:val="center"/>
              <w:rPr>
                <w:noProof/>
                <w:sz w:val="20"/>
              </w:rPr>
            </w:pPr>
            <w:r>
              <w:rPr>
                <w:noProof/>
                <w:sz w:val="20"/>
              </w:rPr>
              <w:t>11</w:t>
            </w:r>
          </w:p>
        </w:tc>
      </w:tr>
      <w:tr w:rsidR="0006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6" w:type="pct"/>
            <w:tcBorders>
              <w:top w:val="single" w:sz="12" w:space="0" w:color="auto"/>
              <w:left w:val="single" w:sz="12" w:space="0" w:color="auto"/>
              <w:bottom w:val="single" w:sz="12" w:space="0" w:color="auto"/>
              <w:right w:val="single" w:sz="2" w:space="0" w:color="auto"/>
            </w:tcBorders>
            <w:vAlign w:val="center"/>
          </w:tcPr>
          <w:p w:rsidR="0006109C" w:rsidRDefault="00493E42">
            <w:pPr>
              <w:spacing w:before="60" w:after="60"/>
              <w:rPr>
                <w:b/>
                <w:noProof/>
                <w:highlight w:val="yellow"/>
              </w:rPr>
            </w:pPr>
            <w:r>
              <w:rPr>
                <w:b/>
                <w:noProof/>
              </w:rPr>
              <w:t xml:space="preserve">Henkilöstö yhteensä </w:t>
            </w:r>
          </w:p>
        </w:tc>
        <w:tc>
          <w:tcPr>
            <w:tcW w:w="1113" w:type="pct"/>
            <w:tcBorders>
              <w:top w:val="single" w:sz="12" w:space="0" w:color="auto"/>
              <w:left w:val="single" w:sz="2" w:space="0" w:color="auto"/>
              <w:bottom w:val="single" w:sz="12" w:space="0" w:color="auto"/>
              <w:right w:val="single" w:sz="2" w:space="0" w:color="auto"/>
            </w:tcBorders>
            <w:vAlign w:val="center"/>
          </w:tcPr>
          <w:p w:rsidR="0006109C" w:rsidRDefault="00493E42">
            <w:pPr>
              <w:spacing w:before="60" w:after="60"/>
              <w:jc w:val="center"/>
              <w:rPr>
                <w:b/>
                <w:noProof/>
                <w:sz w:val="20"/>
              </w:rPr>
            </w:pPr>
            <w:r>
              <w:rPr>
                <w:b/>
                <w:noProof/>
                <w:sz w:val="20"/>
              </w:rPr>
              <w:t>26</w:t>
            </w:r>
          </w:p>
        </w:tc>
        <w:tc>
          <w:tcPr>
            <w:tcW w:w="208" w:type="pct"/>
            <w:tcBorders>
              <w:top w:val="single" w:sz="12" w:space="0" w:color="auto"/>
              <w:left w:val="single" w:sz="2" w:space="0" w:color="auto"/>
              <w:bottom w:val="single" w:sz="12" w:space="0" w:color="auto"/>
              <w:right w:val="single" w:sz="2" w:space="0" w:color="auto"/>
            </w:tcBorders>
          </w:tcPr>
          <w:p w:rsidR="0006109C" w:rsidRDefault="0006109C">
            <w:pPr>
              <w:spacing w:before="60" w:after="60"/>
              <w:jc w:val="center"/>
              <w:rPr>
                <w:b/>
                <w:noProof/>
                <w:sz w:val="20"/>
              </w:rPr>
            </w:pPr>
          </w:p>
        </w:tc>
        <w:tc>
          <w:tcPr>
            <w:tcW w:w="1000" w:type="pct"/>
            <w:tcBorders>
              <w:top w:val="single" w:sz="12" w:space="0" w:color="auto"/>
              <w:left w:val="single" w:sz="2" w:space="0" w:color="auto"/>
              <w:bottom w:val="single" w:sz="12" w:space="0" w:color="auto"/>
              <w:right w:val="single" w:sz="2" w:space="0" w:color="auto"/>
            </w:tcBorders>
            <w:vAlign w:val="center"/>
          </w:tcPr>
          <w:p w:rsidR="0006109C" w:rsidRDefault="00493E42">
            <w:pPr>
              <w:spacing w:before="60" w:after="60"/>
              <w:jc w:val="center"/>
              <w:rPr>
                <w:b/>
                <w:noProof/>
                <w:sz w:val="20"/>
              </w:rPr>
            </w:pPr>
            <w:r>
              <w:rPr>
                <w:b/>
                <w:noProof/>
                <w:sz w:val="20"/>
              </w:rPr>
              <w:t>35</w:t>
            </w:r>
          </w:p>
        </w:tc>
        <w:tc>
          <w:tcPr>
            <w:tcW w:w="1183" w:type="pct"/>
            <w:tcBorders>
              <w:top w:val="single" w:sz="12" w:space="0" w:color="auto"/>
              <w:left w:val="single" w:sz="2" w:space="0" w:color="auto"/>
              <w:bottom w:val="single" w:sz="12" w:space="0" w:color="auto"/>
              <w:right w:val="single" w:sz="2" w:space="0" w:color="auto"/>
            </w:tcBorders>
            <w:vAlign w:val="center"/>
          </w:tcPr>
          <w:p w:rsidR="0006109C" w:rsidRDefault="00493E42">
            <w:pPr>
              <w:spacing w:before="60" w:after="60"/>
              <w:jc w:val="center"/>
              <w:rPr>
                <w:b/>
                <w:noProof/>
                <w:sz w:val="20"/>
              </w:rPr>
            </w:pPr>
            <w:r>
              <w:rPr>
                <w:b/>
                <w:noProof/>
                <w:sz w:val="20"/>
              </w:rPr>
              <w:t>44</w:t>
            </w:r>
            <w:r>
              <w:rPr>
                <w:rStyle w:val="FootnoteReference"/>
                <w:b/>
                <w:noProof/>
                <w:sz w:val="20"/>
              </w:rPr>
              <w:footnoteReference w:id="68"/>
            </w:r>
          </w:p>
        </w:tc>
      </w:tr>
    </w:tbl>
    <w:p w:rsidR="0006109C" w:rsidRDefault="0006109C">
      <w:pPr>
        <w:jc w:val="center"/>
        <w:rPr>
          <w:noProof/>
          <w:sz w:val="20"/>
          <w:highlight w:val="yellow"/>
        </w:rPr>
      </w:pPr>
    </w:p>
    <w:p w:rsidR="0006109C" w:rsidRDefault="0006109C">
      <w:pPr>
        <w:pStyle w:val="ListDash1"/>
        <w:spacing w:after="60"/>
        <w:jc w:val="right"/>
        <w:rPr>
          <w:i/>
          <w:noProof/>
          <w:sz w:val="20"/>
        </w:rPr>
      </w:pPr>
    </w:p>
    <w:tbl>
      <w:tblPr>
        <w:tblW w:w="33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49"/>
        <w:gridCol w:w="1390"/>
        <w:gridCol w:w="289"/>
        <w:gridCol w:w="1117"/>
        <w:gridCol w:w="1284"/>
      </w:tblGrid>
      <w:tr w:rsidR="0006109C">
        <w:tc>
          <w:tcPr>
            <w:tcW w:w="1724" w:type="pct"/>
            <w:tcBorders>
              <w:bottom w:val="single" w:sz="2" w:space="0" w:color="auto"/>
            </w:tcBorders>
          </w:tcPr>
          <w:p w:rsidR="0006109C" w:rsidRDefault="00493E42">
            <w:pPr>
              <w:spacing w:before="60" w:after="60"/>
              <w:jc w:val="center"/>
              <w:rPr>
                <w:b/>
                <w:noProof/>
                <w:sz w:val="20"/>
              </w:rPr>
            </w:pPr>
            <w:r>
              <w:rPr>
                <w:b/>
                <w:noProof/>
                <w:sz w:val="20"/>
              </w:rPr>
              <w:t>Henkilöstömenot</w:t>
            </w:r>
            <w:r>
              <w:rPr>
                <w:rStyle w:val="FootnoteReference"/>
                <w:b/>
                <w:noProof/>
                <w:sz w:val="20"/>
              </w:rPr>
              <w:footnoteReference w:id="69"/>
            </w:r>
            <w:r>
              <w:rPr>
                <w:b/>
                <w:noProof/>
                <w:sz w:val="20"/>
              </w:rPr>
              <w:t xml:space="preserve"> </w:t>
            </w:r>
          </w:p>
        </w:tc>
        <w:tc>
          <w:tcPr>
            <w:tcW w:w="1116" w:type="pct"/>
          </w:tcPr>
          <w:p w:rsidR="0006109C" w:rsidRDefault="00493E42">
            <w:pPr>
              <w:spacing w:before="60" w:after="60"/>
              <w:jc w:val="center"/>
              <w:rPr>
                <w:noProof/>
                <w:sz w:val="20"/>
              </w:rPr>
            </w:pPr>
            <w:r>
              <w:rPr>
                <w:noProof/>
                <w:sz w:val="20"/>
              </w:rPr>
              <w:t>Lähtötilanne</w:t>
            </w:r>
            <w:r>
              <w:rPr>
                <w:noProof/>
                <w:sz w:val="20"/>
              </w:rPr>
              <w:br/>
            </w:r>
            <w:r>
              <w:rPr>
                <w:b/>
                <w:noProof/>
                <w:sz w:val="20"/>
              </w:rPr>
              <w:t>2017</w:t>
            </w:r>
          </w:p>
        </w:tc>
        <w:tc>
          <w:tcPr>
            <w:tcW w:w="232" w:type="pct"/>
          </w:tcPr>
          <w:p w:rsidR="0006109C" w:rsidRDefault="0006109C">
            <w:pPr>
              <w:spacing w:before="60" w:after="60"/>
              <w:jc w:val="center"/>
              <w:rPr>
                <w:noProof/>
                <w:sz w:val="20"/>
              </w:rPr>
            </w:pPr>
          </w:p>
        </w:tc>
        <w:tc>
          <w:tcPr>
            <w:tcW w:w="897" w:type="pct"/>
            <w:vAlign w:val="center"/>
          </w:tcPr>
          <w:p w:rsidR="0006109C" w:rsidRDefault="00493E42">
            <w:pPr>
              <w:spacing w:before="60" w:after="60"/>
              <w:jc w:val="center"/>
              <w:rPr>
                <w:noProof/>
                <w:sz w:val="20"/>
              </w:rPr>
            </w:pPr>
            <w:r>
              <w:rPr>
                <w:noProof/>
                <w:sz w:val="20"/>
              </w:rPr>
              <w:t>Vuosi</w:t>
            </w:r>
            <w:r>
              <w:rPr>
                <w:noProof/>
                <w:sz w:val="20"/>
              </w:rPr>
              <w:br/>
            </w:r>
            <w:r>
              <w:rPr>
                <w:b/>
                <w:noProof/>
                <w:sz w:val="20"/>
              </w:rPr>
              <w:t>2019</w:t>
            </w:r>
          </w:p>
        </w:tc>
        <w:tc>
          <w:tcPr>
            <w:tcW w:w="1031" w:type="pct"/>
            <w:vAlign w:val="center"/>
          </w:tcPr>
          <w:p w:rsidR="0006109C" w:rsidRDefault="00493E42">
            <w:pPr>
              <w:spacing w:before="60" w:after="60"/>
              <w:jc w:val="center"/>
              <w:rPr>
                <w:noProof/>
              </w:rPr>
            </w:pPr>
            <w:r>
              <w:rPr>
                <w:noProof/>
                <w:sz w:val="20"/>
              </w:rPr>
              <w:t>Vuosi</w:t>
            </w:r>
            <w:r>
              <w:rPr>
                <w:noProof/>
                <w:sz w:val="20"/>
              </w:rPr>
              <w:br/>
            </w:r>
            <w:r>
              <w:rPr>
                <w:b/>
                <w:noProof/>
                <w:sz w:val="20"/>
              </w:rPr>
              <w:t>2020</w:t>
            </w:r>
          </w:p>
        </w:tc>
      </w:tr>
      <w:tr w:rsidR="0006109C">
        <w:tc>
          <w:tcPr>
            <w:tcW w:w="1724" w:type="pct"/>
            <w:tcBorders>
              <w:bottom w:val="single" w:sz="4" w:space="0" w:color="auto"/>
            </w:tcBorders>
            <w:vAlign w:val="center"/>
          </w:tcPr>
          <w:p w:rsidR="0006109C" w:rsidRDefault="00493E42">
            <w:pPr>
              <w:autoSpaceDE w:val="0"/>
              <w:autoSpaceDN w:val="0"/>
              <w:adjustRightInd w:val="0"/>
              <w:rPr>
                <w:b/>
                <w:bCs/>
                <w:noProof/>
                <w:sz w:val="20"/>
                <w:szCs w:val="20"/>
              </w:rPr>
            </w:pPr>
            <w:r>
              <w:rPr>
                <w:b/>
                <w:noProof/>
                <w:sz w:val="20"/>
              </w:rPr>
              <w:t>Henkilöstötaulukko</w:t>
            </w:r>
          </w:p>
          <w:p w:rsidR="0006109C" w:rsidRDefault="00493E42">
            <w:pPr>
              <w:autoSpaceDE w:val="0"/>
              <w:autoSpaceDN w:val="0"/>
              <w:adjustRightInd w:val="0"/>
              <w:rPr>
                <w:b/>
                <w:bCs/>
                <w:noProof/>
                <w:sz w:val="20"/>
                <w:szCs w:val="20"/>
              </w:rPr>
            </w:pPr>
            <w:r>
              <w:rPr>
                <w:b/>
                <w:noProof/>
                <w:sz w:val="20"/>
              </w:rPr>
              <w:t xml:space="preserve">Virat/toimet (lukumäärä) </w:t>
            </w:r>
          </w:p>
        </w:tc>
        <w:tc>
          <w:tcPr>
            <w:tcW w:w="1116" w:type="pct"/>
            <w:vAlign w:val="center"/>
          </w:tcPr>
          <w:p w:rsidR="0006109C" w:rsidRDefault="00493E42">
            <w:pPr>
              <w:shd w:val="clear" w:color="auto" w:fill="FFFFFF"/>
              <w:spacing w:before="60" w:after="60"/>
              <w:jc w:val="center"/>
              <w:rPr>
                <w:noProof/>
                <w:sz w:val="20"/>
              </w:rPr>
            </w:pPr>
            <w:r>
              <w:rPr>
                <w:noProof/>
                <w:sz w:val="20"/>
              </w:rPr>
              <w:t>–</w:t>
            </w:r>
          </w:p>
        </w:tc>
        <w:tc>
          <w:tcPr>
            <w:tcW w:w="232" w:type="pct"/>
          </w:tcPr>
          <w:p w:rsidR="0006109C" w:rsidRDefault="0006109C">
            <w:pPr>
              <w:shd w:val="clear" w:color="auto" w:fill="FFFFFF"/>
              <w:spacing w:before="60" w:after="60"/>
              <w:jc w:val="center"/>
              <w:rPr>
                <w:noProof/>
                <w:sz w:val="20"/>
              </w:rPr>
            </w:pPr>
          </w:p>
        </w:tc>
        <w:tc>
          <w:tcPr>
            <w:tcW w:w="897" w:type="pct"/>
            <w:vAlign w:val="center"/>
          </w:tcPr>
          <w:p w:rsidR="0006109C" w:rsidRDefault="00493E42">
            <w:pPr>
              <w:shd w:val="clear" w:color="auto" w:fill="FFFFFF"/>
              <w:spacing w:before="60" w:after="60"/>
              <w:jc w:val="center"/>
              <w:rPr>
                <w:noProof/>
                <w:sz w:val="20"/>
              </w:rPr>
            </w:pPr>
            <w:r>
              <w:rPr>
                <w:noProof/>
                <w:sz w:val="20"/>
              </w:rPr>
              <w:t>1,876</w:t>
            </w:r>
          </w:p>
        </w:tc>
        <w:tc>
          <w:tcPr>
            <w:tcW w:w="1031" w:type="pct"/>
            <w:vAlign w:val="center"/>
          </w:tcPr>
          <w:p w:rsidR="0006109C" w:rsidRDefault="00493E42">
            <w:pPr>
              <w:shd w:val="clear" w:color="auto" w:fill="FFFFFF"/>
              <w:spacing w:before="60" w:after="60"/>
              <w:jc w:val="center"/>
              <w:rPr>
                <w:noProof/>
                <w:sz w:val="20"/>
              </w:rPr>
            </w:pPr>
            <w:r>
              <w:rPr>
                <w:noProof/>
                <w:sz w:val="20"/>
              </w:rPr>
              <w:t>1,876</w:t>
            </w:r>
          </w:p>
        </w:tc>
      </w:tr>
      <w:tr w:rsidR="0006109C">
        <w:tc>
          <w:tcPr>
            <w:tcW w:w="1724" w:type="pct"/>
            <w:tcBorders>
              <w:top w:val="single" w:sz="4" w:space="0" w:color="auto"/>
            </w:tcBorders>
            <w:shd w:val="clear" w:color="auto" w:fill="FFFFFF"/>
            <w:vAlign w:val="center"/>
          </w:tcPr>
          <w:p w:rsidR="0006109C" w:rsidRDefault="00493E42">
            <w:pPr>
              <w:shd w:val="clear" w:color="auto" w:fill="FFFFFF"/>
              <w:spacing w:before="60" w:after="60"/>
              <w:ind w:left="72"/>
              <w:rPr>
                <w:noProof/>
                <w:sz w:val="20"/>
              </w:rPr>
            </w:pPr>
            <w:r>
              <w:rPr>
                <w:b/>
                <w:noProof/>
                <w:sz w:val="20"/>
              </w:rPr>
              <w:t>Ulkopuolinen henkilöstö (kokoaikaiseksi muutettuna)</w:t>
            </w:r>
          </w:p>
        </w:tc>
        <w:tc>
          <w:tcPr>
            <w:tcW w:w="1116" w:type="pct"/>
            <w:shd w:val="clear" w:color="auto" w:fill="FFFFFF"/>
            <w:vAlign w:val="center"/>
          </w:tcPr>
          <w:p w:rsidR="0006109C" w:rsidRDefault="0006109C">
            <w:pPr>
              <w:shd w:val="clear" w:color="auto" w:fill="FFFFFF"/>
              <w:spacing w:before="60" w:after="60"/>
              <w:jc w:val="center"/>
              <w:rPr>
                <w:noProof/>
                <w:sz w:val="20"/>
              </w:rPr>
            </w:pPr>
          </w:p>
        </w:tc>
        <w:tc>
          <w:tcPr>
            <w:tcW w:w="232" w:type="pct"/>
            <w:shd w:val="clear" w:color="auto" w:fill="FFFFFF"/>
          </w:tcPr>
          <w:p w:rsidR="0006109C" w:rsidRDefault="0006109C">
            <w:pPr>
              <w:shd w:val="clear" w:color="auto" w:fill="FFFFFF"/>
              <w:spacing w:before="60" w:after="60"/>
              <w:jc w:val="center"/>
              <w:rPr>
                <w:noProof/>
                <w:sz w:val="20"/>
              </w:rPr>
            </w:pPr>
          </w:p>
        </w:tc>
        <w:tc>
          <w:tcPr>
            <w:tcW w:w="897" w:type="pct"/>
            <w:shd w:val="clear" w:color="auto" w:fill="FFFFFF"/>
            <w:vAlign w:val="center"/>
          </w:tcPr>
          <w:p w:rsidR="0006109C" w:rsidRDefault="0006109C">
            <w:pPr>
              <w:shd w:val="clear" w:color="auto" w:fill="FFFFFF"/>
              <w:spacing w:before="60" w:after="60"/>
              <w:jc w:val="center"/>
              <w:rPr>
                <w:noProof/>
                <w:sz w:val="20"/>
              </w:rPr>
            </w:pPr>
          </w:p>
        </w:tc>
        <w:tc>
          <w:tcPr>
            <w:tcW w:w="1031" w:type="pct"/>
            <w:vAlign w:val="center"/>
          </w:tcPr>
          <w:p w:rsidR="0006109C" w:rsidRDefault="0006109C">
            <w:pPr>
              <w:shd w:val="clear" w:color="auto" w:fill="FFFFFF"/>
              <w:spacing w:before="60" w:after="60"/>
              <w:jc w:val="center"/>
              <w:rPr>
                <w:noProof/>
                <w:sz w:val="20"/>
              </w:rPr>
            </w:pPr>
          </w:p>
        </w:tc>
      </w:tr>
      <w:tr w:rsidR="0006109C">
        <w:tc>
          <w:tcPr>
            <w:tcW w:w="1724" w:type="pct"/>
            <w:shd w:val="clear" w:color="auto" w:fill="FFFFFF"/>
            <w:vAlign w:val="center"/>
          </w:tcPr>
          <w:p w:rsidR="0006109C" w:rsidRDefault="00493E42">
            <w:pPr>
              <w:autoSpaceDE w:val="0"/>
              <w:autoSpaceDN w:val="0"/>
              <w:adjustRightInd w:val="0"/>
              <w:rPr>
                <w:noProof/>
                <w:sz w:val="20"/>
                <w:szCs w:val="20"/>
              </w:rPr>
            </w:pPr>
            <w:r>
              <w:rPr>
                <w:noProof/>
                <w:sz w:val="20"/>
              </w:rPr>
              <w:t xml:space="preserve">– </w:t>
            </w:r>
            <w:r>
              <w:rPr>
                <w:noProof/>
                <w:sz w:val="20"/>
              </w:rPr>
              <w:t>joista sopimussuhteisia</w:t>
            </w:r>
          </w:p>
          <w:p w:rsidR="0006109C" w:rsidRDefault="00493E42">
            <w:pPr>
              <w:spacing w:before="60" w:after="60"/>
              <w:rPr>
                <w:b/>
                <w:noProof/>
                <w:sz w:val="20"/>
              </w:rPr>
            </w:pPr>
            <w:r>
              <w:rPr>
                <w:noProof/>
                <w:sz w:val="20"/>
              </w:rPr>
              <w:t>toimihenkilöitä</w:t>
            </w:r>
          </w:p>
        </w:tc>
        <w:tc>
          <w:tcPr>
            <w:tcW w:w="1116" w:type="pct"/>
            <w:shd w:val="clear" w:color="auto" w:fill="FFFFFF"/>
            <w:vAlign w:val="center"/>
          </w:tcPr>
          <w:p w:rsidR="0006109C" w:rsidRDefault="00493E42">
            <w:pPr>
              <w:shd w:val="clear" w:color="auto" w:fill="FFFFFF"/>
              <w:spacing w:before="60" w:after="60"/>
              <w:jc w:val="center"/>
              <w:rPr>
                <w:noProof/>
                <w:sz w:val="20"/>
              </w:rPr>
            </w:pPr>
            <w:r>
              <w:rPr>
                <w:noProof/>
                <w:sz w:val="20"/>
              </w:rPr>
              <w:t>–</w:t>
            </w:r>
          </w:p>
        </w:tc>
        <w:tc>
          <w:tcPr>
            <w:tcW w:w="232" w:type="pct"/>
            <w:shd w:val="clear" w:color="auto" w:fill="FFFFFF"/>
          </w:tcPr>
          <w:p w:rsidR="0006109C" w:rsidRDefault="0006109C">
            <w:pPr>
              <w:shd w:val="clear" w:color="auto" w:fill="FFFFFF"/>
              <w:spacing w:before="60" w:after="60"/>
              <w:jc w:val="center"/>
              <w:rPr>
                <w:noProof/>
                <w:sz w:val="20"/>
              </w:rPr>
            </w:pPr>
          </w:p>
        </w:tc>
        <w:tc>
          <w:tcPr>
            <w:tcW w:w="897" w:type="pct"/>
            <w:shd w:val="clear" w:color="auto" w:fill="FFFFFF"/>
            <w:vAlign w:val="center"/>
          </w:tcPr>
          <w:p w:rsidR="0006109C" w:rsidRDefault="00493E42">
            <w:pPr>
              <w:shd w:val="clear" w:color="auto" w:fill="FFFFFF"/>
              <w:spacing w:before="60" w:after="60"/>
              <w:jc w:val="center"/>
              <w:rPr>
                <w:noProof/>
                <w:sz w:val="20"/>
              </w:rPr>
            </w:pPr>
            <w:r>
              <w:rPr>
                <w:noProof/>
                <w:sz w:val="20"/>
              </w:rPr>
              <w:t>0,910</w:t>
            </w:r>
          </w:p>
        </w:tc>
        <w:tc>
          <w:tcPr>
            <w:tcW w:w="1031" w:type="pct"/>
            <w:vAlign w:val="center"/>
          </w:tcPr>
          <w:p w:rsidR="0006109C" w:rsidRDefault="00493E42">
            <w:pPr>
              <w:shd w:val="clear" w:color="auto" w:fill="FFFFFF"/>
              <w:spacing w:before="60" w:after="60"/>
              <w:jc w:val="center"/>
              <w:rPr>
                <w:noProof/>
                <w:sz w:val="20"/>
              </w:rPr>
            </w:pPr>
            <w:r>
              <w:rPr>
                <w:noProof/>
                <w:sz w:val="20"/>
              </w:rPr>
              <w:t>1,330</w:t>
            </w:r>
          </w:p>
        </w:tc>
      </w:tr>
      <w:tr w:rsidR="0006109C">
        <w:tc>
          <w:tcPr>
            <w:tcW w:w="1724" w:type="pct"/>
            <w:vAlign w:val="center"/>
          </w:tcPr>
          <w:p w:rsidR="0006109C" w:rsidRDefault="00493E42">
            <w:pPr>
              <w:rPr>
                <w:b/>
                <w:noProof/>
                <w:sz w:val="20"/>
              </w:rPr>
            </w:pPr>
            <w:r>
              <w:rPr>
                <w:noProof/>
                <w:sz w:val="20"/>
              </w:rPr>
              <w:t>– joista kansallisia asiantuntijoita</w:t>
            </w:r>
          </w:p>
        </w:tc>
        <w:tc>
          <w:tcPr>
            <w:tcW w:w="1116" w:type="pct"/>
            <w:vAlign w:val="center"/>
          </w:tcPr>
          <w:p w:rsidR="0006109C" w:rsidRDefault="00493E42">
            <w:pPr>
              <w:shd w:val="clear" w:color="auto" w:fill="FFFFFF"/>
              <w:spacing w:before="60" w:after="60"/>
              <w:jc w:val="center"/>
              <w:rPr>
                <w:noProof/>
                <w:sz w:val="20"/>
              </w:rPr>
            </w:pPr>
            <w:r>
              <w:rPr>
                <w:noProof/>
                <w:sz w:val="20"/>
              </w:rPr>
              <w:t>–</w:t>
            </w:r>
          </w:p>
        </w:tc>
        <w:tc>
          <w:tcPr>
            <w:tcW w:w="232" w:type="pct"/>
          </w:tcPr>
          <w:p w:rsidR="0006109C" w:rsidRDefault="0006109C">
            <w:pPr>
              <w:shd w:val="clear" w:color="auto" w:fill="FFFFFF"/>
              <w:spacing w:before="60" w:after="60"/>
              <w:jc w:val="center"/>
              <w:rPr>
                <w:noProof/>
                <w:sz w:val="20"/>
              </w:rPr>
            </w:pPr>
          </w:p>
        </w:tc>
        <w:tc>
          <w:tcPr>
            <w:tcW w:w="897" w:type="pct"/>
            <w:vAlign w:val="center"/>
          </w:tcPr>
          <w:p w:rsidR="0006109C" w:rsidRDefault="00493E42">
            <w:pPr>
              <w:shd w:val="clear" w:color="auto" w:fill="FFFFFF"/>
              <w:spacing w:before="60" w:after="60"/>
              <w:jc w:val="center"/>
              <w:rPr>
                <w:noProof/>
                <w:sz w:val="20"/>
              </w:rPr>
            </w:pPr>
            <w:r>
              <w:rPr>
                <w:noProof/>
                <w:sz w:val="20"/>
              </w:rPr>
              <w:t>0,624</w:t>
            </w:r>
          </w:p>
        </w:tc>
        <w:tc>
          <w:tcPr>
            <w:tcW w:w="1031" w:type="pct"/>
            <w:vAlign w:val="center"/>
          </w:tcPr>
          <w:p w:rsidR="0006109C" w:rsidRDefault="00493E42">
            <w:pPr>
              <w:shd w:val="clear" w:color="auto" w:fill="FFFFFF"/>
              <w:spacing w:before="60" w:after="60"/>
              <w:jc w:val="center"/>
              <w:rPr>
                <w:noProof/>
                <w:sz w:val="20"/>
              </w:rPr>
            </w:pPr>
            <w:r>
              <w:rPr>
                <w:noProof/>
                <w:sz w:val="20"/>
              </w:rPr>
              <w:t>0,858</w:t>
            </w:r>
          </w:p>
        </w:tc>
      </w:tr>
      <w:tr w:rsidR="0006109C">
        <w:tc>
          <w:tcPr>
            <w:tcW w:w="1724" w:type="pct"/>
            <w:tcBorders>
              <w:top w:val="single" w:sz="4" w:space="0" w:color="auto"/>
            </w:tcBorders>
            <w:shd w:val="clear" w:color="auto" w:fill="FFFFFF"/>
            <w:vAlign w:val="center"/>
          </w:tcPr>
          <w:p w:rsidR="0006109C" w:rsidRDefault="00493E42">
            <w:pPr>
              <w:shd w:val="clear" w:color="auto" w:fill="FFFFFF"/>
              <w:spacing w:before="60" w:after="60"/>
              <w:ind w:left="72"/>
              <w:rPr>
                <w:b/>
                <w:noProof/>
                <w:sz w:val="20"/>
              </w:rPr>
            </w:pPr>
            <w:r>
              <w:rPr>
                <w:b/>
                <w:noProof/>
                <w:sz w:val="20"/>
              </w:rPr>
              <w:t>Henkilöstö yhteensä</w:t>
            </w:r>
          </w:p>
        </w:tc>
        <w:tc>
          <w:tcPr>
            <w:tcW w:w="1116" w:type="pct"/>
            <w:shd w:val="clear" w:color="auto" w:fill="FFFFFF"/>
            <w:vAlign w:val="center"/>
          </w:tcPr>
          <w:p w:rsidR="0006109C" w:rsidRDefault="00493E42">
            <w:pPr>
              <w:shd w:val="clear" w:color="auto" w:fill="FFFFFF"/>
              <w:spacing w:before="60" w:after="60"/>
              <w:jc w:val="center"/>
              <w:rPr>
                <w:b/>
                <w:noProof/>
                <w:sz w:val="20"/>
                <w:highlight w:val="cyan"/>
              </w:rPr>
            </w:pPr>
            <w:r>
              <w:rPr>
                <w:b/>
                <w:noProof/>
                <w:sz w:val="20"/>
              </w:rPr>
              <w:t>2,302</w:t>
            </w:r>
          </w:p>
        </w:tc>
        <w:tc>
          <w:tcPr>
            <w:tcW w:w="232" w:type="pct"/>
            <w:shd w:val="clear" w:color="auto" w:fill="FFFFFF"/>
          </w:tcPr>
          <w:p w:rsidR="0006109C" w:rsidRDefault="0006109C">
            <w:pPr>
              <w:shd w:val="clear" w:color="auto" w:fill="FFFFFF"/>
              <w:spacing w:before="60" w:after="60"/>
              <w:jc w:val="center"/>
              <w:rPr>
                <w:b/>
                <w:noProof/>
                <w:sz w:val="20"/>
              </w:rPr>
            </w:pPr>
          </w:p>
        </w:tc>
        <w:tc>
          <w:tcPr>
            <w:tcW w:w="897" w:type="pct"/>
            <w:shd w:val="clear" w:color="auto" w:fill="FFFFFF"/>
            <w:vAlign w:val="center"/>
          </w:tcPr>
          <w:p w:rsidR="0006109C" w:rsidRDefault="00493E42">
            <w:pPr>
              <w:shd w:val="clear" w:color="auto" w:fill="FFFFFF"/>
              <w:spacing w:before="60" w:after="60"/>
              <w:jc w:val="center"/>
              <w:rPr>
                <w:b/>
                <w:noProof/>
                <w:sz w:val="20"/>
              </w:rPr>
            </w:pPr>
            <w:r>
              <w:rPr>
                <w:b/>
                <w:noProof/>
                <w:sz w:val="20"/>
              </w:rPr>
              <w:t>3,410</w:t>
            </w:r>
          </w:p>
        </w:tc>
        <w:tc>
          <w:tcPr>
            <w:tcW w:w="1031" w:type="pct"/>
            <w:vAlign w:val="center"/>
          </w:tcPr>
          <w:p w:rsidR="0006109C" w:rsidRDefault="00493E42">
            <w:pPr>
              <w:shd w:val="clear" w:color="auto" w:fill="FFFFFF"/>
              <w:spacing w:before="60" w:after="60"/>
              <w:jc w:val="center"/>
              <w:rPr>
                <w:b/>
                <w:noProof/>
                <w:sz w:val="20"/>
              </w:rPr>
            </w:pPr>
            <w:r>
              <w:rPr>
                <w:b/>
                <w:noProof/>
                <w:sz w:val="20"/>
              </w:rPr>
              <w:t>4,064</w:t>
            </w:r>
          </w:p>
        </w:tc>
      </w:tr>
    </w:tbl>
    <w:p w:rsidR="0006109C" w:rsidRDefault="0006109C">
      <w:pPr>
        <w:rPr>
          <w:b/>
          <w:noProof/>
          <w:sz w:val="20"/>
          <w:highlight w:val="yellow"/>
        </w:rPr>
      </w:pPr>
    </w:p>
    <w:p w:rsidR="0006109C" w:rsidRDefault="0006109C">
      <w:pPr>
        <w:autoSpaceDE w:val="0"/>
        <w:autoSpaceDN w:val="0"/>
        <w:adjustRightInd w:val="0"/>
        <w:rPr>
          <w:noProof/>
          <w:sz w:val="22"/>
        </w:rPr>
      </w:pPr>
    </w:p>
    <w:tbl>
      <w:tblPr>
        <w:tblpPr w:leftFromText="180" w:rightFromText="180" w:vertAnchor="text" w:horzAnchor="margin" w:tblpXSpec="center" w:tblpY="3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91"/>
        <w:gridCol w:w="7597"/>
      </w:tblGrid>
      <w:tr w:rsidR="0006109C">
        <w:trPr>
          <w:trHeight w:val="585"/>
        </w:trPr>
        <w:tc>
          <w:tcPr>
            <w:tcW w:w="9289" w:type="dxa"/>
            <w:gridSpan w:val="2"/>
            <w:tcBorders>
              <w:bottom w:val="single" w:sz="2" w:space="0" w:color="auto"/>
            </w:tcBorders>
          </w:tcPr>
          <w:p w:rsidR="0006109C" w:rsidRDefault="00493E42">
            <w:pPr>
              <w:keepNext/>
              <w:keepLines/>
              <w:spacing w:before="60" w:after="60"/>
              <w:jc w:val="center"/>
              <w:rPr>
                <w:b/>
                <w:noProof/>
                <w:sz w:val="20"/>
              </w:rPr>
            </w:pPr>
            <w:r>
              <w:rPr>
                <w:b/>
                <w:noProof/>
                <w:sz w:val="20"/>
              </w:rPr>
              <w:t xml:space="preserve">BERECin tarvitsema lisähenkilöstö (2020) sen uusien tehtävien täyttämiseksi laajennetun toimeksiannon </w:t>
            </w:r>
            <w:r>
              <w:rPr>
                <w:b/>
                <w:noProof/>
                <w:sz w:val="20"/>
              </w:rPr>
              <w:t>perusteella</w:t>
            </w:r>
            <w:r>
              <w:rPr>
                <w:rStyle w:val="FootnoteReference"/>
                <w:b/>
                <w:noProof/>
                <w:sz w:val="20"/>
              </w:rPr>
              <w:footnoteReference w:id="70"/>
            </w:r>
            <w:r>
              <w:rPr>
                <w:b/>
                <w:noProof/>
                <w:sz w:val="20"/>
              </w:rPr>
              <w:t xml:space="preserve"> </w:t>
            </w:r>
          </w:p>
          <w:p w:rsidR="0006109C" w:rsidRDefault="00493E42">
            <w:pPr>
              <w:keepNext/>
              <w:keepLines/>
              <w:spacing w:before="60" w:after="60"/>
              <w:jc w:val="center"/>
              <w:rPr>
                <w:b/>
                <w:noProof/>
                <w:sz w:val="20"/>
              </w:rPr>
            </w:pPr>
            <w:r>
              <w:rPr>
                <w:b/>
                <w:noProof/>
                <w:sz w:val="20"/>
              </w:rPr>
              <w:t>(tehtävittäin)</w:t>
            </w:r>
          </w:p>
        </w:tc>
      </w:tr>
      <w:tr w:rsidR="0006109C">
        <w:trPr>
          <w:trHeight w:val="585"/>
        </w:trPr>
        <w:tc>
          <w:tcPr>
            <w:tcW w:w="1691" w:type="dxa"/>
            <w:tcBorders>
              <w:bottom w:val="single" w:sz="2" w:space="0" w:color="auto"/>
            </w:tcBorders>
          </w:tcPr>
          <w:p w:rsidR="0006109C" w:rsidRDefault="0006109C">
            <w:pPr>
              <w:keepNext/>
              <w:keepLines/>
              <w:jc w:val="center"/>
              <w:rPr>
                <w:b/>
                <w:i/>
                <w:noProof/>
                <w:sz w:val="20"/>
              </w:rPr>
            </w:pPr>
          </w:p>
          <w:p w:rsidR="0006109C" w:rsidRDefault="00493E42">
            <w:pPr>
              <w:keepNext/>
              <w:keepLines/>
              <w:jc w:val="center"/>
              <w:rPr>
                <w:b/>
                <w:i/>
                <w:noProof/>
                <w:sz w:val="20"/>
              </w:rPr>
            </w:pPr>
            <w:r>
              <w:rPr>
                <w:b/>
                <w:i/>
                <w:noProof/>
                <w:sz w:val="20"/>
              </w:rPr>
              <w:t>Henkilöstö yhteensä</w:t>
            </w:r>
          </w:p>
          <w:p w:rsidR="0006109C" w:rsidRDefault="00493E42">
            <w:pPr>
              <w:keepNext/>
              <w:keepLines/>
              <w:spacing w:before="60" w:after="60"/>
              <w:jc w:val="center"/>
              <w:rPr>
                <w:b/>
                <w:noProof/>
                <w:sz w:val="20"/>
              </w:rPr>
            </w:pPr>
            <w:r>
              <w:rPr>
                <w:b/>
                <w:i/>
                <w:noProof/>
                <w:sz w:val="20"/>
              </w:rPr>
              <w:t>(kokoaikaiseksi muutettuna)</w:t>
            </w:r>
          </w:p>
        </w:tc>
        <w:tc>
          <w:tcPr>
            <w:tcW w:w="7598" w:type="dxa"/>
          </w:tcPr>
          <w:p w:rsidR="0006109C" w:rsidRDefault="0006109C">
            <w:pPr>
              <w:keepNext/>
              <w:keepLines/>
              <w:jc w:val="center"/>
              <w:rPr>
                <w:b/>
                <w:i/>
                <w:noProof/>
                <w:sz w:val="20"/>
              </w:rPr>
            </w:pPr>
          </w:p>
          <w:p w:rsidR="0006109C" w:rsidRDefault="00493E42">
            <w:pPr>
              <w:keepNext/>
              <w:keepLines/>
              <w:jc w:val="center"/>
              <w:rPr>
                <w:b/>
                <w:noProof/>
                <w:sz w:val="20"/>
              </w:rPr>
            </w:pPr>
            <w:r>
              <w:rPr>
                <w:b/>
                <w:i/>
                <w:noProof/>
                <w:sz w:val="20"/>
              </w:rPr>
              <w:t>Uudet tehtävät</w:t>
            </w:r>
          </w:p>
        </w:tc>
      </w:tr>
      <w:tr w:rsidR="0006109C">
        <w:trPr>
          <w:trHeight w:val="585"/>
        </w:trPr>
        <w:tc>
          <w:tcPr>
            <w:tcW w:w="1691" w:type="dxa"/>
            <w:tcBorders>
              <w:bottom w:val="single" w:sz="4" w:space="0" w:color="auto"/>
            </w:tcBorders>
            <w:vAlign w:val="center"/>
          </w:tcPr>
          <w:p w:rsidR="0006109C" w:rsidRDefault="00493E42">
            <w:pPr>
              <w:keepNext/>
              <w:keepLines/>
              <w:shd w:val="clear" w:color="auto" w:fill="FFFFFF"/>
              <w:ind w:left="72"/>
              <w:jc w:val="center"/>
              <w:rPr>
                <w:noProof/>
                <w:sz w:val="20"/>
                <w:szCs w:val="20"/>
              </w:rPr>
            </w:pPr>
            <w:r>
              <w:rPr>
                <w:b/>
                <w:noProof/>
                <w:sz w:val="20"/>
              </w:rPr>
              <w:t>4</w:t>
            </w:r>
          </w:p>
        </w:tc>
        <w:tc>
          <w:tcPr>
            <w:tcW w:w="7598" w:type="dxa"/>
            <w:vAlign w:val="bottom"/>
          </w:tcPr>
          <w:p w:rsidR="0006109C" w:rsidRDefault="00493E42">
            <w:pPr>
              <w:keepNext/>
              <w:keepLines/>
              <w:rPr>
                <w:noProof/>
                <w:sz w:val="20"/>
                <w:szCs w:val="20"/>
              </w:rPr>
            </w:pPr>
            <w:r>
              <w:rPr>
                <w:noProof/>
                <w:sz w:val="20"/>
              </w:rPr>
              <w:t xml:space="preserve">Esinormatiiviset tehtävät ja sitovat toimivaltuudet </w:t>
            </w:r>
          </w:p>
        </w:tc>
      </w:tr>
      <w:tr w:rsidR="0006109C">
        <w:trPr>
          <w:trHeight w:val="585"/>
        </w:trPr>
        <w:tc>
          <w:tcPr>
            <w:tcW w:w="1691" w:type="dxa"/>
            <w:tcBorders>
              <w:top w:val="single" w:sz="4" w:space="0" w:color="auto"/>
            </w:tcBorders>
            <w:shd w:val="clear" w:color="auto" w:fill="FFFFFF"/>
            <w:vAlign w:val="center"/>
          </w:tcPr>
          <w:p w:rsidR="0006109C" w:rsidRDefault="00493E42">
            <w:pPr>
              <w:keepNext/>
              <w:keepLines/>
              <w:shd w:val="clear" w:color="auto" w:fill="FFFFFF"/>
              <w:spacing w:before="60" w:after="60"/>
              <w:ind w:left="72"/>
              <w:jc w:val="center"/>
              <w:rPr>
                <w:b/>
                <w:noProof/>
                <w:sz w:val="20"/>
                <w:szCs w:val="20"/>
              </w:rPr>
            </w:pPr>
            <w:r>
              <w:rPr>
                <w:b/>
                <w:noProof/>
                <w:sz w:val="20"/>
              </w:rPr>
              <w:t>5</w:t>
            </w:r>
          </w:p>
        </w:tc>
        <w:tc>
          <w:tcPr>
            <w:tcW w:w="7598" w:type="dxa"/>
            <w:shd w:val="clear" w:color="auto" w:fill="FFFFFF"/>
            <w:vAlign w:val="bottom"/>
          </w:tcPr>
          <w:p w:rsidR="0006109C" w:rsidRDefault="00493E42">
            <w:pPr>
              <w:keepNext/>
              <w:keepLines/>
              <w:rPr>
                <w:noProof/>
                <w:sz w:val="20"/>
                <w:szCs w:val="20"/>
              </w:rPr>
            </w:pPr>
            <w:r>
              <w:rPr>
                <w:noProof/>
                <w:sz w:val="20"/>
              </w:rPr>
              <w:t xml:space="preserve">Sääntelyyn liittyvä ohjeistus </w:t>
            </w:r>
          </w:p>
        </w:tc>
      </w:tr>
      <w:tr w:rsidR="0006109C">
        <w:trPr>
          <w:trHeight w:val="585"/>
        </w:trPr>
        <w:tc>
          <w:tcPr>
            <w:tcW w:w="1691" w:type="dxa"/>
            <w:tcBorders>
              <w:top w:val="single" w:sz="4" w:space="0" w:color="auto"/>
            </w:tcBorders>
            <w:shd w:val="clear" w:color="auto" w:fill="FFFFFF"/>
            <w:vAlign w:val="center"/>
          </w:tcPr>
          <w:p w:rsidR="0006109C" w:rsidRDefault="0006109C">
            <w:pPr>
              <w:keepNext/>
              <w:keepLines/>
              <w:shd w:val="clear" w:color="auto" w:fill="FFFFFF"/>
              <w:spacing w:before="60" w:after="60"/>
              <w:ind w:left="72"/>
              <w:jc w:val="center"/>
              <w:rPr>
                <w:b/>
                <w:noProof/>
                <w:sz w:val="20"/>
                <w:szCs w:val="20"/>
              </w:rPr>
            </w:pPr>
          </w:p>
          <w:p w:rsidR="0006109C" w:rsidRDefault="00493E42">
            <w:pPr>
              <w:keepNext/>
              <w:keepLines/>
              <w:shd w:val="clear" w:color="auto" w:fill="FFFFFF"/>
              <w:spacing w:before="60" w:after="60"/>
              <w:ind w:left="72"/>
              <w:jc w:val="center"/>
              <w:rPr>
                <w:b/>
                <w:noProof/>
                <w:sz w:val="20"/>
                <w:szCs w:val="20"/>
              </w:rPr>
            </w:pPr>
            <w:r>
              <w:rPr>
                <w:b/>
                <w:noProof/>
                <w:sz w:val="20"/>
              </w:rPr>
              <w:t>2</w:t>
            </w:r>
          </w:p>
        </w:tc>
        <w:tc>
          <w:tcPr>
            <w:tcW w:w="7598" w:type="dxa"/>
            <w:shd w:val="clear" w:color="auto" w:fill="FFFFFF"/>
            <w:vAlign w:val="bottom"/>
          </w:tcPr>
          <w:p w:rsidR="0006109C" w:rsidRDefault="00493E42">
            <w:pPr>
              <w:keepNext/>
              <w:keepLines/>
              <w:rPr>
                <w:noProof/>
                <w:sz w:val="20"/>
                <w:szCs w:val="20"/>
              </w:rPr>
            </w:pPr>
            <w:r>
              <w:rPr>
                <w:noProof/>
                <w:sz w:val="20"/>
              </w:rPr>
              <w:t xml:space="preserve">Markkina-analyysi </w:t>
            </w:r>
          </w:p>
        </w:tc>
      </w:tr>
      <w:tr w:rsidR="0006109C">
        <w:trPr>
          <w:trHeight w:val="585"/>
        </w:trPr>
        <w:tc>
          <w:tcPr>
            <w:tcW w:w="1691" w:type="dxa"/>
            <w:shd w:val="clear" w:color="auto" w:fill="FFFFFF"/>
            <w:vAlign w:val="center"/>
          </w:tcPr>
          <w:p w:rsidR="0006109C" w:rsidRDefault="00493E42">
            <w:pPr>
              <w:keepNext/>
              <w:keepLines/>
              <w:spacing w:before="60" w:after="60"/>
              <w:jc w:val="center"/>
              <w:rPr>
                <w:b/>
                <w:noProof/>
                <w:sz w:val="20"/>
                <w:szCs w:val="20"/>
              </w:rPr>
            </w:pPr>
            <w:r>
              <w:rPr>
                <w:b/>
                <w:noProof/>
                <w:sz w:val="20"/>
              </w:rPr>
              <w:t>1</w:t>
            </w:r>
          </w:p>
        </w:tc>
        <w:tc>
          <w:tcPr>
            <w:tcW w:w="7598" w:type="dxa"/>
            <w:shd w:val="clear" w:color="auto" w:fill="FFFFFF"/>
            <w:vAlign w:val="bottom"/>
          </w:tcPr>
          <w:p w:rsidR="0006109C" w:rsidRDefault="00493E42">
            <w:pPr>
              <w:keepNext/>
              <w:keepLines/>
              <w:rPr>
                <w:noProof/>
                <w:sz w:val="20"/>
                <w:szCs w:val="20"/>
              </w:rPr>
            </w:pPr>
            <w:r>
              <w:rPr>
                <w:noProof/>
                <w:sz w:val="20"/>
              </w:rPr>
              <w:t xml:space="preserve">Taajuuksia koskeva vertaisarviointi </w:t>
            </w:r>
          </w:p>
        </w:tc>
      </w:tr>
      <w:tr w:rsidR="0006109C">
        <w:trPr>
          <w:trHeight w:val="585"/>
        </w:trPr>
        <w:tc>
          <w:tcPr>
            <w:tcW w:w="1691" w:type="dxa"/>
            <w:vAlign w:val="center"/>
          </w:tcPr>
          <w:p w:rsidR="0006109C" w:rsidRDefault="00493E42">
            <w:pPr>
              <w:keepNext/>
              <w:keepLines/>
              <w:shd w:val="clear" w:color="auto" w:fill="FFFFFF"/>
              <w:spacing w:before="60" w:after="60"/>
              <w:ind w:left="72"/>
              <w:jc w:val="center"/>
              <w:rPr>
                <w:b/>
                <w:noProof/>
                <w:sz w:val="20"/>
                <w:szCs w:val="20"/>
              </w:rPr>
            </w:pPr>
            <w:r>
              <w:rPr>
                <w:b/>
                <w:noProof/>
                <w:sz w:val="20"/>
              </w:rPr>
              <w:t>1</w:t>
            </w:r>
          </w:p>
        </w:tc>
        <w:tc>
          <w:tcPr>
            <w:tcW w:w="7598" w:type="dxa"/>
            <w:vAlign w:val="bottom"/>
          </w:tcPr>
          <w:p w:rsidR="0006109C" w:rsidRDefault="00493E42">
            <w:pPr>
              <w:keepNext/>
              <w:keepLines/>
              <w:rPr>
                <w:noProof/>
                <w:sz w:val="20"/>
                <w:szCs w:val="20"/>
              </w:rPr>
            </w:pPr>
            <w:r>
              <w:rPr>
                <w:noProof/>
                <w:sz w:val="20"/>
              </w:rPr>
              <w:t xml:space="preserve">Rekisteritoiminnot </w:t>
            </w:r>
          </w:p>
        </w:tc>
      </w:tr>
      <w:tr w:rsidR="0006109C">
        <w:trPr>
          <w:trHeight w:val="585"/>
        </w:trPr>
        <w:tc>
          <w:tcPr>
            <w:tcW w:w="1691" w:type="dxa"/>
            <w:vAlign w:val="center"/>
          </w:tcPr>
          <w:p w:rsidR="0006109C" w:rsidRDefault="00493E42">
            <w:pPr>
              <w:keepNext/>
              <w:keepLines/>
              <w:shd w:val="clear" w:color="auto" w:fill="FFFFFF"/>
              <w:spacing w:before="60" w:after="60"/>
              <w:ind w:left="72"/>
              <w:jc w:val="center"/>
              <w:rPr>
                <w:b/>
                <w:noProof/>
                <w:sz w:val="20"/>
                <w:szCs w:val="20"/>
              </w:rPr>
            </w:pPr>
            <w:r>
              <w:rPr>
                <w:b/>
                <w:noProof/>
                <w:sz w:val="20"/>
              </w:rPr>
              <w:t>1</w:t>
            </w:r>
          </w:p>
        </w:tc>
        <w:tc>
          <w:tcPr>
            <w:tcW w:w="7598" w:type="dxa"/>
            <w:vAlign w:val="center"/>
          </w:tcPr>
          <w:p w:rsidR="0006109C" w:rsidRDefault="00493E42">
            <w:pPr>
              <w:keepNext/>
              <w:keepLines/>
              <w:rPr>
                <w:noProof/>
                <w:sz w:val="20"/>
                <w:szCs w:val="20"/>
              </w:rPr>
            </w:pPr>
            <w:r>
              <w:rPr>
                <w:noProof/>
                <w:sz w:val="20"/>
              </w:rPr>
              <w:t>Kansainvälinen yhteistyö</w:t>
            </w:r>
          </w:p>
        </w:tc>
      </w:tr>
      <w:tr w:rsidR="0006109C">
        <w:trPr>
          <w:trHeight w:val="585"/>
        </w:trPr>
        <w:tc>
          <w:tcPr>
            <w:tcW w:w="1691" w:type="dxa"/>
            <w:vAlign w:val="center"/>
          </w:tcPr>
          <w:p w:rsidR="0006109C" w:rsidRDefault="00493E42">
            <w:pPr>
              <w:keepNext/>
              <w:keepLines/>
              <w:shd w:val="clear" w:color="auto" w:fill="FFFFFF"/>
              <w:spacing w:before="60" w:after="60"/>
              <w:ind w:left="72"/>
              <w:jc w:val="center"/>
              <w:rPr>
                <w:b/>
                <w:noProof/>
                <w:sz w:val="20"/>
                <w:szCs w:val="20"/>
              </w:rPr>
            </w:pPr>
            <w:r>
              <w:rPr>
                <w:b/>
                <w:noProof/>
                <w:sz w:val="20"/>
              </w:rPr>
              <w:t>2</w:t>
            </w:r>
          </w:p>
        </w:tc>
        <w:tc>
          <w:tcPr>
            <w:tcW w:w="7598" w:type="dxa"/>
            <w:vAlign w:val="center"/>
          </w:tcPr>
          <w:p w:rsidR="0006109C" w:rsidRDefault="00493E42">
            <w:pPr>
              <w:keepNext/>
              <w:keepLines/>
              <w:rPr>
                <w:noProof/>
                <w:sz w:val="20"/>
                <w:szCs w:val="20"/>
              </w:rPr>
            </w:pPr>
            <w:r>
              <w:rPr>
                <w:noProof/>
                <w:sz w:val="20"/>
              </w:rPr>
              <w:t>Komission ja muiden EU:n toimielinten avustaminen ja neuvonta</w:t>
            </w:r>
          </w:p>
        </w:tc>
      </w:tr>
      <w:tr w:rsidR="0006109C">
        <w:trPr>
          <w:trHeight w:val="585"/>
        </w:trPr>
        <w:tc>
          <w:tcPr>
            <w:tcW w:w="1691" w:type="dxa"/>
            <w:vAlign w:val="center"/>
          </w:tcPr>
          <w:p w:rsidR="0006109C" w:rsidRDefault="00493E42">
            <w:pPr>
              <w:keepNext/>
              <w:keepLines/>
              <w:shd w:val="clear" w:color="auto" w:fill="FFFFFF"/>
              <w:spacing w:before="60" w:after="60"/>
              <w:ind w:left="72"/>
              <w:jc w:val="center"/>
              <w:rPr>
                <w:b/>
                <w:noProof/>
                <w:sz w:val="20"/>
              </w:rPr>
            </w:pPr>
            <w:r>
              <w:rPr>
                <w:b/>
                <w:noProof/>
                <w:sz w:val="20"/>
              </w:rPr>
              <w:t>2</w:t>
            </w:r>
          </w:p>
        </w:tc>
        <w:tc>
          <w:tcPr>
            <w:tcW w:w="7598" w:type="dxa"/>
            <w:vAlign w:val="center"/>
          </w:tcPr>
          <w:p w:rsidR="0006109C" w:rsidRDefault="00493E42">
            <w:pPr>
              <w:keepNext/>
              <w:keepLines/>
              <w:shd w:val="clear" w:color="auto" w:fill="FFFFFF"/>
              <w:spacing w:before="60" w:after="60"/>
              <w:rPr>
                <w:noProof/>
                <w:sz w:val="20"/>
              </w:rPr>
            </w:pPr>
            <w:r>
              <w:rPr>
                <w:noProof/>
                <w:sz w:val="20"/>
              </w:rPr>
              <w:t xml:space="preserve">Johtamis- ja hallintotuki </w:t>
            </w:r>
          </w:p>
        </w:tc>
      </w:tr>
      <w:tr w:rsidR="0006109C">
        <w:trPr>
          <w:trHeight w:val="585"/>
        </w:trPr>
        <w:tc>
          <w:tcPr>
            <w:tcW w:w="1691" w:type="dxa"/>
            <w:vAlign w:val="center"/>
          </w:tcPr>
          <w:p w:rsidR="0006109C" w:rsidRDefault="00493E42">
            <w:pPr>
              <w:keepNext/>
              <w:keepLines/>
              <w:shd w:val="clear" w:color="auto" w:fill="FFFFFF"/>
              <w:spacing w:before="60" w:after="60"/>
              <w:ind w:left="72"/>
              <w:jc w:val="center"/>
              <w:rPr>
                <w:b/>
                <w:noProof/>
                <w:sz w:val="20"/>
              </w:rPr>
            </w:pPr>
            <w:r>
              <w:rPr>
                <w:b/>
                <w:noProof/>
                <w:sz w:val="20"/>
              </w:rPr>
              <w:t>18</w:t>
            </w:r>
          </w:p>
        </w:tc>
        <w:tc>
          <w:tcPr>
            <w:tcW w:w="7598" w:type="dxa"/>
            <w:vAlign w:val="center"/>
          </w:tcPr>
          <w:p w:rsidR="0006109C" w:rsidRDefault="0006109C">
            <w:pPr>
              <w:keepNext/>
              <w:keepLines/>
              <w:rPr>
                <w:noProof/>
                <w:sz w:val="20"/>
                <w:szCs w:val="20"/>
              </w:rPr>
            </w:pPr>
          </w:p>
        </w:tc>
      </w:tr>
    </w:tbl>
    <w:p w:rsidR="0006109C" w:rsidRDefault="0006109C">
      <w:pPr>
        <w:jc w:val="center"/>
        <w:rPr>
          <w:noProof/>
          <w:u w:val="single"/>
        </w:rPr>
      </w:pPr>
    </w:p>
    <w:p w:rsidR="0006109C" w:rsidRDefault="00493E42">
      <w:pPr>
        <w:pStyle w:val="ManualHeading4"/>
        <w:rPr>
          <w:b/>
          <w:bCs/>
          <w:noProof/>
        </w:rPr>
      </w:pPr>
      <w:r>
        <w:rPr>
          <w:noProof/>
        </w:rPr>
        <w:t>3.2.3.2.</w:t>
      </w:r>
      <w:r>
        <w:rPr>
          <w:noProof/>
        </w:rPr>
        <w:tab/>
        <w:t>Henkilöstöresurssien arvioitu tarve vastuullisessa pääosastossa</w:t>
      </w:r>
    </w:p>
    <w:p w:rsidR="0006109C" w:rsidRDefault="00493E42">
      <w:pPr>
        <w:pStyle w:val="ListDash1"/>
        <w:keepNext/>
        <w:keepLines/>
        <w:ind w:left="1134"/>
        <w:rPr>
          <w:noProof/>
        </w:rPr>
      </w:pPr>
      <w:r>
        <w:rPr>
          <w:noProof/>
        </w:rPr>
        <w:sym w:font="Wingdings" w:char="F0A8"/>
      </w:r>
      <w:r>
        <w:rPr>
          <w:noProof/>
        </w:rPr>
        <w:t xml:space="preserve"> Ehdotus/aloite ei edellytä henkilöresursseja.</w:t>
      </w:r>
    </w:p>
    <w:p w:rsidR="0006109C" w:rsidRDefault="00493E42">
      <w:pPr>
        <w:pStyle w:val="ListDash1"/>
        <w:keepNext/>
        <w:keepLines/>
        <w:ind w:left="1134"/>
        <w:rPr>
          <w:noProof/>
        </w:rPr>
      </w:pPr>
      <w:r>
        <w:rPr>
          <w:noProof/>
        </w:rPr>
        <w:sym w:font="Wingdings" w:char="F078"/>
      </w:r>
      <w:r>
        <w:rPr>
          <w:noProof/>
        </w:rPr>
        <w:t xml:space="preserve"> Ehdotus/aloite edellyttää henkilöresursseja seuraavasti:</w:t>
      </w:r>
    </w:p>
    <w:p w:rsidR="0006109C" w:rsidRDefault="0006109C">
      <w:pPr>
        <w:rPr>
          <w:noProof/>
        </w:rPr>
      </w:pPr>
    </w:p>
    <w:p w:rsidR="0006109C" w:rsidRDefault="00493E42">
      <w:pPr>
        <w:spacing w:after="60"/>
        <w:jc w:val="right"/>
        <w:rPr>
          <w:i/>
          <w:noProof/>
          <w:sz w:val="20"/>
        </w:rPr>
      </w:pPr>
      <w:r>
        <w:rPr>
          <w:i/>
          <w:noProof/>
          <w:sz w:val="20"/>
        </w:rPr>
        <w:t>arvio kokonaislukuina (tai enintään yhden desimaalin tarkkuudella)</w:t>
      </w:r>
    </w:p>
    <w:p w:rsidR="0006109C" w:rsidRDefault="0006109C">
      <w:pPr>
        <w:spacing w:after="60"/>
        <w:jc w:val="right"/>
        <w:rPr>
          <w:i/>
          <w:noProof/>
          <w:sz w:val="20"/>
        </w:rPr>
      </w:pPr>
    </w:p>
    <w:tbl>
      <w:tblPr>
        <w:tblW w:w="34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47"/>
        <w:gridCol w:w="1016"/>
        <w:gridCol w:w="1016"/>
      </w:tblGrid>
      <w:tr w:rsidR="0006109C">
        <w:trPr>
          <w:trHeight w:val="289"/>
        </w:trPr>
        <w:tc>
          <w:tcPr>
            <w:tcW w:w="3407" w:type="pct"/>
            <w:shd w:val="clear" w:color="auto" w:fill="auto"/>
          </w:tcPr>
          <w:p w:rsidR="0006109C" w:rsidRDefault="0006109C">
            <w:pPr>
              <w:spacing w:before="40" w:after="40"/>
              <w:jc w:val="center"/>
              <w:rPr>
                <w:i/>
                <w:noProof/>
                <w:sz w:val="20"/>
              </w:rPr>
            </w:pPr>
          </w:p>
        </w:tc>
        <w:tc>
          <w:tcPr>
            <w:tcW w:w="796" w:type="pct"/>
            <w:shd w:val="clear" w:color="auto" w:fill="auto"/>
            <w:vAlign w:val="center"/>
          </w:tcPr>
          <w:p w:rsidR="0006109C" w:rsidRDefault="0006109C">
            <w:pPr>
              <w:spacing w:before="60" w:after="60"/>
              <w:jc w:val="center"/>
              <w:rPr>
                <w:noProof/>
                <w:sz w:val="20"/>
              </w:rPr>
            </w:pPr>
          </w:p>
          <w:p w:rsidR="0006109C" w:rsidRDefault="00493E42">
            <w:pPr>
              <w:spacing w:before="60" w:after="60"/>
              <w:jc w:val="center"/>
              <w:rPr>
                <w:noProof/>
              </w:rPr>
            </w:pPr>
            <w:r>
              <w:rPr>
                <w:noProof/>
                <w:sz w:val="20"/>
              </w:rPr>
              <w:t>Vuosi</w:t>
            </w:r>
            <w:r>
              <w:rPr>
                <w:noProof/>
                <w:sz w:val="20"/>
              </w:rPr>
              <w:br/>
            </w:r>
            <w:r>
              <w:rPr>
                <w:b/>
                <w:noProof/>
                <w:sz w:val="20"/>
              </w:rPr>
              <w:t>2019</w:t>
            </w:r>
          </w:p>
          <w:p w:rsidR="0006109C" w:rsidRDefault="0006109C">
            <w:pPr>
              <w:jc w:val="center"/>
              <w:rPr>
                <w:noProof/>
                <w:sz w:val="20"/>
              </w:rPr>
            </w:pPr>
          </w:p>
        </w:tc>
        <w:tc>
          <w:tcPr>
            <w:tcW w:w="796" w:type="pct"/>
            <w:shd w:val="clear" w:color="auto" w:fill="auto"/>
            <w:vAlign w:val="center"/>
          </w:tcPr>
          <w:p w:rsidR="0006109C" w:rsidRDefault="00493E42">
            <w:pPr>
              <w:spacing w:before="60" w:after="60"/>
              <w:jc w:val="center"/>
              <w:rPr>
                <w:noProof/>
              </w:rPr>
            </w:pPr>
            <w:r>
              <w:rPr>
                <w:noProof/>
                <w:sz w:val="20"/>
              </w:rPr>
              <w:t>Vuosi</w:t>
            </w:r>
            <w:r>
              <w:rPr>
                <w:noProof/>
                <w:sz w:val="20"/>
              </w:rPr>
              <w:br/>
            </w:r>
            <w:r>
              <w:rPr>
                <w:b/>
                <w:noProof/>
                <w:sz w:val="20"/>
              </w:rPr>
              <w:t>2020</w:t>
            </w:r>
          </w:p>
        </w:tc>
      </w:tr>
      <w:tr w:rsidR="0006109C">
        <w:trPr>
          <w:trHeight w:val="289"/>
        </w:trPr>
        <w:tc>
          <w:tcPr>
            <w:tcW w:w="3407" w:type="pct"/>
            <w:shd w:val="clear" w:color="auto" w:fill="auto"/>
            <w:vAlign w:val="center"/>
          </w:tcPr>
          <w:p w:rsidR="0006109C" w:rsidRDefault="00493E42">
            <w:pPr>
              <w:numPr>
                <w:ilvl w:val="0"/>
                <w:numId w:val="14"/>
              </w:numPr>
              <w:tabs>
                <w:tab w:val="left" w:pos="208"/>
              </w:tabs>
              <w:spacing w:beforeLines="20" w:before="48" w:afterLines="20" w:after="48"/>
              <w:ind w:left="208" w:hanging="120"/>
              <w:rPr>
                <w:b/>
                <w:noProof/>
                <w:sz w:val="20"/>
              </w:rPr>
            </w:pPr>
            <w:r>
              <w:rPr>
                <w:b/>
                <w:noProof/>
                <w:sz w:val="20"/>
              </w:rPr>
              <w:t xml:space="preserve">Henkilöstötaulukkoon sisältyvät virat/toimet </w:t>
            </w:r>
            <w:r>
              <w:rPr>
                <w:b/>
                <w:noProof/>
                <w:sz w:val="20"/>
              </w:rPr>
              <w:t>(virkamiehet ja väliaikainen henkilöstö)</w:t>
            </w:r>
          </w:p>
        </w:tc>
        <w:tc>
          <w:tcPr>
            <w:tcW w:w="796" w:type="pct"/>
            <w:shd w:val="clear" w:color="auto" w:fill="auto"/>
            <w:vAlign w:val="center"/>
          </w:tcPr>
          <w:p w:rsidR="0006109C" w:rsidRDefault="0006109C">
            <w:pPr>
              <w:spacing w:beforeLines="20" w:before="48" w:afterLines="20" w:after="48"/>
              <w:jc w:val="center"/>
              <w:rPr>
                <w:noProof/>
                <w:sz w:val="20"/>
              </w:rPr>
            </w:pPr>
          </w:p>
        </w:tc>
        <w:tc>
          <w:tcPr>
            <w:tcW w:w="796" w:type="pct"/>
            <w:shd w:val="clear" w:color="auto" w:fill="auto"/>
            <w:vAlign w:val="center"/>
          </w:tcPr>
          <w:p w:rsidR="0006109C" w:rsidRDefault="0006109C">
            <w:pPr>
              <w:spacing w:beforeLines="20" w:before="48" w:afterLines="20" w:after="48"/>
              <w:jc w:val="center"/>
              <w:rPr>
                <w:noProof/>
                <w:sz w:val="20"/>
              </w:rPr>
            </w:pPr>
          </w:p>
        </w:tc>
      </w:tr>
      <w:tr w:rsidR="0006109C">
        <w:trPr>
          <w:trHeight w:val="289"/>
        </w:trPr>
        <w:tc>
          <w:tcPr>
            <w:tcW w:w="3407" w:type="pct"/>
            <w:shd w:val="clear" w:color="auto" w:fill="auto"/>
            <w:vAlign w:val="center"/>
          </w:tcPr>
          <w:p w:rsidR="0006109C" w:rsidRDefault="00493E42">
            <w:pPr>
              <w:spacing w:beforeLines="20" w:before="48" w:afterLines="20" w:after="48"/>
              <w:ind w:left="984"/>
              <w:rPr>
                <w:b/>
                <w:noProof/>
                <w:sz w:val="20"/>
              </w:rPr>
            </w:pPr>
            <w:r>
              <w:rPr>
                <w:noProof/>
                <w:sz w:val="20"/>
              </w:rPr>
              <w:t>XX 01 01 01 (päätoimipaikka ja komission edustustot EU:ssa)</w:t>
            </w:r>
          </w:p>
        </w:tc>
        <w:tc>
          <w:tcPr>
            <w:tcW w:w="796" w:type="pct"/>
            <w:shd w:val="clear" w:color="auto" w:fill="auto"/>
            <w:vAlign w:val="center"/>
          </w:tcPr>
          <w:p w:rsidR="0006109C" w:rsidRDefault="00493E42">
            <w:pPr>
              <w:spacing w:beforeLines="20" w:before="48" w:afterLines="20" w:after="48"/>
              <w:jc w:val="center"/>
              <w:rPr>
                <w:noProof/>
                <w:sz w:val="20"/>
              </w:rPr>
            </w:pPr>
            <w:r>
              <w:rPr>
                <w:noProof/>
                <w:sz w:val="20"/>
              </w:rPr>
              <w:t>3</w:t>
            </w:r>
          </w:p>
        </w:tc>
        <w:tc>
          <w:tcPr>
            <w:tcW w:w="796" w:type="pct"/>
            <w:shd w:val="clear" w:color="auto" w:fill="auto"/>
            <w:vAlign w:val="center"/>
          </w:tcPr>
          <w:p w:rsidR="0006109C" w:rsidRDefault="00493E42">
            <w:pPr>
              <w:spacing w:beforeLines="20" w:before="48" w:afterLines="20" w:after="48"/>
              <w:jc w:val="center"/>
              <w:rPr>
                <w:noProof/>
                <w:sz w:val="20"/>
              </w:rPr>
            </w:pPr>
            <w:r>
              <w:rPr>
                <w:noProof/>
                <w:sz w:val="20"/>
              </w:rPr>
              <w:t>3</w:t>
            </w:r>
          </w:p>
        </w:tc>
      </w:tr>
      <w:tr w:rsidR="0006109C">
        <w:trPr>
          <w:trHeight w:val="289"/>
        </w:trPr>
        <w:tc>
          <w:tcPr>
            <w:tcW w:w="3407" w:type="pct"/>
            <w:shd w:val="clear" w:color="auto" w:fill="auto"/>
            <w:vAlign w:val="center"/>
          </w:tcPr>
          <w:p w:rsidR="0006109C" w:rsidRDefault="00493E42">
            <w:pPr>
              <w:spacing w:beforeLines="20" w:before="48" w:afterLines="20" w:after="48"/>
              <w:ind w:left="208" w:hanging="120"/>
              <w:rPr>
                <w:noProof/>
                <w:sz w:val="20"/>
              </w:rPr>
            </w:pPr>
            <w:r>
              <w:rPr>
                <w:b/>
                <w:noProof/>
                <w:sz w:val="20"/>
              </w:rPr>
              <w:sym w:font="Wingdings" w:char="F09F"/>
            </w:r>
            <w:r>
              <w:rPr>
                <w:noProof/>
              </w:rPr>
              <w:t xml:space="preserve"> </w:t>
            </w:r>
            <w:r>
              <w:rPr>
                <w:b/>
                <w:noProof/>
              </w:rPr>
              <w:t>Ulkopuolinen henkilöstö (kokoaikaiseksi muutettuna)</w:t>
            </w:r>
            <w:r>
              <w:rPr>
                <w:rStyle w:val="FootnoteReference"/>
                <w:noProof/>
              </w:rPr>
              <w:footnoteReference w:id="71"/>
            </w:r>
          </w:p>
        </w:tc>
        <w:tc>
          <w:tcPr>
            <w:tcW w:w="796" w:type="pct"/>
            <w:shd w:val="clear" w:color="auto" w:fill="auto"/>
            <w:vAlign w:val="center"/>
          </w:tcPr>
          <w:p w:rsidR="0006109C" w:rsidRDefault="0006109C">
            <w:pPr>
              <w:spacing w:beforeLines="20" w:before="48" w:afterLines="20" w:after="48"/>
              <w:jc w:val="center"/>
              <w:rPr>
                <w:noProof/>
                <w:sz w:val="20"/>
              </w:rPr>
            </w:pPr>
          </w:p>
        </w:tc>
        <w:tc>
          <w:tcPr>
            <w:tcW w:w="796" w:type="pct"/>
            <w:shd w:val="clear" w:color="auto" w:fill="auto"/>
            <w:vAlign w:val="center"/>
          </w:tcPr>
          <w:p w:rsidR="0006109C" w:rsidRDefault="0006109C">
            <w:pPr>
              <w:spacing w:beforeLines="20" w:before="48" w:afterLines="20" w:after="48"/>
              <w:jc w:val="center"/>
              <w:rPr>
                <w:noProof/>
                <w:sz w:val="20"/>
              </w:rPr>
            </w:pPr>
          </w:p>
        </w:tc>
      </w:tr>
      <w:tr w:rsidR="0006109C">
        <w:trPr>
          <w:trHeight w:val="289"/>
        </w:trPr>
        <w:tc>
          <w:tcPr>
            <w:tcW w:w="3407" w:type="pct"/>
            <w:shd w:val="clear" w:color="auto" w:fill="auto"/>
            <w:vAlign w:val="center"/>
          </w:tcPr>
          <w:p w:rsidR="0006109C" w:rsidRDefault="00493E42">
            <w:pPr>
              <w:spacing w:beforeLines="20" w:before="48" w:afterLines="20" w:after="48"/>
              <w:ind w:left="986"/>
              <w:rPr>
                <w:b/>
                <w:noProof/>
                <w:sz w:val="20"/>
              </w:rPr>
            </w:pPr>
            <w:r>
              <w:rPr>
                <w:noProof/>
                <w:sz w:val="20"/>
              </w:rPr>
              <w:t>XX 01 02 01 (kokonaismäärärahoista katettavat sopimussuhteiset toimihenkilöt, kansalliset</w:t>
            </w:r>
            <w:r>
              <w:rPr>
                <w:noProof/>
                <w:sz w:val="20"/>
              </w:rPr>
              <w:t xml:space="preserve"> asiantuntijat ja vuokrahenkilöstö)</w:t>
            </w:r>
          </w:p>
        </w:tc>
        <w:tc>
          <w:tcPr>
            <w:tcW w:w="796" w:type="pct"/>
            <w:shd w:val="clear" w:color="auto" w:fill="auto"/>
            <w:vAlign w:val="center"/>
          </w:tcPr>
          <w:p w:rsidR="0006109C" w:rsidRDefault="0006109C">
            <w:pPr>
              <w:spacing w:beforeLines="20" w:before="48" w:afterLines="20" w:after="48"/>
              <w:jc w:val="center"/>
              <w:rPr>
                <w:noProof/>
                <w:sz w:val="20"/>
              </w:rPr>
            </w:pPr>
          </w:p>
        </w:tc>
        <w:tc>
          <w:tcPr>
            <w:tcW w:w="796" w:type="pct"/>
            <w:shd w:val="clear" w:color="auto" w:fill="auto"/>
            <w:vAlign w:val="center"/>
          </w:tcPr>
          <w:p w:rsidR="0006109C" w:rsidRDefault="0006109C">
            <w:pPr>
              <w:spacing w:beforeLines="20" w:before="48" w:afterLines="20" w:after="48"/>
              <w:jc w:val="center"/>
              <w:rPr>
                <w:noProof/>
                <w:sz w:val="20"/>
              </w:rPr>
            </w:pPr>
          </w:p>
        </w:tc>
      </w:tr>
      <w:tr w:rsidR="0006109C">
        <w:trPr>
          <w:trHeight w:val="289"/>
        </w:trPr>
        <w:tc>
          <w:tcPr>
            <w:tcW w:w="3407" w:type="pct"/>
            <w:shd w:val="clear" w:color="auto" w:fill="auto"/>
            <w:vAlign w:val="center"/>
          </w:tcPr>
          <w:p w:rsidR="0006109C" w:rsidRDefault="0006109C">
            <w:pPr>
              <w:spacing w:beforeLines="20" w:before="48" w:afterLines="20" w:after="48"/>
              <w:ind w:left="986"/>
              <w:rPr>
                <w:noProof/>
                <w:sz w:val="20"/>
              </w:rPr>
            </w:pPr>
          </w:p>
        </w:tc>
        <w:tc>
          <w:tcPr>
            <w:tcW w:w="796" w:type="pct"/>
            <w:shd w:val="clear" w:color="auto" w:fill="auto"/>
            <w:vAlign w:val="center"/>
          </w:tcPr>
          <w:p w:rsidR="0006109C" w:rsidRDefault="0006109C">
            <w:pPr>
              <w:spacing w:beforeLines="20" w:before="48" w:afterLines="20" w:after="48"/>
              <w:jc w:val="center"/>
              <w:rPr>
                <w:noProof/>
                <w:sz w:val="20"/>
              </w:rPr>
            </w:pPr>
          </w:p>
        </w:tc>
        <w:tc>
          <w:tcPr>
            <w:tcW w:w="796" w:type="pct"/>
            <w:shd w:val="clear" w:color="auto" w:fill="auto"/>
            <w:vAlign w:val="center"/>
          </w:tcPr>
          <w:p w:rsidR="0006109C" w:rsidRDefault="0006109C">
            <w:pPr>
              <w:spacing w:beforeLines="20" w:before="48" w:afterLines="20" w:after="48"/>
              <w:jc w:val="center"/>
              <w:rPr>
                <w:noProof/>
                <w:sz w:val="20"/>
              </w:rPr>
            </w:pPr>
          </w:p>
        </w:tc>
      </w:tr>
      <w:tr w:rsidR="0006109C">
        <w:trPr>
          <w:trHeight w:val="289"/>
        </w:trPr>
        <w:tc>
          <w:tcPr>
            <w:tcW w:w="3407" w:type="pct"/>
            <w:tcBorders>
              <w:top w:val="double" w:sz="4" w:space="0" w:color="auto"/>
            </w:tcBorders>
            <w:shd w:val="clear" w:color="auto" w:fill="auto"/>
            <w:vAlign w:val="center"/>
          </w:tcPr>
          <w:p w:rsidR="0006109C" w:rsidRDefault="00493E42">
            <w:pPr>
              <w:spacing w:beforeLines="20" w:before="48" w:afterLines="20" w:after="48"/>
              <w:ind w:left="986"/>
              <w:rPr>
                <w:noProof/>
                <w:sz w:val="20"/>
              </w:rPr>
            </w:pPr>
            <w:r>
              <w:rPr>
                <w:b/>
                <w:noProof/>
                <w:sz w:val="20"/>
              </w:rPr>
              <w:t>YHTEENSÄ</w:t>
            </w:r>
          </w:p>
        </w:tc>
        <w:tc>
          <w:tcPr>
            <w:tcW w:w="796" w:type="pct"/>
            <w:tcBorders>
              <w:top w:val="double" w:sz="4" w:space="0" w:color="auto"/>
            </w:tcBorders>
            <w:shd w:val="clear" w:color="auto" w:fill="auto"/>
            <w:vAlign w:val="center"/>
          </w:tcPr>
          <w:p w:rsidR="0006109C" w:rsidRDefault="00493E42">
            <w:pPr>
              <w:spacing w:beforeLines="20" w:before="48" w:afterLines="20" w:after="48"/>
              <w:jc w:val="center"/>
              <w:rPr>
                <w:b/>
                <w:noProof/>
                <w:sz w:val="20"/>
              </w:rPr>
            </w:pPr>
            <w:r>
              <w:rPr>
                <w:b/>
                <w:noProof/>
                <w:sz w:val="20"/>
              </w:rPr>
              <w:t>3</w:t>
            </w:r>
          </w:p>
        </w:tc>
        <w:tc>
          <w:tcPr>
            <w:tcW w:w="796" w:type="pct"/>
            <w:tcBorders>
              <w:top w:val="double" w:sz="4" w:space="0" w:color="auto"/>
            </w:tcBorders>
            <w:shd w:val="clear" w:color="auto" w:fill="auto"/>
            <w:vAlign w:val="center"/>
          </w:tcPr>
          <w:p w:rsidR="0006109C" w:rsidRDefault="00493E42">
            <w:pPr>
              <w:spacing w:beforeLines="20" w:before="48" w:afterLines="20" w:after="48"/>
              <w:jc w:val="center"/>
              <w:rPr>
                <w:b/>
                <w:noProof/>
                <w:sz w:val="20"/>
              </w:rPr>
            </w:pPr>
            <w:r>
              <w:rPr>
                <w:b/>
                <w:noProof/>
                <w:sz w:val="20"/>
              </w:rPr>
              <w:t>3</w:t>
            </w:r>
          </w:p>
        </w:tc>
      </w:tr>
    </w:tbl>
    <w:p w:rsidR="0006109C" w:rsidRDefault="00493E42">
      <w:pPr>
        <w:spacing w:before="60" w:after="60"/>
        <w:ind w:left="851"/>
        <w:rPr>
          <w:noProof/>
        </w:rPr>
      </w:pPr>
      <w:r>
        <w:rPr>
          <w:b/>
          <w:noProof/>
        </w:rPr>
        <w:t>XX</w:t>
      </w:r>
      <w:r>
        <w:rPr>
          <w:noProof/>
        </w:rPr>
        <w:t xml:space="preserve"> viittaa kyseessä olevaan toimintalohkoon eli talousarvion osastoon.</w:t>
      </w:r>
    </w:p>
    <w:p w:rsidR="0006109C" w:rsidRDefault="00493E42">
      <w:pPr>
        <w:ind w:left="850"/>
        <w:rPr>
          <w:noProof/>
          <w:sz w:val="22"/>
        </w:rPr>
      </w:pPr>
      <w:r>
        <w:rPr>
          <w:noProof/>
          <w:sz w:val="22"/>
        </w:rPr>
        <w:t>Henkilöresurssien tarve katetaan toimen hallinnointiin jo osoitetulla pääosaston henkilöstöllä ja/tai pääosastossa toteutettujen</w:t>
      </w:r>
      <w:r>
        <w:rPr>
          <w:noProof/>
          <w:sz w:val="22"/>
        </w:rPr>
        <w:t xml:space="preserve"> henkilöstön uudelleenjärjestelyjen tuloksena saadulla henkilöstöllä sekä tarvittaessa sellaisilla lisäresursseilla, jotka toimea hallinnoiva pääosasto voi saada käyttöönsä vuotuisessa määrärahojen jakomenettelyssä talousarvion puitteissa.</w:t>
      </w:r>
    </w:p>
    <w:p w:rsidR="0006109C" w:rsidRDefault="0006109C">
      <w:pPr>
        <w:spacing w:before="60" w:after="60"/>
        <w:ind w:left="851"/>
        <w:rPr>
          <w:noProof/>
        </w:rPr>
      </w:pPr>
    </w:p>
    <w:p w:rsidR="0006109C" w:rsidRDefault="0006109C">
      <w:pPr>
        <w:spacing w:before="60" w:after="60"/>
        <w:ind w:left="851"/>
        <w:rPr>
          <w:noProof/>
        </w:rPr>
      </w:pPr>
    </w:p>
    <w:p w:rsidR="0006109C" w:rsidRDefault="00493E42">
      <w:pPr>
        <w:rPr>
          <w:noProof/>
          <w:sz w:val="20"/>
        </w:rPr>
      </w:pPr>
      <w:r>
        <w:rPr>
          <w:noProof/>
          <w:sz w:val="20"/>
        </w:rPr>
        <w:t>Kuvaus henkilö</w:t>
      </w:r>
      <w:r>
        <w:rPr>
          <w:noProof/>
          <w:sz w:val="20"/>
        </w:rPr>
        <w:t>stön tehtävistä:</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8"/>
        <w:gridCol w:w="6960"/>
      </w:tblGrid>
      <w:tr w:rsidR="0006109C">
        <w:tc>
          <w:tcPr>
            <w:tcW w:w="1253" w:type="pct"/>
          </w:tcPr>
          <w:p w:rsidR="0006109C" w:rsidRDefault="00493E42">
            <w:pPr>
              <w:rPr>
                <w:noProof/>
                <w:sz w:val="20"/>
              </w:rPr>
            </w:pPr>
            <w:r>
              <w:rPr>
                <w:noProof/>
                <w:sz w:val="20"/>
              </w:rPr>
              <w:t>Virkamiehet ja väliaikaiset toimihenkilöt</w:t>
            </w:r>
          </w:p>
        </w:tc>
        <w:tc>
          <w:tcPr>
            <w:tcW w:w="3747" w:type="pct"/>
          </w:tcPr>
          <w:p w:rsidR="0006109C" w:rsidRDefault="00493E42">
            <w:pPr>
              <w:rPr>
                <w:noProof/>
                <w:sz w:val="20"/>
              </w:rPr>
            </w:pPr>
            <w:r>
              <w:rPr>
                <w:noProof/>
                <w:sz w:val="20"/>
              </w:rPr>
              <w:t>Edustaa komissiota viraston hallintoneuvostossa. Laatia komission lausunto BERECin yhtenäisestä ohjelma-asiakirjasta ja valvoa sen täytäntöönpanoa. Valvoa viraston talousarvion valmistelua ja seura</w:t>
            </w:r>
            <w:r>
              <w:rPr>
                <w:noProof/>
                <w:sz w:val="20"/>
              </w:rPr>
              <w:t xml:space="preserve">ta talousarvion toteuttamista. Avustaa virastoa sen toiminnan kehittämisessä EU:n toimintalinjojen mukaisesti, muun muassa osallistumalla työryhmien kokouksiin. </w:t>
            </w:r>
          </w:p>
        </w:tc>
      </w:tr>
      <w:tr w:rsidR="0006109C">
        <w:tc>
          <w:tcPr>
            <w:tcW w:w="1253" w:type="pct"/>
          </w:tcPr>
          <w:p w:rsidR="0006109C" w:rsidRDefault="00493E42">
            <w:pPr>
              <w:spacing w:before="60" w:after="60"/>
              <w:rPr>
                <w:noProof/>
                <w:sz w:val="20"/>
              </w:rPr>
            </w:pPr>
            <w:r>
              <w:rPr>
                <w:noProof/>
                <w:sz w:val="20"/>
              </w:rPr>
              <w:t>Ulkopuolinen henkilöstö</w:t>
            </w:r>
          </w:p>
        </w:tc>
        <w:tc>
          <w:tcPr>
            <w:tcW w:w="3747" w:type="pct"/>
          </w:tcPr>
          <w:p w:rsidR="0006109C" w:rsidRDefault="0006109C">
            <w:pPr>
              <w:rPr>
                <w:noProof/>
                <w:sz w:val="20"/>
              </w:rPr>
            </w:pPr>
          </w:p>
        </w:tc>
      </w:tr>
    </w:tbl>
    <w:p w:rsidR="0006109C" w:rsidRDefault="0006109C">
      <w:pPr>
        <w:pStyle w:val="Text1"/>
        <w:ind w:left="720"/>
        <w:rPr>
          <w:noProof/>
        </w:rPr>
      </w:pPr>
    </w:p>
    <w:p w:rsidR="0006109C" w:rsidRDefault="00493E42">
      <w:pPr>
        <w:pStyle w:val="ManualHeading3"/>
        <w:rPr>
          <w:bCs/>
          <w:noProof/>
        </w:rPr>
      </w:pPr>
      <w:r>
        <w:rPr>
          <w:noProof/>
        </w:rPr>
        <w:t>3.2.4.</w:t>
      </w:r>
      <w:r>
        <w:rPr>
          <w:noProof/>
        </w:rPr>
        <w:tab/>
        <w:t xml:space="preserve">Yhteensopivuus nykyisen monivuotisen rahoituskehyksen </w:t>
      </w:r>
      <w:r>
        <w:rPr>
          <w:noProof/>
        </w:rPr>
        <w:t>kanssa</w:t>
      </w:r>
    </w:p>
    <w:p w:rsidR="0006109C" w:rsidRDefault="00493E42">
      <w:pPr>
        <w:pStyle w:val="ListDash1"/>
        <w:rPr>
          <w:noProof/>
        </w:rPr>
      </w:pPr>
      <w:r>
        <w:rPr>
          <w:noProof/>
        </w:rPr>
        <w:sym w:font="Wingdings" w:char="F0A8"/>
      </w:r>
      <w:r>
        <w:rPr>
          <w:noProof/>
        </w:rPr>
        <w:tab/>
        <w:t>Ehdotus/aloite on nykyisen monivuotisen rahoituskehyksen mukainen.</w:t>
      </w:r>
    </w:p>
    <w:p w:rsidR="0006109C" w:rsidRDefault="00493E42">
      <w:pPr>
        <w:pStyle w:val="ListDash1"/>
        <w:rPr>
          <w:noProof/>
        </w:rPr>
      </w:pPr>
      <w:r>
        <w:rPr>
          <w:noProof/>
        </w:rPr>
        <w:sym w:font="Wingdings" w:char="F078"/>
      </w:r>
      <w:r>
        <w:rPr>
          <w:noProof/>
        </w:rPr>
        <w:tab/>
        <w:t>Ehdotus/aloite edellyttää monivuotisen rahoituskehyksen asianomaisen otsakkeen rahoitussuunnitelman muuttamista.</w:t>
      </w:r>
    </w:p>
    <w:p w:rsidR="0006109C" w:rsidRDefault="00493E42">
      <w:pPr>
        <w:pStyle w:val="Text1"/>
        <w:pBdr>
          <w:top w:val="single" w:sz="4" w:space="1" w:color="auto"/>
          <w:left w:val="single" w:sz="4" w:space="4" w:color="auto"/>
          <w:bottom w:val="single" w:sz="4" w:space="1" w:color="auto"/>
          <w:right w:val="single" w:sz="4" w:space="0" w:color="auto"/>
        </w:pBdr>
        <w:rPr>
          <w:noProof/>
          <w:sz w:val="20"/>
        </w:rPr>
      </w:pPr>
      <w:r>
        <w:rPr>
          <w:noProof/>
          <w:sz w:val="20"/>
        </w:rPr>
        <w:t>Selvitys rahoitussuunnitelmaan tarvittavista muutoksista, mainitt</w:t>
      </w:r>
      <w:r>
        <w:rPr>
          <w:noProof/>
          <w:sz w:val="20"/>
        </w:rPr>
        <w:t>ava myös kyseeseen tulevat budjettikohdat ja määrät</w:t>
      </w:r>
    </w:p>
    <w:p w:rsidR="0006109C" w:rsidRDefault="00493E42">
      <w:pPr>
        <w:pStyle w:val="ListDash1"/>
        <w:rPr>
          <w:noProof/>
        </w:rPr>
      </w:pPr>
      <w:r>
        <w:rPr>
          <w:noProof/>
        </w:rPr>
        <w:sym w:font="Wingdings" w:char="F0A8"/>
      </w:r>
      <w:r>
        <w:rPr>
          <w:noProof/>
        </w:rPr>
        <w:tab/>
        <w:t>Ehdotus/aloite edellyttää joustovälineen varojen käyttöön ottamista tai monivuotisen rahoituskehyksen tarkistamista</w:t>
      </w:r>
      <w:r>
        <w:rPr>
          <w:rStyle w:val="FootnoteReference"/>
          <w:noProof/>
        </w:rPr>
        <w:footnoteReference w:id="72"/>
      </w:r>
      <w:r>
        <w:rPr>
          <w:noProof/>
        </w:rPr>
        <w:t>.</w:t>
      </w:r>
    </w:p>
    <w:p w:rsidR="0006109C" w:rsidRDefault="00493E42">
      <w:pPr>
        <w:pStyle w:val="Text1"/>
        <w:pBdr>
          <w:top w:val="single" w:sz="4" w:space="1" w:color="auto"/>
          <w:left w:val="single" w:sz="4" w:space="4" w:color="auto"/>
          <w:bottom w:val="single" w:sz="4" w:space="1" w:color="auto"/>
          <w:right w:val="single" w:sz="4" w:space="4" w:color="auto"/>
        </w:pBdr>
        <w:rPr>
          <w:noProof/>
        </w:rPr>
      </w:pPr>
      <w:r>
        <w:rPr>
          <w:noProof/>
          <w:sz w:val="20"/>
        </w:rPr>
        <w:t xml:space="preserve">Selvitys tarvittavista toimenpiteistä, mainittava myös kyseeseen tulevat </w:t>
      </w:r>
      <w:r>
        <w:rPr>
          <w:noProof/>
          <w:sz w:val="20"/>
        </w:rPr>
        <w:t>rahoituskehyksen otsakkeet, budjettikohdat ja määrät</w:t>
      </w:r>
    </w:p>
    <w:p w:rsidR="0006109C" w:rsidRDefault="00493E42">
      <w:pPr>
        <w:pStyle w:val="ManualHeading3"/>
        <w:rPr>
          <w:bCs/>
          <w:noProof/>
        </w:rPr>
      </w:pPr>
      <w:r>
        <w:rPr>
          <w:noProof/>
        </w:rPr>
        <w:t>3.2.5.</w:t>
      </w:r>
      <w:r>
        <w:rPr>
          <w:noProof/>
        </w:rPr>
        <w:tab/>
        <w:t>Ulkopuolisten tahojen rahoitusosuudet</w:t>
      </w:r>
    </w:p>
    <w:p w:rsidR="0006109C" w:rsidRDefault="00493E42">
      <w:pPr>
        <w:pStyle w:val="ListDash1"/>
        <w:keepNext/>
        <w:keepLines/>
        <w:rPr>
          <w:noProof/>
        </w:rPr>
      </w:pPr>
      <w:r>
        <w:rPr>
          <w:noProof/>
        </w:rPr>
        <w:sym w:font="Wingdings" w:char="F0A8"/>
      </w:r>
      <w:r>
        <w:rPr>
          <w:noProof/>
        </w:rPr>
        <w:tab/>
        <w:t>Ehdotuksen/aloitteen rahoittamiseen ei osallistu ulkopuolisia tahoja.</w:t>
      </w:r>
    </w:p>
    <w:p w:rsidR="0006109C" w:rsidRDefault="00493E42">
      <w:pPr>
        <w:pStyle w:val="ListDash1"/>
        <w:keepNext/>
        <w:keepLines/>
        <w:rPr>
          <w:noProof/>
        </w:rPr>
      </w:pPr>
      <w:r>
        <w:rPr>
          <w:noProof/>
        </w:rPr>
        <w:sym w:font="Wingdings" w:char="F078"/>
      </w:r>
      <w:r>
        <w:rPr>
          <w:noProof/>
        </w:rPr>
        <w:tab/>
        <w:t>Ehdotuksen/aloitteen rahoittamiseen osallistuu ulkopuolisia tahoja seuraavasti (arvi</w:t>
      </w:r>
      <w:r>
        <w:rPr>
          <w:noProof/>
        </w:rPr>
        <w:t>o):</w:t>
      </w:r>
    </w:p>
    <w:p w:rsidR="0006109C" w:rsidRDefault="0006109C">
      <w:pPr>
        <w:rPr>
          <w:noProof/>
        </w:rPr>
      </w:pPr>
    </w:p>
    <w:p w:rsidR="0006109C" w:rsidRDefault="00493E42">
      <w:pPr>
        <w:keepNext/>
        <w:keepLines/>
        <w:jc w:val="right"/>
        <w:rPr>
          <w:noProof/>
          <w:sz w:val="20"/>
        </w:rPr>
      </w:pPr>
      <w:r>
        <w:rPr>
          <w:noProof/>
          <w:sz w:val="20"/>
        </w:rPr>
        <w:t>määrärahat, milj. euroa (kolmen desimaalin tarkkuudella)</w:t>
      </w:r>
    </w:p>
    <w:tbl>
      <w:tblPr>
        <w:tblW w:w="28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05"/>
        <w:gridCol w:w="1522"/>
        <w:gridCol w:w="1845"/>
      </w:tblGrid>
      <w:tr w:rsidR="0006109C">
        <w:trPr>
          <w:cantSplit/>
        </w:trPr>
        <w:tc>
          <w:tcPr>
            <w:tcW w:w="1494" w:type="pct"/>
          </w:tcPr>
          <w:p w:rsidR="0006109C" w:rsidRDefault="0006109C">
            <w:pPr>
              <w:keepNext/>
              <w:keepLines/>
              <w:spacing w:before="60" w:after="60"/>
              <w:rPr>
                <w:noProof/>
                <w:sz w:val="20"/>
              </w:rPr>
            </w:pPr>
          </w:p>
        </w:tc>
        <w:tc>
          <w:tcPr>
            <w:tcW w:w="1600" w:type="pct"/>
            <w:vAlign w:val="center"/>
          </w:tcPr>
          <w:p w:rsidR="0006109C" w:rsidRDefault="00493E42">
            <w:pPr>
              <w:keepNext/>
              <w:keepLines/>
              <w:jc w:val="center"/>
              <w:rPr>
                <w:noProof/>
              </w:rPr>
            </w:pPr>
            <w:r>
              <w:rPr>
                <w:noProof/>
                <w:sz w:val="20"/>
              </w:rPr>
              <w:t>Vuosi</w:t>
            </w:r>
            <w:r>
              <w:rPr>
                <w:noProof/>
                <w:sz w:val="20"/>
              </w:rPr>
              <w:br/>
            </w:r>
            <w:r>
              <w:rPr>
                <w:b/>
                <w:noProof/>
                <w:sz w:val="20"/>
              </w:rPr>
              <w:t>2019</w:t>
            </w:r>
          </w:p>
        </w:tc>
        <w:tc>
          <w:tcPr>
            <w:tcW w:w="1906" w:type="pct"/>
            <w:vAlign w:val="center"/>
          </w:tcPr>
          <w:p w:rsidR="0006109C" w:rsidRDefault="00493E42">
            <w:pPr>
              <w:keepNext/>
              <w:keepLines/>
              <w:jc w:val="center"/>
              <w:rPr>
                <w:noProof/>
              </w:rPr>
            </w:pPr>
            <w:r>
              <w:rPr>
                <w:noProof/>
                <w:sz w:val="20"/>
              </w:rPr>
              <w:t>Vuosi</w:t>
            </w:r>
            <w:r>
              <w:rPr>
                <w:noProof/>
                <w:sz w:val="20"/>
              </w:rPr>
              <w:br/>
            </w:r>
            <w:r>
              <w:rPr>
                <w:b/>
                <w:noProof/>
                <w:sz w:val="20"/>
              </w:rPr>
              <w:t>2020</w:t>
            </w:r>
          </w:p>
        </w:tc>
      </w:tr>
      <w:tr w:rsidR="0006109C">
        <w:trPr>
          <w:cantSplit/>
        </w:trPr>
        <w:tc>
          <w:tcPr>
            <w:tcW w:w="1494" w:type="pct"/>
          </w:tcPr>
          <w:p w:rsidR="0006109C" w:rsidRDefault="00493E42">
            <w:pPr>
              <w:keepNext/>
              <w:keepLines/>
              <w:rPr>
                <w:noProof/>
              </w:rPr>
            </w:pPr>
            <w:r>
              <w:rPr>
                <w:noProof/>
                <w:sz w:val="20"/>
              </w:rPr>
              <w:t>EFTA</w:t>
            </w:r>
            <w:r>
              <w:rPr>
                <w:i/>
                <w:noProof/>
                <w:sz w:val="20"/>
              </w:rPr>
              <w:t xml:space="preserve"> </w:t>
            </w:r>
          </w:p>
        </w:tc>
        <w:tc>
          <w:tcPr>
            <w:tcW w:w="1600" w:type="pct"/>
            <w:vAlign w:val="center"/>
          </w:tcPr>
          <w:p w:rsidR="0006109C" w:rsidRDefault="00493E42">
            <w:pPr>
              <w:keepNext/>
              <w:keepLines/>
              <w:spacing w:before="60" w:after="60"/>
              <w:jc w:val="center"/>
              <w:rPr>
                <w:noProof/>
                <w:sz w:val="20"/>
              </w:rPr>
            </w:pPr>
            <w:r>
              <w:rPr>
                <w:noProof/>
                <w:sz w:val="20"/>
              </w:rPr>
              <w:t>p.m</w:t>
            </w:r>
            <w:r>
              <w:rPr>
                <w:rStyle w:val="FootnoteReference"/>
                <w:noProof/>
                <w:sz w:val="20"/>
              </w:rPr>
              <w:footnoteReference w:id="73"/>
            </w:r>
            <w:r>
              <w:rPr>
                <w:noProof/>
              </w:rPr>
              <w:t>.</w:t>
            </w:r>
          </w:p>
        </w:tc>
        <w:tc>
          <w:tcPr>
            <w:tcW w:w="1906" w:type="pct"/>
            <w:vAlign w:val="center"/>
          </w:tcPr>
          <w:p w:rsidR="0006109C" w:rsidRDefault="00493E42">
            <w:pPr>
              <w:keepNext/>
              <w:keepLines/>
              <w:spacing w:before="60" w:after="60"/>
              <w:jc w:val="center"/>
              <w:rPr>
                <w:noProof/>
                <w:sz w:val="20"/>
              </w:rPr>
            </w:pPr>
            <w:r>
              <w:rPr>
                <w:noProof/>
                <w:sz w:val="20"/>
              </w:rPr>
              <w:t>p.m.</w:t>
            </w:r>
          </w:p>
        </w:tc>
      </w:tr>
      <w:tr w:rsidR="0006109C">
        <w:trPr>
          <w:cantSplit/>
        </w:trPr>
        <w:tc>
          <w:tcPr>
            <w:tcW w:w="1494" w:type="pct"/>
          </w:tcPr>
          <w:p w:rsidR="0006109C" w:rsidRDefault="00493E42">
            <w:pPr>
              <w:keepNext/>
              <w:keepLines/>
              <w:spacing w:before="60" w:after="60"/>
              <w:rPr>
                <w:noProof/>
                <w:sz w:val="20"/>
              </w:rPr>
            </w:pPr>
            <w:r>
              <w:rPr>
                <w:noProof/>
                <w:sz w:val="20"/>
              </w:rPr>
              <w:t>Muut rahoitusosuudet (jäsenvaltiot, kansalliset sääntelyviranomaiset jne.)</w:t>
            </w:r>
          </w:p>
        </w:tc>
        <w:tc>
          <w:tcPr>
            <w:tcW w:w="1600" w:type="pct"/>
            <w:vAlign w:val="center"/>
          </w:tcPr>
          <w:p w:rsidR="0006109C" w:rsidRDefault="00493E42">
            <w:pPr>
              <w:keepNext/>
              <w:keepLines/>
              <w:spacing w:before="60" w:after="60"/>
              <w:jc w:val="center"/>
              <w:rPr>
                <w:noProof/>
                <w:sz w:val="20"/>
              </w:rPr>
            </w:pPr>
            <w:r>
              <w:rPr>
                <w:noProof/>
                <w:sz w:val="20"/>
              </w:rPr>
              <w:t>p.m.</w:t>
            </w:r>
          </w:p>
        </w:tc>
        <w:tc>
          <w:tcPr>
            <w:tcW w:w="1906" w:type="pct"/>
            <w:vAlign w:val="center"/>
          </w:tcPr>
          <w:p w:rsidR="0006109C" w:rsidRDefault="00493E42">
            <w:pPr>
              <w:keepNext/>
              <w:keepLines/>
              <w:spacing w:before="60" w:after="60"/>
              <w:jc w:val="center"/>
              <w:rPr>
                <w:noProof/>
                <w:sz w:val="20"/>
              </w:rPr>
            </w:pPr>
            <w:r>
              <w:rPr>
                <w:noProof/>
                <w:sz w:val="20"/>
              </w:rPr>
              <w:t>p.m.</w:t>
            </w:r>
          </w:p>
        </w:tc>
      </w:tr>
      <w:tr w:rsidR="0006109C">
        <w:trPr>
          <w:cantSplit/>
        </w:trPr>
        <w:tc>
          <w:tcPr>
            <w:tcW w:w="1494" w:type="pct"/>
          </w:tcPr>
          <w:p w:rsidR="0006109C" w:rsidRDefault="00493E42">
            <w:pPr>
              <w:keepNext/>
              <w:keepLines/>
              <w:spacing w:before="60" w:after="60"/>
              <w:rPr>
                <w:noProof/>
              </w:rPr>
            </w:pPr>
            <w:r>
              <w:rPr>
                <w:noProof/>
                <w:sz w:val="20"/>
              </w:rPr>
              <w:t xml:space="preserve">Yhteisrahoituksella katettavat määrärahat YHTEENSÄ </w:t>
            </w:r>
          </w:p>
        </w:tc>
        <w:tc>
          <w:tcPr>
            <w:tcW w:w="1600" w:type="pct"/>
            <w:vAlign w:val="center"/>
          </w:tcPr>
          <w:p w:rsidR="0006109C" w:rsidRDefault="00493E42">
            <w:pPr>
              <w:keepNext/>
              <w:keepLines/>
              <w:spacing w:before="60" w:after="60"/>
              <w:jc w:val="center"/>
              <w:rPr>
                <w:noProof/>
                <w:sz w:val="20"/>
              </w:rPr>
            </w:pPr>
            <w:r>
              <w:rPr>
                <w:noProof/>
                <w:sz w:val="20"/>
              </w:rPr>
              <w:t>p.m.</w:t>
            </w:r>
          </w:p>
        </w:tc>
        <w:tc>
          <w:tcPr>
            <w:tcW w:w="1906" w:type="pct"/>
            <w:vAlign w:val="center"/>
          </w:tcPr>
          <w:p w:rsidR="0006109C" w:rsidRDefault="00493E42">
            <w:pPr>
              <w:keepNext/>
              <w:keepLines/>
              <w:spacing w:before="60" w:after="60"/>
              <w:jc w:val="center"/>
              <w:rPr>
                <w:noProof/>
                <w:sz w:val="20"/>
              </w:rPr>
            </w:pPr>
            <w:r>
              <w:rPr>
                <w:noProof/>
                <w:sz w:val="20"/>
              </w:rPr>
              <w:t>p.m.</w:t>
            </w:r>
          </w:p>
        </w:tc>
      </w:tr>
    </w:tbl>
    <w:p w:rsidR="0006109C" w:rsidRDefault="00493E42">
      <w:pPr>
        <w:pStyle w:val="ManualHeading2"/>
        <w:rPr>
          <w:bCs/>
          <w:noProof/>
        </w:rPr>
      </w:pPr>
      <w:r>
        <w:rPr>
          <w:noProof/>
        </w:rPr>
        <w:br w:type="page"/>
      </w:r>
      <w:r>
        <w:rPr>
          <w:noProof/>
        </w:rPr>
        <w:t>3.3.</w:t>
      </w:r>
      <w:r>
        <w:rPr>
          <w:noProof/>
        </w:rPr>
        <w:tab/>
        <w:t>Arvioidut vaikutukset tuloihin</w:t>
      </w:r>
    </w:p>
    <w:p w:rsidR="0006109C" w:rsidRDefault="00493E42">
      <w:pPr>
        <w:pStyle w:val="ListDash1"/>
        <w:rPr>
          <w:noProof/>
        </w:rPr>
      </w:pPr>
      <w:r>
        <w:rPr>
          <w:noProof/>
        </w:rPr>
        <w:sym w:font="Wingdings" w:char="F078"/>
      </w:r>
      <w:r>
        <w:rPr>
          <w:noProof/>
        </w:rPr>
        <w:tab/>
        <w:t>Ehdotuksella/aloitteella ei ole vaikutuksia tuloihin.</w:t>
      </w:r>
    </w:p>
    <w:p w:rsidR="0006109C" w:rsidRDefault="00493E42">
      <w:pPr>
        <w:pStyle w:val="ListDash1"/>
        <w:rPr>
          <w:noProof/>
        </w:rPr>
      </w:pPr>
      <w:r>
        <w:rPr>
          <w:noProof/>
        </w:rPr>
        <w:sym w:font="Wingdings" w:char="F0A8"/>
      </w:r>
      <w:r>
        <w:rPr>
          <w:noProof/>
        </w:rPr>
        <w:tab/>
        <w:t>Ehdotuksella/aloitteella on vaikutuksia tuloihin seuraavasti:</w:t>
      </w:r>
    </w:p>
    <w:p w:rsidR="0006109C" w:rsidRDefault="00493E42">
      <w:pPr>
        <w:pStyle w:val="ListDash2"/>
        <w:rPr>
          <w:noProof/>
        </w:rPr>
      </w:pPr>
      <w:r>
        <w:rPr>
          <w:noProof/>
        </w:rPr>
        <w:sym w:font="Wingdings" w:char="F0A8"/>
      </w:r>
      <w:r>
        <w:rPr>
          <w:noProof/>
        </w:rPr>
        <w:tab/>
        <w:t>vaikutukset omiin varoihin</w:t>
      </w:r>
    </w:p>
    <w:p w:rsidR="0006109C" w:rsidRDefault="00493E42">
      <w:pPr>
        <w:pStyle w:val="ListDash2"/>
        <w:rPr>
          <w:noProof/>
        </w:rPr>
      </w:pPr>
      <w:r>
        <w:rPr>
          <w:noProof/>
        </w:rPr>
        <w:sym w:font="Wingdings" w:char="F0A8"/>
      </w:r>
      <w:r>
        <w:rPr>
          <w:noProof/>
        </w:rPr>
        <w:tab/>
        <w:t>vaikutukset sekalaisiin tuloihin</w:t>
      </w:r>
    </w:p>
    <w:p w:rsidR="0006109C" w:rsidRDefault="0006109C">
      <w:pPr>
        <w:rPr>
          <w:noProof/>
        </w:rPr>
      </w:pPr>
    </w:p>
    <w:p w:rsidR="0006109C" w:rsidRDefault="0006109C">
      <w:pPr>
        <w:jc w:val="center"/>
        <w:rPr>
          <w:noProof/>
        </w:rPr>
      </w:pPr>
    </w:p>
    <w:p w:rsidR="0006109C" w:rsidRDefault="0006109C">
      <w:pPr>
        <w:jc w:val="center"/>
        <w:rPr>
          <w:noProof/>
        </w:rPr>
      </w:pPr>
    </w:p>
    <w:sectPr w:rsidR="0006109C" w:rsidSect="00493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9C" w:rsidRDefault="00493E42">
      <w:pPr>
        <w:spacing w:before="0" w:after="0"/>
      </w:pPr>
      <w:r>
        <w:separator/>
      </w:r>
    </w:p>
  </w:endnote>
  <w:endnote w:type="continuationSeparator" w:id="0">
    <w:p w:rsidR="0006109C" w:rsidRDefault="00493E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2" w:rsidRPr="00493E42" w:rsidRDefault="00493E42" w:rsidP="0049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9C" w:rsidRPr="00493E42" w:rsidRDefault="0006109C" w:rsidP="00493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2" w:rsidRPr="00493E42" w:rsidRDefault="00493E42" w:rsidP="0049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9C" w:rsidRDefault="00493E42">
      <w:pPr>
        <w:spacing w:before="0" w:after="0"/>
      </w:pPr>
      <w:r>
        <w:separator/>
      </w:r>
    </w:p>
  </w:footnote>
  <w:footnote w:type="continuationSeparator" w:id="0">
    <w:p w:rsidR="0006109C" w:rsidRDefault="00493E42">
      <w:pPr>
        <w:spacing w:before="0" w:after="0"/>
      </w:pPr>
      <w:r>
        <w:continuationSeparator/>
      </w:r>
    </w:p>
  </w:footnote>
  <w:footnote w:id="1">
    <w:p w:rsidR="0006109C" w:rsidRDefault="00493E42">
      <w:pPr>
        <w:pStyle w:val="FootnoteText"/>
      </w:pPr>
      <w:r>
        <w:rPr>
          <w:rStyle w:val="FootnoteReference"/>
        </w:rPr>
        <w:footnoteRef/>
      </w:r>
      <w:r>
        <w:tab/>
        <w:t>COM(2015) 192 final.</w:t>
      </w:r>
    </w:p>
  </w:footnote>
  <w:footnote w:id="2">
    <w:p w:rsidR="0006109C" w:rsidRDefault="00493E42">
      <w:pPr>
        <w:pStyle w:val="FootnoteText"/>
      </w:pPr>
      <w:r>
        <w:rPr>
          <w:rStyle w:val="FootnoteReference"/>
        </w:rPr>
        <w:footnoteRef/>
      </w:r>
      <w:r>
        <w:tab/>
        <w:t>Euroopan parlamentin päätöslauselma 19. tammikuuta 2016 digitaalisten sisämarkkinoiden toimenpidepaketista (TA(2016)0009).</w:t>
      </w:r>
    </w:p>
  </w:footnote>
  <w:footnote w:id="3">
    <w:p w:rsidR="0006109C" w:rsidRDefault="00493E42">
      <w:pPr>
        <w:pStyle w:val="FootnoteText"/>
      </w:pPr>
      <w:r>
        <w:rPr>
          <w:rStyle w:val="FootnoteReference"/>
        </w:rPr>
        <w:footnoteRef/>
      </w:r>
      <w:r>
        <w:tab/>
        <w:t>Euroopan parlamentin, neuvoston ja komission yht</w:t>
      </w:r>
      <w:r>
        <w:t>einen julkilausuma erillisvirastoista, 19.7.2012.</w:t>
      </w:r>
    </w:p>
  </w:footnote>
  <w:footnote w:id="4">
    <w:p w:rsidR="0006109C" w:rsidRDefault="00493E42">
      <w:pPr>
        <w:pStyle w:val="FootnoteText"/>
      </w:pPr>
      <w:r>
        <w:rPr>
          <w:rStyle w:val="FootnoteReference"/>
        </w:rPr>
        <w:footnoteRef/>
      </w:r>
      <w:r>
        <w:tab/>
        <w:t>Euroopan parlamentin ja neuvoston direktiivi 2002/58/EY, annettu 12 päivänä heinäkuuta 2002, henkilötietojen käsittelystä ja yksityisyyden suojasta sähköisen viestinnän alalla (EYVL L 201, 31.7.2002, s. 3</w:t>
      </w:r>
      <w:r>
        <w:t>7).</w:t>
      </w:r>
    </w:p>
  </w:footnote>
  <w:footnote w:id="5">
    <w:p w:rsidR="0006109C" w:rsidRDefault="00493E42">
      <w:pPr>
        <w:pStyle w:val="FootnoteText"/>
      </w:pPr>
      <w:r>
        <w:rPr>
          <w:rStyle w:val="FootnoteReference"/>
        </w:rPr>
        <w:footnoteRef/>
      </w:r>
      <w:r>
        <w:tab/>
        <w:t xml:space="preserve">BEREC-asetuksen 15 artiklan vaatimuksen mukainen arviointi  </w:t>
      </w:r>
      <w:r>
        <w:rPr>
          <w:i/>
        </w:rPr>
        <w:t>Study on the evaluation of BEREC and the BEREC Office</w:t>
      </w:r>
      <w:r>
        <w:t>, PwC, syyskuu 2012, komission yksiköiden valmisteluasiakirja, huhtikuu 2013 (SWD(2013) 152 final), jota seurasi Euroopan parlamentin mie</w:t>
      </w:r>
      <w:r>
        <w:t>tintö, marraskuu 2013 (2013/2053(INI), A7- 0378/2013). Kyseisen arvioinnin tuloksiin olisi suhtauduttava varauksella, sillä osaa BERECin tehtävistä ei ollut tuolloin vielä suoritettu. Arvioinnissa ei tarkasteltu BEREC-viraston mahdollista mukauttamista haj</w:t>
      </w:r>
      <w:r>
        <w:t>autettuja virastoja koskevan yhteisen lähestymistavan mukaiseksi.</w:t>
      </w:r>
    </w:p>
  </w:footnote>
  <w:footnote w:id="6">
    <w:p w:rsidR="0006109C" w:rsidRDefault="00493E42">
      <w:pPr>
        <w:pStyle w:val="FootnoteText"/>
      </w:pPr>
      <w:r>
        <w:rPr>
          <w:rStyle w:val="FootnoteReference"/>
        </w:rPr>
        <w:footnoteRef/>
      </w:r>
      <w:r>
        <w:tab/>
        <w:t>Sääntelyneuvoston lausunto BoR (15) 206, 10.12.2015.</w:t>
      </w:r>
    </w:p>
  </w:footnote>
  <w:footnote w:id="7">
    <w:p w:rsidR="0006109C" w:rsidRDefault="00493E42">
      <w:pPr>
        <w:pStyle w:val="FootnoteText"/>
        <w:ind w:left="0" w:firstLine="0"/>
        <w:rPr>
          <w:sz w:val="18"/>
        </w:rPr>
      </w:pPr>
      <w:r>
        <w:rPr>
          <w:rStyle w:val="FootnoteReference"/>
        </w:rPr>
        <w:footnoteRef/>
      </w:r>
      <w:r>
        <w:tab/>
      </w:r>
      <w:hyperlink r:id="rId1">
        <w:r>
          <w:rPr>
            <w:rStyle w:val="Hyperlink"/>
            <w:sz w:val="18"/>
          </w:rPr>
          <w:t>http://berec.europa.eu/eng/document_register/subject_matter/berec/opinions/5577-berec-opinion-on-the-review-of-the-eu-electronic-communications-regulatory-framework</w:t>
        </w:r>
      </w:hyperlink>
      <w:r>
        <w:rPr>
          <w:rStyle w:val="Hyperlink"/>
          <w:sz w:val="18"/>
        </w:rPr>
        <w:t>.</w:t>
      </w:r>
    </w:p>
  </w:footnote>
  <w:footnote w:id="8">
    <w:p w:rsidR="0006109C" w:rsidRDefault="00493E42">
      <w:pPr>
        <w:pStyle w:val="FootnoteText"/>
        <w:ind w:left="0" w:firstLine="0"/>
        <w:rPr>
          <w:sz w:val="18"/>
        </w:rPr>
      </w:pPr>
      <w:r>
        <w:rPr>
          <w:rStyle w:val="FootnoteReference"/>
        </w:rPr>
        <w:footnoteRef/>
      </w:r>
      <w:r>
        <w:tab/>
      </w:r>
      <w:hyperlink r:id="rId2">
        <w:r>
          <w:rPr>
            <w:rStyle w:val="Hyperlink"/>
            <w:sz w:val="18"/>
          </w:rPr>
          <w:t>http://rspg-spectrum.eu/wp-content/uploads/2013/05/RSPG 16-001-DSM_opinion.pdf</w:t>
        </w:r>
      </w:hyperlink>
      <w:r>
        <w:rPr>
          <w:rStyle w:val="Hyperlink"/>
          <w:sz w:val="18"/>
        </w:rPr>
        <w:t>.</w:t>
      </w:r>
    </w:p>
  </w:footnote>
  <w:footnote w:id="9">
    <w:p w:rsidR="0006109C" w:rsidRDefault="00493E42">
      <w:pPr>
        <w:pStyle w:val="FootnoteText"/>
        <w:rPr>
          <w:sz w:val="18"/>
          <w:szCs w:val="18"/>
        </w:rPr>
      </w:pPr>
      <w:r>
        <w:rPr>
          <w:rStyle w:val="FootnoteReference"/>
        </w:rPr>
        <w:footnoteRef/>
      </w:r>
      <w:r>
        <w:tab/>
      </w:r>
      <w:r>
        <w:rPr>
          <w:sz w:val="18"/>
        </w:rPr>
        <w:t>Euroopan parlamentin päätöslauselma 19. tammikuuta 2016 digitaalisten sisämarkkinoiden toimenpidepaketista (</w:t>
      </w:r>
      <w:hyperlink r:id="rId3">
        <w:r>
          <w:rPr>
            <w:rStyle w:val="Hyperlink"/>
            <w:sz w:val="18"/>
          </w:rPr>
          <w:t>2015/2147(INI)</w:t>
        </w:r>
      </w:hyperlink>
      <w:r>
        <w:rPr>
          <w:sz w:val="18"/>
        </w:rPr>
        <w:t>).</w:t>
      </w:r>
    </w:p>
  </w:footnote>
  <w:footnote w:id="10">
    <w:p w:rsidR="0006109C" w:rsidRDefault="00493E42">
      <w:pPr>
        <w:pStyle w:val="FootnoteText"/>
        <w:rPr>
          <w:sz w:val="18"/>
          <w:szCs w:val="18"/>
        </w:rPr>
      </w:pPr>
      <w:r>
        <w:rPr>
          <w:rStyle w:val="FootnoteReference"/>
        </w:rPr>
        <w:footnoteRef/>
      </w:r>
      <w:r>
        <w:tab/>
      </w:r>
      <w:r>
        <w:rPr>
          <w:sz w:val="18"/>
        </w:rPr>
        <w:t>Eurooppa-neuvoston päätelmät 28. kesäkuuta 2016 (EUCO 26/16).</w:t>
      </w:r>
    </w:p>
  </w:footnote>
  <w:footnote w:id="11">
    <w:p w:rsidR="0006109C" w:rsidRDefault="00493E42">
      <w:pPr>
        <w:pStyle w:val="FootnoteText"/>
      </w:pPr>
      <w:r>
        <w:rPr>
          <w:rStyle w:val="FootnoteReference"/>
        </w:rPr>
        <w:footnoteRef/>
      </w:r>
      <w:r>
        <w:tab/>
      </w:r>
      <w:r>
        <w:rPr>
          <w:sz w:val="18"/>
        </w:rPr>
        <w:t>Asiantuntijaprofiilit ja keskusteluraportti esitetään vaikutusten a</w:t>
      </w:r>
      <w:r>
        <w:rPr>
          <w:sz w:val="18"/>
        </w:rPr>
        <w:t>rvioinnin liitteessä 13.</w:t>
      </w:r>
    </w:p>
  </w:footnote>
  <w:footnote w:id="12">
    <w:p w:rsidR="0006109C" w:rsidRDefault="00493E42">
      <w:pPr>
        <w:pStyle w:val="FootnoteText"/>
        <w:rPr>
          <w:sz w:val="18"/>
          <w:szCs w:val="18"/>
        </w:rPr>
      </w:pPr>
      <w:r>
        <w:rPr>
          <w:rStyle w:val="FootnoteReference"/>
        </w:rPr>
        <w:footnoteRef/>
      </w:r>
      <w:r>
        <w:tab/>
      </w:r>
      <w:hyperlink r:id="rId4">
        <w:r>
          <w:rPr>
            <w:sz w:val="18"/>
          </w:rPr>
          <w:t>http://ec.europa.eu/smart-regulation/impact/ia_carried_out/cia_2016_en.htm</w:t>
        </w:r>
      </w:hyperlink>
    </w:p>
    <w:p w:rsidR="0006109C" w:rsidRDefault="0006109C">
      <w:pPr>
        <w:pStyle w:val="FootnoteText"/>
      </w:pPr>
    </w:p>
  </w:footnote>
  <w:footnote w:id="13">
    <w:p w:rsidR="0006109C" w:rsidRDefault="00493E42">
      <w:pPr>
        <w:pStyle w:val="FootnoteText"/>
        <w:rPr>
          <w:sz w:val="18"/>
          <w:szCs w:val="18"/>
        </w:rPr>
      </w:pPr>
      <w:r>
        <w:rPr>
          <w:rStyle w:val="FootnoteReference"/>
        </w:rPr>
        <w:footnoteRef/>
      </w:r>
      <w:r>
        <w:tab/>
      </w:r>
      <w:r>
        <w:rPr>
          <w:sz w:val="18"/>
        </w:rPr>
        <w:t xml:space="preserve">Tarkastelun yhteydessä analysoitiin mahdollisuutta </w:t>
      </w:r>
      <w:r>
        <w:rPr>
          <w:sz w:val="18"/>
        </w:rPr>
        <w:t>tehokkuushyötyihin ja synergiaan muiden unionin virastojen ja erityisesti Euroopan unionin verkko- ja tietoturvaviraston (ENISA) kanssa. Ajatus näiden kahden viraston yhdistämisestä kuitenkin hylättiin useista syistä (mm. koska toimeksiannoissa ei ole pääl</w:t>
      </w:r>
      <w:r>
        <w:rPr>
          <w:sz w:val="18"/>
        </w:rPr>
        <w:t>lekkäisyyttä, toimeksiantoja on laajennettu vuodesta 2007, tehtävät ovat luonteeltaan erityisiä ja osallistuminen hallintoneuvoston tasolla on erilaista).</w:t>
      </w:r>
    </w:p>
  </w:footnote>
  <w:footnote w:id="14">
    <w:p w:rsidR="0006109C" w:rsidRDefault="00493E42">
      <w:pPr>
        <w:pStyle w:val="FootnoteText"/>
      </w:pPr>
      <w:r>
        <w:rPr>
          <w:rStyle w:val="FootnoteReference"/>
        </w:rPr>
        <w:footnoteRef/>
      </w:r>
      <w:r>
        <w:tab/>
      </w:r>
      <w:r>
        <w:rPr>
          <w:sz w:val="18"/>
        </w:rPr>
        <w:t>Säädösehdotukseen liittyvässä rahoitusselvityksessä esitetään luvut nykyisessä monivuotisessa rahoi</w:t>
      </w:r>
      <w:r>
        <w:rPr>
          <w:sz w:val="18"/>
        </w:rPr>
        <w:t xml:space="preserve">tuskehyksessä, joka päättyy vuonna 2020. BERECin tulevat henkilöstötarpeet arvioidaan vuoden 2020 jälkeistä aikaa koskevien komission ehdotusten yhteydessä. </w:t>
      </w:r>
    </w:p>
  </w:footnote>
  <w:footnote w:id="15">
    <w:p w:rsidR="0006109C" w:rsidRDefault="00493E42">
      <w:pPr>
        <w:pStyle w:val="FootnoteText"/>
        <w:rPr>
          <w:sz w:val="18"/>
        </w:rPr>
      </w:pPr>
      <w:r>
        <w:rPr>
          <w:rStyle w:val="FootnoteReference"/>
        </w:rPr>
        <w:footnoteRef/>
      </w:r>
      <w:r>
        <w:tab/>
      </w:r>
      <w:r>
        <w:rPr>
          <w:sz w:val="18"/>
        </w:rPr>
        <w:t>Vaihtoehto, jonka mukaan BEREC rahoitettaisiin (kokonaan tai osittain) palkkioilla ja korvauksil</w:t>
      </w:r>
      <w:r>
        <w:rPr>
          <w:sz w:val="18"/>
        </w:rPr>
        <w:t>la, hylättiin, koska viraston tehtävät ovat luonteeltaan pääasiassa kansallisille sääntelyviranomaisille ja EU:n toimielimille annettua neuvonantoa, jonka tavoitteena on lisätä johdonmukaisuutta televiestinnän sääntelyssä kaikkialla unionissa sen sijaan, e</w:t>
      </w:r>
      <w:r>
        <w:rPr>
          <w:sz w:val="18"/>
        </w:rPr>
        <w:t>ttä kohteena olisivat suoraan yksittäiset markkinatoimijat.</w:t>
      </w:r>
    </w:p>
  </w:footnote>
  <w:footnote w:id="16">
    <w:p w:rsidR="0006109C" w:rsidRDefault="00493E42">
      <w:pPr>
        <w:pStyle w:val="FootnoteText"/>
        <w:rPr>
          <w:sz w:val="18"/>
        </w:rPr>
      </w:pPr>
      <w:r>
        <w:rPr>
          <w:rStyle w:val="FootnoteReference"/>
        </w:rPr>
        <w:footnoteRef/>
      </w:r>
      <w:r>
        <w:tab/>
      </w:r>
      <w:r>
        <w:rPr>
          <w:sz w:val="18"/>
        </w:rPr>
        <w:t>Säädösehdotukseen liittyvässä rahoitusselvityksessä esitetään luvut nykyisessä monivuotisessa rahoituskehyksessä, joka päättyy vuonna 2020. Uuden viraston toteutusvaiheen ennakoidaan kestävän vu</w:t>
      </w:r>
      <w:r>
        <w:rPr>
          <w:sz w:val="18"/>
        </w:rPr>
        <w:t>oteen 2022.</w:t>
      </w:r>
    </w:p>
  </w:footnote>
  <w:footnote w:id="17">
    <w:p w:rsidR="0006109C" w:rsidRDefault="00493E42">
      <w:pPr>
        <w:pStyle w:val="FootnoteText"/>
        <w:ind w:left="0" w:firstLine="0"/>
        <w:rPr>
          <w:sz w:val="18"/>
        </w:rPr>
      </w:pPr>
      <w:r>
        <w:rPr>
          <w:rStyle w:val="FootnoteReference"/>
        </w:rPr>
        <w:footnoteRef/>
      </w:r>
      <w:r>
        <w:tab/>
      </w:r>
      <w:r>
        <w:rPr>
          <w:sz w:val="18"/>
        </w:rPr>
        <w:t xml:space="preserve">Selvitykset löytyvät osoitteesta </w:t>
      </w:r>
      <w:hyperlink r:id="rId5">
        <w:r>
          <w:rPr>
            <w:rStyle w:val="Hyperlink"/>
            <w:sz w:val="18"/>
          </w:rPr>
          <w:t>https://ec.europa.eu/digital-single-market/en/digital-scoreboard</w:t>
        </w:r>
      </w:hyperlink>
      <w:r>
        <w:rPr>
          <w:sz w:val="18"/>
        </w:rPr>
        <w:t>.</w:t>
      </w:r>
    </w:p>
  </w:footnote>
  <w:footnote w:id="18">
    <w:p w:rsidR="0006109C" w:rsidRDefault="00493E42">
      <w:pPr>
        <w:pStyle w:val="FootnoteText"/>
        <w:ind w:left="0" w:firstLine="0"/>
        <w:rPr>
          <w:sz w:val="18"/>
        </w:rPr>
      </w:pPr>
      <w:r>
        <w:rPr>
          <w:rStyle w:val="FootnoteReference"/>
        </w:rPr>
        <w:footnoteRef/>
      </w:r>
      <w:r>
        <w:tab/>
      </w:r>
      <w:r>
        <w:rPr>
          <w:sz w:val="18"/>
        </w:rPr>
        <w:t>Tiedot ovat saatavilla osoitteesta https://ec.europa.eu/d</w:t>
      </w:r>
      <w:r>
        <w:rPr>
          <w:sz w:val="18"/>
        </w:rPr>
        <w:t>igital-single-market/en/download-scoreboard-reports.</w:t>
      </w:r>
    </w:p>
  </w:footnote>
  <w:footnote w:id="19">
    <w:p w:rsidR="0006109C" w:rsidRDefault="00493E42">
      <w:pPr>
        <w:pStyle w:val="FootnoteText"/>
      </w:pPr>
      <w:r>
        <w:rPr>
          <w:rStyle w:val="FootnoteReference"/>
        </w:rPr>
        <w:footnoteRef/>
      </w:r>
      <w:r>
        <w:tab/>
        <w:t>EUVL C [</w:t>
      </w:r>
      <w:r>
        <w:rPr>
          <w:highlight w:val="yellow"/>
        </w:rPr>
        <w:t>…</w:t>
      </w:r>
      <w:r>
        <w:t>].</w:t>
      </w:r>
    </w:p>
  </w:footnote>
  <w:footnote w:id="20">
    <w:p w:rsidR="0006109C" w:rsidRDefault="00493E42">
      <w:pPr>
        <w:pStyle w:val="FootnoteText"/>
      </w:pPr>
      <w:r>
        <w:rPr>
          <w:rStyle w:val="FootnoteReference"/>
        </w:rPr>
        <w:footnoteRef/>
      </w:r>
      <w:r>
        <w:tab/>
        <w:t>EUVL C [</w:t>
      </w:r>
      <w:r>
        <w:rPr>
          <w:highlight w:val="yellow"/>
        </w:rPr>
        <w:t>…</w:t>
      </w:r>
      <w:r>
        <w:t>].</w:t>
      </w:r>
    </w:p>
  </w:footnote>
  <w:footnote w:id="21">
    <w:p w:rsidR="0006109C" w:rsidRDefault="00493E42">
      <w:pPr>
        <w:pStyle w:val="FootnoteText"/>
      </w:pPr>
      <w:r>
        <w:rPr>
          <w:rStyle w:val="FootnoteReference"/>
        </w:rPr>
        <w:footnoteRef/>
      </w:r>
      <w:r>
        <w:tab/>
        <w:t>Euroopan parlamentin ja neuvoston direktiivi [</w:t>
      </w:r>
      <w:r>
        <w:rPr>
          <w:highlight w:val="yellow"/>
        </w:rPr>
        <w:t>…</w:t>
      </w:r>
      <w:r>
        <w:t>], annettu [</w:t>
      </w:r>
      <w:r>
        <w:rPr>
          <w:highlight w:val="yellow"/>
        </w:rPr>
        <w:t>…</w:t>
      </w:r>
      <w:r>
        <w:t>], eurooppalaisesta sähköisen viestinnän säännöstöstä (EUVL L [</w:t>
      </w:r>
      <w:r>
        <w:rPr>
          <w:highlight w:val="yellow"/>
        </w:rPr>
        <w:t>…</w:t>
      </w:r>
      <w:r>
        <w:t>]).</w:t>
      </w:r>
    </w:p>
  </w:footnote>
  <w:footnote w:id="22">
    <w:p w:rsidR="0006109C" w:rsidRDefault="00493E42">
      <w:pPr>
        <w:pStyle w:val="FootnoteText"/>
      </w:pPr>
      <w:r>
        <w:rPr>
          <w:rStyle w:val="FootnoteReference"/>
        </w:rPr>
        <w:footnoteRef/>
      </w:r>
      <w:r>
        <w:tab/>
        <w:t>Euroopan parlamentin ja neuvoston direktiiv</w:t>
      </w:r>
      <w:r>
        <w:t>i 2002/58/EY, annettu 12 päivänä heinäkuuta 2002, henkilötietojen käsittelystä ja yksityisyyden suojasta sähköisen viestinnän alalla (sähköisen viestinnän tietosuojadirektiivi) (EYVL L 201, 31.7.2002, s. 37).</w:t>
      </w:r>
    </w:p>
  </w:footnote>
  <w:footnote w:id="23">
    <w:p w:rsidR="0006109C" w:rsidRDefault="00493E42">
      <w:pPr>
        <w:pStyle w:val="FootnoteText"/>
      </w:pPr>
      <w:r>
        <w:rPr>
          <w:rStyle w:val="FootnoteReference"/>
        </w:rPr>
        <w:footnoteRef/>
      </w:r>
      <w:r>
        <w:tab/>
        <w:t>Euroopan parlamentin ja neuvoston asetus (EU)</w:t>
      </w:r>
      <w:r>
        <w:t xml:space="preserve"> N:o 531/2012, annettu 13 päivänä kesäkuuta 2012, verkkovierailuista yleisissä matkaviestinverkoissa unionin alueella (EUVL L 172, 30.6.2012, s. 10).</w:t>
      </w:r>
    </w:p>
  </w:footnote>
  <w:footnote w:id="24">
    <w:p w:rsidR="0006109C" w:rsidRDefault="00493E42">
      <w:pPr>
        <w:pStyle w:val="FootnoteText"/>
      </w:pPr>
      <w:r>
        <w:rPr>
          <w:rStyle w:val="FootnoteReference"/>
        </w:rPr>
        <w:footnoteRef/>
      </w:r>
      <w:r>
        <w:tab/>
        <w:t>Euroopan parlamentin ja neuvoston asetus (EU) 2015/2120, annettu 25 päivänä marraskuuta 2015, avointa in</w:t>
      </w:r>
      <w:r>
        <w:t>ternetyhteyttä koskevista toimenpiteistä ja yleispalvelusta ja käyttäjien oikeuksista sähköisten viestintäverkkojen ja -palvelujen alalla annetun direktiivin 2002/22/EY muuttamisesta</w:t>
      </w:r>
      <w:r>
        <w:rPr>
          <w:rStyle w:val="FootnoteReference"/>
        </w:rPr>
        <w:footnoteRef/>
      </w:r>
      <w:r>
        <w:t xml:space="preserve"> (EUVL L 310, 26.11.2015, s.1).</w:t>
      </w:r>
    </w:p>
    <w:p w:rsidR="0006109C" w:rsidRDefault="0006109C">
      <w:pPr>
        <w:pStyle w:val="FootnoteText"/>
        <w:rPr>
          <w:rStyle w:val="FootnoteReference"/>
        </w:rPr>
      </w:pPr>
    </w:p>
  </w:footnote>
  <w:footnote w:id="25">
    <w:p w:rsidR="0006109C" w:rsidRDefault="00493E42">
      <w:pPr>
        <w:pStyle w:val="FootnoteText"/>
      </w:pPr>
      <w:r>
        <w:rPr>
          <w:rStyle w:val="FootnoteReference"/>
        </w:rPr>
        <w:footnoteRef/>
      </w:r>
      <w:r>
        <w:tab/>
        <w:t>Euroopan parlamentin ja neuvoston aset</w:t>
      </w:r>
      <w:r>
        <w:t>us (EY) N:o 1211/2009, annettu 25 päivänä marraskuuta 2009, Euroopan sähköisen viestinnän sääntelyviranomaisten yhteistyöelimen (BEREC) ja viraston perustamisesta (EUVL L 337, 18.12.2009, s. 1).</w:t>
      </w:r>
    </w:p>
  </w:footnote>
  <w:footnote w:id="26">
    <w:p w:rsidR="0006109C" w:rsidRDefault="00493E42">
      <w:pPr>
        <w:pStyle w:val="FootnoteText"/>
      </w:pPr>
      <w:r>
        <w:rPr>
          <w:rStyle w:val="FootnoteReference"/>
        </w:rPr>
        <w:footnoteRef/>
      </w:r>
      <w:r>
        <w:tab/>
        <w:t xml:space="preserve">Komission </w:t>
      </w:r>
      <w:r>
        <w:rPr>
          <w:rStyle w:val="Strong"/>
          <w:b w:val="0"/>
        </w:rPr>
        <w:t>päätös 2002/627/EY, tehty 29 päivänä heinäkuuta 2</w:t>
      </w:r>
      <w:r>
        <w:rPr>
          <w:rStyle w:val="Strong"/>
          <w:b w:val="0"/>
        </w:rPr>
        <w:t>002, sähköisen viestinnän verkkoja ja palveluja käsittelevän eurooppalaisen sääntelyviranomaisten ryhmän perustamisesta</w:t>
      </w:r>
      <w:r>
        <w:t xml:space="preserve"> (EYVL L 200, 30.7.2002, s. 38).</w:t>
      </w:r>
    </w:p>
  </w:footnote>
  <w:footnote w:id="27">
    <w:p w:rsidR="0006109C" w:rsidRDefault="00493E42">
      <w:pPr>
        <w:pStyle w:val="FootnoteText"/>
      </w:pPr>
      <w:r>
        <w:rPr>
          <w:rStyle w:val="FootnoteReference"/>
        </w:rPr>
        <w:footnoteRef/>
      </w:r>
      <w:r>
        <w:tab/>
        <w:t>COM(2015) 192 final.</w:t>
      </w:r>
    </w:p>
  </w:footnote>
  <w:footnote w:id="28">
    <w:p w:rsidR="0006109C" w:rsidRDefault="00493E42">
      <w:pPr>
        <w:pStyle w:val="FootnoteText"/>
      </w:pPr>
      <w:r>
        <w:rPr>
          <w:rStyle w:val="FootnoteReference"/>
        </w:rPr>
        <w:footnoteRef/>
      </w:r>
      <w:r>
        <w:tab/>
        <w:t>Euroopan parlamentin, neuvoston ja komission yhteinen julkilausuma erillisviras</w:t>
      </w:r>
      <w:r>
        <w:t>toista, 19.7.2012.</w:t>
      </w:r>
    </w:p>
  </w:footnote>
  <w:footnote w:id="29">
    <w:p w:rsidR="0006109C" w:rsidRDefault="00493E42">
      <w:pPr>
        <w:pStyle w:val="FootnoteText"/>
      </w:pPr>
      <w:r>
        <w:rPr>
          <w:rStyle w:val="FootnoteReference"/>
        </w:rPr>
        <w:footnoteRef/>
      </w:r>
      <w:r>
        <w:tab/>
        <w:t>Päätös 2002/622/EY radiotaajuuspolitiikkaa käsittelevän ryhmän perustamisesta (EYVL L 198, 27.7.2002, s. 49).</w:t>
      </w:r>
    </w:p>
  </w:footnote>
  <w:footnote w:id="30">
    <w:p w:rsidR="0006109C" w:rsidRDefault="00493E42">
      <w:pPr>
        <w:pStyle w:val="FootnoteText"/>
      </w:pPr>
      <w:r>
        <w:rPr>
          <w:rStyle w:val="FootnoteReference"/>
        </w:rPr>
        <w:footnoteRef/>
      </w:r>
      <w:r>
        <w:tab/>
        <w:t xml:space="preserve">Perustettu Euroopan parlamentin ja neuvoston asetuksella (EU) 2016/679, annettu 27 päivänä huhtikuuta 2016, luonnollisten </w:t>
      </w:r>
      <w:r>
        <w:t>henkilöiden suojelusta henkilötietojen käsittelyssä sekä näiden tietojen vapaasta liikkuvuudesta ja direktiivin 95/46/EY kumoamisesta (yleinen tietosuoja-asetus), (EUVL L 119, 4.5.2016, s. 1).</w:t>
      </w:r>
    </w:p>
  </w:footnote>
  <w:footnote w:id="31">
    <w:p w:rsidR="0006109C" w:rsidRDefault="00493E42">
      <w:pPr>
        <w:pStyle w:val="FootnoteText"/>
      </w:pPr>
      <w:r>
        <w:rPr>
          <w:rStyle w:val="FootnoteReference"/>
        </w:rPr>
        <w:footnoteRef/>
      </w:r>
      <w:r>
        <w:tab/>
        <w:t>Direktiivi [</w:t>
      </w:r>
      <w:r>
        <w:rPr>
          <w:highlight w:val="yellow"/>
        </w:rPr>
        <w:t>...</w:t>
      </w:r>
      <w:r>
        <w:t>].</w:t>
      </w:r>
    </w:p>
  </w:footnote>
  <w:footnote w:id="32">
    <w:p w:rsidR="0006109C" w:rsidRDefault="00493E42">
      <w:pPr>
        <w:pStyle w:val="FootnoteText"/>
      </w:pPr>
      <w:r>
        <w:rPr>
          <w:rStyle w:val="FootnoteReference"/>
        </w:rPr>
        <w:footnoteRef/>
      </w:r>
      <w:r>
        <w:tab/>
        <w:t xml:space="preserve">Euroopan parlamentin ja neuvoston asetus </w:t>
      </w:r>
      <w:r>
        <w:t>(EU) N:o 526/2013, annettu 21 päivänä toukokuuta 2013, Euroopan unionin verkko- ja tietoturvavirastosta (ENISA) ja asetuksen (EY) N:o 460/2004 kumoamisesta (EUVL L 165, 18.6.2013, s. 41).</w:t>
      </w:r>
    </w:p>
  </w:footnote>
  <w:footnote w:id="33">
    <w:p w:rsidR="0006109C" w:rsidRDefault="00493E42">
      <w:pPr>
        <w:pStyle w:val="FootnoteText"/>
      </w:pPr>
      <w:r>
        <w:rPr>
          <w:rStyle w:val="FootnoteReference"/>
        </w:rPr>
        <w:footnoteRef/>
      </w:r>
      <w:r>
        <w:tab/>
        <w:t>Euroopan parlamentin ja neuvoston asetus (EU) N:o 182/2011, annett</w:t>
      </w:r>
      <w:r>
        <w:t>u 16 päivänä helmikuuta 2011, yleisistä säännöistä ja periaatteista, joiden mukaisesti jäsenvaltiot valvovat komission täytäntöönpanovallan käyttöä (EUVL L 55, 28.2.2011, s. 13).</w:t>
      </w:r>
    </w:p>
  </w:footnote>
  <w:footnote w:id="34">
    <w:p w:rsidR="0006109C" w:rsidRDefault="00493E42">
      <w:pPr>
        <w:pStyle w:val="FootnoteText"/>
      </w:pPr>
      <w:r>
        <w:rPr>
          <w:rStyle w:val="FootnoteReference"/>
        </w:rPr>
        <w:footnoteRef/>
      </w:r>
      <w:r>
        <w:tab/>
        <w:t>Komission delegoitu asetus (EU) N:o 1271/2013, annettu 30 päivänä syyskuuta</w:t>
      </w:r>
      <w:r>
        <w:t xml:space="preserve"> 2013, Euroopan parlamentin ja neuvoston asetuksen (EU, Euratom) N:o 966/2012 208 artiklassa tarkoitettuja elimiä koskevasta varainhoidon puiteasetuksesta (EUVL L 328, 7.12.2013, s. 42).</w:t>
      </w:r>
    </w:p>
  </w:footnote>
  <w:footnote w:id="35">
    <w:p w:rsidR="0006109C" w:rsidRDefault="00493E42">
      <w:pPr>
        <w:pStyle w:val="FootnoteText"/>
      </w:pPr>
      <w:r>
        <w:rPr>
          <w:rStyle w:val="FootnoteReference"/>
        </w:rPr>
        <w:footnoteRef/>
      </w:r>
      <w:r>
        <w:tab/>
        <w:t>Euroopan parlamentin, neuvoston ja komission välinen toimielinten s</w:t>
      </w:r>
      <w:r>
        <w:t>opimus, tehty 2 päivänä joulukuuta 2013, talousarviota koskevasta kurinalaisuudesta, talousarvioyhteistyöstä ja moitteettomasta varainhoidosta (EUVL C 373, 20.12.2013, s.1).</w:t>
      </w:r>
    </w:p>
  </w:footnote>
  <w:footnote w:id="36">
    <w:p w:rsidR="0006109C" w:rsidRDefault="00493E42">
      <w:pPr>
        <w:pStyle w:val="FootnoteText"/>
      </w:pPr>
      <w:r>
        <w:rPr>
          <w:rStyle w:val="FootnoteReference"/>
        </w:rPr>
        <w:footnoteRef/>
      </w:r>
      <w:r>
        <w:tab/>
        <w:t>Euroopan parlamentin ja neuvoston päätös N:o 243/2012/EU, annettu 14 päivänä maa</w:t>
      </w:r>
      <w:r>
        <w:t>liskuuta 2012, monivuotisen radiotaajuuspoliittisen ohjelman perustamisesta (EUVL L 81, 21.3.2012, s. 7).</w:t>
      </w:r>
    </w:p>
  </w:footnote>
  <w:footnote w:id="37">
    <w:p w:rsidR="0006109C" w:rsidRDefault="00493E42">
      <w:pPr>
        <w:pStyle w:val="FootnoteText"/>
      </w:pPr>
      <w:r>
        <w:rPr>
          <w:rStyle w:val="FootnoteReference"/>
        </w:rPr>
        <w:footnoteRef/>
      </w:r>
      <w:r>
        <w:tab/>
        <w:t>Neuvoston asetus (ETY, Euratom, EHTY) N:o 259/68, annettu 29 päivänä helmikuuta 1968, Euroopan yhteisöjen virkamiehiin sovellettavien henkilöstösään</w:t>
      </w:r>
      <w:r>
        <w:t>töjen ja näiden yhteisöjen muuta henkilöstöä koskevien palvelussuhteen ehtojen vahvistamisesta ja komission virkamiehiin väliaikaisesti sovellettavista erityistoimenpiteistä (EYVL L 56, 4.3.1968, s. 1).</w:t>
      </w:r>
    </w:p>
  </w:footnote>
  <w:footnote w:id="38">
    <w:p w:rsidR="0006109C" w:rsidRDefault="00493E42">
      <w:pPr>
        <w:pStyle w:val="FootnoteText"/>
      </w:pPr>
      <w:r>
        <w:rPr>
          <w:rStyle w:val="FootnoteReference"/>
        </w:rPr>
        <w:footnoteRef/>
      </w:r>
      <w:r>
        <w:tab/>
        <w:t>Komission tiedonanto – ohjeet erillisvirastojen ohj</w:t>
      </w:r>
      <w:r>
        <w:t>elma-asiakirjasta ja konsolidoidun vuosikertomuksen mallista (C(2014) 9641).</w:t>
      </w:r>
    </w:p>
  </w:footnote>
  <w:footnote w:id="39">
    <w:p w:rsidR="0006109C" w:rsidRDefault="00493E42">
      <w:pPr>
        <w:pStyle w:val="Default"/>
      </w:pPr>
      <w:r>
        <w:rPr>
          <w:rStyle w:val="FootnoteReference"/>
        </w:rPr>
        <w:footnoteRef/>
      </w:r>
      <w:r>
        <w:tab/>
      </w:r>
      <w:r>
        <w:rPr>
          <w:color w:val="auto"/>
          <w:sz w:val="20"/>
        </w:rPr>
        <w:t>Euroopan parlamentin ja neuvoston asetus (EU, Euratom) N:o 966/2012, annettu 25 päivänä lokakuuta 2012, unionin yleiseen talousarvioon sovellettavista varainhoitosäännöistä ja n</w:t>
      </w:r>
      <w:r>
        <w:rPr>
          <w:color w:val="auto"/>
          <w:sz w:val="20"/>
        </w:rPr>
        <w:t>euvoston asetuksen (EY, Euratom) N:o 1605/2002 kumoamisesta (EUVL L 298, 26.10.2012).</w:t>
      </w:r>
    </w:p>
  </w:footnote>
  <w:footnote w:id="40">
    <w:p w:rsidR="0006109C" w:rsidRDefault="00493E42">
      <w:pPr>
        <w:pStyle w:val="FootnoteText"/>
      </w:pPr>
      <w:r>
        <w:rPr>
          <w:rStyle w:val="FootnoteReference"/>
        </w:rPr>
        <w:footnoteRef/>
      </w:r>
      <w:r>
        <w:tab/>
        <w:t xml:space="preserve">Euroopan parlamentin ja neuvoston asetus (EY) N:o 1049/2001, annettu 30 päivänä toukokuuta 2001, Euroopan parlamentin, neuvoston ja komission asiakirjojen saamisesta </w:t>
      </w:r>
      <w:r>
        <w:t>yleisön tutustuttavaksi (EYVL L 145, 31.5.2001, s. 43).</w:t>
      </w:r>
    </w:p>
  </w:footnote>
  <w:footnote w:id="41">
    <w:p w:rsidR="0006109C" w:rsidRDefault="00493E42">
      <w:pPr>
        <w:pStyle w:val="FootnoteText"/>
      </w:pPr>
      <w:r>
        <w:rPr>
          <w:rStyle w:val="FootnoteReference"/>
        </w:rPr>
        <w:footnoteRef/>
      </w:r>
      <w:r>
        <w:tab/>
        <w:t xml:space="preserve">Euroopan parlamentin ja neuvoston asetus (EY) N:o 45/2001, annettu 18 päivänä joulukuuta 2000, yksilöiden suojelusta yhteisöjen toimielinten ja elinten suorittamassa henkilötietojen käsittelyssä ja </w:t>
      </w:r>
      <w:r>
        <w:t>näiden tietojen vapaasta liikkuvuudesta (EYVL L 8, 12.1.2001, s. 1).</w:t>
      </w:r>
    </w:p>
  </w:footnote>
  <w:footnote w:id="42">
    <w:p w:rsidR="0006109C" w:rsidRDefault="00493E42">
      <w:pPr>
        <w:pStyle w:val="FootnoteText"/>
      </w:pPr>
      <w:r>
        <w:rPr>
          <w:rStyle w:val="FootnoteReference"/>
        </w:rPr>
        <w:footnoteRef/>
      </w:r>
      <w:r>
        <w:tab/>
        <w:t>Komission päätös (EU, Euratom) 2015/443, annettu 13 päivänä maaliskuuta 2015, turvallisuudesta komissiossa (EUVL L 72, 17.3.2015, s. 41).</w:t>
      </w:r>
    </w:p>
  </w:footnote>
  <w:footnote w:id="43">
    <w:p w:rsidR="0006109C" w:rsidRDefault="00493E42">
      <w:pPr>
        <w:pStyle w:val="FootnoteText"/>
      </w:pPr>
      <w:r>
        <w:rPr>
          <w:rStyle w:val="FootnoteReference"/>
        </w:rPr>
        <w:footnoteRef/>
      </w:r>
      <w:r>
        <w:tab/>
        <w:t>Komission päätös (EU, Euratom) 2015/444, anne</w:t>
      </w:r>
      <w:r>
        <w:t>ttu 13 päivänä maaliskuuta 2015, EU:n turvallisuusluokiteltujen tietojen suojaamista koskevista säännöistä (EUVL L 72, 17.3.2015, s. 53).</w:t>
      </w:r>
    </w:p>
  </w:footnote>
  <w:footnote w:id="44">
    <w:p w:rsidR="0006109C" w:rsidRDefault="00493E42">
      <w:pPr>
        <w:pStyle w:val="Default"/>
        <w:rPr>
          <w:color w:val="auto"/>
          <w:sz w:val="20"/>
          <w:szCs w:val="20"/>
        </w:rPr>
      </w:pPr>
      <w:r>
        <w:rPr>
          <w:rStyle w:val="FootnoteReference"/>
        </w:rPr>
        <w:footnoteRef/>
      </w:r>
      <w:r>
        <w:tab/>
      </w:r>
      <w:r>
        <w:rPr>
          <w:color w:val="auto"/>
          <w:sz w:val="20"/>
        </w:rPr>
        <w:t>Euroopan parlamentin ja neuvoston asetus (EU, Euratom) N:o 883/2013, annettu 11 päivänä syyskuuta 2013, Euroopan pet</w:t>
      </w:r>
      <w:r>
        <w:rPr>
          <w:color w:val="auto"/>
          <w:sz w:val="20"/>
        </w:rPr>
        <w:t>ostentorjuntaviraston (OLAF) tutkimuksista sekä Euroopan parlamentin ja neuvoston asetuksen (EY) N:o 1073/1999 ja neuvoston asetuksen (Euratom) N:o 1074/1999 kumoamisesta (EUVL L 248, 18.9.2013, s. 1).</w:t>
      </w:r>
    </w:p>
  </w:footnote>
  <w:footnote w:id="45">
    <w:p w:rsidR="0006109C" w:rsidRDefault="00493E42">
      <w:pPr>
        <w:pStyle w:val="FootnoteText"/>
      </w:pPr>
      <w:r>
        <w:rPr>
          <w:rStyle w:val="FootnoteReference"/>
        </w:rPr>
        <w:footnoteRef/>
      </w:r>
      <w:r>
        <w:tab/>
        <w:t xml:space="preserve">Neuvoston asetus (Euratom, EY) N:o 2185/96, annettu </w:t>
      </w:r>
      <w:r>
        <w:t>11 päivänä marraskuuta 1996, komission paikan päällä suorittamista tarkastuksista ja todentamisista Euroopan yhteisöjen taloudellisiin etuihin kohdistuvien petosten ja muiden väärinkäytösten estämiseksi (EYVL L 292, 15.11.1996, s. 2).</w:t>
      </w:r>
    </w:p>
  </w:footnote>
  <w:footnote w:id="46">
    <w:p w:rsidR="0006109C" w:rsidRDefault="00493E42">
      <w:pPr>
        <w:pStyle w:val="FootnoteText"/>
      </w:pPr>
      <w:r>
        <w:rPr>
          <w:rStyle w:val="FootnoteReference"/>
        </w:rPr>
        <w:footnoteRef/>
      </w:r>
      <w:r>
        <w:tab/>
        <w:t>Neuvoston asetus N:</w:t>
      </w:r>
      <w:r>
        <w:t>o 1 Euroopan talousyhteisössä käytettäviä kieliä koskevista järjestelyistä (EYVL L 17, 6.10.1958, s. 385).</w:t>
      </w:r>
    </w:p>
  </w:footnote>
  <w:footnote w:id="47">
    <w:p w:rsidR="0006109C" w:rsidRDefault="00493E42">
      <w:pPr>
        <w:pStyle w:val="FootnoteText"/>
        <w:rPr>
          <w:szCs w:val="24"/>
        </w:rPr>
      </w:pPr>
      <w:r>
        <w:rPr>
          <w:rStyle w:val="FootnoteReference"/>
        </w:rPr>
        <w:footnoteRef/>
      </w:r>
      <w:r>
        <w:tab/>
        <w:t>ABM: toimintoperusteinen johtaminen; ABB: toimintoperusteinen budjetointi.</w:t>
      </w:r>
    </w:p>
  </w:footnote>
  <w:footnote w:id="48">
    <w:p w:rsidR="0006109C" w:rsidRDefault="00493E42">
      <w:pPr>
        <w:pStyle w:val="FootnoteText"/>
        <w:rPr>
          <w:szCs w:val="24"/>
        </w:rPr>
      </w:pPr>
      <w:r>
        <w:rPr>
          <w:rStyle w:val="FootnoteReference"/>
        </w:rPr>
        <w:footnoteRef/>
      </w:r>
      <w:r>
        <w:tab/>
        <w:t>Sellaisina kuin nämä on määritelty varainhoitoasetuksen 54 artiklan 2 </w:t>
      </w:r>
      <w:r>
        <w:t>kohdan a ja b alakohdassa.</w:t>
      </w:r>
    </w:p>
  </w:footnote>
  <w:footnote w:id="49">
    <w:p w:rsidR="0006109C" w:rsidRDefault="00493E42">
      <w:pPr>
        <w:pStyle w:val="FootnoteText"/>
      </w:pPr>
      <w:r>
        <w:rPr>
          <w:rStyle w:val="FootnoteReference"/>
        </w:rPr>
        <w:footnoteRef/>
      </w:r>
      <w:r>
        <w:tab/>
        <w:t xml:space="preserve">Tiedonanto </w:t>
      </w:r>
      <w:r>
        <w:rPr>
          <w:i/>
        </w:rPr>
        <w:t>Digitaalisten sisämarkkinoiden strategia Euroopalle</w:t>
      </w:r>
      <w:r>
        <w:t xml:space="preserve"> COM(2015) 192 final, 6.5.2015.</w:t>
      </w:r>
    </w:p>
  </w:footnote>
  <w:footnote w:id="50">
    <w:p w:rsidR="0006109C" w:rsidRDefault="00493E42">
      <w:pPr>
        <w:pStyle w:val="FootnoteText"/>
        <w:rPr>
          <w:lang w:val="pl-PL"/>
        </w:rPr>
      </w:pPr>
      <w:r>
        <w:rPr>
          <w:rStyle w:val="FootnoteReference"/>
        </w:rPr>
        <w:footnoteRef/>
      </w:r>
      <w:r>
        <w:rPr>
          <w:lang w:val="pl-PL"/>
        </w:rPr>
        <w:tab/>
        <w:t>Ks. http://europa.eu/agencies/documents/joint_statement_and_common_approach_2012_en.pdf.</w:t>
      </w:r>
    </w:p>
  </w:footnote>
  <w:footnote w:id="51">
    <w:p w:rsidR="0006109C" w:rsidRDefault="00493E42">
      <w:pPr>
        <w:pStyle w:val="FootnoteText"/>
      </w:pPr>
      <w:r>
        <w:rPr>
          <w:rStyle w:val="FootnoteReference"/>
        </w:rPr>
        <w:footnoteRef/>
      </w:r>
      <w:r>
        <w:tab/>
        <w:t>Toteutus alkaa vuonna 2019 ja jatkuu vuo</w:t>
      </w:r>
      <w:r>
        <w:t>teen 2022 seuraavan monivuotisen rahoituskehyksen puitteissa.</w:t>
      </w:r>
    </w:p>
  </w:footnote>
  <w:footnote w:id="52">
    <w:p w:rsidR="0006109C" w:rsidRDefault="00493E42">
      <w:pPr>
        <w:pStyle w:val="FootnoteText"/>
        <w:rPr>
          <w:szCs w:val="24"/>
        </w:rPr>
      </w:pPr>
      <w:r>
        <w:rPr>
          <w:rStyle w:val="FootnoteReference"/>
        </w:rPr>
        <w:footnoteRef/>
      </w:r>
      <w:r>
        <w:tab/>
        <w:t>Kuvaukset eri hallinnointitavoista ja viittaukset varainhoitoasetukseen ovat saatavilla budjettipääosaston verkkosivuilla osoitteessa http://www.cc.cec/budg/man/budgmanag/budgmanag_en.html.</w:t>
      </w:r>
    </w:p>
  </w:footnote>
  <w:footnote w:id="53">
    <w:p w:rsidR="0006109C" w:rsidRDefault="00493E42">
      <w:pPr>
        <w:pStyle w:val="FootnoteText"/>
      </w:pPr>
      <w:r>
        <w:rPr>
          <w:rStyle w:val="FootnoteReference"/>
        </w:rPr>
        <w:footnoteRef/>
      </w:r>
      <w:r>
        <w:tab/>
      </w:r>
      <w:r>
        <w:t>http://www.europarl.europa.eu/sides/getDoc.do?type=TA&amp;reference=P7- TA-2013-0536&amp;language=EN.</w:t>
      </w:r>
    </w:p>
  </w:footnote>
  <w:footnote w:id="54">
    <w:p w:rsidR="0006109C" w:rsidRDefault="00493E42">
      <w:pPr>
        <w:autoSpaceDE w:val="0"/>
        <w:autoSpaceDN w:val="0"/>
      </w:pPr>
      <w:r>
        <w:rPr>
          <w:rStyle w:val="FootnoteReference"/>
        </w:rPr>
        <w:footnoteRef/>
      </w:r>
      <w:r>
        <w:tab/>
      </w:r>
      <w:r>
        <w:rPr>
          <w:sz w:val="20"/>
        </w:rPr>
        <w:t>SMART 2015/0003</w:t>
      </w:r>
      <w:r>
        <w:rPr>
          <w:color w:val="000000"/>
        </w:rPr>
        <w:t>.</w:t>
      </w:r>
    </w:p>
  </w:footnote>
  <w:footnote w:id="55">
    <w:p w:rsidR="0006109C" w:rsidRDefault="00493E42">
      <w:pPr>
        <w:pStyle w:val="FootnoteText"/>
      </w:pPr>
      <w:r>
        <w:rPr>
          <w:rStyle w:val="FootnoteReference"/>
        </w:rPr>
        <w:footnoteRef/>
      </w:r>
      <w:r>
        <w:tab/>
        <w:t>SMART 2015/002.</w:t>
      </w:r>
    </w:p>
  </w:footnote>
  <w:footnote w:id="56">
    <w:p w:rsidR="0006109C" w:rsidRDefault="00493E42">
      <w:pPr>
        <w:pStyle w:val="FootnoteText"/>
      </w:pPr>
      <w:r>
        <w:rPr>
          <w:rStyle w:val="FootnoteReference"/>
        </w:rPr>
        <w:footnoteRef/>
      </w:r>
      <w:r>
        <w:tab/>
        <w:t>SMART 2015/005.</w:t>
      </w:r>
    </w:p>
  </w:footnote>
  <w:footnote w:id="57">
    <w:p w:rsidR="0006109C" w:rsidRDefault="00493E42">
      <w:pPr>
        <w:pStyle w:val="FootnoteText"/>
        <w:rPr>
          <w:szCs w:val="24"/>
        </w:rPr>
      </w:pPr>
      <w:r>
        <w:rPr>
          <w:rStyle w:val="FootnoteReference"/>
        </w:rPr>
        <w:footnoteRef/>
      </w:r>
      <w:r>
        <w:tab/>
        <w:t>JM = jaksotetut määrärahat; EI-JM = jaksottamattomat määrärahat.</w:t>
      </w:r>
    </w:p>
  </w:footnote>
  <w:footnote w:id="58">
    <w:p w:rsidR="0006109C" w:rsidRDefault="00493E42">
      <w:pPr>
        <w:pStyle w:val="FootnoteText"/>
        <w:rPr>
          <w:szCs w:val="24"/>
        </w:rPr>
      </w:pPr>
      <w:r>
        <w:rPr>
          <w:rStyle w:val="FootnoteReference"/>
        </w:rPr>
        <w:footnoteRef/>
      </w:r>
      <w:r>
        <w:tab/>
        <w:t xml:space="preserve">EFTA: Euroopan vapaakauppaliitto. </w:t>
      </w:r>
    </w:p>
  </w:footnote>
  <w:footnote w:id="59">
    <w:p w:rsidR="0006109C" w:rsidRDefault="00493E42">
      <w:pPr>
        <w:pStyle w:val="FootnoteText"/>
        <w:rPr>
          <w:szCs w:val="24"/>
        </w:rPr>
      </w:pPr>
      <w:r>
        <w:rPr>
          <w:rStyle w:val="FootnoteReference"/>
        </w:rPr>
        <w:footnoteRef/>
      </w:r>
      <w:r>
        <w:tab/>
      </w:r>
      <w:r>
        <w:t>Ehdokasmaat ja soveltuvin osin Länsi-Balkanin mahdolliset ehdokasmaat.</w:t>
      </w:r>
    </w:p>
  </w:footnote>
  <w:footnote w:id="60">
    <w:p w:rsidR="0006109C" w:rsidRDefault="00493E42">
      <w:pPr>
        <w:pStyle w:val="FootnoteText"/>
      </w:pPr>
      <w:r>
        <w:rPr>
          <w:rStyle w:val="FootnoteReference"/>
        </w:rPr>
        <w:footnoteRef/>
      </w:r>
      <w:r>
        <w:tab/>
        <w:t>Vuoden 2017 perusskenaario esitetään ainoastaan vertailun vuoksi vuoden 2017 talousarvioesitystä vastaavin luvuin (BEREC-virasto). Tästä määrästä 220 000 euroa on käyttötarkoitukseens</w:t>
      </w:r>
      <w:r>
        <w:t>a sidottuja tuloja.</w:t>
      </w:r>
    </w:p>
  </w:footnote>
  <w:footnote w:id="61">
    <w:p w:rsidR="0006109C" w:rsidRDefault="00493E42">
      <w:pPr>
        <w:pStyle w:val="FootnoteText"/>
      </w:pPr>
      <w:r>
        <w:rPr>
          <w:rStyle w:val="FootnoteReference"/>
        </w:rPr>
        <w:footnoteRef/>
      </w:r>
      <w:r>
        <w:tab/>
        <w:t>Mahdollisia, erityisesti viraston valtuuksien lisäämisestä jäsenvaltioille samoin kuin komissiolle aiheutuvia tehokkuusetuja ja säästöjä on analysoitu vaikutusten arvioinnissa. Uuden viraston odotetaan jatkavan tulevaisuudessa nykyisi</w:t>
      </w:r>
      <w:r>
        <w:t>ä palvelusopimuksia komission kanssa (tilinpitäjä ja tiettyjen sovellusten ja välineiden käyttö) ja muiden unionin virastojen kanssa (erityisesti ENISAn kanssa backup-tiedon ulkoisen säilyttämisen ja sisäisen valvonnan koordinaattorin osalta). Palvelusopim</w:t>
      </w:r>
      <w:r>
        <w:t>usten käyttöä voidaan myös laajentaa uusille alueille.</w:t>
      </w:r>
    </w:p>
  </w:footnote>
  <w:footnote w:id="62">
    <w:p w:rsidR="0006109C" w:rsidRDefault="00493E42">
      <w:pPr>
        <w:pStyle w:val="FootnoteText"/>
      </w:pPr>
      <w:r>
        <w:rPr>
          <w:rStyle w:val="FootnoteReference"/>
        </w:rPr>
        <w:footnoteRef/>
      </w:r>
      <w:r>
        <w:tab/>
        <w:t>Vuoden 2017 perusskenaario esitetään ainoastaan vertailun vuoksi.</w:t>
      </w:r>
    </w:p>
  </w:footnote>
  <w:footnote w:id="63">
    <w:p w:rsidR="0006109C" w:rsidRDefault="00493E42">
      <w:pPr>
        <w:pStyle w:val="FootnoteText"/>
      </w:pPr>
      <w:r>
        <w:rPr>
          <w:rStyle w:val="FootnoteReference"/>
        </w:rPr>
        <w:footnoteRef/>
      </w:r>
      <w:r>
        <w:tab/>
        <w:t>Viestintäverkkojen, sisältöjen ja teknologian pääosaston (DG CONNECT) resurssit säilytetään nykyisellä tasollaan. On kuitenkin odot</w:t>
      </w:r>
      <w:r>
        <w:t>ettavissa, että BEREC edellyttää vähemmän tukea emopääosastolta hallinnollisissa tehtävissä ja erillisvirastoja koskevien EU:n sääntöjen noudattamisessa ja enemmän tukea uuden toiminnan aloilla ja liittyen aiempaa laajempaan hallintoneuvostotason osallistu</w:t>
      </w:r>
      <w:r>
        <w:t>miseen (kaksi edustajaa yhden sijasta).</w:t>
      </w:r>
    </w:p>
  </w:footnote>
  <w:footnote w:id="64">
    <w:p w:rsidR="0006109C" w:rsidRDefault="00493E42">
      <w:pPr>
        <w:pStyle w:val="FootnoteText"/>
      </w:pPr>
      <w:r>
        <w:rPr>
          <w:rStyle w:val="FootnoteReference"/>
        </w:rPr>
        <w:footnoteRef/>
      </w:r>
      <w:r>
        <w:tab/>
        <w:t xml:space="preserve">Vuoden 2017 perusskenaario esitetään ainoastaan vertailun vuoksi. </w:t>
      </w:r>
    </w:p>
  </w:footnote>
  <w:footnote w:id="65">
    <w:p w:rsidR="0006109C" w:rsidRDefault="00493E42">
      <w:pPr>
        <w:pStyle w:val="FootnoteText"/>
      </w:pPr>
      <w:r>
        <w:rPr>
          <w:rStyle w:val="FootnoteReference"/>
        </w:rPr>
        <w:footnoteRef/>
      </w:r>
      <w:r>
        <w:tab/>
        <w:t>Tässä taulukossa esitetään ainoastaan osastoa 3 koskevat toimintamenot</w:t>
      </w:r>
    </w:p>
  </w:footnote>
  <w:footnote w:id="66">
    <w:p w:rsidR="0006109C" w:rsidRDefault="00493E42">
      <w:pPr>
        <w:pStyle w:val="FootnoteText"/>
      </w:pPr>
      <w:r>
        <w:rPr>
          <w:rStyle w:val="FootnoteReference"/>
        </w:rPr>
        <w:footnoteRef/>
      </w:r>
      <w:r>
        <w:tab/>
        <w:t>Kun BERECille aiemmin annettiin uusia tehtäviä, BEREC-viraston (sääntely</w:t>
      </w:r>
      <w:r>
        <w:t>neuvoston tueksi perustelun unionin viraston) resursseja ei muutettu.</w:t>
      </w:r>
    </w:p>
  </w:footnote>
  <w:footnote w:id="67">
    <w:p w:rsidR="0006109C" w:rsidRDefault="00493E42">
      <w:pPr>
        <w:pStyle w:val="FootnoteText"/>
      </w:pPr>
      <w:r>
        <w:rPr>
          <w:rStyle w:val="FootnoteReference"/>
        </w:rPr>
        <w:footnoteRef/>
      </w:r>
      <w:r>
        <w:tab/>
        <w:t>Vuoden 2017 perusskenaario esitetään ainoastaan vertailun vuoksi.</w:t>
      </w:r>
    </w:p>
  </w:footnote>
  <w:footnote w:id="68">
    <w:p w:rsidR="0006109C" w:rsidRDefault="00493E42">
      <w:pPr>
        <w:pStyle w:val="FootnoteText"/>
      </w:pPr>
      <w:r>
        <w:rPr>
          <w:rStyle w:val="FootnoteReference"/>
        </w:rPr>
        <w:footnoteRef/>
      </w:r>
      <w:r>
        <w:tab/>
        <w:t xml:space="preserve">Kuten kohdassa 1.6 todetaan, toteutus alkaa vuonna 2019 ja jatkuu vuoteen 2022 seuraavan monivuotisen </w:t>
      </w:r>
      <w:r>
        <w:t>rahoituskehyksen puitteissa. Nykyisen resurssien rajallisuuden vuoksi vuosiksi 2019–2022 ehdotetut henkilöresurssit ovat sopimussuhteisia toimihenkilöitä ja kansallisia asiantuntijoita. Vaikutustenarvioinnin perusteella BERECin tarvitsema henkilöstö sen uu</w:t>
      </w:r>
      <w:r>
        <w:t>sien tehtävien täyttämiseksi laajennetun toimeksiannon perusteella on yhteensä arviolta 60 kokoaikaista työntekijää toteutusvaiheen 2019–2022 lopussa.</w:t>
      </w:r>
    </w:p>
  </w:footnote>
  <w:footnote w:id="69">
    <w:p w:rsidR="0006109C" w:rsidRDefault="00493E42">
      <w:pPr>
        <w:pStyle w:val="FootnoteText"/>
      </w:pPr>
      <w:r>
        <w:rPr>
          <w:rStyle w:val="FootnoteReference"/>
        </w:rPr>
        <w:footnoteRef/>
      </w:r>
      <w:r>
        <w:tab/>
        <w:t>Vuoden 2017 perusskenaario esitetään ainoastaan vertailun vuoksi. Henkilöstömenojen laskenta vuosille 2</w:t>
      </w:r>
      <w:r>
        <w:t>019 ja 2020 perustuu keskimääräisiin henkilöstökustannuksiin sisältäen toimitiloihin liittyvät kustannukset (ns. ”habillage”; Ares(2015)5703479, 9.12.2015), mikä selittää osan kustannusten kasvusta vuosina 2017–2019.</w:t>
      </w:r>
    </w:p>
  </w:footnote>
  <w:footnote w:id="70">
    <w:p w:rsidR="0006109C" w:rsidRDefault="00493E42">
      <w:pPr>
        <w:pStyle w:val="FootnoteText"/>
        <w:rPr>
          <w:szCs w:val="24"/>
        </w:rPr>
      </w:pPr>
      <w:r>
        <w:rPr>
          <w:rStyle w:val="FootnoteReference"/>
        </w:rPr>
        <w:footnoteRef/>
      </w:r>
      <w:r>
        <w:tab/>
        <w:t xml:space="preserve">Vaikutustenarvioinnin perusteella ja </w:t>
      </w:r>
      <w:r>
        <w:t>ennakoimatta seuraavaa monivuotista rahoituskehystä BERECin tarvitsema lisähenkilöstö sen uusien tehtävien täyttämiseksi laajennetun toimeksiannon perusteella on yhteensä arviolta 34 kokoaikaista työntekijää, jolloin henkilöstön kokonaismäärä olisi 60 koko</w:t>
      </w:r>
      <w:r>
        <w:t>aikaista työntekijää toteutusvaiheen 2019–2022 lopussa.</w:t>
      </w:r>
    </w:p>
    <w:p w:rsidR="0006109C" w:rsidRDefault="0006109C">
      <w:pPr>
        <w:pStyle w:val="FootnoteText"/>
      </w:pPr>
    </w:p>
  </w:footnote>
  <w:footnote w:id="71">
    <w:p w:rsidR="0006109C" w:rsidRDefault="00493E42">
      <w:pPr>
        <w:pStyle w:val="FootnoteText"/>
        <w:rPr>
          <w:szCs w:val="24"/>
        </w:rPr>
      </w:pPr>
      <w:r>
        <w:rPr>
          <w:rStyle w:val="FootnoteReference"/>
        </w:rPr>
        <w:footnoteRef/>
      </w:r>
      <w:r>
        <w:tab/>
        <w:t>AC = sopimussuhteiset toimihenkilöt; AL = paikalliset toimihenkilöt; END = kansalliset asiantuntijat; vuokrahenkilöstö, JED = nuoremmat asiantuntijat EU:n ulkopuolisissa edustustoissa .</w:t>
      </w:r>
    </w:p>
  </w:footnote>
  <w:footnote w:id="72">
    <w:p w:rsidR="0006109C" w:rsidRDefault="00493E42">
      <w:pPr>
        <w:pStyle w:val="FootnoteText"/>
        <w:rPr>
          <w:szCs w:val="24"/>
        </w:rPr>
      </w:pPr>
      <w:r>
        <w:rPr>
          <w:rStyle w:val="FootnoteReference"/>
        </w:rPr>
        <w:footnoteRef/>
      </w:r>
      <w:r>
        <w:tab/>
        <w:t>Katso toi</w:t>
      </w:r>
      <w:r>
        <w:t>mielinten sopimuksen 19 ja 24 kohta.</w:t>
      </w:r>
    </w:p>
  </w:footnote>
  <w:footnote w:id="73">
    <w:p w:rsidR="0006109C" w:rsidRDefault="00493E42">
      <w:pPr>
        <w:pStyle w:val="FootnoteText"/>
      </w:pPr>
      <w:r>
        <w:rPr>
          <w:rStyle w:val="FootnoteReference"/>
        </w:rPr>
        <w:footnoteRef/>
      </w:r>
      <w:r>
        <w:tab/>
        <w:t>Tarkka määrä seuraaviksi vuosiksi on tiedossa, kun EFTA-maiden suhdeluku vahvistetaan kyseiseksi vuodeksi.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2" w:rsidRPr="00493E42" w:rsidRDefault="00493E42" w:rsidP="0049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2" w:rsidRPr="00493E42" w:rsidRDefault="00493E42" w:rsidP="00493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2" w:rsidRPr="00493E42" w:rsidRDefault="00493E42" w:rsidP="00493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6A5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9AD5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9CCFF8"/>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4A9CB24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5084E2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8725F8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EE6821C"/>
    <w:lvl w:ilvl="0">
      <w:start w:val="1"/>
      <w:numFmt w:val="decimal"/>
      <w:pStyle w:val="ListNumber"/>
      <w:lvlText w:val="%1."/>
      <w:lvlJc w:val="left"/>
      <w:pPr>
        <w:tabs>
          <w:tab w:val="num" w:pos="360"/>
        </w:tabs>
        <w:ind w:left="360" w:hanging="360"/>
      </w:pPr>
    </w:lvl>
  </w:abstractNum>
  <w:abstractNum w:abstractNumId="8">
    <w:nsid w:val="FFFFFF89"/>
    <w:multiLevelType w:val="singleLevel"/>
    <w:tmpl w:val="5DCCBF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650526F"/>
    <w:multiLevelType w:val="multilevel"/>
    <w:tmpl w:val="08090025"/>
    <w:styleLink w:val="Article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2A8042C"/>
    <w:multiLevelType w:val="singleLevel"/>
    <w:tmpl w:val="CCF20C06"/>
    <w:name w:val="List Dash 1"/>
    <w:lvl w:ilvl="0">
      <w:start w:val="1"/>
      <w:numFmt w:val="bullet"/>
      <w:pStyle w:val="ListDash1"/>
      <w:lvlText w:val="–"/>
      <w:lvlJc w:val="left"/>
      <w:pPr>
        <w:tabs>
          <w:tab w:val="num" w:pos="4678"/>
        </w:tabs>
        <w:ind w:left="4678"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13"/>
  </w:num>
  <w:num w:numId="10">
    <w:abstractNumId w:val="26"/>
  </w:num>
  <w:num w:numId="11">
    <w:abstractNumId w:val="23"/>
  </w:num>
  <w:num w:numId="12">
    <w:abstractNumId w:val="18"/>
  </w:num>
  <w:num w:numId="13">
    <w:abstractNumId w:val="3"/>
  </w:num>
  <w:num w:numId="14">
    <w:abstractNumId w:val="22"/>
  </w:num>
  <w:num w:numId="15">
    <w:abstractNumId w:val="16"/>
    <w:lvlOverride w:ilvl="0">
      <w:startOverride w:val="1"/>
    </w:lvlOverride>
  </w:num>
  <w:num w:numId="16">
    <w:abstractNumId w:val="14"/>
    <w:lvlOverride w:ilvl="0">
      <w:startOverride w:val="1"/>
    </w:lvlOverride>
  </w:num>
  <w:num w:numId="17">
    <w:abstractNumId w:val="21"/>
    <w:lvlOverride w:ilvl="0">
      <w:startOverride w:val="1"/>
    </w:lvlOverride>
  </w:num>
  <w:num w:numId="18">
    <w:abstractNumId w:val="19"/>
    <w:lvlOverride w:ilvl="0">
      <w:startOverride w:val="1"/>
    </w:lvlOverride>
  </w:num>
  <w:num w:numId="19">
    <w:abstractNumId w:val="16"/>
    <w:lvlOverride w:ilvl="0">
      <w:startOverride w:val="1"/>
    </w:lvlOverride>
  </w:num>
  <w:num w:numId="20">
    <w:abstractNumId w:val="18"/>
  </w:num>
  <w:num w:numId="21">
    <w:abstractNumId w:val="21"/>
  </w:num>
  <w:num w:numId="22">
    <w:abstractNumId w:val="14"/>
  </w:num>
  <w:num w:numId="23">
    <w:abstractNumId w:val="25"/>
  </w:num>
  <w:num w:numId="24">
    <w:abstractNumId w:val="12"/>
  </w:num>
  <w:num w:numId="25">
    <w:abstractNumId w:val="15"/>
  </w:num>
  <w:num w:numId="26">
    <w:abstractNumId w:val="10"/>
  </w:num>
  <w:num w:numId="27">
    <w:abstractNumId w:val="24"/>
  </w:num>
  <w:num w:numId="28">
    <w:abstractNumId w:val="9"/>
  </w:num>
  <w:num w:numId="29">
    <w:abstractNumId w:val="16"/>
  </w:num>
  <w:num w:numId="30">
    <w:abstractNumId w:val="19"/>
  </w:num>
  <w:num w:numId="31">
    <w:abstractNumId w:val="20"/>
  </w:num>
  <w:num w:numId="32">
    <w:abstractNumId w:val="11"/>
  </w:num>
  <w:num w:numId="33">
    <w:abstractNumId w:val="17"/>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2 12:1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10"/>
    <w:docVar w:name="DQCStatus" w:val="Yellow"/>
    <w:docVar w:name="DQCVersion" w:val="3"/>
    <w:docVar w:name="DQCWithWarnings" w:val="0"/>
    <w:docVar w:name="LW_CONFIDENCE" w:val=" "/>
    <w:docVar w:name="LW_CONST_RESTREINT_UE" w:val="RESTREINT UE/EU RESTRICTED"/>
    <w:docVar w:name="LW_CORRIGENDUM" w:val="&lt;UNUSED&gt;"/>
    <w:docVar w:name="LW_COVERPAGE_GUID" w:val="B9A48F2205694DE8A81645D7C3731AB7"/>
    <w:docVar w:name="LW_CROSSREFERENCE" w:val="{SWD(2016) 303}_x000a_{SWD(2016) 304}"/>
    <w:docVar w:name="LW_DocType" w:val="COM"/>
    <w:docVar w:name="LW_EMISSION" w:val="14.9.2016"/>
    <w:docVar w:name="LW_EMISSION_ISODATE" w:val="2016-09-1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86"/>
    <w:docVar w:name="LW_REF.II.NEW.CP_YEAR" w:val="2016"/>
    <w:docVar w:name="LW_REF.INST.NEW" w:val="COM"/>
    <w:docVar w:name="LW_REF.INST.NEW_ADOPTED" w:val="final"/>
    <w:docVar w:name="LW_REF.INST.NEW_TEXT" w:val="(2016) 591"/>
    <w:docVar w:name="LW_REF.INTERNE" w:val="&lt;UNUSED&gt;"/>
    <w:docVar w:name="LW_SOUS.TITRE.OBJ.CP" w:val="&lt;UNUSED&gt;"/>
    <w:docVar w:name="LW_STATUT.CP" w:val="Ehdotus"/>
    <w:docVar w:name="LW_SUPERTITRE" w:val="&lt;UNUSED&gt;"/>
    <w:docVar w:name="LW_TITRE.OBJ.CP" w:val="Euroopan sähköisen viestinnän sääntelyviranomaisten yhteistyöelimen perustamisesta"/>
    <w:docVar w:name="LW_TYPE.DOC.CP" w:val="EUROOPAN PARLAMENTIN JA NEUVOSTON ASETUS"/>
    <w:docVar w:name="Stamp" w:val="\\dossiers.dgt.cec.eu.int\dossiers\CNECT\CNECT-2016-00068\CNECT-2016-00068-00-00-EN-REV-00.201608111256166007267.DOCX"/>
  </w:docVars>
  <w:rsids>
    <w:rsidRoot w:val="0006109C"/>
    <w:rsid w:val="0006109C"/>
    <w:rsid w:val="00493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fi-FI"/>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fi-FI" w:eastAsia="fi-FI"/>
    </w:rPr>
  </w:style>
  <w:style w:type="character" w:customStyle="1" w:styleId="Heading6Char">
    <w:name w:val="Heading 6 Char"/>
    <w:basedOn w:val="DefaultParagraphFont"/>
    <w:link w:val="Heading6"/>
    <w:semiHidden/>
    <w:rPr>
      <w:rFonts w:ascii="Arial" w:eastAsia="Times New Roman" w:hAnsi="Arial" w:cs="Times New Roman"/>
      <w:szCs w:val="20"/>
      <w:lang w:val="fi-FI" w:eastAsia="fi-FI"/>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fi-FI" w:eastAsia="fi-FI"/>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fi-FI" w:eastAsia="fi-FI"/>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fi-FI" w:eastAsia="fi-FI"/>
    </w:rPr>
  </w:style>
  <w:style w:type="numbering" w:styleId="ArticleSection">
    <w:name w:val="Outline List 3"/>
    <w:basedOn w:val="NoList"/>
    <w:uiPriority w:val="99"/>
    <w:semiHidden/>
    <w:unhideWhenUsed/>
    <w:pPr>
      <w:numPr>
        <w:numId w:val="9"/>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eastAsia="fi-FI"/>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fi-FI"/>
    </w:rPr>
  </w:style>
  <w:style w:type="paragraph" w:customStyle="1" w:styleId="Mainpara">
    <w:name w:val="Main para"/>
    <w:basedOn w:val="Normal"/>
    <w:pPr>
      <w:spacing w:before="0"/>
    </w:pPr>
    <w:rPr>
      <w:rFonts w:eastAsia="Times New Roman"/>
      <w:szCs w:val="20"/>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3"/>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493E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93E4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fi-FI"/>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fi-FI" w:eastAsia="fi-FI"/>
    </w:rPr>
  </w:style>
  <w:style w:type="character" w:customStyle="1" w:styleId="Heading6Char">
    <w:name w:val="Heading 6 Char"/>
    <w:basedOn w:val="DefaultParagraphFont"/>
    <w:link w:val="Heading6"/>
    <w:semiHidden/>
    <w:rPr>
      <w:rFonts w:ascii="Arial" w:eastAsia="Times New Roman" w:hAnsi="Arial" w:cs="Times New Roman"/>
      <w:szCs w:val="20"/>
      <w:lang w:val="fi-FI" w:eastAsia="fi-FI"/>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fi-FI" w:eastAsia="fi-FI"/>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fi-FI" w:eastAsia="fi-FI"/>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fi-FI" w:eastAsia="fi-FI"/>
    </w:rPr>
  </w:style>
  <w:style w:type="numbering" w:styleId="ArticleSection">
    <w:name w:val="Outline List 3"/>
    <w:basedOn w:val="NoList"/>
    <w:uiPriority w:val="99"/>
    <w:semiHidden/>
    <w:unhideWhenUsed/>
    <w:pPr>
      <w:numPr>
        <w:numId w:val="9"/>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eastAsia="fi-FI"/>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fi-FI"/>
    </w:rPr>
  </w:style>
  <w:style w:type="paragraph" w:customStyle="1" w:styleId="Mainpara">
    <w:name w:val="Main para"/>
    <w:basedOn w:val="Normal"/>
    <w:pPr>
      <w:spacing w:before="0"/>
    </w:pPr>
    <w:rPr>
      <w:rFonts w:eastAsia="Times New Roman"/>
      <w:szCs w:val="20"/>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3"/>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493E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93E4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743">
      <w:bodyDiv w:val="1"/>
      <w:marLeft w:val="0"/>
      <w:marRight w:val="0"/>
      <w:marTop w:val="0"/>
      <w:marBottom w:val="0"/>
      <w:divBdr>
        <w:top w:val="none" w:sz="0" w:space="0" w:color="auto"/>
        <w:left w:val="none" w:sz="0" w:space="0" w:color="auto"/>
        <w:bottom w:val="none" w:sz="0" w:space="0" w:color="auto"/>
        <w:right w:val="none" w:sz="0" w:space="0" w:color="auto"/>
      </w:divBdr>
      <w:divsChild>
        <w:div w:id="4918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20482">
              <w:marLeft w:val="0"/>
              <w:marRight w:val="0"/>
              <w:marTop w:val="0"/>
              <w:marBottom w:val="0"/>
              <w:divBdr>
                <w:top w:val="none" w:sz="0" w:space="0" w:color="auto"/>
                <w:left w:val="none" w:sz="0" w:space="0" w:color="auto"/>
                <w:bottom w:val="none" w:sz="0" w:space="0" w:color="auto"/>
                <w:right w:val="none" w:sz="0" w:space="0" w:color="auto"/>
              </w:divBdr>
              <w:divsChild>
                <w:div w:id="377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974">
      <w:bodyDiv w:val="1"/>
      <w:marLeft w:val="0"/>
      <w:marRight w:val="0"/>
      <w:marTop w:val="0"/>
      <w:marBottom w:val="0"/>
      <w:divBdr>
        <w:top w:val="none" w:sz="0" w:space="0" w:color="auto"/>
        <w:left w:val="none" w:sz="0" w:space="0" w:color="auto"/>
        <w:bottom w:val="none" w:sz="0" w:space="0" w:color="auto"/>
        <w:right w:val="none" w:sz="0" w:space="0" w:color="auto"/>
      </w:divBdr>
    </w:div>
    <w:div w:id="1177185929">
      <w:bodyDiv w:val="1"/>
      <w:marLeft w:val="0"/>
      <w:marRight w:val="0"/>
      <w:marTop w:val="0"/>
      <w:marBottom w:val="0"/>
      <w:divBdr>
        <w:top w:val="none" w:sz="0" w:space="0" w:color="auto"/>
        <w:left w:val="none" w:sz="0" w:space="0" w:color="auto"/>
        <w:bottom w:val="none" w:sz="0" w:space="0" w:color="auto"/>
        <w:right w:val="none" w:sz="0" w:space="0" w:color="auto"/>
      </w:divBdr>
    </w:div>
    <w:div w:id="1187058898">
      <w:bodyDiv w:val="1"/>
      <w:marLeft w:val="0"/>
      <w:marRight w:val="0"/>
      <w:marTop w:val="0"/>
      <w:marBottom w:val="0"/>
      <w:divBdr>
        <w:top w:val="none" w:sz="0" w:space="0" w:color="auto"/>
        <w:left w:val="none" w:sz="0" w:space="0" w:color="auto"/>
        <w:bottom w:val="none" w:sz="0" w:space="0" w:color="auto"/>
        <w:right w:val="none" w:sz="0" w:space="0" w:color="auto"/>
      </w:divBdr>
    </w:div>
    <w:div w:id="1211377142">
      <w:bodyDiv w:val="1"/>
      <w:marLeft w:val="0"/>
      <w:marRight w:val="0"/>
      <w:marTop w:val="0"/>
      <w:marBottom w:val="0"/>
      <w:divBdr>
        <w:top w:val="none" w:sz="0" w:space="0" w:color="auto"/>
        <w:left w:val="none" w:sz="0" w:space="0" w:color="auto"/>
        <w:bottom w:val="none" w:sz="0" w:space="0" w:color="auto"/>
        <w:right w:val="none" w:sz="0" w:space="0" w:color="auto"/>
      </w:divBdr>
    </w:div>
    <w:div w:id="1417897754">
      <w:bodyDiv w:val="1"/>
      <w:marLeft w:val="0"/>
      <w:marRight w:val="0"/>
      <w:marTop w:val="0"/>
      <w:marBottom w:val="0"/>
      <w:divBdr>
        <w:top w:val="none" w:sz="0" w:space="0" w:color="auto"/>
        <w:left w:val="none" w:sz="0" w:space="0" w:color="auto"/>
        <w:bottom w:val="none" w:sz="0" w:space="0" w:color="auto"/>
        <w:right w:val="none" w:sz="0" w:space="0" w:color="auto"/>
      </w:divBdr>
    </w:div>
    <w:div w:id="1810514879">
      <w:bodyDiv w:val="1"/>
      <w:marLeft w:val="0"/>
      <w:marRight w:val="0"/>
      <w:marTop w:val="0"/>
      <w:marBottom w:val="0"/>
      <w:divBdr>
        <w:top w:val="none" w:sz="0" w:space="0" w:color="auto"/>
        <w:left w:val="none" w:sz="0" w:space="0" w:color="auto"/>
        <w:bottom w:val="none" w:sz="0" w:space="0" w:color="auto"/>
        <w:right w:val="none" w:sz="0" w:space="0" w:color="auto"/>
      </w:divBdr>
    </w:div>
    <w:div w:id="1932201363">
      <w:bodyDiv w:val="1"/>
      <w:marLeft w:val="0"/>
      <w:marRight w:val="0"/>
      <w:marTop w:val="0"/>
      <w:marBottom w:val="0"/>
      <w:divBdr>
        <w:top w:val="none" w:sz="0" w:space="0" w:color="auto"/>
        <w:left w:val="none" w:sz="0" w:space="0" w:color="auto"/>
        <w:bottom w:val="none" w:sz="0" w:space="0" w:color="auto"/>
        <w:right w:val="none" w:sz="0" w:space="0" w:color="auto"/>
      </w:divBdr>
    </w:div>
    <w:div w:id="20272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ur-lex.europa.eu/legal-content/EN/TXT/?uri=celex:32009R1211"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ur-lex.europa.eu/legal-content/EN/TXT/?uri=celex:32009R1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ur-lex.europa.eu/legal-content/EN/TXT/?uri=celex:32009R12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ur-lex.europa.eu/budget/data/D2007_VOL4/EN/nmc-titleN1529D/nmc-chapterN1557F/article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5/2147(INI)" TargetMode="External"/><Relationship Id="rId2" Type="http://schemas.openxmlformats.org/officeDocument/2006/relationships/hyperlink" Target="http://rspg-spectrum.eu/wp-content/uploads/2013/05/RSPG16-001-DSM_opinion.pdf" TargetMode="External"/><Relationship Id="rId1" Type="http://schemas.openxmlformats.org/officeDocument/2006/relationships/hyperlink" Target="http://berec.europa.eu/eng/document_register/subject_matter/berec/opinions/5577-berec-opinion-on-the-review-of-the-eu-electronic-communications-regulatory-framework" TargetMode="External"/><Relationship Id="rId5" Type="http://schemas.openxmlformats.org/officeDocument/2006/relationships/hyperlink" Target="https://ec.europa.eu/digital-single-market/en/digital-scoreboard"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c257be0-d5eb-4f72-acc9-a28f7e6f25fa" xsi:nil="true"/>
    <EC_Collab_DocumentLanguage xmlns="bc257be0-d5eb-4f72-acc9-a28f7e6f25fa">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4411-4627-4146-8960-7C1FCD07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4F61-9042-4C0C-A0A8-388F6ABB53BC}">
  <ds:schemaRefs>
    <ds:schemaRef ds:uri="http://schemas.microsoft.com/office/2006/metadata/properties"/>
    <ds:schemaRef ds:uri="http://schemas.microsoft.com/office/infopath/2007/PartnerControls"/>
    <ds:schemaRef ds:uri="bc257be0-d5eb-4f72-acc9-a28f7e6f25fa"/>
  </ds:schemaRefs>
</ds:datastoreItem>
</file>

<file path=customXml/itemProps3.xml><?xml version="1.0" encoding="utf-8"?>
<ds:datastoreItem xmlns:ds="http://schemas.openxmlformats.org/officeDocument/2006/customXml" ds:itemID="{0F1CF3F5-C35D-4248-815C-9BEB3F709190}">
  <ds:schemaRefs>
    <ds:schemaRef ds:uri="http://schemas.microsoft.com/sharepoint/v3/contenttype/forms"/>
  </ds:schemaRefs>
</ds:datastoreItem>
</file>

<file path=customXml/itemProps4.xml><?xml version="1.0" encoding="utf-8"?>
<ds:datastoreItem xmlns:ds="http://schemas.openxmlformats.org/officeDocument/2006/customXml" ds:itemID="{C5D00FC2-1E8F-4E47-BABE-7D0DF7D1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14618</Words>
  <Characters>129667</Characters>
  <Application>Microsoft Office Word</Application>
  <DocSecurity>0</DocSecurity>
  <Lines>2593</Lines>
  <Paragraphs>1145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2016-09-09T08:45:00Z</cp:lastPrinted>
  <dcterms:created xsi:type="dcterms:W3CDTF">2016-10-07T14:09:00Z</dcterms:created>
  <dcterms:modified xsi:type="dcterms:W3CDTF">2016-10-12T13:22:00Z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0x010100258AA79CEB83498886A3A0868112325000FF65168B058A774899EB229F4688081F</vt:lpwstr>
  </property>
  <property fmtid="{D5CDD505-2E9C-101B-9397-08002B2CF9AE}" pid="11" name="EC_Collab_Reference">
    <vt:lpwstr/>
  </property>
  <property fmtid="{D5CDD505-2E9C-101B-9397-08002B2CF9AE}" pid="12" name="EC_Collab_DocumentLanguage">
    <vt:lpwstr>EN</vt:lpwstr>
  </property>
  <property fmtid="{D5CDD505-2E9C-101B-9397-08002B2CF9AE}" pid="13" name="DQCStatus">
    <vt:lpwstr>Yellow (DQC version 03)</vt:lpwstr>
  </property>
</Properties>
</file>